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Julie Ashworth</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BlackRock, Inc., 50 Hudson Yards,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810-5800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42,824,670.00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42,824,670.00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65"/>
        </w:trPr>
        <w:tc>
          <w:tcPr>
            <w:tcW w:w="11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1200"/>
        <w:spacing w:after="0" w:line="230" w:lineRule="auto"/>
        <w:rPr>
          <w:sz w:val="20"/>
          <w:szCs w:val="20"/>
          <w:color w:val="auto"/>
        </w:rPr>
      </w:pPr>
      <w:r>
        <w:rPr>
          <w:rFonts w:ascii="Times New Roman" w:cs="Times New Roman" w:eastAsia="Times New Roman" w:hAnsi="Times New Roman"/>
          <w:sz w:val="22"/>
          <w:szCs w:val="22"/>
          <w:color w:val="auto"/>
        </w:rPr>
        <w:t>10</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42,824,670.00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55.4 %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Schedule 13D relates to the following classes of securities of Clearway Energy, Inc., a Delaware corporation:</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9"/>
              </w:rPr>
              <w:t>Class A Common Stock with CUSIP No. 18539C105 and Class C Common Stock with CUSIP No. 18539C204. Due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to the Edgar XML filing requirements, cover pages are limited to one class of security. The cover page of this Schedule</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13D filing relates to the Class A Common Stock. Rows (7), (9) and (11) equal 42,489,448 shares of Class C Common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Stock and row (13) equals 34.0% of the Class C Common Stock. This comment shall serve as full disclosure of the</w:t>
      </w:r>
    </w:p>
    <w:p>
      <w:pPr>
        <w:jc w:val="center"/>
        <w:ind w:right="100"/>
        <w:spacing w:after="0"/>
        <w:rPr>
          <w:sz w:val="20"/>
          <w:szCs w:val="20"/>
          <w:color w:val="auto"/>
        </w:rPr>
      </w:pPr>
      <w:r>
        <w:rPr>
          <w:rFonts w:ascii="Times New Roman" w:cs="Times New Roman" w:eastAsia="Times New Roman" w:hAnsi="Times New Roman"/>
          <w:sz w:val="22"/>
          <w:szCs w:val="22"/>
          <w:color w:val="auto"/>
        </w:rPr>
        <w:t>beneficial ownership of all classes of securities of the Issuer registered pursuant to Section 12(b) of the Act.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common stock; Class C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300 Carnegie Center, Suite 300, Princeton, NEW JERSEY , 08540.</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This Amendment No. 1 ("Amendment No. 1") to Schedule 13D amends and supplements the</w:t>
      </w:r>
    </w:p>
    <w:p>
      <w:pPr>
        <w:spacing w:after="0" w:line="6" w:lineRule="exact"/>
        <w:rPr>
          <w:sz w:val="20"/>
          <w:szCs w:val="20"/>
          <w:color w:val="auto"/>
        </w:rPr>
      </w:pPr>
    </w:p>
    <w:p>
      <w:pPr>
        <w:jc w:val="both"/>
        <w:ind w:left="1000" w:right="40" w:hanging="951"/>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statement on Schedule 13D originally filed with the United States Securities and Exchange Commission ("SEC")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January 30, 2025 (as amended the "Schedule 13D"). Capitalized terms used but not defined herein shall have the meanings attributed to them in the Schedule 13D.</w:t>
      </w:r>
    </w:p>
    <w:p>
      <w:pPr>
        <w:spacing w:after="0" w:line="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ectPr>
          <w:pgSz w:w="11900" w:h="16838" w:orient="portrait"/>
          <w:cols w:equalWidth="0" w:num="1">
            <w:col w:w="11240"/>
          </w:cols>
          <w:pgMar w:left="320" w:top="126" w:right="339" w:bottom="0" w:gutter="0" w:footer="0" w:header="0"/>
        </w:sectPr>
      </w:pPr>
    </w:p>
    <w:bookmarkStart w:id="2" w:name="page3"/>
    <w:bookmarkEnd w:id="2"/>
    <w:p>
      <w:pPr>
        <w:ind w:left="920" w:right="40" w:hanging="912"/>
        <w:spacing w:after="0" w:line="256"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 of the Schedule 13D is hereby amended and restated to include the updated Annex A attached hereto, which is incorporated herein by reference.</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The information set forth or incorporated by reference in Item 5 of this Schedule 13D is incorporated by reference in its entirety into this Item 3. BPM has been delegated authority to file this Schedule 13D with respect to the 42,760,591 shares of Class A Common Stock and 41,675,865 shares of Class C Common Stock beneficially owned by the GIP Entities. Certain of BlackRock's Advisory Subsidiaries in their capacity as investment advisers to certain client accounts, held beneficial ownership of shares of Class A Common Stock and shares of Class C Common Stock. Such acquisitions were made for investment purposes with available funds of the applicable client accounts in the ordinary course of business of the Advisory Subsidiaries. As of the date hereof, BPM has been delegated authority to file this Schedule 13D with respect to the 64,079 shares of Class A Common Stock and 813,583 shares of Class C Common Stock (the "Reporting Advisory Shares") beneficially owned by the Reporting Advisory Subsidiaries as of September 12, 2025, which were acquired for an aggregate purchase price of approximately $1,485,141 and $16,199,750, respectively. Transactions made for investment purposes in the ordinary course of business of the Reporting Advisory Subsidiaries are undertaken solely for the benefit of the applicable client account and are independent from the strategic relationship with and investment in the Issuer made by the GIP Entities for their own accounts. During the last 60 days, Clearway Energy Group has acquired 5,189 shares of Class C Common Stock in connection with the forfeiture of shares of restricted stock of the Issuer previously granted to certain Clearway Energy Group employees due to termination of service.</w:t>
      </w:r>
    </w:p>
    <w:p>
      <w:pPr>
        <w:spacing w:after="0" w:line="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Items 5 (a)-(c) of the Schedule 13D are hereby amended and restated as follows: The responses of BPM to Rows (11) and (13) of the cover page of this Schedule 13D are incorporated herein by reference. None of the Covered Persons beneficially owns any shares of Class A Common Stock or Class C Common Stock. The aggregate percentages of shares of Class A Common Stock and Class C Common Stock reported as beneficially owned by the Reporting</w:t>
      </w:r>
    </w:p>
    <w:p>
      <w:pPr>
        <w:spacing w:after="0" w:line="2" w:lineRule="exact"/>
        <w:rPr>
          <w:sz w:val="20"/>
          <w:szCs w:val="20"/>
          <w:color w:val="auto"/>
        </w:rPr>
      </w:pPr>
    </w:p>
    <w:p>
      <w:pPr>
        <w:ind w:left="9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Units were calculated based on 34,613,853 and 83,263,747 shares of Class A Common Stock and Class C Common Stock, respectively, issued and outstanding as of July 31, 2025, as disclosed in the Issuer's Quarterly Report on Form 10-Q filed with the SEC on August 6, 2025, plus 42,738,750 Class B units and 41,576,142 Class D units beneficially owned by the GIP Entities, as of September 12, 2025, and exchangeable at any time for shares of Class A Common Stock, and shares of Class C Common Stock, in each case, on a one-for-one basis, respectively.</w:t>
      </w:r>
    </w:p>
    <w:p>
      <w:pPr>
        <w:spacing w:after="0" w:line="17" w:lineRule="exact"/>
        <w:rPr>
          <w:rFonts w:ascii="Times New Roman" w:cs="Times New Roman" w:eastAsia="Times New Roman" w:hAnsi="Times New Roman"/>
          <w:sz w:val="22"/>
          <w:szCs w:val="22"/>
          <w:color w:val="auto"/>
        </w:rPr>
      </w:pPr>
    </w:p>
    <w:p>
      <w:pPr>
        <w:ind w:left="920" w:right="2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BPM to Rows (7) through (10) of the cover page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Annex B, attached hereto, sets forth the transactions that were effected by the Reporting Business Units in the Class</w:t>
      </w:r>
    </w:p>
    <w:p>
      <w:pPr>
        <w:spacing w:after="0" w:line="25" w:lineRule="exact"/>
        <w:rPr>
          <w:rFonts w:ascii="Times New Roman" w:cs="Times New Roman" w:eastAsia="Times New Roman" w:hAnsi="Times New Roman"/>
          <w:sz w:val="39"/>
          <w:szCs w:val="39"/>
          <w:color w:val="auto"/>
          <w:vertAlign w:val="subscript"/>
        </w:rPr>
      </w:pPr>
    </w:p>
    <w:p>
      <w:pPr>
        <w:ind w:left="920" w:right="60" w:hanging="912"/>
        <w:spacing w:after="0" w:line="184"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 Common Stock and Class C Common Stock during the 60-day period ended September 12, 2025. The transactions in the Class A Common Stock and Class C Common Stock described on Annex B were effected on securities exchanges unless otherwise indicated therein.</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Item 6 of the Schedule 13D is hereby amended and supplemented as follows: Accounts managed by the Reporting Business Units have entered into short positions (the "Short Positions") with respect to 159,630 shares of Class C Common Stock (representing economic exposure to approximately 0.2% of the total issued and outstanding shares of Class C Common Stock, as of September 12, 2025). The Short Positions provide the Reporting Business Units with economic results that are opposite to the economic results of ownership. The lenders of the Short Positions are unaffiliated third-party financial institutions. BPM and the Reporting Business Units hereby expressly disclaim beneficial ownership of the shares of Class C Common Stock that are the subject of the Short Positions. Additionally, Accounts managed by the Reporting Business Units have entered into notional principal amount derivative agreements (the "Long Derivative Agreements") in the form of cash-settled swaps with respect to 76,723 shares of Class A Common Stock (representing economic exposure to approximately 0.2% of the total issued and outstanding shares of Class A Common Stock as of September 12, 2025). The Long Derivative Agreements provide such holder with economic results that are comparable to the economic results of ownership but do not provide it with the power to vote or direct the voting or dispose of or direct the disposition of the shares of Class A Common Stock that are the subject of the Long Derivative Agreements. BPM and the Reporting Business Units hereby expressly disclaim beneficial ownership of the shares of Class A Common Stock that are the subject of the Long Derivative Agreements. The counterparties to the Long Derivative Agreements are unaffiliated third-party financial institutions. In addition, accounts managed by the Reporting Business Units have entered into notional principal amount derivative agreements (the "Short Derivative Agreements") in the form of cash-settled swaps with respect to 41,213 shares of Class C Common Stock (representing economic exposure to less than 0.1% of the total issued and outstanding shares of Class C Common Stock as of September 12, 2025). The Short Derivative Agreements provide such holder with economic results that are opposite to the economic results of ownership but do not provide it with the power to vote or direct the voting or dispose of or direct the disposition of the shares of Class C Common Stock that are the subject of the Short Derivative Agreements. BPM and the Reporting Business Units hereby expressly disclaim beneficial ownership of the shares of Class C Common Stock that are the subject of the Short Derivative Agreements. The counterparties to the Short Derivative Agreements are unaffiliated third-party financial institutions. Except as set forth in this Schedule 13D, there are no contracts, arrangements, understandings or relationships between BPM and any other person with respect to any securities of the Issuer or among the Reporting Business Units, including but not limited to transfer or voting of any securities of the Issuer, finder's fees, joint ventures, loan or option arrangements, puts or calls, guarantees of profits, division of profits or loss, or the giving or withholding of proxies (other than the</w:t>
      </w:r>
    </w:p>
    <w:p>
      <w:pPr>
        <w:sectPr>
          <w:pgSz w:w="11900" w:h="16838" w:orient="portrait"/>
          <w:cols w:equalWidth="0" w:num="1">
            <w:col w:w="11120"/>
          </w:cols>
          <w:pgMar w:left="360" w:top="111" w:right="419" w:bottom="0" w:gutter="0" w:footer="0" w:header="0"/>
        </w:sectPr>
      </w:pPr>
    </w:p>
    <w:bookmarkStart w:id="3" w:name="page4"/>
    <w:bookmarkEnd w:id="3"/>
    <w:p>
      <w:pPr>
        <w:ind w:left="920" w:right="380"/>
        <w:spacing w:after="0" w:line="268" w:lineRule="auto"/>
        <w:rPr>
          <w:sz w:val="20"/>
          <w:szCs w:val="20"/>
          <w:color w:val="auto"/>
        </w:rPr>
      </w:pPr>
      <w:r>
        <w:rPr>
          <w:rFonts w:ascii="Times New Roman" w:cs="Times New Roman" w:eastAsia="Times New Roman" w:hAnsi="Times New Roman"/>
          <w:sz w:val="21"/>
          <w:szCs w:val="21"/>
          <w:color w:val="auto"/>
        </w:rPr>
        <w:t>transfer of voting rights with respect to the shares of Class A Common Stock and the shares of Class C Common Stock that are loaned out in the ordinary course of certain Reporting Business Units' securities lending programs).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of the Schedule 13D is hereby amended and supplemented to include the following exhibits: Exhibit 13:</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Power of Attorney, dated July 1, 2025, relating to BPM. Annex A Annex B</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BlackRock Portfolio Management LLC</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Julie Ashworth</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09/16/2025</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undersigned, BlackRock Portfolio Management LLC, a limited liability company duly organized under the laws of the State of Delaware, United States (the "Company"), does hereby make, constitute and appoint each of Eric Andruczyk, Julie Ashworth, Richard Cundiff, R. Andrew Dickson, III, Spencer Fleming, Laura Hildner, David Maryles, Christopher Meade, Charles Park, James Raby, Daniel Riemer, David Rothenberg, Brenda Schulz and Joseph Virgilio,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power of attorney shall expressly revoke the power of attorney dated 28th day of January, 2025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1st day of July,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BLACKROCK PORTFOLIO MANAGEMENT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BlackRock Finance, Inc., its sole member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 Andrew Dickson, III</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 Andrew Dickson, III</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Secretary</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is a list of the executive officers and directors of BlackRock, Inc. (collectively, the "Covered Persons"), setting forth the present principal occupation or employment and the name, principal business and address of any corporation or other organization in which such employment is conducted and citizenship for each such person.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Occupation or</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D. Fink</w:t>
            </w:r>
          </w:p>
        </w:tc>
        <w:tc>
          <w:tcPr>
            <w:tcW w:w="22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and Chief Executive Officer</w:t>
            </w:r>
          </w:p>
        </w:tc>
        <w:tc>
          <w:tcPr>
            <w:tcW w:w="220" w:type="dxa"/>
            <w:vAlign w:val="bottom"/>
          </w:tcPr>
          <w:p>
            <w:pPr>
              <w:spacing w:after="0"/>
              <w:rPr>
                <w:sz w:val="16"/>
                <w:szCs w:val="16"/>
                <w:color w:val="auto"/>
              </w:rPr>
            </w:pPr>
          </w:p>
        </w:tc>
        <w:tc>
          <w:tcPr>
            <w:tcW w:w="2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BlackRock, Inc.</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Kapito</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Cohen</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Chief Product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Drapers Gardens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Throgmorton Avenue</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EC2N 2DL United Kingdom</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Comerchero</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Chief Accounting Officer and Global</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L. Goldstein</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Chief Operating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Caroline Heller</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Global Head of Human</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Resources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Richard Kushel</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Head of the Portfolio</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 Group</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Lord</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Head of International</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U.K.</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Drapers Gardens</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12 Throgmorton Avenue</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London EC2N 2DL United Kingdom</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J. Meade</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Chief Legal Officer and General</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Counsel</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Small</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Managing Director and Chief Financial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675"/>
        </w:trPr>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0"/>
        </w:trPr>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Occupation or</w:t>
            </w:r>
          </w:p>
        </w:tc>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1"/>
        </w:trPr>
        <w:tc>
          <w:tcPr>
            <w:tcW w:w="1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Laurence D. Fink</w:t>
            </w:r>
          </w:p>
        </w:tc>
        <w:tc>
          <w:tcPr>
            <w:tcW w:w="220" w:type="dxa"/>
            <w:vAlign w:val="bottom"/>
          </w:tcPr>
          <w:p>
            <w:pPr>
              <w:spacing w:after="0"/>
              <w:rPr>
                <w:sz w:val="16"/>
                <w:szCs w:val="16"/>
                <w:color w:val="auto"/>
              </w:rPr>
            </w:pPr>
          </w:p>
        </w:tc>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BlackRock, Inc. – Chairman and Chief Executive Officer</w:t>
            </w:r>
          </w:p>
        </w:tc>
        <w:tc>
          <w:tcPr>
            <w:tcW w:w="220" w:type="dxa"/>
            <w:vAlign w:val="bottom"/>
          </w:tcPr>
          <w:p>
            <w:pPr>
              <w:spacing w:after="0"/>
              <w:rPr>
                <w:sz w:val="16"/>
                <w:szCs w:val="16"/>
                <w:color w:val="auto"/>
              </w:rPr>
            </w:pPr>
          </w:p>
        </w:tc>
        <w:tc>
          <w:tcPr>
            <w:tcW w:w="27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BlackRock, Inc.</w:t>
            </w:r>
          </w:p>
        </w:tc>
        <w:tc>
          <w:tcPr>
            <w:tcW w:w="2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 Kapito</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 – President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Pamela Daley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Electric Company – Former Senior Vice President of</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Business Development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J. Fleming</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CEO of Rockefeller Capital Management</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 Rockefeller Plaza, Floor 5</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10111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E. Ford</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Atlantic – Chairman and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Atlantic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Park Avenue Plaza</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55 East 52nd Street, 33rd Fl</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10055</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Fabrizio Freda</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Estée Lauder Companies Inc. – Former President and</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Estée Lauder Companies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Italy &amp; 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767 Fifth Avenue, 40th Fl</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10153</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Murry S. Gerber</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EQT Corporation – Former Executive Chairman, Chairman,</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"Peggy" L.</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Agility Robotics, Inc. –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Agility Robotics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Johnson</w:t>
            </w: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32114 Mallard Ave</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Tangent, OR 97389</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D. Mills</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BlackIvy Group LLC – President and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BlackIvy Group LLC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2300 N Street NW</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Suite 630</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Washington DC 20037</w:t>
            </w:r>
          </w:p>
        </w:tc>
        <w:tc>
          <w:tcPr>
            <w:tcW w:w="1680" w:type="dxa"/>
            <w:vAlign w:val="bottom"/>
          </w:tcPr>
          <w:p>
            <w:pPr>
              <w:spacing w:after="0"/>
              <w:rPr>
                <w:sz w:val="20"/>
                <w:szCs w:val="20"/>
                <w:color w:val="auto"/>
              </w:rPr>
            </w:pPr>
          </w:p>
        </w:tc>
      </w:tr>
      <w:tr>
        <w:trPr>
          <w:trHeight w:val="414"/>
        </w:trPr>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Kathleen Murphy</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President of Personal Investing at Fidelity</w:t>
            </w:r>
          </w:p>
        </w:tc>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Amin H. Nasser</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Saudi Arabian Oil Company – President and Chief Executive</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 Box 5000, Dhahran,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Saudi Arabia</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31311, Kingdom of Saudi Arabia</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Gordon M. Nixon</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Bank of Canada – Former President, CEO and Board</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Adebayo Ogunlesi</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Infrastructure Partners – Chairman and Chief</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 &amp; Nigeria</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Peck</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Zoetis Inc. –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Zoetis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Sylvan Way</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Parsippany, NJ 07054</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H. Robbins</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Cisco Systems, Inc. – Chairman and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Cisco Systems,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West Tasman Drive</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Jose, CA 95134</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E. Vestberg</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Verizon Communications Inc. – Chairman and Chief</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Verizon Communications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1095 Avenue of the Americas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10036</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L. Wagner</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Inc. - Former Vice Chairman</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1680" w:type="dxa"/>
            <w:vAlign w:val="bottom"/>
          </w:tcPr>
          <w:p>
            <w:pPr>
              <w:spacing w:after="0"/>
              <w:rPr>
                <w:sz w:val="20"/>
                <w:szCs w:val="20"/>
                <w:color w:val="auto"/>
              </w:rPr>
            </w:pPr>
          </w:p>
        </w:tc>
      </w:tr>
      <w:tr>
        <w:trPr>
          <w:trHeight w:val="41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Wilson</w:t>
            </w: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Aviva plc – Former Chief Executive Officer; AIA Group Ltd</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34"/>
        </w:trPr>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Former President and Chief Executive Officer</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1680" w:type="dxa"/>
            <w:vAlign w:val="bottom"/>
          </w:tcPr>
          <w:p>
            <w:pPr>
              <w:spacing w:after="0"/>
              <w:rPr>
                <w:sz w:val="20"/>
                <w:szCs w:val="20"/>
                <w:color w:val="auto"/>
              </w:rPr>
            </w:pPr>
          </w:p>
        </w:tc>
      </w:tr>
    </w:tbl>
    <w:p>
      <w:pPr>
        <w:sectPr>
          <w:pgSz w:w="11900" w:h="16904" w:orient="portrait"/>
          <w:cols w:equalWidth="0" w:num="1">
            <w:col w:w="11240"/>
          </w:cols>
          <w:pgMar w:left="320" w:top="900" w:right="339" w:bottom="0" w:gutter="0" w:footer="0" w:header="0"/>
        </w:sectPr>
      </w:pPr>
    </w:p>
    <w:bookmarkStart w:id="7" w:name="page8"/>
    <w:bookmarkEnd w:id="7"/>
    <w:p>
      <w:pPr>
        <w:ind w:left="5540"/>
        <w:spacing w:after="0"/>
        <w:rPr>
          <w:sz w:val="20"/>
          <w:szCs w:val="20"/>
          <w:color w:val="auto"/>
        </w:rPr>
      </w:pPr>
      <w:r>
        <w:rPr>
          <w:rFonts w:ascii="Times New Roman" w:cs="Times New Roman" w:eastAsia="Times New Roman" w:hAnsi="Times New Roman"/>
          <w:sz w:val="17"/>
          <w:szCs w:val="17"/>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36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Annex B</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6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Transactions in the Class A Common Stock during the Past Sixty (60) Days ended September 12, 2025</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0"/>
        </w:trPr>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24"/>
                <w:szCs w:val="24"/>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22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22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222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22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Life Limited</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220" w:type="dxa"/>
            <w:vAlign w:val="bottom"/>
            <w:gridSpan w:val="3"/>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22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657"/>
        </w:trPr>
        <w:tc>
          <w:tcPr>
            <w:tcW w:w="4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Transactions in the Class C Common Stock during the Past Sixty (60) Days ended September 12, 2025</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24"/>
                <w:szCs w:val="24"/>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SpiderRock Advisors,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SpiderRock Advisors,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7/31/2025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Clearway Energy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Institutional Trust Company, National Association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684"/>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Financial Management, Inc.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30.1703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29.3389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8/14/2025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Clearway Energy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SpiderRock Advisors,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Asset Management Ireland Limited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10"/>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8/20/2025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Fund Managers Ltd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Life Limited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29.709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29.709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8/26/2025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684"/>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Life Limited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Asset Management Ireland Limited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9/4/2025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9/5/2025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9/8/2025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702"/>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9/9/2025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9/10/2025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28.7367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(Luxembourg) S.A.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28.783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9/11/2025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Investment Management (UK) Limited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28.7008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684"/>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Trade Price</w:t>
            </w:r>
          </w:p>
        </w:tc>
        <w:tc>
          <w:tcPr>
            <w:tcW w:w="1120" w:type="dxa"/>
            <w:vAlign w:val="bottom"/>
          </w:tcPr>
          <w:p>
            <w:pPr>
              <w:spacing w:after="0"/>
              <w:rPr>
                <w:sz w:val="18"/>
                <w:szCs w:val="18"/>
                <w:color w:val="auto"/>
              </w:rPr>
            </w:pP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Legal Entity</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Buy/Sell</w:t>
            </w: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Buy</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Aperio Group LLC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9/12/2025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Sell</w:t>
            </w:r>
          </w:p>
        </w:tc>
      </w:tr>
    </w:tbl>
    <w:p>
      <w:pPr>
        <w:spacing w:after="0" w:line="198" w:lineRule="exact"/>
        <w:rPr>
          <w:sz w:val="20"/>
          <w:szCs w:val="20"/>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restricted stock of the Issuer previously granted by Clearway Energy Group LLC under its Long Term Equity Incentive Program forfeited by certain of its employees due to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2025-09-16T15:45:39Z</dcterms:created>
  <dcterms:modified xsi:type="dcterms:W3CDTF">2025-09-16T15:45:39Z</dcterms:modified>
</cp:coreProperties>
</file>