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550545</wp:posOffset>
            </wp:positionH>
            <wp:positionV relativeFrom="page">
              <wp:posOffset>445770</wp:posOffset>
            </wp:positionV>
            <wp:extent cx="644779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47790" cy="6985"/>
                    </a:xfrm>
                    <a:prstGeom prst="rect">
                      <a:avLst/>
                    </a:prstGeom>
                    <a:noFill/>
                  </pic:spPr>
                </pic:pic>
              </a:graphicData>
            </a:graphic>
          </wp:anchor>
        </w:drawing>
        <w:drawing>
          <wp:anchor simplePos="0" relativeHeight="251657728" behindDoc="1" locked="0" layoutInCell="0" allowOverlap="1">
            <wp:simplePos x="0" y="0"/>
            <wp:positionH relativeFrom="page">
              <wp:posOffset>550545</wp:posOffset>
            </wp:positionH>
            <wp:positionV relativeFrom="page">
              <wp:posOffset>412115</wp:posOffset>
            </wp:positionV>
            <wp:extent cx="644779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7790" cy="13335"/>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jc w:val="center"/>
        <w:ind w:right="-19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69" w:lineRule="exact"/>
        <w:rPr>
          <w:sz w:val="24"/>
          <w:szCs w:val="24"/>
          <w:color w:val="auto"/>
        </w:rPr>
      </w:pPr>
    </w:p>
    <w:p>
      <w:pPr>
        <w:ind w:left="500" w:hanging="278"/>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ANNUAL REPORT PURSUANT TO SECTION 13 OR 15(d) OF THE SECURITIES EXCHANGE ACT OF 1934</w:t>
      </w:r>
    </w:p>
    <w:p>
      <w:pPr>
        <w:spacing w:after="0" w:line="14" w:lineRule="exact"/>
        <w:rPr>
          <w:sz w:val="24"/>
          <w:szCs w:val="24"/>
          <w:color w:val="auto"/>
        </w:rPr>
      </w:pPr>
    </w:p>
    <w:p>
      <w:pPr>
        <w:ind w:left="500"/>
        <w:spacing w:after="0"/>
        <w:tabs>
          <w:tab w:leader="none" w:pos="2140" w:val="left"/>
        </w:tabs>
        <w:rPr>
          <w:sz w:val="20"/>
          <w:szCs w:val="20"/>
          <w:color w:val="auto"/>
        </w:rPr>
      </w:pPr>
      <w:r>
        <w:rPr>
          <w:rFonts w:ascii="Times New Roman" w:cs="Times New Roman" w:eastAsia="Times New Roman" w:hAnsi="Times New Roman"/>
          <w:sz w:val="12"/>
          <w:szCs w:val="12"/>
          <w:b w:val="1"/>
          <w:bCs w:val="1"/>
          <w:color w:val="auto"/>
        </w:rPr>
        <w:t>For the Fiscal Year ended</w:t>
      </w:r>
      <w:r>
        <w:rPr>
          <w:sz w:val="20"/>
          <w:szCs w:val="20"/>
          <w:color w:val="auto"/>
        </w:rPr>
        <w:tab/>
      </w:r>
      <w:r>
        <w:rPr>
          <w:rFonts w:ascii="Times New Roman" w:cs="Times New Roman" w:eastAsia="Times New Roman" w:hAnsi="Times New Roman"/>
          <w:sz w:val="11"/>
          <w:szCs w:val="11"/>
          <w:b w:val="1"/>
          <w:bCs w:val="1"/>
          <w:color w:val="auto"/>
        </w:rPr>
        <w:t>December 31, 2022</w:t>
      </w:r>
    </w:p>
    <w:p>
      <w:pPr>
        <w:spacing w:after="0" w:line="43" w:lineRule="exact"/>
        <w:rPr>
          <w:sz w:val="24"/>
          <w:szCs w:val="24"/>
          <w:color w:val="auto"/>
        </w:rPr>
      </w:pPr>
    </w:p>
    <w:p>
      <w:pPr>
        <w:ind w:left="500" w:hanging="278"/>
        <w:spacing w:after="0"/>
        <w:tabs>
          <w:tab w:leader="none" w:pos="5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tbl>
      <w:tblPr>
        <w:tblLayout w:type="fixed"/>
        <w:tblInd w:w="200" w:type="dxa"/>
        <w:tblCellMar>
          <w:top w:w="0" w:type="dxa"/>
          <w:left w:w="0" w:type="dxa"/>
          <w:bottom w:w="0" w:type="dxa"/>
          <w:right w:w="0" w:type="dxa"/>
        </w:tblCellMar>
      </w:tblPr>
      <w:tr>
        <w:trPr>
          <w:trHeight w:val="167"/>
        </w:trPr>
        <w:tc>
          <w:tcPr>
            <w:tcW w:w="23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14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w:t>
            </w:r>
          </w:p>
        </w:tc>
        <w:tc>
          <w:tcPr>
            <w:tcW w:w="1560" w:type="dxa"/>
            <w:vAlign w:val="bottom"/>
          </w:tcPr>
          <w:p>
            <w:pPr>
              <w:jc w:val="right"/>
              <w:ind w:right="1302"/>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200"/>
        </w:trPr>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20" w:type="dxa"/>
            <w:vAlign w:val="bottom"/>
            <w:gridSpan w:val="4"/>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Commission File Number: 001-36002</w:t>
            </w:r>
          </w:p>
        </w:tc>
        <w:tc>
          <w:tcPr>
            <w:tcW w:w="4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13"/>
        </w:trPr>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920" w:type="dxa"/>
            <w:vAlign w:val="bottom"/>
            <w:gridSpan w:val="4"/>
          </w:tcPr>
          <w:p>
            <w:pPr>
              <w:jc w:val="center"/>
              <w:ind w:left="562"/>
              <w:spacing w:after="0"/>
              <w:rPr>
                <w:sz w:val="20"/>
                <w:szCs w:val="20"/>
                <w:color w:val="auto"/>
              </w:rPr>
            </w:pPr>
            <w:r>
              <w:rPr>
                <w:rFonts w:ascii="Times New Roman" w:cs="Times New Roman" w:eastAsia="Times New Roman" w:hAnsi="Times New Roman"/>
                <w:sz w:val="31"/>
                <w:szCs w:val="31"/>
                <w:b w:val="1"/>
                <w:bCs w:val="1"/>
                <w:color w:val="auto"/>
                <w:w w:val="99"/>
              </w:rPr>
              <w:t>Clearway Energy, Inc.</w:t>
            </w:r>
          </w:p>
        </w:tc>
        <w:tc>
          <w:tcPr>
            <w:tcW w:w="4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13"/>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920" w:type="dxa"/>
            <w:vAlign w:val="bottom"/>
            <w:gridSpan w:val="4"/>
          </w:tcPr>
          <w:p>
            <w:pPr>
              <w:jc w:val="center"/>
              <w:ind w:left="562"/>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1420" w:type="dxa"/>
            <w:vAlign w:val="bottom"/>
          </w:tcPr>
          <w:p>
            <w:pPr>
              <w:spacing w:after="0"/>
              <w:rPr>
                <w:sz w:val="17"/>
                <w:szCs w:val="17"/>
                <w:color w:val="auto"/>
              </w:rPr>
            </w:pPr>
          </w:p>
        </w:tc>
        <w:tc>
          <w:tcPr>
            <w:tcW w:w="92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60" w:type="dxa"/>
            <w:vAlign w:val="bottom"/>
            <w:gridSpan w:val="2"/>
          </w:tcPr>
          <w:p>
            <w:pPr>
              <w:jc w:val="right"/>
              <w:ind w:right="1109"/>
              <w:spacing w:after="0"/>
              <w:rPr>
                <w:sz w:val="20"/>
                <w:szCs w:val="20"/>
                <w:color w:val="auto"/>
              </w:rPr>
            </w:pPr>
            <w:r>
              <w:rPr>
                <w:rFonts w:ascii="Times New Roman" w:cs="Times New Roman" w:eastAsia="Times New Roman" w:hAnsi="Times New Roman"/>
                <w:sz w:val="14"/>
                <w:szCs w:val="14"/>
                <w:b w:val="1"/>
                <w:bCs w:val="1"/>
                <w:color w:val="auto"/>
              </w:rPr>
              <w:t>46-1777204</w:t>
            </w:r>
          </w:p>
        </w:tc>
      </w:tr>
      <w:tr>
        <w:trPr>
          <w:trHeight w:val="144"/>
        </w:trPr>
        <w:tc>
          <w:tcPr>
            <w:tcW w:w="3260" w:type="dxa"/>
            <w:vAlign w:val="bottom"/>
            <w:gridSpan w:val="4"/>
          </w:tcPr>
          <w:p>
            <w:pPr>
              <w:jc w:val="center"/>
              <w:ind w:left="572"/>
              <w:spacing w:after="0" w:line="144" w:lineRule="exact"/>
              <w:rPr>
                <w:sz w:val="20"/>
                <w:szCs w:val="20"/>
                <w:color w:val="auto"/>
              </w:rPr>
            </w:pPr>
            <w:r>
              <w:rPr>
                <w:rFonts w:ascii="Times New Roman" w:cs="Times New Roman" w:eastAsia="Times New Roman" w:hAnsi="Times New Roman"/>
                <w:sz w:val="14"/>
                <w:szCs w:val="14"/>
                <w:i w:val="1"/>
                <w:iCs w:val="1"/>
                <w:color w:val="auto"/>
              </w:rPr>
              <w:t>(State or other jurisdiction</w:t>
            </w:r>
          </w:p>
        </w:tc>
        <w:tc>
          <w:tcPr>
            <w:tcW w:w="1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20" w:type="dxa"/>
            <w:vAlign w:val="bottom"/>
          </w:tcPr>
          <w:p>
            <w:pPr>
              <w:jc w:val="center"/>
              <w:ind w:right="369"/>
              <w:spacing w:after="0" w:line="144" w:lineRule="exact"/>
              <w:rPr>
                <w:sz w:val="20"/>
                <w:szCs w:val="20"/>
                <w:color w:val="auto"/>
              </w:rPr>
            </w:pPr>
            <w:r>
              <w:rPr>
                <w:rFonts w:ascii="Times New Roman" w:cs="Times New Roman" w:eastAsia="Times New Roman" w:hAnsi="Times New Roman"/>
                <w:sz w:val="14"/>
                <w:szCs w:val="14"/>
                <w:i w:val="1"/>
                <w:iCs w:val="1"/>
                <w:color w:val="auto"/>
              </w:rPr>
              <w:t>(I.R.S. Employer</w:t>
            </w:r>
          </w:p>
        </w:tc>
      </w:tr>
      <w:tr>
        <w:trPr>
          <w:trHeight w:val="186"/>
        </w:trPr>
        <w:tc>
          <w:tcPr>
            <w:tcW w:w="3260" w:type="dxa"/>
            <w:vAlign w:val="bottom"/>
            <w:gridSpan w:val="4"/>
          </w:tcPr>
          <w:p>
            <w:pPr>
              <w:jc w:val="center"/>
              <w:ind w:left="572"/>
              <w:spacing w:after="0"/>
              <w:rPr>
                <w:sz w:val="20"/>
                <w:szCs w:val="20"/>
                <w:color w:val="auto"/>
              </w:rPr>
            </w:pPr>
            <w:r>
              <w:rPr>
                <w:rFonts w:ascii="Times New Roman" w:cs="Times New Roman" w:eastAsia="Times New Roman" w:hAnsi="Times New Roman"/>
                <w:sz w:val="14"/>
                <w:szCs w:val="14"/>
                <w:i w:val="1"/>
                <w:iCs w:val="1"/>
                <w:color w:val="auto"/>
              </w:rPr>
              <w:t>of incorporation or organization)</w:t>
            </w: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20" w:type="dxa"/>
            <w:vAlign w:val="bottom"/>
          </w:tcPr>
          <w:p>
            <w:pPr>
              <w:jc w:val="center"/>
              <w:ind w:right="349"/>
              <w:spacing w:after="0"/>
              <w:rPr>
                <w:sz w:val="20"/>
                <w:szCs w:val="20"/>
                <w:color w:val="auto"/>
              </w:rPr>
            </w:pPr>
            <w:r>
              <w:rPr>
                <w:rFonts w:ascii="Times New Roman" w:cs="Times New Roman" w:eastAsia="Times New Roman" w:hAnsi="Times New Roman"/>
                <w:sz w:val="14"/>
                <w:szCs w:val="14"/>
                <w:i w:val="1"/>
                <w:iCs w:val="1"/>
                <w:color w:val="auto"/>
              </w:rPr>
              <w:t>Identification No.)</w:t>
            </w:r>
          </w:p>
        </w:tc>
      </w:tr>
      <w:tr>
        <w:trPr>
          <w:trHeight w:val="222"/>
        </w:trPr>
        <w:tc>
          <w:tcPr>
            <w:tcW w:w="3260" w:type="dxa"/>
            <w:vAlign w:val="bottom"/>
            <w:gridSpan w:val="4"/>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300 Carnegie Center, Suite 300</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Princeton</w:t>
            </w:r>
          </w:p>
        </w:tc>
        <w:tc>
          <w:tcPr>
            <w:tcW w:w="60" w:type="dxa"/>
            <w:vAlign w:val="bottom"/>
          </w:tcPr>
          <w:p>
            <w:pPr>
              <w:spacing w:after="0"/>
              <w:rPr>
                <w:sz w:val="19"/>
                <w:szCs w:val="19"/>
                <w:color w:val="auto"/>
              </w:rPr>
            </w:pPr>
          </w:p>
        </w:tc>
        <w:tc>
          <w:tcPr>
            <w:tcW w:w="23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New Jersey</w:t>
            </w:r>
          </w:p>
        </w:tc>
        <w:tc>
          <w:tcPr>
            <w:tcW w:w="3060" w:type="dxa"/>
            <w:vAlign w:val="bottom"/>
            <w:gridSpan w:val="2"/>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08540</w:t>
            </w:r>
          </w:p>
        </w:tc>
      </w:tr>
      <w:tr>
        <w:trPr>
          <w:trHeight w:val="186"/>
        </w:trPr>
        <w:tc>
          <w:tcPr>
            <w:tcW w:w="1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80" w:type="dxa"/>
            <w:vAlign w:val="bottom"/>
            <w:gridSpan w:val="3"/>
          </w:tcPr>
          <w:p>
            <w:pPr>
              <w:jc w:val="right"/>
              <w:ind w:right="102"/>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20" w:type="dxa"/>
            <w:vAlign w:val="bottom"/>
          </w:tcPr>
          <w:p>
            <w:pPr>
              <w:jc w:val="center"/>
              <w:ind w:right="369"/>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213"/>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(609) 608-1525</w:t>
            </w: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49"/>
        </w:trPr>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920" w:type="dxa"/>
            <w:vAlign w:val="bottom"/>
            <w:gridSpan w:val="4"/>
          </w:tcPr>
          <w:p>
            <w:pPr>
              <w:jc w:val="center"/>
              <w:ind w:left="382"/>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440" w:type="dxa"/>
            <w:vAlign w:val="bottom"/>
          </w:tcPr>
          <w:p>
            <w:pPr>
              <w:spacing w:after="0"/>
              <w:rPr>
                <w:sz w:val="12"/>
                <w:szCs w:val="12"/>
                <w:color w:val="auto"/>
              </w:rPr>
            </w:pPr>
          </w:p>
        </w:tc>
        <w:tc>
          <w:tcPr>
            <w:tcW w:w="2620" w:type="dxa"/>
            <w:vAlign w:val="bottom"/>
          </w:tcPr>
          <w:p>
            <w:pPr>
              <w:spacing w:after="0"/>
              <w:rPr>
                <w:sz w:val="12"/>
                <w:szCs w:val="12"/>
                <w:color w:val="auto"/>
              </w:rPr>
            </w:pPr>
          </w:p>
        </w:tc>
      </w:tr>
      <w:tr>
        <w:trPr>
          <w:trHeight w:val="165"/>
        </w:trPr>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920" w:type="dxa"/>
            <w:vAlign w:val="bottom"/>
            <w:gridSpan w:val="4"/>
          </w:tcPr>
          <w:p>
            <w:pPr>
              <w:jc w:val="center"/>
              <w:ind w:left="382"/>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44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74"/>
        </w:trPr>
        <w:tc>
          <w:tcPr>
            <w:tcW w:w="1420" w:type="dxa"/>
            <w:vAlign w:val="bottom"/>
          </w:tcPr>
          <w:p>
            <w:pPr>
              <w:spacing w:after="0"/>
              <w:rPr>
                <w:sz w:val="15"/>
                <w:szCs w:val="15"/>
                <w:color w:val="auto"/>
              </w:rPr>
            </w:pPr>
          </w:p>
        </w:tc>
        <w:tc>
          <w:tcPr>
            <w:tcW w:w="1840" w:type="dxa"/>
            <w:vAlign w:val="bottom"/>
            <w:gridSpan w:val="3"/>
          </w:tcPr>
          <w:p>
            <w:pPr>
              <w:jc w:val="center"/>
              <w:ind w:right="71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60" w:type="dxa"/>
            <w:vAlign w:val="bottom"/>
          </w:tcPr>
          <w:p>
            <w:pPr>
              <w:spacing w:after="0"/>
              <w:rPr>
                <w:sz w:val="15"/>
                <w:szCs w:val="15"/>
                <w:color w:val="auto"/>
              </w:rPr>
            </w:pPr>
          </w:p>
        </w:tc>
        <w:tc>
          <w:tcPr>
            <w:tcW w:w="236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060" w:type="dxa"/>
            <w:vAlign w:val="bottom"/>
            <w:gridSpan w:val="2"/>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188"/>
        </w:trPr>
        <w:tc>
          <w:tcPr>
            <w:tcW w:w="3260" w:type="dxa"/>
            <w:vAlign w:val="bottom"/>
            <w:gridSpan w:val="4"/>
          </w:tcPr>
          <w:p>
            <w:pPr>
              <w:jc w:val="center"/>
              <w:ind w:left="592"/>
              <w:spacing w:after="0"/>
              <w:rPr>
                <w:sz w:val="20"/>
                <w:szCs w:val="20"/>
                <w:color w:val="auto"/>
              </w:rPr>
            </w:pPr>
            <w:r>
              <w:rPr>
                <w:rFonts w:ascii="Times New Roman" w:cs="Times New Roman" w:eastAsia="Times New Roman" w:hAnsi="Times New Roman"/>
                <w:sz w:val="14"/>
                <w:szCs w:val="14"/>
                <w:color w:val="auto"/>
              </w:rPr>
              <w:t>Class A Common Stock, par value $0.01</w:t>
            </w: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color w:val="auto"/>
              </w:rPr>
              <w:t>CWEN.A</w:t>
            </w:r>
          </w:p>
        </w:tc>
        <w:tc>
          <w:tcPr>
            <w:tcW w:w="4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184"/>
        </w:trPr>
        <w:tc>
          <w:tcPr>
            <w:tcW w:w="3260" w:type="dxa"/>
            <w:vAlign w:val="bottom"/>
            <w:gridSpan w:val="4"/>
          </w:tcPr>
          <w:p>
            <w:pPr>
              <w:jc w:val="center"/>
              <w:ind w:left="572"/>
              <w:spacing w:after="0"/>
              <w:rPr>
                <w:sz w:val="20"/>
                <w:szCs w:val="20"/>
                <w:color w:val="auto"/>
              </w:rPr>
            </w:pPr>
            <w:r>
              <w:rPr>
                <w:rFonts w:ascii="Times New Roman" w:cs="Times New Roman" w:eastAsia="Times New Roman" w:hAnsi="Times New Roman"/>
                <w:sz w:val="14"/>
                <w:szCs w:val="14"/>
                <w:color w:val="auto"/>
              </w:rPr>
              <w:t>Class C Common Stock, par value $0.01</w:t>
            </w:r>
          </w:p>
        </w:tc>
        <w:tc>
          <w:tcPr>
            <w:tcW w:w="1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0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color w:val="auto"/>
                <w:w w:val="96"/>
              </w:rPr>
              <w:t>CWEN</w:t>
            </w:r>
          </w:p>
        </w:tc>
        <w:tc>
          <w:tcPr>
            <w:tcW w:w="440" w:type="dxa"/>
            <w:vAlign w:val="bottom"/>
          </w:tcPr>
          <w:p>
            <w:pPr>
              <w:spacing w:after="0"/>
              <w:rPr>
                <w:sz w:val="16"/>
                <w:szCs w:val="16"/>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r>
      <w:tr>
        <w:trPr>
          <w:trHeight w:val="211"/>
        </w:trPr>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920" w:type="dxa"/>
            <w:vAlign w:val="bottom"/>
            <w:gridSpan w:val="4"/>
          </w:tcPr>
          <w:p>
            <w:pPr>
              <w:ind w:left="80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12(g) of the Act:</w:t>
            </w:r>
          </w:p>
        </w:tc>
        <w:tc>
          <w:tcPr>
            <w:tcW w:w="44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30"/>
        </w:trPr>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300" w:type="dxa"/>
            <w:vAlign w:val="bottom"/>
            <w:gridSpan w:val="2"/>
          </w:tcPr>
          <w:p>
            <w:pPr>
              <w:jc w:val="center"/>
              <w:ind w:right="980"/>
              <w:spacing w:after="0" w:line="130" w:lineRule="exact"/>
              <w:rPr>
                <w:sz w:val="20"/>
                <w:szCs w:val="20"/>
                <w:color w:val="auto"/>
              </w:rPr>
            </w:pPr>
            <w:r>
              <w:rPr>
                <w:rFonts w:ascii="Times New Roman" w:cs="Times New Roman" w:eastAsia="Times New Roman" w:hAnsi="Times New Roman"/>
                <w:sz w:val="13"/>
                <w:szCs w:val="13"/>
                <w:b w:val="1"/>
                <w:bCs w:val="1"/>
                <w:color w:val="auto"/>
                <w:w w:val="96"/>
              </w:rPr>
              <w:t>None</w:t>
            </w:r>
          </w:p>
        </w:tc>
        <w:tc>
          <w:tcPr>
            <w:tcW w:w="44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91"/>
        </w:trPr>
        <w:tc>
          <w:tcPr>
            <w:tcW w:w="7180" w:type="dxa"/>
            <w:vAlign w:val="bottom"/>
            <w:gridSpan w:val="8"/>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4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200"/>
        </w:trPr>
        <w:tc>
          <w:tcPr>
            <w:tcW w:w="7180" w:type="dxa"/>
            <w:vAlign w:val="bottom"/>
            <w:gridSpan w:val="8"/>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w w:val="99"/>
              </w:rPr>
              <w:t>☐</w:t>
            </w:r>
          </w:p>
        </w:tc>
        <w:tc>
          <w:tcPr>
            <w:tcW w:w="306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spacing w:after="0" w:line="22"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w:t>
      </w:r>
    </w:p>
    <w:p>
      <w:pPr>
        <w:spacing w:after="0" w:line="20" w:lineRule="exact"/>
        <w:rPr>
          <w:sz w:val="24"/>
          <w:szCs w:val="24"/>
          <w:color w:val="auto"/>
        </w:rPr>
      </w:pPr>
    </w:p>
    <w:p>
      <w:pPr>
        <w:spacing w:after="0" w:line="150" w:lineRule="exact"/>
        <w:tabs>
          <w:tab w:leader="none" w:pos="6620" w:val="left"/>
          <w:tab w:leader="none" w:pos="7180" w:val="left"/>
        </w:tabs>
        <w:rPr>
          <w:sz w:val="20"/>
          <w:szCs w:val="20"/>
          <w:color w:val="auto"/>
        </w:rPr>
      </w:pPr>
      <w:r>
        <w:rPr>
          <w:rFonts w:ascii="Times New Roman" w:cs="Times New Roman" w:eastAsia="Times New Roman" w:hAnsi="Times New Roman"/>
          <w:sz w:val="13"/>
          <w:szCs w:val="13"/>
          <w:color w:val="auto"/>
        </w:rPr>
        <w:t>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MS PGothic" w:cs="MS PGothic" w:eastAsia="MS PGothic" w:hAnsi="MS PGothic"/>
          <w:sz w:val="12"/>
          <w:szCs w:val="12"/>
          <w:color w:val="auto"/>
        </w:rPr>
        <w:t>☐</w:t>
      </w:r>
    </w:p>
    <w:p>
      <w:pPr>
        <w:spacing w:after="0" w:line="43"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(§232.405 of this chapter) during the preceding</w:t>
      </w:r>
    </w:p>
    <w:p>
      <w:pPr>
        <w:spacing w:after="0" w:line="20" w:lineRule="exact"/>
        <w:rPr>
          <w:sz w:val="24"/>
          <w:szCs w:val="24"/>
          <w:color w:val="auto"/>
        </w:rPr>
      </w:pPr>
    </w:p>
    <w:p>
      <w:pPr>
        <w:spacing w:after="0" w:line="150" w:lineRule="exact"/>
        <w:tabs>
          <w:tab w:leader="none" w:pos="5480" w:val="left"/>
          <w:tab w:leader="none" w:pos="6020" w:val="left"/>
        </w:tabs>
        <w:rPr>
          <w:sz w:val="20"/>
          <w:szCs w:val="20"/>
          <w:color w:val="auto"/>
        </w:rPr>
      </w:pPr>
      <w:r>
        <w:rPr>
          <w:rFonts w:ascii="Times New Roman" w:cs="Times New Roman" w:eastAsia="Times New Roman" w:hAnsi="Times New Roman"/>
          <w:sz w:val="13"/>
          <w:szCs w:val="13"/>
          <w:color w:val="auto"/>
        </w:rPr>
        <w:t>12 months (or for such shorter period that the registrant was required to submit such files).</w:t>
      </w:r>
      <w:r>
        <w:rPr>
          <w:sz w:val="20"/>
          <w:szCs w:val="20"/>
          <w:color w:val="auto"/>
        </w:rPr>
        <w:tab/>
      </w: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b w:val="1"/>
          <w:bCs w:val="1"/>
          <w:color w:val="auto"/>
        </w:rPr>
        <w:t xml:space="preserve">No </w:t>
      </w:r>
      <w:r>
        <w:rPr>
          <w:rFonts w:ascii="MS PGothic" w:cs="MS PGothic" w:eastAsia="MS PGothic" w:hAnsi="MS PGothic"/>
          <w:sz w:val="12"/>
          <w:szCs w:val="12"/>
          <w:color w:val="auto"/>
        </w:rPr>
        <w:t>☐</w:t>
      </w:r>
    </w:p>
    <w:p>
      <w:pPr>
        <w:spacing w:after="0" w:line="22" w:lineRule="exact"/>
        <w:rPr>
          <w:sz w:val="24"/>
          <w:szCs w:val="24"/>
          <w:color w:val="auto"/>
        </w:rPr>
      </w:pPr>
    </w:p>
    <w:p>
      <w:pPr>
        <w:ind w:firstLine="191"/>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520" w:type="dxa"/>
        <w:tblCellMar>
          <w:top w:w="0" w:type="dxa"/>
          <w:left w:w="0" w:type="dxa"/>
          <w:bottom w:w="0" w:type="dxa"/>
          <w:right w:w="0" w:type="dxa"/>
        </w:tblCellMar>
      </w:tblPr>
      <w:tr>
        <w:trPr>
          <w:trHeight w:val="181"/>
        </w:trPr>
        <w:tc>
          <w:tcPr>
            <w:tcW w:w="202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rPr>
              <w:t>Large accelerated filer</w:t>
            </w:r>
          </w:p>
        </w:tc>
        <w:tc>
          <w:tcPr>
            <w:tcW w:w="14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020" w:type="dxa"/>
            <w:vAlign w:val="bottom"/>
          </w:tcPr>
          <w:p>
            <w:pPr>
              <w:jc w:val="center"/>
              <w:ind w:right="689"/>
              <w:spacing w:after="0"/>
              <w:rPr>
                <w:sz w:val="20"/>
                <w:szCs w:val="20"/>
                <w:color w:val="auto"/>
              </w:rPr>
            </w:pPr>
            <w:r>
              <w:rPr>
                <w:rFonts w:ascii="Times New Roman" w:cs="Times New Roman" w:eastAsia="Times New Roman" w:hAnsi="Times New Roman"/>
                <w:sz w:val="14"/>
                <w:szCs w:val="14"/>
                <w:color w:val="auto"/>
                <w:w w:val="99"/>
              </w:rPr>
              <w:t>Non-accelerated filer</w:t>
            </w:r>
          </w:p>
        </w:tc>
        <w:tc>
          <w:tcPr>
            <w:tcW w:w="14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960" w:type="dxa"/>
            <w:vAlign w:val="bottom"/>
          </w:tcPr>
          <w:p>
            <w:pPr>
              <w:ind w:left="8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3" w:lineRule="exact"/>
        <w:rPr>
          <w:sz w:val="24"/>
          <w:szCs w:val="24"/>
          <w:color w:val="auto"/>
        </w:rPr>
      </w:pPr>
    </w:p>
    <w:p>
      <w:pPr>
        <w:ind w:firstLine="191"/>
        <w:spacing w:after="0" w:line="148"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ind w:left="200"/>
        <w:spacing w:after="0" w:line="127" w:lineRule="exact"/>
        <w:tabs>
          <w:tab w:leader="none" w:pos="4940" w:val="left"/>
          <w:tab w:leader="none" w:pos="536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Act).</w:t>
        <w:tab/>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Wingdings" w:cs="Wingdings" w:eastAsia="Wingdings" w:hAnsi="Wingdings"/>
          <w:sz w:val="11"/>
          <w:szCs w:val="11"/>
          <w:b w:val="1"/>
          <w:bCs w:val="1"/>
          <w:color w:val="auto"/>
        </w:rPr>
        <w:t>x</w:t>
      </w:r>
    </w:p>
    <w:p>
      <w:pPr>
        <w:spacing w:after="0" w:line="35" w:lineRule="exact"/>
        <w:rPr>
          <w:sz w:val="24"/>
          <w:szCs w:val="24"/>
          <w:color w:val="auto"/>
        </w:rPr>
      </w:pPr>
    </w:p>
    <w:p>
      <w:pPr>
        <w:ind w:firstLine="191"/>
        <w:spacing w:after="0" w:line="312"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x</w:t>
      </w:r>
    </w:p>
    <w:p>
      <w:pPr>
        <w:ind w:firstLine="191"/>
        <w:spacing w:after="0" w:line="300" w:lineRule="auto"/>
        <w:rPr>
          <w:sz w:val="20"/>
          <w:szCs w:val="20"/>
          <w:color w:val="auto"/>
        </w:rPr>
      </w:pPr>
      <w:r>
        <w:rPr>
          <w:rFonts w:ascii="Times New Roman" w:cs="Times New Roman" w:eastAsia="Times New Roman" w:hAnsi="Times New Roman"/>
          <w:sz w:val="11"/>
          <w:szCs w:val="11"/>
          <w:color w:val="auto"/>
        </w:rPr>
        <w:t>As of the last business day of the most recently completed second fiscal quarter, the aggregate market value of the common stock of the registrant held by non-affiliates was approximately $2.94 billion based on the closing sale prices of such shares as reported on the New York Stock Exchange.</w:t>
      </w:r>
    </w:p>
    <w:p>
      <w:pPr>
        <w:spacing w:after="0" w:line="2" w:lineRule="exact"/>
        <w:rPr>
          <w:sz w:val="24"/>
          <w:szCs w:val="24"/>
          <w:color w:val="auto"/>
        </w:rPr>
      </w:pPr>
    </w:p>
    <w:tbl>
      <w:tblPr>
        <w:tblLayout w:type="fixed"/>
        <w:tblInd w:w="200" w:type="dxa"/>
        <w:tblCellMar>
          <w:top w:w="0" w:type="dxa"/>
          <w:left w:w="0" w:type="dxa"/>
          <w:bottom w:w="0" w:type="dxa"/>
          <w:right w:w="0" w:type="dxa"/>
        </w:tblCellMar>
      </w:tblPr>
      <w:tr>
        <w:trPr>
          <w:trHeight w:val="147"/>
        </w:trPr>
        <w:tc>
          <w:tcPr>
            <w:tcW w:w="6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the number of shares outstanding of each of the registrant’s classes of common stock as of the latest practicable date.</w:t>
            </w:r>
          </w:p>
        </w:tc>
        <w:tc>
          <w:tcPr>
            <w:tcW w:w="1680" w:type="dxa"/>
            <w:vAlign w:val="bottom"/>
          </w:tcPr>
          <w:p>
            <w:pPr>
              <w:spacing w:after="0"/>
              <w:rPr>
                <w:sz w:val="12"/>
                <w:szCs w:val="12"/>
                <w:color w:val="auto"/>
              </w:rPr>
            </w:pPr>
          </w:p>
        </w:tc>
      </w:tr>
      <w:tr>
        <w:trPr>
          <w:trHeight w:val="146"/>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4"/>
              </w:rPr>
              <w:t>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Outstanding at January 31, 2023</w:t>
            </w:r>
          </w:p>
        </w:tc>
      </w:tr>
      <w:tr>
        <w:trPr>
          <w:trHeight w:val="20"/>
        </w:trPr>
        <w:tc>
          <w:tcPr>
            <w:tcW w:w="3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165"/>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A,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34,613,853</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B,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42,738,750</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C,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82,283,460</w:t>
            </w:r>
          </w:p>
        </w:tc>
      </w:tr>
      <w:tr>
        <w:trPr>
          <w:trHeight w:val="159"/>
        </w:trPr>
        <w:tc>
          <w:tcPr>
            <w:tcW w:w="6940" w:type="dxa"/>
            <w:vAlign w:val="bottom"/>
            <w:gridSpan w:val="3"/>
          </w:tcPr>
          <w:p>
            <w:pPr>
              <w:jc w:val="center"/>
              <w:ind w:left="20"/>
              <w:spacing w:after="0"/>
              <w:rPr>
                <w:sz w:val="20"/>
                <w:szCs w:val="20"/>
                <w:color w:val="auto"/>
              </w:rPr>
            </w:pPr>
            <w:r>
              <w:rPr>
                <w:rFonts w:ascii="Times New Roman" w:cs="Times New Roman" w:eastAsia="Times New Roman" w:hAnsi="Times New Roman"/>
                <w:sz w:val="12"/>
                <w:szCs w:val="12"/>
                <w:color w:val="auto"/>
              </w:rPr>
              <w:t>Common Stock, Class D, par value $0.01 per share</w:t>
            </w:r>
          </w:p>
        </w:tc>
        <w:tc>
          <w:tcPr>
            <w:tcW w:w="1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42,336,750</w:t>
            </w:r>
          </w:p>
        </w:tc>
      </w:tr>
    </w:tbl>
    <w:p>
      <w:pPr>
        <w:spacing w:after="0" w:line="6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2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Portions of the Registrant’s Definitive Proxy Statement relating to its 2023 Annual Meeting of Stockholders</w:t>
      </w:r>
    </w:p>
    <w:p>
      <w:pPr>
        <w:spacing w:after="0" w:line="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2"/>
          <w:szCs w:val="12"/>
          <w:b w:val="1"/>
          <w:bCs w:val="1"/>
          <w:color w:val="auto"/>
        </w:rPr>
        <w:t>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419100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41275</wp:posOffset>
            </wp:positionV>
            <wp:extent cx="644779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7790" cy="13335"/>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20955</wp:posOffset>
            </wp:positionV>
            <wp:extent cx="64477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7790" cy="698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10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9"/>
              </w:rPr>
              <w:t>Index</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GLOSSARY OF TERMS</w:t>
            </w:r>
          </w:p>
        </w:tc>
        <w:tc>
          <w:tcPr>
            <w:tcW w:w="140" w:type="dxa"/>
            <w:vAlign w:val="bottom"/>
            <w:gridSpan w:val="2"/>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 — Business</w:t>
            </w:r>
          </w:p>
        </w:tc>
        <w:tc>
          <w:tcPr>
            <w:tcW w:w="140" w:type="dxa"/>
            <w:vAlign w:val="bottom"/>
            <w:gridSpan w:val="2"/>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1A — Risk Factors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1B — Unresolved Staff Comments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2 — Properties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3 — Legal Proceedings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4 — Mine Safety Disclosures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5 — Market for Registrant’s Common Equity, Related Stockholder Matters and Issuer Purchases of Equity Securities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6 — Reserved</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 — Management’s Discussion and Analysis of Financial Condition and Results of Operations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7A — Quantitative and Qualitative Disclosures About Market Risk</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8 — Financial Statements and Supplementary Data</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 — Changes in and Disagreements with Accountants on Accounting and Financial Disclosure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9A — Controls and Procedures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9B — Other Information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10 — Information about Directors, Executive Officers and Corporate Governance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11 — Executive Compensation</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12 — Security Ownership of Certain Beneficial Owners and Management and Related Stockholder Matters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13 — Certain Relationships and Related Transactions, and Director Independence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14 — Principal Accounting Fees and Services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15 — Exhibits, Financial Statement Schedules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8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40" w:type="dxa"/>
            <w:vAlign w:val="bottom"/>
            <w:vMerge w:val="continue"/>
          </w:tcPr>
          <w:p>
            <w:pPr>
              <w:spacing w:after="0"/>
              <w:rPr>
                <w:sz w:val="13"/>
                <w:szCs w:val="13"/>
                <w:color w:val="auto"/>
              </w:rPr>
            </w:pPr>
          </w:p>
        </w:tc>
        <w:tc>
          <w:tcPr>
            <w:tcW w:w="2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95"/>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Item 16 — Form 10-K Summary</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0000FF"/>
                <w:w w:val="95"/>
              </w:rPr>
              <w:t>130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11040" w:type="dxa"/>
            <w:vAlign w:val="bottom"/>
          </w:tcPr>
          <w:p>
            <w:pPr>
              <w:spacing w:after="0"/>
              <w:rPr>
                <w:sz w:val="8"/>
                <w:szCs w:val="8"/>
                <w:color w:val="auto"/>
              </w:rPr>
            </w:pPr>
          </w:p>
        </w:tc>
        <w:tc>
          <w:tcPr>
            <w:tcW w:w="220" w:type="dxa"/>
            <w:vAlign w:val="bottom"/>
            <w:tcBorders>
              <w:bottom w:val="single" w:sz="8" w:color="0000FF"/>
            </w:tcBorders>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1"/>
        </w:trPr>
        <w:tc>
          <w:tcPr>
            <w:tcW w:w="1104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88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GLOSSARY OF TERMS</w:t>
            </w:r>
          </w:p>
        </w:tc>
      </w:tr>
      <w:tr>
        <w:trPr>
          <w:trHeight w:val="297"/>
        </w:trPr>
        <w:tc>
          <w:tcPr>
            <w:tcW w:w="112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r>
      <w:tr>
        <w:trPr>
          <w:trHeight w:val="202"/>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$600 million aggregate principal amount of 5.75% unsecured senior notes due 2025, issued by Clearway Energy Operating LLC, which were</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repaid in March 2021</w:t>
            </w: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2026 Senior Notes</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$350 million aggregate principal amount of 5.00% unsecured senior notes due 2026, issued by Clearway Energy Operating LLC, which were</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repaid in October 2021</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$850 million aggregate principal amount of 4.75% unsecured senior notes due 2028, issued by Clearway Energy Operating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$925 million aggregate principal amount of 3.75% unsecured senior notes due 2031, issued by Clearway Energy Operating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$350 million aggregate principal amount of 3.75% unsecured senior notes due 2032, issued by Clearway Energy Operating LLC</w:t>
            </w: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Adjusted EBITDA</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r>
      <w:tr>
        <w:trPr>
          <w:trHeight w:val="144"/>
        </w:trPr>
        <w:tc>
          <w:tcPr>
            <w:tcW w:w="2400" w:type="dxa"/>
            <w:vAlign w:val="bottom"/>
          </w:tcPr>
          <w:p>
            <w:pPr>
              <w:spacing w:after="0"/>
              <w:rPr>
                <w:sz w:val="12"/>
                <w:szCs w:val="12"/>
                <w:color w:val="auto"/>
              </w:rPr>
            </w:pP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r>
      <w:tr>
        <w:trPr>
          <w:trHeight w:val="180"/>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performance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ARO</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Asset Retirement Obligation</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 authoritative GAAP</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Accounting Standards Updates – updates to the ASC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At-The-Market Equity Offering Program</w:t>
            </w: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Bridge Loan Agreement</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Senior secured bridge credit agreement entered into by Clearway Energy Operating LLC that provides a term loan facility in an aggregate principal</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amount of $335 million that was repaid on May 3, 2022</w:t>
            </w: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CAFD</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December 31, 2022 as Adjusted EBITDA plus cash distributions/return of</w:t>
            </w:r>
          </w:p>
        </w:tc>
      </w:tr>
      <w:tr>
        <w:trPr>
          <w:trHeight w:val="144"/>
        </w:trPr>
        <w:tc>
          <w:tcPr>
            <w:tcW w:w="2400" w:type="dxa"/>
            <w:vAlign w:val="bottom"/>
          </w:tcPr>
          <w:p>
            <w:pPr>
              <w:spacing w:after="0"/>
              <w:rPr>
                <w:sz w:val="12"/>
                <w:szCs w:val="12"/>
                <w:color w:val="auto"/>
              </w:rPr>
            </w:pP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contributions from noncontrolling interests, adjustments to</w:t>
            </w:r>
          </w:p>
        </w:tc>
      </w:tr>
      <w:tr>
        <w:trPr>
          <w:trHeight w:val="142"/>
        </w:trPr>
        <w:tc>
          <w:tcPr>
            <w:tcW w:w="2400" w:type="dxa"/>
            <w:vAlign w:val="bottom"/>
          </w:tcPr>
          <w:p>
            <w:pPr>
              <w:spacing w:after="0"/>
              <w:rPr>
                <w:sz w:val="12"/>
                <w:szCs w:val="12"/>
                <w:color w:val="auto"/>
              </w:rPr>
            </w:pP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r>
      <w:tr>
        <w:trPr>
          <w:trHeight w:val="138"/>
        </w:trPr>
        <w:tc>
          <w:tcPr>
            <w:tcW w:w="2400" w:type="dxa"/>
            <w:vAlign w:val="bottom"/>
          </w:tcPr>
          <w:p>
            <w:pPr>
              <w:spacing w:after="0"/>
              <w:rPr>
                <w:sz w:val="11"/>
                <w:szCs w:val="11"/>
                <w:color w:val="auto"/>
              </w:rPr>
            </w:pPr>
          </w:p>
        </w:tc>
        <w:tc>
          <w:tcPr>
            <w:tcW w:w="8880" w:type="dxa"/>
            <w:vAlign w:val="bottom"/>
          </w:tcPr>
          <w:p>
            <w:pPr>
              <w:ind w:left="50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Capistrano Wind Portfolio</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Five wind projects representing 413 MW of capacity, which includes Broken Bow and Crofton Bluffs located in Nebraska, Cedro Hill located in</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Texas and Mountain Wind Power I and II located in Wyoming</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CARES Act</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Coronavirus Aid, Relief, and Economic Security Act</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Master Services Agreements entered into as of August 31, 2018 and amended on February 2, 2023 between the Company, Clearway Energy LLC</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and Clearway Energy Operating LLC, and CEG</w:t>
            </w: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CEG ROFO Agreement</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Right of First Offer Agreement, entered into as of August 31, 2018, by and between Clearway Energy Group LLC and Clearway Energy, Inc., and</w:t>
            </w:r>
          </w:p>
        </w:tc>
      </w:tr>
      <w:tr>
        <w:trPr>
          <w:trHeight w:val="144"/>
        </w:trPr>
        <w:tc>
          <w:tcPr>
            <w:tcW w:w="2400" w:type="dxa"/>
            <w:vAlign w:val="bottom"/>
          </w:tcPr>
          <w:p>
            <w:pPr>
              <w:spacing w:after="0"/>
              <w:rPr>
                <w:sz w:val="12"/>
                <w:szCs w:val="12"/>
                <w:color w:val="auto"/>
              </w:rPr>
            </w:pP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solely for purposes of Section 2.4, GIP III Zephyr Acquisition Partners, L.P., as amended by the First Amendment dated February 14, 2019, the</w:t>
            </w:r>
          </w:p>
        </w:tc>
      </w:tr>
      <w:tr>
        <w:trPr>
          <w:trHeight w:val="142"/>
        </w:trPr>
        <w:tc>
          <w:tcPr>
            <w:tcW w:w="2400" w:type="dxa"/>
            <w:vAlign w:val="bottom"/>
          </w:tcPr>
          <w:p>
            <w:pPr>
              <w:spacing w:after="0"/>
              <w:rPr>
                <w:sz w:val="12"/>
                <w:szCs w:val="12"/>
                <w:color w:val="auto"/>
              </w:rPr>
            </w:pP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Second Amendment dated August 1, 2019, the Third Amendment dated December 6, 2019, the Fourth Amendment dated November 2, 2020 and</w:t>
            </w:r>
          </w:p>
        </w:tc>
      </w:tr>
      <w:tr>
        <w:trPr>
          <w:trHeight w:val="176"/>
        </w:trPr>
        <w:tc>
          <w:tcPr>
            <w:tcW w:w="2400" w:type="dxa"/>
            <w:vAlign w:val="bottom"/>
          </w:tcPr>
          <w:p>
            <w:pPr>
              <w:spacing w:after="0"/>
              <w:rPr>
                <w:sz w:val="15"/>
                <w:szCs w:val="15"/>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Fifth Amendment dated August 2, 2021</w:t>
            </w: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Clearway Energy LLC</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The holding company through which the projects are owned by Clearway Energy Group LLC, the holder of Class B and Class D units, and</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Inc., the holder of the Class A and Class C units</w:t>
            </w: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Group LLC</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The holder of all the Company’s Class B and Class D common shares and Clearway Energy LLC’s Class B and Class D units and from time to</w:t>
            </w: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time, possibly shares of Clearway Energy, Inc.’s Class A and/or Class C common stock</w:t>
            </w: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holder of the project assets that are owned by Clearway Energy LLC</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Commercial Operation Date</w:t>
            </w: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Code</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Internal Revenue Code of 1986, as amended</w:t>
            </w: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Inc., together with its consolidated subsidiaries</w:t>
            </w:r>
          </w:p>
        </w:tc>
      </w:tr>
      <w:tr>
        <w:trPr>
          <w:trHeight w:val="721"/>
        </w:trPr>
        <w:tc>
          <w:tcPr>
            <w:tcW w:w="24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3</w:t>
            </w:r>
          </w:p>
        </w:tc>
      </w:tr>
      <w:tr>
        <w:trPr>
          <w:trHeight w:val="87"/>
        </w:trPr>
        <w:tc>
          <w:tcPr>
            <w:tcW w:w="24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California Valley Solar Ranch</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DGPV Holdco 1</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DGPV Holdco 1 LLC</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DGPV Holdco 2</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DGPV Holdco 2 LLC</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DGPV Holdco 3</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DGPV Holdco 3 LLC</w:t>
            </w:r>
          </w:p>
        </w:tc>
      </w:tr>
      <w:tr>
        <w:trPr>
          <w:trHeight w:val="142"/>
        </w:trPr>
        <w:tc>
          <w:tcPr>
            <w:tcW w:w="20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9280" w:type="dxa"/>
            <w:vAlign w:val="bottom"/>
          </w:tcPr>
          <w:p>
            <w:pPr>
              <w:ind w:left="900"/>
              <w:spacing w:after="0" w:line="142" w:lineRule="exact"/>
              <w:rPr>
                <w:sz w:val="20"/>
                <w:szCs w:val="20"/>
                <w:color w:val="auto"/>
              </w:rPr>
            </w:pPr>
            <w:r>
              <w:rPr>
                <w:rFonts w:ascii="Times New Roman" w:cs="Times New Roman" w:eastAsia="Times New Roman" w:hAnsi="Times New Roman"/>
                <w:sz w:val="14"/>
                <w:szCs w:val="14"/>
                <w:color w:val="auto"/>
              </w:rPr>
              <w:t>Solar power projects, typically less than 20 MW in size (on an alternating current, or AC, basis), that primarily sell power produced to customers</w:t>
            </w:r>
          </w:p>
        </w:tc>
      </w:tr>
      <w:tr>
        <w:trPr>
          <w:trHeight w:val="184"/>
        </w:trPr>
        <w:tc>
          <w:tcPr>
            <w:tcW w:w="2000" w:type="dxa"/>
            <w:vAlign w:val="bottom"/>
          </w:tcPr>
          <w:p>
            <w:pPr>
              <w:spacing w:after="0"/>
              <w:rPr>
                <w:sz w:val="16"/>
                <w:szCs w:val="16"/>
                <w:color w:val="auto"/>
              </w:rPr>
            </w:pP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r>
      <w:tr>
        <w:trPr>
          <w:trHeight w:val="18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EPA</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United States Environmental Protection Agency</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ERCOT</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Electric Reliability Council of Texas, the ISO and the regional reliability coordinator of the various electricity systems within Texas</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EWG</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Exempt Wholesale Generator</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Financial Accounting Standards Board</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FERC</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Federal Energy Regulatory Commission</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FPA</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Federal Power Act</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FWS</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U.S. Fish &amp; Wildlife Service</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GenConn Energy LLC</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GHG</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Greenhouse gas</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GIM</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Global Infrastructure Management, LLC</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GIP</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Global Infrastructure Partners</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Hypothetical Liquidation at Book Value</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IRA</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Inflation Reduction Act of 2022</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IRS</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ISO</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Independent System Operator, also referred to as an RTO</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ITC</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Investment Tax Credit</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KKR</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KKR Thor Bidco, LLC, an affiliate of Kohlberg Kravis Roberts &amp; Co. L.P.</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kWh</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Kilowatt Hour</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LIBOR</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London Inter-Bank Offered Rate</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MBTA</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Migratory Bird Treaty Act</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Mesquite Star</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Mesquite Star Special, LLC</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Million British Thermal Units</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Mt. Storm</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NedPower Mount Storm LLC</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MWt</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Megawatts Thermal Equivalent</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NEPA</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National Environmental Policy Act</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NERC</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North American Electric Reliability Corporation</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Counterparty credit exposure to Clearway Energy, Inc. net of collateral</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NOLs</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Net Operating Losses</w:t>
            </w:r>
          </w:p>
        </w:tc>
      </w:tr>
      <w:tr>
        <w:trPr>
          <w:trHeight w:val="180"/>
        </w:trPr>
        <w:tc>
          <w:tcPr>
            <w:tcW w:w="200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NO</w:t>
            </w:r>
            <w:r>
              <w:rPr>
                <w:rFonts w:ascii="Times New Roman" w:cs="Times New Roman" w:eastAsia="Times New Roman" w:hAnsi="Times New Roman"/>
                <w:sz w:val="18"/>
                <w:szCs w:val="18"/>
                <w:color w:val="auto"/>
                <w:vertAlign w:val="subscript"/>
              </w:rPr>
              <w:t>x</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Nitrogen Oxides</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NPNS</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Normal Purchases and Normal Sales</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NPPD</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Nebraska Public Power District</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NRG</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NRG Energy, Inc.</w:t>
            </w:r>
          </w:p>
        </w:tc>
      </w:tr>
      <w:tr>
        <w:trPr>
          <w:trHeight w:val="18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OCI/OCL</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Other comprehensive income/loss</w:t>
            </w:r>
          </w:p>
        </w:tc>
      </w:tr>
      <w:tr>
        <w:trPr>
          <w:trHeight w:val="184"/>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28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721"/>
        </w:trPr>
        <w:tc>
          <w:tcPr>
            <w:tcW w:w="2000" w:type="dxa"/>
            <w:vAlign w:val="bottom"/>
          </w:tcPr>
          <w:p>
            <w:pPr>
              <w:spacing w:after="0"/>
              <w:rPr>
                <w:sz w:val="24"/>
                <w:szCs w:val="24"/>
                <w:color w:val="auto"/>
              </w:rPr>
            </w:pPr>
          </w:p>
        </w:tc>
        <w:tc>
          <w:tcPr>
            <w:tcW w:w="9280" w:type="dxa"/>
            <w:vAlign w:val="bottom"/>
          </w:tcPr>
          <w:p>
            <w:pPr>
              <w:ind w:left="3600"/>
              <w:spacing w:after="0"/>
              <w:rPr>
                <w:sz w:val="20"/>
                <w:szCs w:val="20"/>
                <w:color w:val="auto"/>
              </w:rPr>
            </w:pPr>
            <w:r>
              <w:rPr>
                <w:rFonts w:ascii="Times New Roman" w:cs="Times New Roman" w:eastAsia="Times New Roman" w:hAnsi="Times New Roman"/>
                <w:sz w:val="14"/>
                <w:szCs w:val="14"/>
                <w:color w:val="auto"/>
              </w:rPr>
              <w:t>4</w:t>
            </w:r>
          </w:p>
        </w:tc>
      </w:tr>
      <w:tr>
        <w:trPr>
          <w:trHeight w:val="87"/>
        </w:trPr>
        <w:tc>
          <w:tcPr>
            <w:tcW w:w="2000" w:type="dxa"/>
            <w:vAlign w:val="bottom"/>
            <w:tcBorders>
              <w:bottom w:val="single" w:sz="8" w:color="9A9A9A"/>
            </w:tcBorders>
          </w:tcPr>
          <w:p>
            <w:pPr>
              <w:spacing w:after="0"/>
              <w:rPr>
                <w:sz w:val="7"/>
                <w:szCs w:val="7"/>
                <w:color w:val="auto"/>
              </w:rPr>
            </w:pPr>
          </w:p>
        </w:tc>
        <w:tc>
          <w:tcPr>
            <w:tcW w:w="9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PJM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PJM Interconnection,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PTC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Production Tax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PUCT</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Public Utility Commission of Texas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PUHCA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Public Utility Holding Company Act of 2005</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PURPA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Public Utility Regulatory Policies Act of 1978</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QF</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Qualifying Facility under PURPA</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Clearway Renewable Operation &amp; Maintenance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ROFO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Right of First Offer</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RPS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Renewable Portfolio Standards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RPV Holdco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RPV Holdco 1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RTO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Regional Transmission Organization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r>
      <w:tr>
        <w:trPr>
          <w:trHeight w:val="180"/>
        </w:trPr>
        <w:tc>
          <w:tcPr>
            <w:tcW w:w="20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SO</w:t>
            </w:r>
            <w:r>
              <w:rPr>
                <w:rFonts w:ascii="Times New Roman" w:cs="Times New Roman" w:eastAsia="Times New Roman" w:hAnsi="Times New Roman"/>
                <w:sz w:val="18"/>
                <w:szCs w:val="18"/>
                <w:color w:val="auto"/>
                <w:vertAlign w:val="subscript"/>
              </w:rPr>
              <w:t>2</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Sulfur Dioxide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Act</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Tax Cuts and Jobs Act of 2017</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Thermal Business</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The Company’s thermal business, which consists of thermal infrastructure assets that provide steam, hot water and/or chilled water, and in some</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instances electricity, to commercial businesses, universities, hospitals and governmental units</w:t>
            </w:r>
          </w:p>
        </w:tc>
      </w:tr>
      <w:tr>
        <w:trPr>
          <w:trHeight w:val="18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Thermal Disposition</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On May 1, 2022, the Company completed the sale of 100% of its interests in the Thermal Business to KKR</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TotalEnergies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TotalEnergies SE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DOE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U.S. Department of Energy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Utah Solar Portfolio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Utility Scale Solar</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Solar power projects, typically 20 MW or greater in size (on an alternating current, or AC, basis), that are interconnected into the transmission or</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7"/>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912"/>
        </w:trPr>
        <w:tc>
          <w:tcPr>
            <w:tcW w:w="204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5</w:t>
            </w:r>
          </w:p>
        </w:tc>
      </w:tr>
      <w:tr>
        <w:trPr>
          <w:trHeight w:val="87"/>
        </w:trPr>
        <w:tc>
          <w:tcPr>
            <w:tcW w:w="2040" w:type="dxa"/>
            <w:vAlign w:val="bottom"/>
            <w:tcBorders>
              <w:bottom w:val="single" w:sz="8" w:color="9A9A9A"/>
            </w:tcBorders>
          </w:tcPr>
          <w:p>
            <w:pPr>
              <w:spacing w:after="0"/>
              <w:rPr>
                <w:sz w:val="7"/>
                <w:szCs w:val="7"/>
                <w:color w:val="auto"/>
              </w:rPr>
            </w:pPr>
          </w:p>
        </w:tc>
        <w:tc>
          <w:tcPr>
            <w:tcW w:w="9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these offtake agreements was approximately 11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2022 </w:t>
      </w:r>
      <w:r>
        <w:rPr>
          <w:rFonts w:ascii="Times New Roman" w:cs="Times New Roman" w:eastAsia="Times New Roman" w:hAnsi="Times New Roman"/>
          <w:sz w:val="14"/>
          <w:szCs w:val="14"/>
          <w:color w:val="231F20"/>
        </w:rPr>
        <w:t>based on CAFD.</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91" w:lineRule="exact"/>
        <w:rPr>
          <w:sz w:val="20"/>
          <w:szCs w:val="20"/>
          <w:color w:val="auto"/>
        </w:rPr>
      </w:pPr>
    </w:p>
    <w:p>
      <w:pPr>
        <w:ind w:right="1600" w:firstLine="318"/>
        <w:spacing w:after="0" w:line="444" w:lineRule="auto"/>
        <w:rPr>
          <w:sz w:val="20"/>
          <w:szCs w:val="20"/>
          <w:color w:val="auto"/>
        </w:rPr>
      </w:pPr>
      <w:r>
        <w:rPr>
          <w:rFonts w:ascii="Times New Roman" w:cs="Times New Roman" w:eastAsia="Times New Roman" w:hAnsi="Times New Roman"/>
          <w:sz w:val="14"/>
          <w:szCs w:val="14"/>
          <w:color w:val="auto"/>
        </w:rPr>
        <w:t xml:space="preserve">A complete listing of the Company’s interests in facilities, operations and/or projects owned or leased as of December 31, 2022 can be found in Item 2 — </w:t>
      </w:r>
      <w:r>
        <w:rPr>
          <w:rFonts w:ascii="Times New Roman" w:cs="Times New Roman" w:eastAsia="Times New Roman" w:hAnsi="Times New Roman"/>
          <w:sz w:val="14"/>
          <w:szCs w:val="14"/>
          <w:i w:val="1"/>
          <w:iCs w:val="1"/>
          <w:color w:val="auto"/>
        </w:rPr>
        <w:t>Properties.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History</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was formed as a Delaware corporation on December 20, 2012 by NRG. On August 31, 2018, NRG transferred its full ownership interest in the Company to CEG, the holder of NRG’s renewable energy development and operations platform, and subsequently sold 100% of its interest in CEG to GIP. On September 12, 2022, GIP sold 50% of its interest in CEG through an intermediate holding company to TotalEnergies.</w:t>
      </w:r>
    </w:p>
    <w:p>
      <w:pPr>
        <w:spacing w:after="0" w:line="93"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The Company is the sole managing member of Clearway Energy LLC and operates and controls all of its business and affairs and consolidates the financial results of Clearway Energy LLC and its subsidiaries. Clearway Energy LLC is a holding company for the companies that directly and indirectly own and operate the Company’s assets. As of December 31, 2022, the Company owned 57.88% of the economic interests of Clearway Energy LLC, with CEG owning 42.12% of the economic interests of Clearway Energy LLC. As a result of the current ownership of the Class B common stock and Class D common stock, CEG controls the Company, and the Company in turn, as the sole managing member of Clearway Energy LLC, controls Clearway Energy LLC and its subsidiaries.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608195" cy="3415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8195" cy="3415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primary business strategy is to focus on the acquisition and ownership of assets with predictable, long-term cash flows in order that it may be able to increase the dividends paid to holders of the Company’s Class A and Class C common stock over time without compromising the ongoing stability of the business.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plan for executing its business strategy includes the following key components:</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Focus on contracted renewable energy and conventional generation. </w:t>
      </w:r>
      <w:r>
        <w:rPr>
          <w:rFonts w:ascii="Times New Roman" w:cs="Times New Roman" w:eastAsia="Times New Roman" w:hAnsi="Times New Roman"/>
          <w:sz w:val="14"/>
          <w:szCs w:val="14"/>
          <w:color w:val="auto"/>
        </w:rPr>
        <w:t>The Company owns and operates utility scale and distributed renewable energy and natural gas-fired generation assets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proven technologies, generally low operating risks and stable cash flows. The Company believes by focusing on this core asset class and leveraging its industry knowledge, it will maximize its strategic opportunities, be a leader in operational efficiency and maximize its overall financial performance.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 w:name="page8"/>
    <w:bookmarkEnd w:id="7"/>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Growing the business through acquisitions of contracted operating assets. </w:t>
      </w:r>
      <w:r>
        <w:rPr>
          <w:rFonts w:ascii="Times New Roman" w:cs="Times New Roman" w:eastAsia="Times New Roman" w:hAnsi="Times New Roman"/>
          <w:sz w:val="14"/>
          <w:szCs w:val="14"/>
          <w:color w:val="auto"/>
        </w:rPr>
        <w:t>The Company believes that its base of operations provides a platform for strategic growth through cash accretive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tax advantaged acquisitions complementary to its existing portfolio. In addition to acquiring generation facilities from third parties where the Company believes its knowledge of the market and operating expertise provides it with a competitive advantage, the Company may consummate future acquisitions from CEG. The Company believes that CEG’s project development expertise provides the Company access to a development platform with an extensive pipeline of potential renewable energy and storage projects that are aligned to support the Company’s growth. The Company and CEG work collaboratively in considering new assets to be acquired by the Company. The assets listed below, all of which are included in co-investment partnerships, represent the Company’s currently committed investments in projects with CEG: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Technology</w:t>
            </w:r>
          </w:p>
        </w:tc>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Gross Capacity (MW)</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State</w:t>
            </w: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3"/>
                <w:szCs w:val="13"/>
                <w:b w:val="1"/>
                <w:bCs w:val="1"/>
                <w:color w:val="auto"/>
              </w:rPr>
              <w:t>COD</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Status</w:t>
            </w:r>
          </w:p>
        </w:tc>
      </w:tr>
      <w:tr>
        <w:trPr>
          <w:trHeight w:val="163"/>
        </w:trPr>
        <w:tc>
          <w:tcPr>
            <w:tcW w:w="2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Daggett Solar 3</w:t>
            </w:r>
          </w:p>
        </w:tc>
        <w:tc>
          <w:tcPr>
            <w:tcW w:w="22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Solar/Storage</w:t>
            </w:r>
          </w:p>
        </w:tc>
        <w:tc>
          <w:tcPr>
            <w:tcW w:w="20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300</w:t>
            </w: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CA</w:t>
            </w:r>
          </w:p>
        </w:tc>
        <w:tc>
          <w:tcPr>
            <w:tcW w:w="22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1H23</w:t>
            </w:r>
          </w:p>
        </w:tc>
        <w:tc>
          <w:tcPr>
            <w:tcW w:w="2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Committed</w:t>
            </w:r>
          </w:p>
        </w:tc>
      </w:tr>
      <w:tr>
        <w:trPr>
          <w:trHeight w:val="168"/>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Daggett Solar 2</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Solar/Storage</w:t>
            </w: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182</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9"/>
              </w:rPr>
              <w:t>CA</w:t>
            </w: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2H23</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Committed</w:t>
            </w:r>
          </w:p>
        </w:tc>
      </w:tr>
      <w:tr>
        <w:trPr>
          <w:trHeight w:val="172"/>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Arica</w:t>
            </w:r>
          </w:p>
        </w:tc>
        <w:tc>
          <w:tcPr>
            <w:tcW w:w="20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3"/>
                <w:szCs w:val="13"/>
                <w:color w:val="auto"/>
                <w:w w:val="98"/>
              </w:rPr>
              <w:t>Solar/Storage</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263</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3"/>
                <w:szCs w:val="13"/>
                <w:color w:val="auto"/>
                <w:w w:val="99"/>
              </w:rPr>
              <w:t>CA</w:t>
            </w:r>
          </w:p>
        </w:tc>
        <w:tc>
          <w:tcPr>
            <w:tcW w:w="1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2H23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Committed</w:t>
            </w:r>
          </w:p>
        </w:tc>
      </w:tr>
      <w:tr>
        <w:trPr>
          <w:trHeight w:val="16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Victory Pass</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Solar/Storage</w:t>
            </w: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200</w:t>
            </w: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9"/>
              </w:rPr>
              <w:t>CA</w:t>
            </w: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2H23</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Committed</w:t>
            </w:r>
          </w:p>
        </w:tc>
      </w:tr>
    </w:tbl>
    <w:p>
      <w:pPr>
        <w:spacing w:after="0" w:line="18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Primary focus on North America. </w:t>
      </w:r>
      <w:r>
        <w:rPr>
          <w:rFonts w:ascii="Times New Roman" w:cs="Times New Roman" w:eastAsia="Times New Roman" w:hAnsi="Times New Roman"/>
          <w:sz w:val="14"/>
          <w:szCs w:val="14"/>
          <w:color w:val="auto"/>
        </w:rPr>
        <w:t>The Company intends to focus its investments in North America. The Company believes that industry fundamentals in North America present it with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significant opportunity to grow its portfolio without creating significant exposure to currency and sovereign risk. By focusing its efforts on North America, the Company believes it will best leverage its regional knowledge of power markets, industry relationships and skill sets to maximize the performance of the Company.</w:t>
      </w:r>
    </w:p>
    <w:p>
      <w:pPr>
        <w:spacing w:after="0" w:line="91"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sound financial practices to grow the dividend. </w:t>
      </w:r>
      <w:r>
        <w:rPr>
          <w:rFonts w:ascii="Times New Roman" w:cs="Times New Roman" w:eastAsia="Times New Roman" w:hAnsi="Times New Roman"/>
          <w:sz w:val="14"/>
          <w:szCs w:val="14"/>
          <w:color w:val="auto"/>
        </w:rPr>
        <w:t>The Company intends to maintain a commitment to disciplined financial analysis and a balanced capital structure to enable it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increase its quarterly dividend over time and serve the long-term interests of its stockholders. The Company’s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the Company receives from Clearway Energy LLC, subject to available capital, market conditions and compliance with associated laws, regulations and other contractual obligations. The Company intends to evaluate various alternatives for financing future acquisitions and refinancing of existing project-level debt, in each case, to reduce the cost of debt, extend maturities and maximize CAFD.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Power generation is a capital-intensive business with numerous and diverse industry participants. The Company competes on the basis of the location of its plants and on the basis of contract price and terms of individual projects. Within the power industry, there is a wide variation in terms of the capabilities, resources, nature and identity of the companies with whom the Company competes depending on the market. Competitors for energy supply are utilities, independent power producers and other providers of distributed generation. The Company also competes to acquire new projects with renewable developers who retain renewable power plant ownership, independent power producers, financial investors and other dividend, growth-oriented companies. Competitive conditions may be substantially affected by capital market conditions and by various forms of energy legislation and regulation considered by federal, state and local legislatures and administrative agencies, including tax policy. Such laws and regulations may substantially increase the costs of acquiring, constructing and operating projects, and it could be difficult for the Company to adapt to and operate under such laws and regulations.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Competitive Strengths</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Stable, high quality cash flows. </w:t>
      </w:r>
      <w:r>
        <w:rPr>
          <w:rFonts w:ascii="Times New Roman" w:cs="Times New Roman" w:eastAsia="Times New Roman" w:hAnsi="Times New Roman"/>
          <w:sz w:val="14"/>
          <w:szCs w:val="14"/>
          <w:color w:val="auto"/>
        </w:rPr>
        <w:t>The Company’s facilities have a stable, predictable cash flow profile consisting of predominantly long-life electric generation assets that primarily sell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electricity under long-term fixed priced contracts or pursuant to regulated rates with investment-grade and certain other creditworthy counterparties. The majority of the Company’s facilities have minimal fuel risk. For the Company’s conventional assets currently contracted under tolling agreements, fuel is provided by the toll counterparty or the cost thereof is a pass-through cost under the Contract for Differences. When the tolling agreements expire, the conventional assets will need to procure their own fuel. The Renewable facilities have no fuel costs. The offtake agreements for the Company’s conventional and renewable generation facilities have a weighted-average remaining duration, based on CAFD, of approximately 11 years as of December 31, 2022, providing long-term cash flow stability. The Company’s generation offtake agreements with counterparties for whom credit ratings are available have a weighted-average Moody’s rating of Ba1 based on rated capacity under contract. All of the Company’s assets are in the U.S. and accordingly have no currency or repatriation risks.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Environmentally well-positioned portfolio of assets. </w:t>
      </w:r>
      <w:r>
        <w:rPr>
          <w:rFonts w:ascii="Times New Roman" w:cs="Times New Roman" w:eastAsia="Times New Roman" w:hAnsi="Times New Roman"/>
          <w:sz w:val="14"/>
          <w:szCs w:val="14"/>
          <w:color w:val="auto"/>
        </w:rPr>
        <w:t>The Company’s portfolio of electric generation assets consists of over 5,500 net MW of renewable generation capacity that are non-emitting sources of power generation. Additionally, the Company’s California conventional assets consist of efficient gas generation facilities that support electric system reliability. The Company does not anticipate having to expend any significant capital expenditures in the foreseeable future to comply with current environmental regulations applicable to its generation assets. Taken as a whole, the Company believes its strategy will be a net beneficiary of current and potential environmental legislation and regulatory requirements that may serve as a catalyst for capacity retirements and improve market opportunities for environmentally well-positioned assets like the Company’s assets once its current offtake agreements expire.</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High quality, long-lived assets with low operating and capital requirements. </w:t>
      </w:r>
      <w:r>
        <w:rPr>
          <w:rFonts w:ascii="Times New Roman" w:cs="Times New Roman" w:eastAsia="Times New Roman" w:hAnsi="Times New Roman"/>
          <w:sz w:val="14"/>
          <w:szCs w:val="14"/>
          <w:color w:val="auto"/>
        </w:rPr>
        <w:t>The Company benefits from a portfolio of relatively younger assets. The Company’s assets are largely comprised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proven and reliable technologies, provided by leading original solar and wind equipment manufacturers such as General Electric, Siemens AG, SunPower Corporation, or SunPower, First Solar Inc., or First Solar, Vestas, Mitsubishi, Trina Solar, JA Solar and Siemens Gamesa. Given the modern nature of the portfolio, which includes a substantial number of relatively low operating and maintenance cost solar and wind generation assets, the Company expects to achieve high fleet availability and expend modest maintenance-related capital expenditures.</w:t>
      </w:r>
    </w:p>
    <w:p>
      <w:pPr>
        <w:spacing w:after="0" w:line="9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Significant scale and diversity. </w:t>
      </w:r>
      <w:r>
        <w:rPr>
          <w:rFonts w:ascii="Times New Roman" w:cs="Times New Roman" w:eastAsia="Times New Roman" w:hAnsi="Times New Roman"/>
          <w:sz w:val="14"/>
          <w:szCs w:val="14"/>
          <w:color w:val="auto"/>
        </w:rPr>
        <w:t>The Company is one of the largest renewable energy owners in the U.S. with over 5,500 net MW of installed wind and solar generation projects. The Company’s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over 8,000 net MW of assets also includes approximately 2,500 net MW of environmentally-sound, highly efficient natural gas-fired generation facilities. The Company’s contracted renewable and conventional generation assets benefit from significant diversification in terms of technology, fuel type, counterparty and geography. The Company believes its scale and access to best practices across the fleet improves its business development opportunities through enhanced industry relationships, reputation and understanding of regional power market dynamics. Furthermore, the Company’s diversification reduces its operating risk profile and reliance on any single market.</w:t>
      </w:r>
    </w:p>
    <w:p>
      <w:pPr>
        <w:spacing w:after="0" w:line="9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Relationship with GIP, TotalEnergies and CEG. </w:t>
      </w:r>
      <w:r>
        <w:rPr>
          <w:rFonts w:ascii="Times New Roman" w:cs="Times New Roman" w:eastAsia="Times New Roman" w:hAnsi="Times New Roman"/>
          <w:sz w:val="14"/>
          <w:szCs w:val="14"/>
          <w:color w:val="auto"/>
        </w:rPr>
        <w:t>The Company believes that its relationship with GIP, TotalEnergies and CEG provides significant benefits. Global Infrastructure Management,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LLC, or GIM, the manager of GIP, is an independent infrastructure fund manager that makes equity and debt investments in infrastructure assets and businesses in both the Organization for Economic Co-operation and Development (OECD) and select emerging market countries. GIM has a strong track record of investment and value creation in the renewable energy sector. GIM also has extensive experience with publicly traded yield vehicles and development platforms, ranging from Europe’s first application of a yield company/development company model to the largest renewable platform in Asia-Pacific. TotalEnergies is a global multi-energy company that produces and markets energies in more than 130 countries. Additionally, the Company believes that CEG provides the Company access to a highly capable renewable development and operations platform that is aligned to support the Company’s growth.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Review</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following tables summarize the Company’s operating revenues, net income (loss) and assets by segment for the years ended December 31, 2022, 2021 and 2020, as discussed in Item 15 — Note 13,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9"/>
                <w:szCs w:val="9"/>
                <w:color w:val="auto"/>
              </w:rPr>
            </w:pPr>
          </w:p>
        </w:tc>
        <w:tc>
          <w:tcPr>
            <w:tcW w:w="108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180" w:type="dxa"/>
            <w:vAlign w:val="bottom"/>
          </w:tcPr>
          <w:p>
            <w:pPr>
              <w:spacing w:after="0"/>
              <w:rPr>
                <w:sz w:val="9"/>
                <w:szCs w:val="9"/>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0" w:type="dxa"/>
            <w:vAlign w:val="bottom"/>
          </w:tcPr>
          <w:p>
            <w:pPr>
              <w:spacing w:after="0"/>
              <w:rPr>
                <w:sz w:val="9"/>
                <w:szCs w:val="9"/>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00" w:type="dxa"/>
            <w:vAlign w:val="bottom"/>
          </w:tcPr>
          <w:p>
            <w:pPr>
              <w:spacing w:after="0"/>
              <w:rPr>
                <w:sz w:val="9"/>
                <w:szCs w:val="9"/>
                <w:color w:val="auto"/>
              </w:rPr>
            </w:pPr>
          </w:p>
        </w:tc>
        <w:tc>
          <w:tcPr>
            <w:tcW w:w="1280" w:type="dxa"/>
            <w:vAlign w:val="bottom"/>
            <w:gridSpan w:val="3"/>
            <w:vMerge w:val="restart"/>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880" w:type="dxa"/>
            <w:vAlign w:val="bottom"/>
            <w:vMerge w:val="restart"/>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0" w:type="dxa"/>
            <w:vAlign w:val="bottom"/>
          </w:tcPr>
          <w:p>
            <w:pPr>
              <w:spacing w:after="0"/>
              <w:rPr>
                <w:sz w:val="1"/>
                <w:szCs w:val="1"/>
                <w:color w:val="auto"/>
              </w:rPr>
            </w:pPr>
          </w:p>
        </w:tc>
      </w:tr>
      <w:tr>
        <w:trPr>
          <w:trHeight w:val="170"/>
        </w:trPr>
        <w:tc>
          <w:tcPr>
            <w:tcW w:w="520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Net income (loss) </w:t>
            </w:r>
            <w:r>
              <w:rPr>
                <w:rFonts w:ascii="Times New Roman" w:cs="Times New Roman" w:eastAsia="Times New Roman" w:hAnsi="Times New Roman"/>
                <w:sz w:val="16"/>
                <w:szCs w:val="16"/>
                <w:color w:val="auto"/>
                <w:vertAlign w:val="superscript"/>
              </w:rPr>
              <w:t>(a)</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0" w:type="dxa"/>
            <w:vAlign w:val="bottom"/>
          </w:tcPr>
          <w:p>
            <w:pPr>
              <w:spacing w:after="0"/>
              <w:rPr>
                <w:sz w:val="1"/>
                <w:szCs w:val="1"/>
                <w:color w:val="auto"/>
              </w:rPr>
            </w:pPr>
          </w:p>
        </w:tc>
      </w:tr>
      <w:tr>
        <w:trPr>
          <w:trHeight w:val="17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12,312</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20" w:hanging="115"/>
        <w:spacing w:after="0"/>
        <w:tabs>
          <w:tab w:leader="none" w:pos="120"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Corporate net income includes the $1.29 million gain on the sale of the Thermal Business to KKR, which was completed on May 1,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left="679"/>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9"/>
                <w:szCs w:val="9"/>
                <w:color w:val="auto"/>
              </w:rPr>
            </w:pPr>
          </w:p>
        </w:tc>
        <w:tc>
          <w:tcPr>
            <w:tcW w:w="108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180" w:type="dxa"/>
            <w:vAlign w:val="bottom"/>
          </w:tcPr>
          <w:p>
            <w:pPr>
              <w:spacing w:after="0"/>
              <w:rPr>
                <w:sz w:val="9"/>
                <w:szCs w:val="9"/>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0" w:type="dxa"/>
            <w:vAlign w:val="bottom"/>
          </w:tcPr>
          <w:p>
            <w:pPr>
              <w:spacing w:after="0"/>
              <w:rPr>
                <w:sz w:val="9"/>
                <w:szCs w:val="9"/>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00" w:type="dxa"/>
            <w:vAlign w:val="bottom"/>
          </w:tcPr>
          <w:p>
            <w:pPr>
              <w:spacing w:after="0"/>
              <w:rPr>
                <w:sz w:val="9"/>
                <w:szCs w:val="9"/>
                <w:color w:val="auto"/>
              </w:rPr>
            </w:pPr>
          </w:p>
        </w:tc>
        <w:tc>
          <w:tcPr>
            <w:tcW w:w="1280" w:type="dxa"/>
            <w:vAlign w:val="bottom"/>
            <w:gridSpan w:val="3"/>
            <w:vMerge w:val="restart"/>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880" w:type="dxa"/>
            <w:vAlign w:val="bottom"/>
            <w:vMerge w:val="restart"/>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0" w:type="dxa"/>
            <w:vAlign w:val="bottom"/>
          </w:tcPr>
          <w:p>
            <w:pPr>
              <w:spacing w:after="0"/>
              <w:rPr>
                <w:sz w:val="1"/>
                <w:szCs w:val="1"/>
                <w:color w:val="auto"/>
              </w:rPr>
            </w:pPr>
          </w:p>
        </w:tc>
      </w:tr>
      <w:tr>
        <w:trPr>
          <w:trHeight w:val="168"/>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7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8"/>
        </w:trPr>
        <w:tc>
          <w:tcPr>
            <w:tcW w:w="5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left="680"/>
              <w:spacing w:after="0"/>
              <w:rPr>
                <w:sz w:val="20"/>
                <w:szCs w:val="20"/>
                <w:color w:val="auto"/>
              </w:rPr>
            </w:pPr>
            <w:r>
              <w:rPr>
                <w:rFonts w:ascii="Times New Roman" w:cs="Times New Roman" w:eastAsia="Times New Roman" w:hAnsi="Times New Roman"/>
                <w:sz w:val="11"/>
                <w:szCs w:val="11"/>
                <w:b w:val="1"/>
                <w:bCs w:val="1"/>
                <w:color w:val="auto"/>
              </w:rPr>
              <w:t>Year ended December 31, 2020</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9"/>
                <w:szCs w:val="9"/>
                <w:color w:val="auto"/>
              </w:rPr>
            </w:pPr>
          </w:p>
        </w:tc>
        <w:tc>
          <w:tcPr>
            <w:tcW w:w="108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180" w:type="dxa"/>
            <w:vAlign w:val="bottom"/>
          </w:tcPr>
          <w:p>
            <w:pPr>
              <w:spacing w:after="0"/>
              <w:rPr>
                <w:sz w:val="9"/>
                <w:szCs w:val="9"/>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0" w:type="dxa"/>
            <w:vAlign w:val="bottom"/>
          </w:tcPr>
          <w:p>
            <w:pPr>
              <w:spacing w:after="0"/>
              <w:rPr>
                <w:sz w:val="9"/>
                <w:szCs w:val="9"/>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00" w:type="dxa"/>
            <w:vAlign w:val="bottom"/>
          </w:tcPr>
          <w:p>
            <w:pPr>
              <w:spacing w:after="0"/>
              <w:rPr>
                <w:sz w:val="9"/>
                <w:szCs w:val="9"/>
                <w:color w:val="auto"/>
              </w:rPr>
            </w:pPr>
          </w:p>
        </w:tc>
        <w:tc>
          <w:tcPr>
            <w:tcW w:w="1280" w:type="dxa"/>
            <w:vAlign w:val="bottom"/>
            <w:gridSpan w:val="3"/>
            <w:vMerge w:val="restart"/>
          </w:tcPr>
          <w:p>
            <w:pPr>
              <w:jc w:val="right"/>
              <w:ind w:right="616"/>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880" w:type="dxa"/>
            <w:vAlign w:val="bottom"/>
            <w:vMerge w:val="restart"/>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2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8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center"/>
              <w:ind w:left="619"/>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0" w:type="dxa"/>
            <w:vAlign w:val="bottom"/>
          </w:tcPr>
          <w:p>
            <w:pPr>
              <w:spacing w:after="0"/>
              <w:rPr>
                <w:sz w:val="1"/>
                <w:szCs w:val="1"/>
                <w:color w:val="auto"/>
              </w:rPr>
            </w:pPr>
          </w:p>
        </w:tc>
      </w:tr>
      <w:tr>
        <w:trPr>
          <w:trHeight w:val="165"/>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Policy Incentives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U.S. federal, state and local governments have established various policy incentives to support the development, financing, ownership and operation of renewable energy projects. These incentives include PTCs, ITCs, accelerated tax depreciation, cash grants, tax abatements and RPS programs which have the effect of decreasing the costs and risks associated with developing and operating such projects or creating demand for renewable energy assets. In particular,</w:t>
      </w:r>
    </w:p>
    <w:p>
      <w:pPr>
        <w:spacing w:after="0" w:line="51" w:lineRule="exact"/>
        <w:rPr>
          <w:sz w:val="20"/>
          <w:szCs w:val="20"/>
          <w:color w:val="auto"/>
        </w:rPr>
      </w:pPr>
    </w:p>
    <w:p>
      <w:pPr>
        <w:ind w:left="520" w:right="60" w:hanging="260"/>
        <w:spacing w:after="0" w:line="257"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Owners of wind facilities are eligible to claim the PTC, or an ITC in lieu of the PTC, provided that certain requirements are met. Similarly, owners of solar facilities are eligible to claim the ITC or, for facilities placed in service after August 16, 2022, the PTC, or an ITC in lieu of the PTC, provided certain requirements are met. Additionally, owners of energy storage facilities are eligible to claim the ITC for facilities placed in service after December 31, 2022, provided certain requirements are met. The PTC is an annual credit that is based on the amount of electricity sold by the facility during the first ten years after the facility is first placed in service. The ITC is a one-time credit that is based on a percentage of the cost of the facility and is claimed for the tax year in which the facility is first placed in service. Depending on the type of taxpayer, the PTC or ITC may be sold to an unrelated third party for cash, or in certain cases, direct payment from the government may be received. In order to qualify for the full amount of these credits in the case of facilities whose construction begins on or after January 29, 2023, certain prevailing wage and apprenticeship requirements generally must be satisfied, the details of which have been released only in part with additional details expected in future guidance. For facilities that begin construction after December 31, 2024, the PTC and ITC will no longer apply and such facilities may instead be eligible for the clean electricity production credit or clean electricity investment credit, respectively. In order to qualify for these new credits, the facility’s greenhouse gas emissions cannot be greater than zero.</w:t>
      </w:r>
    </w:p>
    <w:p>
      <w:pPr>
        <w:spacing w:after="0" w:line="18" w:lineRule="exact"/>
        <w:rPr>
          <w:rFonts w:ascii="Times New Roman" w:cs="Times New Roman" w:eastAsia="Times New Roman" w:hAnsi="Times New Roman"/>
          <w:sz w:val="14"/>
          <w:szCs w:val="14"/>
          <w:color w:val="231F20"/>
        </w:rPr>
      </w:pPr>
    </w:p>
    <w:p>
      <w:pPr>
        <w:ind w:left="520" w:right="20" w:hanging="260"/>
        <w:spacing w:after="0" w:line="264"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Pursuant to the U.S. federal Modified Accelerated Cost Recovery System, or MACRS, wind and solar projects are generally depreciable for tax purposes over a five-year period (before taking into account certain conventions) even though the useful life of such projects is generally much longer than five years. The Tax Act also provides for immediate and 100% expensing and deductibility for eligible property acquired and placed in service after September 27, 2017, and before January 1, 2023, with phase downs permitting 80%, 60%, 40% and 20% expensing and deductibility for property acquired and placed in service during 2023, 2024, 2025 and 2026, respectively.</w:t>
      </w:r>
    </w:p>
    <w:p>
      <w:pPr>
        <w:spacing w:after="0" w:line="13" w:lineRule="exact"/>
        <w:rPr>
          <w:rFonts w:ascii="Times New Roman" w:cs="Times New Roman" w:eastAsia="Times New Roman" w:hAnsi="Times New Roman"/>
          <w:sz w:val="14"/>
          <w:szCs w:val="14"/>
          <w:color w:val="231F20"/>
        </w:rPr>
      </w:pPr>
    </w:p>
    <w:p>
      <w:pPr>
        <w:ind w:left="520" w:right="20" w:hanging="260"/>
        <w:spacing w:after="0" w:line="270" w:lineRule="auto"/>
        <w:tabs>
          <w:tab w:leader="none" w:pos="516" w:val="left"/>
        </w:tabs>
        <w:numPr>
          <w:ilvl w:val="0"/>
          <w:numId w:val="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RPS programs, currently in place in certain states and territories, require electricity providers in the state or territory to meet a certain percentage of their retail sales with energy from renewable sources. Additionally, other states in the U.S. have set renewable energy goals to reduce GHG emissions from historic levels. The Company believes that these standards and goals will create incremental demand for renewable energy in the future.</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elimination of, loss of, or reduction in, the incentives discussed above could decrease the attractiveness of renewable energy projects to developers, including, but not limited to, CEG, which could reduce the Company's acquisition or development opportunities. Such an elimination, loss or reduction could also reduce the Company’s willingness to pursue or develop certain renewable energy projects due to higher operating costs or decreased revenues under its PPAs.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As owners of power plants and participants in wholesale energy markets, certain of the Company’s subsidiaries are subject to regulation by various federal and state government agencies. These agencies include FERC and the PUCT, as well as other public utility commissions in certain states where the Company’s assets are located. Each of the Company’s U.S. generating facilities qualifies as an EWG or QF. In addition, the Company is subject to the market rules, procedures and protocols of the various ISO and RTO markets in which it participates. Likewise, certain of the Company’s subsidiaries must also comply with the mandatory reliability requirements imposed by NERC and the regional reliability entities in the regions where the Company has generating facilities subject to NERC’s reliability authority. The Company’s operations within the ERCOT footprint are not subject to rate regulation by FERC, as they are deemed to operate solely within the ERCOT market and not in interstate commerce. These operations are subject to regulation by PUCT.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FERC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FERC, among other things, regulates the transmission and the wholesale sale of electricity in interstate commerce under the authority of the FPA. The transmission and sale of electric energy occurring wholly within ERCOT is not subject to FERC’s jurisdiction. Under existing regulations, FERC has the authority to determine whether an entity owning a generation facility is an EWG, as defined in the PUHCA. FERC also has the authority to determine whether a generation facility meets the applicable criteria of a QF under the PURPA. Each of the Company’s U.S. generating facilities qualifies as either an EWG or QF.</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FPA gives FERC exclusive rate-making jurisdiction over the wholesale sale of electricity and transmission of electricity in interstate commerce of public utilities (as defined by the FPA). Under the FPA, FERC, with certain exceptions, regulates owners and operators of facilities used for the wholesale sale of electricity or transmission in interstate commerce as public utilities, and is charged with ensuring that market rules are just and reasonable.</w:t>
      </w:r>
    </w:p>
    <w:p>
      <w:pPr>
        <w:spacing w:after="0" w:line="93"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Public utilities are required to obtain FERC’s acceptance, pursuant to Section 205 of the FPA, of their rate schedules for the wholesale sale of electricity. Several of the Company’s QF generating facilities and all of the Company’s non-QF generating facilities located in the U.S. outside of ERCOT make sales of electricity pursuant to market-based rates, as opposed to traditional cost-of-service regulated rates. FERC conducts a review of the market-based rates of Company public utilities and potential market power every three years according to a regional schedule established by FERC.</w:t>
      </w:r>
    </w:p>
    <w:p>
      <w:pPr>
        <w:spacing w:after="0" w:line="269"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accordance with the Energy Policy Act of 2005, FERC has approved the NERC as the national Energy Reliability Organization, or ERO. As the ERO, NERC is responsible for the development and enforcement of mandatory reliability standards for the wholesale electric power system, with such authority delegated in part to regional reliability entities charged with enforcement of mandatory reliability standards for the region which they are responsible for overseeing.</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PURPA was passed in 1978 in large part to promote increased energy efficiency and development of independent power producers. The PURPA created QFs to further both goals, and FERC is primarily charged with administering the PURPA as it applies to QFs. QFs are exempt from certain regulations under the FPA.</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PUHCA provides FERC with certain authority over and access to books and records of public utility holding companies not otherwise exempt by virtue of their ownership of EWGs and QFs. The Company is exempt from many of the accounting, record retention, and reporting requirements of the PUHCA.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 number of regulations that may affect the Company are under review for potential revision or rescission in 2023. The Company will evaluate the impact of the legislation and regulations as they are revised but cannot fully predict the impact of each until anticipated revisions and legal challenges are resolved. To the extent that proposed legislation and new or revised regulations restrict or otherwise impact the Company’s operations, the proposed legislation and regulations could have a negative impact on the Company’s financial performance.</w:t>
      </w:r>
    </w:p>
    <w:p>
      <w:pPr>
        <w:spacing w:after="0" w:line="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Proposed Federal MBTA Incidental Take Legislation and Regulations </w:t>
      </w:r>
      <w:r>
        <w:rPr>
          <w:rFonts w:ascii="Times New Roman" w:cs="Times New Roman" w:eastAsia="Times New Roman" w:hAnsi="Times New Roman"/>
          <w:sz w:val="14"/>
          <w:szCs w:val="14"/>
          <w:color w:val="auto"/>
        </w:rPr>
        <w:t>— On October 4, 2021, U.S. Fish and Wildlife Service (FWS) issued the final MBTA rule, effective December 3,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restoring the MBTA to prohibit the incidental take of migratory birds. In 2021, FWS issued an advance notice of proposed rulemaking (ANPR) advising that it intends to gather information necessary to develop proposed regulations to authorize the incidental take of migratory birds under prescribed conditions and prepare a draft environmental review pursuant to the National Environmental Policy Act. Throughout 2022, FWS sought comments on the content of the proposed rule. The Company worked with renewable industry groups to provide comments on the proposed rule development. FWS is currently considering how to draft the rule and expects to issue the notice of proposed rulemaking early in 2023.</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Proposed Federal Eagle Incidental Take Permit Proposed Rule </w:t>
      </w:r>
      <w:r>
        <w:rPr>
          <w:rFonts w:ascii="Times New Roman" w:cs="Times New Roman" w:eastAsia="Times New Roman" w:hAnsi="Times New Roman"/>
          <w:sz w:val="14"/>
          <w:szCs w:val="14"/>
          <w:color w:val="auto"/>
        </w:rPr>
        <w:t>— On September 30, 2022, FWS published in the Federal Register a draft rule revising the eagle incidental take permit program.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Comments on the revised rule were due by the end of November 2022, but a 30-day extension was issued with final comments due by December 30, 2022. The Company worked with renewable industry groups to provide comments on the proposed rule in advance of the cut-off date. FWS is currently reviewing comments and it is not clear how the comments will be incorporated into the final rule or how FWS will structure the revisions to the eagle incidental take permit program.</w:t>
      </w:r>
    </w:p>
    <w:p>
      <w:pPr>
        <w:spacing w:after="0" w:line="9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Local California Air District Rules </w:t>
      </w:r>
      <w:r>
        <w:rPr>
          <w:rFonts w:ascii="Times New Roman" w:cs="Times New Roman" w:eastAsia="Times New Roman" w:hAnsi="Times New Roman"/>
          <w:sz w:val="14"/>
          <w:szCs w:val="14"/>
          <w:color w:val="auto"/>
        </w:rPr>
        <w:t>— Air districts have proposed updates to its respective rules to amend, as applicable, Best Available Control Technology criteria for stationary emissions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sources including gas turbines, Toxic Air Contaminant Health Risk reporting and general reporting requirements. Rulemaking in the Los Angeles Air Basin, as regulated by South Coast Air Quality Management District, or SCAQMD, continues to update command-and-control regulations that limit NOx emissions for stationary sources in preparation for sunsetting SCAQMD’s Regional Clean Air Market, or RECLAIM, NOx cap and trade program in the next few years. The Company’s conventional generation plants meet the district’s existing and proposed amendments to command-and-control regulations. Proposed updates to local California Air District Rules are not expected to affect the operations nor compliance of the Company’s conventional generation plants.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sells its electricity and environmental attributes, including RECs, primarily to local utilities under contractual arrangements. During the year ended December 31, 2022, the Company derived approximately 33% of its consolidated revenue from Southern California Edison, or SCE, and approximately 25% of its consolidated revenue from PG&amp;E.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2022, the Company had 58 employees. The Company also depends upon personnel of CEG for the provision of asset management, administration and O&amp;M services.</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focuses on attracting, developing and retaining a team of highly talented and motivated employees. The Company regularly conducts assessments of its compensation and benefit practices and pay levels to help ensure that staff members are compensated equitably and competitively. The Company devotes extensive resources to staff development and training, including tuition assistance for career-enhancing academic and professional programs. Employee performance is measured in part based on goals that are aligned with the Company’s annual objectives. The Company recognizes that its success is based on the talents and dedication of those it employs, and the Company is highly invested in their success.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is committed to maintaining a workplace that acknowledges, encourages, and values diversity and inclusion and provides its employees with unconscious bias training. The Company believes that individual differences, experiences, and strengths enrich the culture and fabric of its organization. Having employees with backgrounds and orientations that reflect a variety of viewpoints and experiences also helps the Company to better understand the needs of its customers and the communities in which it operates.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By leveraging the multitude of backgrounds and perspectives of its team and developing ongoing relationships with diverse vendors, the Company achieves a collective strength that enhances the workplace and makes the Company a better business partner to its customers and others with a stake in the Company’s success.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also has an Equity, Partnership &amp; Inclusion Council, or EPIC. As part of its commitment, the Company provides education on topics related to diversity, inclusion and equity. The Company identified three areas of focus: Our People, Our Product &amp; Customers and Our Purchasing. With the involvement of its employees, EPIC is advancing efforts in each of these areas to identify and implement opportunities for the Company to address equity, partnership and inclusion issues in its business activities.</w:t>
      </w:r>
    </w:p>
    <w:p>
      <w:pPr>
        <w:spacing w:after="0" w:line="91" w:lineRule="exact"/>
        <w:rPr>
          <w:sz w:val="20"/>
          <w:szCs w:val="20"/>
          <w:color w:val="auto"/>
        </w:rPr>
      </w:pPr>
    </w:p>
    <w:p>
      <w:pPr>
        <w:ind w:left="520"/>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Our People </w:t>
      </w:r>
      <w:r>
        <w:rPr>
          <w:rFonts w:ascii="Times New Roman" w:cs="Times New Roman" w:eastAsia="Times New Roman" w:hAnsi="Times New Roman"/>
          <w:sz w:val="14"/>
          <w:szCs w:val="14"/>
          <w:color w:val="auto"/>
        </w:rPr>
        <w:t>focuses on education and training; diversity, equity and inclusion policies and recruitment strategies; community and industry partnerships; and maintaining high employee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engagement and retention.</w:t>
      </w:r>
    </w:p>
    <w:p>
      <w:pPr>
        <w:spacing w:after="0" w:line="152" w:lineRule="exact"/>
        <w:rPr>
          <w:sz w:val="20"/>
          <w:szCs w:val="20"/>
          <w:color w:val="auto"/>
        </w:rPr>
      </w:pPr>
    </w:p>
    <w:p>
      <w:pPr>
        <w:ind w:left="520"/>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Our Product &amp; Customers </w:t>
      </w:r>
      <w:r>
        <w:rPr>
          <w:rFonts w:ascii="Times New Roman" w:cs="Times New Roman" w:eastAsia="Times New Roman" w:hAnsi="Times New Roman"/>
          <w:sz w:val="14"/>
          <w:szCs w:val="14"/>
          <w:color w:val="auto"/>
        </w:rPr>
        <w:t>focuses on pursuing opportunities that provide more equitable access to renewable energy for low-to-moderate income customers; supporting the diversity, equity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inclusion goals of the Company’s offtakers; and meaningfully representing that work in the external market.</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Our Purchasing </w:t>
      </w:r>
      <w:r>
        <w:rPr>
          <w:rFonts w:ascii="Times New Roman" w:cs="Times New Roman" w:eastAsia="Times New Roman" w:hAnsi="Times New Roman"/>
          <w:sz w:val="14"/>
          <w:szCs w:val="14"/>
          <w:color w:val="auto"/>
        </w:rPr>
        <w:t>focuses on establishing a non-discriminatory practices standard for the Company’s suppliers, diverse vendor sourcing and benchmarking.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ind w:right="880" w:firstLine="318"/>
        <w:spacing w:after="0" w:line="442" w:lineRule="auto"/>
        <w:rPr>
          <w:sz w:val="20"/>
          <w:szCs w:val="20"/>
          <w:color w:val="auto"/>
        </w:rPr>
      </w:pPr>
      <w:r>
        <w:rPr>
          <w:rFonts w:ascii="Times New Roman" w:cs="Times New Roman" w:eastAsia="Times New Roman" w:hAnsi="Times New Roman"/>
          <w:sz w:val="14"/>
          <w:szCs w:val="14"/>
          <w:color w:val="auto"/>
        </w:rPr>
        <w:t xml:space="preserve">In addition to the personnel of CEG, the Company relies on other third-party service providers in the daily operations of its conventional facilities and certain renewable facilities. </w:t>
      </w:r>
      <w:r>
        <w:rPr>
          <w:rFonts w:ascii="Times New Roman" w:cs="Times New Roman" w:eastAsia="Times New Roman" w:hAnsi="Times New Roman"/>
          <w:sz w:val="14"/>
          <w:szCs w:val="14"/>
          <w:b w:val="1"/>
          <w:bCs w:val="1"/>
          <w:color w:val="auto"/>
        </w:rPr>
        <w:t>Environmental, Social and Governance (ESG)</w:t>
      </w:r>
    </w:p>
    <w:p>
      <w:pPr>
        <w:spacing w:after="0" w:line="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committed to engaging with its stakeholders on environmental, social and governance, or ESG, matters in a proactive, holistic and integrated manner. The Company strives to provide recent, credible and comparable data to ESG agencies while engaging institutional investors and investor advocacy organizations around ESG issues. The Company’s Corporate Governance, Conflicts and Nominating Committee reviews developing trends and emerging ESG matters as well as the Company’s strategies, activities, policies and communications regarding ESG matters, and makes recommendations to the Company’s Board of Directors regarding potential actions by the Company.</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Aligned with the Company’s strategy of owning and acquiring environmentally-sound power generation assets, the Company has issued $2.1 billion of corporate green bonds under a green bond framework that applies the net proceeds to finance or refinance, in part or in full, new and existing projects and assets meeting certain criteria focused on the supply of energy from renewable resources, including solar energy and wind energy. The Company’s projects and alignment of its Green Bond Principles (2018) are reviewed by Sustainalytics, an outside consultant with recognized expertise in ESG research and analysis.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discussed in greater detail above, the Company has focused its diversity, equity and inclusion efforts in three areas: Our People, Our Product &amp; Customers and Our Purchasing – through its launch of EPIC. With the involvement of the Company’s employees, EPIC is advancing efforts in each of these areas to identify and implement opportunities for the Company to address equity, partnership and inclusion issues in its business activities.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Company’s annual reports on Form 10-K, quarterly reports on Form 10-Q, current reports on Form 8-K, and amendments to those reports filed or furnished pursuant to section 13(a) or 15(d) of the Exchange Act are available free of charge through the SEC’s website, www.sec.gov, and through the “Investor Relations” section of the Company’s website, </w:t>
      </w:r>
      <w:r>
        <w:rPr>
          <w:rFonts w:ascii="Times New Roman" w:cs="Times New Roman" w:eastAsia="Times New Roman" w:hAnsi="Times New Roman"/>
          <w:sz w:val="14"/>
          <w:szCs w:val="14"/>
          <w:i w:val="1"/>
          <w:iCs w:val="1"/>
          <w:color w:val="auto"/>
        </w:rPr>
        <w:t>www.clearwayenergy.com</w:t>
      </w:r>
      <w:r>
        <w:rPr>
          <w:rFonts w:ascii="Times New Roman" w:cs="Times New Roman" w:eastAsia="Times New Roman" w:hAnsi="Times New Roman"/>
          <w:sz w:val="14"/>
          <w:szCs w:val="14"/>
          <w:color w:val="auto"/>
        </w:rPr>
        <w:t>, as soon as reasonably practicable after they are electronically filed with, or furnished to, the SEC. The Company also routinely posts press releases, presentations, webcasts, and other information regarding the Company on its website. The information posted on the Company’s website is not a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3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color w:val="auto"/>
        </w:rPr>
        <w:t>The Company’s business is subject to numerous risks and uncertainties, discussed in more detail in the following section. These risks include among others, the following key risks: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106"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Company’s ability to grow and make acquisitions through cash on hand is limited.</w:t>
      </w:r>
    </w:p>
    <w:p>
      <w:pPr>
        <w:spacing w:after="0" w:line="17" w:lineRule="exact"/>
        <w:rPr>
          <w:rFonts w:ascii="Arial" w:cs="Arial" w:eastAsia="Arial" w:hAnsi="Arial"/>
          <w:sz w:val="16"/>
          <w:szCs w:val="16"/>
          <w:color w:val="auto"/>
        </w:rPr>
      </w:pPr>
    </w:p>
    <w:p>
      <w:pPr>
        <w:ind w:left="520" w:hanging="260"/>
        <w:spacing w:after="0" w:line="275"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13" w:lineRule="exact"/>
        <w:rPr>
          <w:rFonts w:ascii="Times New Roman" w:cs="Times New Roman" w:eastAsia="Times New Roman" w:hAnsi="Times New Roman"/>
          <w:sz w:val="14"/>
          <w:szCs w:val="14"/>
          <w:color w:val="auto"/>
        </w:rPr>
      </w:pPr>
    </w:p>
    <w:p>
      <w:pPr>
        <w:ind w:left="520" w:right="100" w:hanging="260"/>
        <w:spacing w:after="0" w:line="256" w:lineRule="auto"/>
        <w:tabs>
          <w:tab w:leader="none" w:pos="511"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13"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Company’s ability to effectively consummate future acquisitions will also depend on the Company’s ability to arrange the required or desired financing for acquisitions.</w:t>
      </w:r>
    </w:p>
    <w:p>
      <w:pPr>
        <w:spacing w:after="0" w:line="28"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Company’s indebtedness could adversely affect its ability to raise additional capital to fund the Company’s operations or pay dividends.</w:t>
      </w:r>
    </w:p>
    <w:p>
      <w:pPr>
        <w:spacing w:after="0" w:line="38" w:lineRule="exact"/>
        <w:rPr>
          <w:rFonts w:ascii="Arial" w:cs="Arial" w:eastAsia="Arial" w:hAnsi="Arial"/>
          <w:sz w:val="16"/>
          <w:szCs w:val="16"/>
          <w:color w:val="auto"/>
        </w:rPr>
      </w:pPr>
    </w:p>
    <w:p>
      <w:pPr>
        <w:ind w:left="520" w:right="220" w:hanging="260"/>
        <w:spacing w:after="0" w:line="253" w:lineRule="auto"/>
        <w:tabs>
          <w:tab w:leader="none" w:pos="511"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operation of electric generation facilities depends on suitable meteorological conditions and involves significant risks and hazards customary to the power industry that could have a material adverse effect on the Company’s business, financial condition, results of operations and cash flows. These facilities may operate without long-term power sales agreements.</w:t>
      </w:r>
    </w:p>
    <w:p>
      <w:pPr>
        <w:spacing w:after="0" w:line="18"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Maintenance, expansion and refurbishment of electric generation facilities involve significant risks that could result in unplanned power outages or reduced output.</w:t>
      </w:r>
    </w:p>
    <w:p>
      <w:pPr>
        <w:spacing w:after="0" w:line="28"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Supplier and/or customer concentration at certain of the Company’s facilities may expose the Company to significant financial credit or performance risks.</w:t>
      </w:r>
    </w:p>
    <w:p>
      <w:pPr>
        <w:spacing w:after="0" w:line="28" w:lineRule="exact"/>
        <w:rPr>
          <w:rFonts w:ascii="Arial" w:cs="Arial" w:eastAsia="Arial" w:hAnsi="Arial"/>
          <w:sz w:val="16"/>
          <w:szCs w:val="16"/>
          <w:color w:val="auto"/>
        </w:rPr>
      </w:pPr>
    </w:p>
    <w:p>
      <w:pPr>
        <w:ind w:left="520" w:right="260" w:hanging="260"/>
        <w:spacing w:after="0" w:line="264" w:lineRule="auto"/>
        <w:tabs>
          <w:tab w:leader="none" w:pos="511"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13" w:lineRule="exact"/>
        <w:rPr>
          <w:rFonts w:ascii="Arial" w:cs="Arial" w:eastAsia="Arial" w:hAnsi="Arial"/>
          <w:sz w:val="16"/>
          <w:szCs w:val="16"/>
          <w:color w:val="auto"/>
        </w:rPr>
      </w:pPr>
    </w:p>
    <w:p>
      <w:pPr>
        <w:ind w:left="520" w:right="600" w:hanging="260"/>
        <w:spacing w:after="0" w:line="253" w:lineRule="auto"/>
        <w:tabs>
          <w:tab w:leader="none" w:pos="511"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Company’s assets are exposed to risks inherent in the use of interest rate swaps and the Company may be exposed to additional risks in the future if it utilizes other derivative instruments.</w:t>
      </w:r>
    </w:p>
    <w:p>
      <w:pPr>
        <w:spacing w:after="0" w:line="7" w:lineRule="exact"/>
        <w:rPr>
          <w:rFonts w:ascii="Arial" w:cs="Arial" w:eastAsia="Arial" w:hAnsi="Arial"/>
          <w:sz w:val="16"/>
          <w:szCs w:val="16"/>
          <w:color w:val="auto"/>
        </w:rPr>
      </w:pPr>
    </w:p>
    <w:p>
      <w:pPr>
        <w:ind w:left="520" w:right="80" w:hanging="260"/>
        <w:spacing w:after="0" w:line="275"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own all of the land on which its power generation assets are located, which could result in disruption to its operations. The Company’s use and enjoyment of real property rights for its projects may be adversely affected by the rights of lienholders and leaseholders that are superior to those of the grantors of those real property rights to the Company.</w:t>
      </w:r>
    </w:p>
    <w:p>
      <w:pPr>
        <w:spacing w:after="0" w:line="13" w:lineRule="exact"/>
        <w:rPr>
          <w:rFonts w:ascii="Times New Roman" w:cs="Times New Roman" w:eastAsia="Times New Roman" w:hAnsi="Times New Roman"/>
          <w:sz w:val="14"/>
          <w:szCs w:val="14"/>
          <w:color w:val="auto"/>
        </w:rPr>
      </w:pPr>
    </w:p>
    <w:p>
      <w:pPr>
        <w:ind w:left="520" w:right="360" w:hanging="260"/>
        <w:spacing w:after="0" w:line="253" w:lineRule="auto"/>
        <w:tabs>
          <w:tab w:leader="none" w:pos="511"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Company’s businesses are subject to physical, market and economic risks relating to potential effects of climate change and public and governmental initiatives to address climate change.</w:t>
      </w:r>
    </w:p>
    <w:p>
      <w:pPr>
        <w:spacing w:after="0" w:line="18" w:lineRule="exact"/>
        <w:rPr>
          <w:rFonts w:ascii="Arial" w:cs="Arial" w:eastAsia="Arial" w:hAnsi="Arial"/>
          <w:sz w:val="16"/>
          <w:szCs w:val="16"/>
          <w:color w:val="auto"/>
        </w:rPr>
      </w:pPr>
    </w:p>
    <w:p>
      <w:pPr>
        <w:ind w:left="520" w:right="60" w:hanging="260"/>
        <w:spacing w:after="0" w:line="253" w:lineRule="auto"/>
        <w:tabs>
          <w:tab w:leader="none" w:pos="511"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Risks that are beyond the Company’s control, including but not limited to acts of terrorism or related acts of war, natural disaster, pandemics (such as the COVID-19 pandemic), inflation, supply chain disruptions, hostile cyber intrusions or other catastrophic events, could have a material adverse effect on the business, financial condition, results of operations and cash flows.</w:t>
      </w:r>
    </w:p>
    <w:p>
      <w:pPr>
        <w:spacing w:after="0" w:line="18"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operation of the Company’s businesses is subject to cyber-based security and integrity risk.</w:t>
      </w:r>
    </w:p>
    <w:p>
      <w:pPr>
        <w:spacing w:after="0" w:line="28" w:lineRule="exact"/>
        <w:rPr>
          <w:rFonts w:ascii="Arial" w:cs="Arial" w:eastAsia="Arial" w:hAnsi="Arial"/>
          <w:sz w:val="16"/>
          <w:szCs w:val="16"/>
          <w:color w:val="auto"/>
        </w:rPr>
      </w:pPr>
    </w:p>
    <w:p>
      <w:pPr>
        <w:ind w:left="500" w:hanging="240"/>
        <w:spacing w:after="0"/>
        <w:tabs>
          <w:tab w:leader="none" w:pos="500"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 relies on electric distribution and transmission facilities that it does not own or control and that are subject to transmission constraints within a number of the Company’s</w:t>
      </w:r>
    </w:p>
    <w:p>
      <w:pPr>
        <w:spacing w:after="0" w:line="28" w:lineRule="exact"/>
        <w:rPr>
          <w:rFonts w:ascii="Arial" w:cs="Arial" w:eastAsia="Arial" w:hAnsi="Arial"/>
          <w:sz w:val="16"/>
          <w:szCs w:val="16"/>
          <w:color w:val="auto"/>
        </w:rPr>
      </w:pPr>
    </w:p>
    <w:p>
      <w:pPr>
        <w:ind w:left="520" w:right="140"/>
        <w:spacing w:after="0" w:line="275" w:lineRule="auto"/>
        <w:rPr>
          <w:rFonts w:ascii="Arial" w:cs="Arial" w:eastAsia="Arial" w:hAnsi="Arial"/>
          <w:sz w:val="16"/>
          <w:szCs w:val="16"/>
          <w:color w:val="auto"/>
        </w:rPr>
      </w:pPr>
      <w:r>
        <w:rPr>
          <w:rFonts w:ascii="Times New Roman" w:cs="Times New Roman" w:eastAsia="Times New Roman" w:hAnsi="Times New Roman"/>
          <w:sz w:val="14"/>
          <w:szCs w:val="14"/>
          <w:color w:val="auto"/>
        </w:rPr>
        <w:t>regions. If these facilities fail to provide the Company with adequate transmission capacity, it may be restricted in its ability to deliver electric power to its customers and may either incur additional costs or forego revenues.</w:t>
      </w:r>
    </w:p>
    <w:p>
      <w:pPr>
        <w:spacing w:after="0" w:line="13" w:lineRule="exact"/>
        <w:rPr>
          <w:rFonts w:ascii="Arial" w:cs="Arial" w:eastAsia="Arial" w:hAnsi="Arial"/>
          <w:sz w:val="16"/>
          <w:szCs w:val="16"/>
          <w:color w:val="auto"/>
        </w:rPr>
      </w:pPr>
    </w:p>
    <w:p>
      <w:pPr>
        <w:ind w:left="520" w:right="560" w:hanging="260"/>
        <w:spacing w:after="0" w:line="253" w:lineRule="auto"/>
        <w:tabs>
          <w:tab w:leader="none" w:pos="511"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Company’s costs, results of operations, financial condition and cash flows could be adversely impacted by the disruption of the fuel supplies necessary to generate power at its conventional generation facilities.</w:t>
      </w:r>
    </w:p>
    <w:p>
      <w:pPr>
        <w:spacing w:after="0" w:line="18" w:lineRule="exact"/>
        <w:rPr>
          <w:rFonts w:ascii="Arial" w:cs="Arial" w:eastAsia="Arial" w:hAnsi="Arial"/>
          <w:sz w:val="16"/>
          <w:szCs w:val="16"/>
          <w:color w:val="auto"/>
        </w:rPr>
      </w:pPr>
    </w:p>
    <w:p>
      <w:pPr>
        <w:ind w:left="520" w:right="40" w:hanging="260"/>
        <w:spacing w:after="0" w:line="268" w:lineRule="auto"/>
        <w:tabs>
          <w:tab w:leader="none" w:pos="511" w:val="left"/>
        </w:tabs>
        <w:numPr>
          <w:ilvl w:val="0"/>
          <w:numId w:val="5"/>
        </w:numPr>
        <w:rPr>
          <w:rFonts w:ascii="Arial" w:cs="Arial" w:eastAsia="Arial" w:hAnsi="Arial"/>
          <w:sz w:val="16"/>
          <w:szCs w:val="16"/>
          <w:color w:val="auto"/>
        </w:rPr>
      </w:pPr>
      <w:r>
        <w:rPr>
          <w:rFonts w:ascii="Times New Roman" w:cs="Times New Roman" w:eastAsia="Times New Roman" w:hAnsi="Times New Roman"/>
          <w:sz w:val="14"/>
          <w:szCs w:val="14"/>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28" w:right="399" w:bottom="1440" w:gutter="0" w:footer="0" w:header="0"/>
        </w:sectPr>
      </w:pPr>
    </w:p>
    <w:bookmarkStart w:id="14" w:name="page15"/>
    <w:bookmarkEnd w:id="14"/>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potentially be adversely affected by emerging technologies that may over time impact capacity markets and the energy industry overall.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 with GIP, TotalEnergies and CEG</w:t>
      </w:r>
    </w:p>
    <w:p>
      <w:pPr>
        <w:spacing w:after="0" w:line="96" w:lineRule="exact"/>
        <w:rPr>
          <w:sz w:val="20"/>
          <w:szCs w:val="20"/>
          <w:color w:val="auto"/>
        </w:rPr>
      </w:pPr>
    </w:p>
    <w:p>
      <w:pPr>
        <w:ind w:left="520" w:right="60" w:hanging="260"/>
        <w:spacing w:after="0" w:line="268" w:lineRule="auto"/>
        <w:tabs>
          <w:tab w:leader="none" w:pos="516" w:val="left"/>
        </w:tabs>
        <w:numPr>
          <w:ilvl w:val="0"/>
          <w:numId w:val="7"/>
        </w:numPr>
        <w:rPr>
          <w:rFonts w:ascii="Arial" w:cs="Arial" w:eastAsia="Arial" w:hAnsi="Arial"/>
          <w:sz w:val="14"/>
          <w:szCs w:val="14"/>
          <w:color w:val="auto"/>
        </w:rPr>
      </w:pPr>
      <w:r>
        <w:rPr>
          <w:rFonts w:ascii="Times New Roman" w:cs="Times New Roman" w:eastAsia="Times New Roman" w:hAnsi="Times New Roman"/>
          <w:sz w:val="14"/>
          <w:szCs w:val="14"/>
          <w:color w:val="auto"/>
        </w:rPr>
        <w:t>GIP and TotalEnergies, through their equal ownership of CEG, the Company’s controlling stockholder, exercise substantial influence over the Company. The Company is highly dependent on GIP, TotalEnergies and CEG.</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CEG controls the Company and has the ability to designate a majority of the members of the Company’s Board.</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not be able to consummate future acquisitions from CEG.</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Times New Roman" w:cs="Times New Roman" w:eastAsia="Times New Roman" w:hAnsi="Times New Roman"/>
          <w:sz w:val="14"/>
          <w:szCs w:val="14"/>
          <w:color w:val="auto"/>
        </w:rPr>
        <w:t>The Company may be unable to terminate the CEG Master Services Agreement, in certain circumstances.</w:t>
      </w:r>
    </w:p>
    <w:p>
      <w:pPr>
        <w:spacing w:after="0" w:line="39" w:lineRule="exact"/>
        <w:rPr>
          <w:rFonts w:ascii="Arial" w:cs="Arial" w:eastAsia="Arial" w:hAnsi="Arial"/>
          <w:sz w:val="14"/>
          <w:szCs w:val="14"/>
          <w:color w:val="auto"/>
        </w:rPr>
      </w:pPr>
    </w:p>
    <w:p>
      <w:pPr>
        <w:ind w:left="520" w:right="300" w:hanging="260"/>
        <w:spacing w:after="0" w:line="268" w:lineRule="auto"/>
        <w:tabs>
          <w:tab w:leader="none" w:pos="516" w:val="left"/>
        </w:tabs>
        <w:numPr>
          <w:ilvl w:val="0"/>
          <w:numId w:val="7"/>
        </w:numPr>
        <w:rPr>
          <w:rFonts w:ascii="Arial" w:cs="Arial" w:eastAsia="Arial" w:hAnsi="Arial"/>
          <w:sz w:val="14"/>
          <w:szCs w:val="14"/>
          <w:color w:val="auto"/>
        </w:rPr>
      </w:pPr>
      <w:r>
        <w:rPr>
          <w:rFonts w:ascii="Times New Roman" w:cs="Times New Roman" w:eastAsia="Times New Roman" w:hAnsi="Times New Roman"/>
          <w:sz w:val="14"/>
          <w:szCs w:val="14"/>
          <w:color w:val="auto"/>
        </w:rPr>
        <w:t>If CEG terminates the CEG Master Services Agreement or defaults in the performance of its obligations under the agreement, the Company may be unable to contract with a substitute service provider on similar terms, or at all.</w:t>
      </w:r>
    </w:p>
    <w:p>
      <w:pPr>
        <w:ind w:left="520" w:right="600" w:hanging="260"/>
        <w:spacing w:after="0" w:line="286" w:lineRule="auto"/>
        <w:tabs>
          <w:tab w:leader="none" w:pos="516" w:val="left"/>
        </w:tabs>
        <w:numPr>
          <w:ilvl w:val="0"/>
          <w:numId w:val="7"/>
        </w:numPr>
        <w:rPr>
          <w:rFonts w:ascii="Arial" w:cs="Arial" w:eastAsia="Arial" w:hAnsi="Arial"/>
          <w:sz w:val="14"/>
          <w:szCs w:val="14"/>
          <w:color w:val="auto"/>
        </w:rPr>
      </w:pPr>
      <w:r>
        <w:rPr>
          <w:rFonts w:ascii="Times New Roman" w:cs="Times New Roman" w:eastAsia="Times New Roman" w:hAnsi="Times New Roman"/>
          <w:sz w:val="14"/>
          <w:szCs w:val="14"/>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9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Company’s business is subject to restrictions resulting from environmental, health and safety laws and regulations.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line="253" w:lineRule="auto"/>
        <w:tabs>
          <w:tab w:leader="none" w:pos="511" w:val="left"/>
        </w:tabs>
        <w:numPr>
          <w:ilvl w:val="0"/>
          <w:numId w:val="8"/>
        </w:numPr>
        <w:rPr>
          <w:rFonts w:ascii="Arial" w:cs="Arial" w:eastAsia="Arial" w:hAnsi="Arial"/>
          <w:sz w:val="16"/>
          <w:szCs w:val="16"/>
          <w:color w:val="auto"/>
        </w:rPr>
      </w:pPr>
      <w:r>
        <w:rPr>
          <w:rFonts w:ascii="Times New Roman" w:cs="Times New Roman" w:eastAsia="Times New Roman" w:hAnsi="Times New Roman"/>
          <w:sz w:val="14"/>
          <w:szCs w:val="14"/>
          <w:color w:val="auto"/>
        </w:rPr>
        <w:t>The electric generation business is subject to substantial governmental regulation, including environmental laws, and may be adversely affected by changes in laws or regulations, as well as liability under, or any future inability to comply with, existing or future regulations or other legal requirements.</w:t>
      </w:r>
    </w:p>
    <w:p>
      <w:pPr>
        <w:spacing w:after="0" w:line="7" w:lineRule="exact"/>
        <w:rPr>
          <w:rFonts w:ascii="Arial" w:cs="Arial" w:eastAsia="Arial" w:hAnsi="Arial"/>
          <w:sz w:val="16"/>
          <w:szCs w:val="16"/>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business is subject to complex and evolving U.S. laws and regulations regarding privacy and data protection.</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regulations providing incentives for renewable power generation could change at any time and such changes may negatively impact the Company’s growth strategy.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Common Stock</w:t>
      </w:r>
    </w:p>
    <w:p>
      <w:pPr>
        <w:spacing w:after="0" w:line="96" w:lineRule="exact"/>
        <w:rPr>
          <w:sz w:val="20"/>
          <w:szCs w:val="20"/>
          <w:color w:val="auto"/>
        </w:rPr>
      </w:pPr>
    </w:p>
    <w:p>
      <w:pPr>
        <w:ind w:left="520" w:right="140" w:hanging="260"/>
        <w:spacing w:after="0" w:line="263" w:lineRule="auto"/>
        <w:tabs>
          <w:tab w:leader="none" w:pos="516"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color w:val="auto"/>
        </w:rPr>
        <w:t>The Company may not be able to continue paying comparable or growing cash dividends to holders of its common stock in the future. The Company is a holding company and its only material asset is its interest in Clearway Energy LLC, and the Company is accordingly dependent upon distributions from Clearway Energy LLC and its subsidiaries to pay dividends and taxes and other expenses.</w:t>
      </w:r>
    </w:p>
    <w:p>
      <w:pPr>
        <w:ind w:left="520" w:hanging="260"/>
        <w:spacing w:after="0"/>
        <w:tabs>
          <w:tab w:leader="none" w:pos="520"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color w:val="auto"/>
        </w:rPr>
        <w:t>Market interest rates may have an effect on the value of the Company’s Class A and Class C common stock.</w:t>
      </w:r>
    </w:p>
    <w:p>
      <w:pPr>
        <w:spacing w:after="0" w:line="39" w:lineRule="exact"/>
        <w:rPr>
          <w:rFonts w:ascii="Arial" w:cs="Arial" w:eastAsia="Arial" w:hAnsi="Arial"/>
          <w:sz w:val="14"/>
          <w:szCs w:val="14"/>
          <w:color w:val="auto"/>
        </w:rPr>
      </w:pPr>
    </w:p>
    <w:p>
      <w:pPr>
        <w:ind w:left="520" w:right="160" w:hanging="260"/>
        <w:spacing w:after="0" w:line="276" w:lineRule="auto"/>
        <w:tabs>
          <w:tab w:leader="none" w:pos="516"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color w:val="auto"/>
        </w:rPr>
        <w:t>Market volatility and reports by securities and industry analysts may affect the price of the Company’s Class A and Class C common stock, and the future issuance of additional shares of common stock or sales of common stock by CEG may cause dilution of investors’ ownership interest or cause the price of the Company’s Class A or Class C common stock to fall.</w:t>
      </w:r>
    </w:p>
    <w:p>
      <w:pPr>
        <w:ind w:left="520" w:right="480" w:hanging="260"/>
        <w:spacing w:after="0" w:line="286" w:lineRule="auto"/>
        <w:tabs>
          <w:tab w:leader="none" w:pos="516"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96" w:lineRule="exact"/>
        <w:rPr>
          <w:sz w:val="20"/>
          <w:szCs w:val="20"/>
          <w:color w:val="auto"/>
        </w:rPr>
      </w:pPr>
    </w:p>
    <w:p>
      <w:pPr>
        <w:ind w:left="520" w:right="440" w:hanging="260"/>
        <w:spacing w:after="0" w:line="268"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4"/>
          <w:szCs w:val="14"/>
          <w:color w:val="auto"/>
        </w:rPr>
        <w:t>The Company’s ability to use NOLs to offset future income may be limited.</w:t>
      </w:r>
    </w:p>
    <w:p>
      <w:pPr>
        <w:spacing w:after="0" w:line="3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4"/>
          <w:szCs w:val="14"/>
          <w:color w:val="auto"/>
        </w:rPr>
        <w:t>A valuation allowance may be required for the Company’s deferred tax assets.</w:t>
      </w:r>
    </w:p>
    <w:p>
      <w:pPr>
        <w:spacing w:after="0" w:line="3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Times New Roman" w:cs="Times New Roman" w:eastAsia="Times New Roman" w:hAnsi="Times New Roman"/>
          <w:sz w:val="14"/>
          <w:szCs w:val="14"/>
          <w:color w:val="auto"/>
        </w:rPr>
        <w:t>Distributions to holders of the Company’s Class A and Class C common stock may be taxable.</w:t>
      </w:r>
    </w:p>
    <w:p>
      <w:pPr>
        <w:spacing w:after="0" w:line="29" w:lineRule="exact"/>
        <w:rPr>
          <w:rFonts w:ascii="Arial" w:cs="Arial" w:eastAsia="Arial" w:hAnsi="Arial"/>
          <w:sz w:val="14"/>
          <w:szCs w:val="14"/>
          <w:color w:val="auto"/>
        </w:rPr>
      </w:pPr>
    </w:p>
    <w:p>
      <w:pPr>
        <w:ind w:left="520" w:right="26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30"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Business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Pursuant to the Company’s cash dividend policy, the Company intends to distribute a significant amount of the CAFD through regular quarterly distributions and dividends, and the Company’s ability to grow and make acquisitions through cash on hand is limited.</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expects to distribute a significant amount of the CAFD each quarter and to rely primarily upon external financing sources, including the issuance of debt and equity securities and, if applicable, borrowings under the Company’s revolving credit facility to fund acquisitions and growth capital expenditures. The Company may be precluded from pursuing otherwise attractive acquisitions if the projected short-term cash flow from the acquisition or investment is not adequate to service the capital raised to fund the acquisition or investment, after giving effect to the Company’s available cash reserves. To the extent the Company issues additional equity securities in connection with any acquisitions or growth capital expenditures, the payment of dividends on these additional equity securities may increase the risk that the Company will be unable to maintain or increase its per share dividend. The incurrence of bank borrowings or other debt by Clearway Energy Operating LLC or by the Company’s project-level subsidiaries to finance the Company’s growth strategy will result in increased interest expense and the imposition of additional or more restrictive covenants, which, in turn, may impact the cash distributions the Company receives to distribute to holders of the Company’s common stock.</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may not be able to effectively identify or consummate any future acquisitions on favorable terms, or at all, and future acquisitions may not be accretive as a result of incorrect assumptions in the Company’s evaluation of such acquisitions, unforeseen consequences or other external events beyond the Company’s control.</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business strategy includes growth through the acquisitions of additional generation assets (including through corporate acquisitions). This strategy depends on the Company’s ability to successfully identify and evaluate acquisition opportunities and consummate acquisitions on favorable terms. However, the number of acquisition opportunities is limited. In addition, the Company will compete with other companies for these limited acquisition opportunities, which may increase the Company’s cost of making acquisitions or cause the Company to refrain from making acquisitions at all. Some of the Company’s competitors for acquisitions are much larger than the Company with substantially greater resources. These companies may be able to pay more for acquisitions and may be able to identify, evaluate, bid for and purchase a greater number of assets than the Company’s financial or human resources permit. If the Company is unable to identify and consummate future acquisitions, it will impede the Company’s ability to execute its growth strategy and limit the Company’s ability to increase the amount of dividends paid to holders of the Company’s common stock.</w:t>
      </w:r>
    </w:p>
    <w:p>
      <w:pPr>
        <w:spacing w:after="0" w:line="10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ability to acquire future renewable facilities may depend on the viability of renewable assets generally. These assets currently are largely contingent on public policy mechanisms including ITCs, cash grants, loan guarantees, accelerated depreciation, RPS and carbon trading plans. These mechanisms have been implemented at the state and federal levels to support the development of renewable generation, demand-side and smart grid and other clean infrastructure technologies. The availability and continuation of public policy support mechanisms will drive a significant part of the economics and viability of the Company’s growth strategy and expansion into clean energy investments.</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acquisition of companies and assets are subject to substantial risks, including the failure to identify material problems during due diligence (for which the Company may not be indemnified post-closing) and the risk of overpaying for assets (or not making acquisitions on an accretive basis). The integration and consolidation of acquisitions requires substantial human, financial and other resources and, ultimately, the Company’s acquisitions may divert management’s attention from the Company’s existing business concerns, disrupt the Company’s ongoing business or not be successfully integrated. There can be no assurances that any future acquisitions will perform as expected or that the returns from such acquisitions will support the financing utilized to acquire them or maintain them. A failure to achieve the financial returns the Company expects when it acquires generation assets could have a material adverse effect on the Company’s ability to grow its business and make cash distributions to its stockholders. Any failure of the Company’s acquired generation assets to be accretive or difficulty in integrating such acquisition into the Company’s business could have a material adverse effect on the Company’s ability to grow its business and make cash distributions to its stockholders. As a result, the consummation of acquisitions could have a material adverse effect on the Company’s business, financial condition, results of operations, cash flows and ability to pay dividends to holders of the Company’s common stock.</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Counterparties to the Company’s offtake agreements may not fulfill their obligations and, as the contracts expire, the Company may not be able to replace them with agreements on similar terms in light of increasing competition in the markets in which the Company operates.</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 significant portion of the electric power the Company generates is sold under long-term offtake agreements with public utilities or industrial or commercial end-users, with a weighted average remaining duration, based on CAFD, of approximately 11 years. As of December 31, 2022, the largest customers of the Company’s power generation assets, including assets in which the Company has less than a 100% membership interest, were SCE and PG&amp;E, which represented 33% and 25%, respectively, of total consolidated revenues generated by the Company during the year ended December 31, 2022.</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If, for any reason, any of the purchasers of power under these agreements are unable or unwilling to fulfill their related contractual obligations or if they refuse to accept delivery of power delivered thereunder or if they otherwise terminate such agreements prior to the expiration thereof, the Company’s assets, liabilities, business, financial condition, results of operations and cash flows could be materially and adversely affected. Furthermore, to the extent any of the Company’s power purchasers are, or are controlled by, governmental entities, the Company’s facilities may be subject to legislative or other political action that may impair their contractual performance.</w:t>
      </w:r>
    </w:p>
    <w:p>
      <w:pPr>
        <w:spacing w:after="0" w:line="9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power generation industry is characterized by intense competition and the Company’s electric generation assets encounter competition from utilities, industrial companies and independent power producers, in particular with respect to uncontracted output. In recent years, there has been increasing competition among generators for offtake agreements and this has contributed to a reduction in electricity prices in certain markets characterized by excess supply above designated reserve margins. In light of these market conditions, the Company may not be able to replace an expiring or terminated agreement with an agreement on equivalent terms and conditions, including at prices that permit operation of the related facility on a profitable basis. In addition, the Company believes many of its competitors have well-established relationships with the Company’s current and potential suppliers, lenders and customers, and have extensive knowledge of its target markets. As a result, these competitors may be able to respond more quickly than the Company to evolving industry standards and changing customer requirements. The adoption of more advanced technology could reduce its competitors’ power production costs resulting in their having a lower cost structure than is achievable with the technologies currently employed by the Company and adversely affect its ability to compete for offtake agreement renewals. If the Company is unable to replace an expiring or terminated offtake agreement, the affected facility may temporarily or permanently cease operations. External events, such as a severe economic downturn or force majeure events, could also impair the ability of some counterparties to the Company’s offtake agreements and other customer agreements to pay for energy and/or other products and services received.</w:t>
      </w:r>
    </w:p>
    <w:p>
      <w:pPr>
        <w:spacing w:after="0" w:line="10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inability to enter into new or replacement offtake agreements or to compete successfully against current and future competitors in the markets in which the Company operates could have a material adverse effect on the Company’s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effectively consummate future acquisitions will also depend on the Company’s ability to arrange the required or desired financing for acquisitions.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may not have sufficient availability under the Company’s credit facilities or have access to project-level financing on commercially reasonable terms when acquisition opportunities arise. An inability to obtain the required or desired financing could significantly limit the Company’s ability to consummate future acquisitions and effectuate the Company’s growth strategy. If financing is available, utilization of the Company’s credit facilities or project-level financing for all or a portion of the purchase price of an acquisition could significantly increase the Company’s interest expense, impose additional or more restrictive covenants and reduce CAFD. Similarly, the issuance of additional equity securities as consideration for acquisitions could cause significant stockholder dilution and reduce the Company’s dividends if the acquisitions are not sufficiently accretive. The Company’s ability to consummate future acquisitions may also depend on the Company’s ability to obtain any required regulatory approvals for such acquisitions.</w:t>
      </w:r>
    </w:p>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Company’s indebtedness could adversely affect its ability to raise additional capital to fund the Company’s operations or pay dividends. It could also expose the Company to the risk of increased interest rates and limit the Company’s ability to react to changes in the economy or the Company’s industry as well as impact the Company’s results of operations, financial condition and cash flows.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December 31, 2022, the Company had approximately $6,870 million of total consolidated indebtedness, $4,745 million of which was incurred by the Company’s non-guarantor subsidiaries. In addition, the Company’s share of its unconsolidated affiliates’ total indebtedness and letters of credit outstanding as of December 31, 2022, totaled approximately $325 million and $37 million, respectively (calculated as the Company’s unconsolidated affiliates’ total indebtedness as of such date multiplied by the Company’s percentage membership interest in such assets).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4"/>
          <w:szCs w:val="14"/>
          <w:color w:val="auto"/>
        </w:rPr>
        <w:t>The Company’s substantial debt could have important negative consequences on the Company’s financial condition, including:</w:t>
      </w:r>
    </w:p>
    <w:p>
      <w:pPr>
        <w:spacing w:after="0" w:line="94"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Company’s vulnerability to general economic and industry conditions;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the Company’s cash flow from operations to be dedicated to the payment of principal and interest on the Company’s indebtedness, therefore reducing the Company’s ability to pay dividends to holders of the Company’s capital stock (including the Class A and Class C common stock) or to use the Company’s cash flow to fund its operations, capital expenditures and future business opportunities;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enter into long-term power sales or fuel purchases which require credit support;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fund operations or future acquisitions;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Company’s ability to make certain distributions with respect to the Company’s capital stock (including the Class A and Class C common stock) and the ability of the Company’s subsidiaries to make certain distributions to it, in light of restricted payment and other financial covenants in the Company’s credit facilities and other financing agreements;</w:t>
      </w: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the Company to the risk of increased interest rates because certain of the Company’s borrowings, which may include borrowings under the Company’s revolving credit facility, are at variable rates of interest;</w:t>
      </w:r>
    </w:p>
    <w:p>
      <w:pPr>
        <w:ind w:left="52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obtain additional financing for working capital including collateral postings, capital expenditures, debt service requirements, acquisitions and general corporate or other purposes; and</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the Company’s ability to adjust to changing market conditions and placing it at a competitive disadvantage compared to the Company’s competitors who have less debt.</w:t>
      </w:r>
    </w:p>
    <w:p>
      <w:pPr>
        <w:spacing w:after="0" w:line="13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revolving credit facility contains financial and other restrictive covenants that limit the Company’s ability to return capital to stockholders or otherwise engage in activities that may be in the Company’s long-term best interests. The Company’s inability to satisfy certain financial covenants could prevent the Company from paying cash dividends,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financial condition, results of operations and cash flows. In addition, failure to comply with such covenants may entitle the related lenders to demand repayment and accelerate all such indebtedness.</w:t>
      </w:r>
    </w:p>
    <w:p>
      <w:pPr>
        <w:spacing w:after="0" w:line="10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agreements governing the Company’s project-level financing contain financial and other restrictive covenants that limit the Company’s project subsidiaries’ ability to make distributions to the Company or otherwise engage in activities that may be in the Company’s long-term best interests. The project-level financing agreements generally prohibit distributions from the project entities to the Company unless certain specific conditions are met, including the satisfaction of certain financial ratios. The Company’s inability to satisfy certain financial covenants may prevent cash distributions by the particular project(s) to it and, the Company’s failure to comply with those and other covenants could result in an event of default which, if not cured or waived may entitle the related lenders to demand repayment or enforce their security interests, which could have a material adverse effect on the Company’s business, results of operations and financial condition. In addition, failure to comply with such covenants may entitle the related lenders to demand repayment and accelerate all such indebtedness. If the Company is unable to make distributions from the Company’s project-level subsidiaries, it would likely have a material adverse effect on the Company’s ability to pay dividends to holders of the Company’s common stock.</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Letter of credit facilities to support project-level contractual obligations generally have a limited term that may require future renewal, at which time the Company or relevant project-level subsidiary will need to satisfy applicable financial ratios and covenants. If the Company is unable to renew the Company’s letters of credit as expected or replace them with letters of credit under different facilities on favorable terms or at all, the Company may experience a material adverse effect on its business, financial condition, results of operations and cash flows. Furthermore, such inability may constitute a default under certain project-level financing arrangements, restrict the ability of the project-level subsidiary to make distributions to it and/or reduce the amount of cash available at such subsidiary to make distributions to the Company.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ind w:firstLine="318"/>
        <w:spacing w:after="0" w:line="287" w:lineRule="auto"/>
        <w:rPr>
          <w:sz w:val="20"/>
          <w:szCs w:val="20"/>
          <w:color w:val="auto"/>
        </w:rPr>
      </w:pPr>
      <w:r>
        <w:rPr>
          <w:rFonts w:ascii="Times New Roman" w:cs="Times New Roman" w:eastAsia="Times New Roman" w:hAnsi="Times New Roman"/>
          <w:sz w:val="14"/>
          <w:szCs w:val="14"/>
          <w:color w:val="auto"/>
        </w:rPr>
        <w:t>In addition, the Company’s ability to arrange financing, either at the corporate level or at a non-recourse project-level subsidiary, and the costs of such capital, are dependent on numerous factors, including:</w:t>
      </w:r>
    </w:p>
    <w:p>
      <w:pPr>
        <w:spacing w:after="0" w:line="39" w:lineRule="exact"/>
        <w:rPr>
          <w:sz w:val="20"/>
          <w:szCs w:val="20"/>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capital market conditions;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availability from banks and other financial institutions;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the Company, its partners, GIP and TotalEnergies, through CEG, the Company’s principal stockholder (on a combined voting basis), and the regional wholesale power markets;</w:t>
      </w: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financial performance and the financial performance of the Company subsidiaries;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level of indebtedness and compliance with covenants in debt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acceptable project credit ratings or credit quality;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flow;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tax and securities laws that may impact raising capital.</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may not be successful in obtaining additional capital for these or other reasons. Furthermore, the Company may be unable to refinance or replace project-level financing arrangements or other credit facilities on favorable terms or at all upon the expiration or termination thereof. The Company’s failure, or the failure of any of the Company’s projects, to obtain additional capital or enter into new or replacement financing arrangements when due may constitute a default under such existing indebtedness and may have a material adverse effect on the Company’s business, financial condition, results of operations and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the Company’s long-term bilateral contracts result from state-mandated procurements and could be declared invalid by a court of competent jurisdiction.</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 portion of the Company’s revenues are derived from long-term bilateral contracts with utilities that are regulated by their respective states and have been entered into pursuant to certain state programs. Certain long-term contracts that other companies have with state-regulated utilities have been challenged in federal court and have been declared unconstitutional on the grounds that the rate for energy and capacity established by the contracts impermissibly conflicts with the rate for energy and capacity established by FERC pursuant to the FPA. If certain of the Company’s state-mandated agreements with utilities are ever held to be invalid or unenforceable due to the financial conditions or other conditions of such utility, the Company may be unable to replace such contracts, which could have a material adverse effect on the Company’s business, financial condition, results of operations and cash flows.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generation of electric energy from solar and wind energy sources depends heavily on suitable meteorological conditions.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If solar or wind conditions are unfavorable, the Company’s electricity generation and revenue from renewable generation facilities may be substantially below the Company’s expectations. The electricity produced and revenues generated by a solar or wind energy generation facility is highly dependent on suitable solar or wind conditions, as applicable, and associated weather conditions, which are beyond the Company’s control. Disruption in the generation of solar or wind energy could limit a facility’s ability to generate electricity at its desired level. Should a generation facility fail to perform at the required levels, or other unplanned disruptions occur, the facility may be forced to fulfill an underlying contractual obligation by purchasing electricity at higher prices. In addition, the Company’s facilities may be exposed, based on specific contractual terms, to a locational basis risk resulting from a difference in the price received for generation sold at the location where the power is generated and the price paid for generation purchased at the contracted delivery point, which could lead to potential lower revenues in circumstances where the price received is lower than the price that is paid. Furthermore, components of the Company’s systems, such as solar panels and inverters, could be damaged by severe weather, such as wildfires, hailstorms, lightning, tornadoes or freezing temperatures and other winter weather conditions. In addition, replacement and spare parts for key components may be difficult or costly to acquire or may be unavailable. Unfavorable weather and atmospheric conditions could impair the effectiveness of the Company’s assets or reduce their output beneath their rated capacity or require shutdown of key equipment, impeding operation of the Company’s renewable assets. For example, in February 2021, the Company’s wind projects in Texas were unable to operate and experienced outages for a few days as a result of the extreme winter weather conditions. In addition, climate change may have the long-term effect of changing wind patterns at the Company’s projects. Changing wind patterns could cause changes in expected electricity generation. These events could also degrade equipment or components and the interconnection and transmission facilities’ lives or maintenance costs.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Although the Company bases its investment decisions with respect to each renewable generation facility on the findings of related wind and solar studies conducted on-site prior to construction or based on historical conditions at existing facilities, actual climatic conditions at a facility site, particularly wind conditions, may not conform to the findings of these studies and may be affected by variations in weather patterns, including any potential impact of climate change. Therefore, the Company’s solar and wind energy facilities may not meet anticipated production levels or the rated capacity of the Company’s generation assets, which could adversely affect the Company’s business, financial condition, results of operations and cash flows.</w:t>
      </w:r>
    </w:p>
    <w:p>
      <w:pPr>
        <w:spacing w:after="0" w:line="9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Operation of electric generation facilities involves significant risks and hazards customary to the power industry that could have a material adverse effect on the Company’s business, financial condition, results of operations and cash flows.</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ongoing operation of the Company’s facilities involves risks that include the breakdown or failure of equipment or processes or performance below expected levels of output or efficiency due to wear and tear, latent defect, design error or operator error or force majeure events, among other things. The Company’s facilities are subject to the risks inherent with power generation facilities, including, but not limited to, degradation of equipment in excess of the Company’s expectations, system failures and outages, which could impair the ability of the facilities to meet the Company’s performance expectations. Operation of the Company’s facilities also involves risks that the Company will be unable to transport its products to its customers in an efficient manner due to a lack of transmission capacity. Unplanned outages of generating units, including extensions of scheduled outages due to mechanical failures or other problems, occur from time to time and are an inherent risk of the business. Unplanned outages typically increase operation and maintenance expenses, capital expenditures and may reduce revenues as a result of selling fewer MWh or require the Company to incur significant costs as a result of obtaining replacement power from third parties in the open market to satisfy forward power sales obligations. The Company’s inability to operate its electric generation assets efficiently, manage capital expenditures and costs and generate earnings and cash flow from the Company’s asset-based businesses could have a material adverse effect on the Company’s business, financial condition, results of operations and cash flows. While the Company maintains insurance, obtains warranties from vendors and obligates contractors to meet certain performance levels, the proceeds of such insurance, warranties or performance guarantees may not cover the Company’s lost revenues, increased expenses or liquidated damages payments should it experience equipment breakdown or non-performance by contractors or vendors. The Company maintains an amount of insurance protection that it considers adequate but cannot provide any assurance that the Company’s insurance will be sufficient or effective under all circumstances and against all hazards or liabilities to which the Company may be subject. Furthermore, the Company’s insurance coverage is subject to deductibles, caps, exclusions and other limitations. A loss for which the Company is not fully insured (which may include a significant judgment against any facility or facility operator) could have a material adverse effect on the Company’s business, financial condition, results of operations or cash flows. Further, due to rising insurance costs and changes in the insurance markets, the Company cannot provide any assurance that its insurance coverage will continue to be available at all or at rates or on terms similar to those presently available. Any losses not covered by insurance could have a material adverse effect on the Company’s business, financial condition, results of operations and cash flows.</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Power generation involves hazardous activities, including acquiring, transporting and unloading fuel, operating large pieces of rotating equipment and delivering electricity to transmission and distribution systems. In addition to natural risks such as earthquake, flood, lightning, hurricane and wind, other hazards, such as fire, explosion, structural collapse and machinery failure are inherent risks in the Company’s operations. These and other hazards can cause significant personal injury or loss of life, severe damage to and destruction of property, plant and equipment and contamination of, or damage to, the environment and suspension of operations. To the extent an event was not covered by insurance policies, such incidents could subject the Company to substantial liabilities arising from emergency response, environmental cleanup and restoration costs, claims made by neighboring landowners and other third parties for personal injury and property damage, and fines or penalties for any related violations of environmental laws or regulations.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facilities may operate, wholly or partially, without long-term power sales agreements.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operate without long-term power sales agreements for some or all of their generating capacity and output and therefore be exposed to market fluctuations. Without the benefit of long-term power sales agreements for the facilities, the Company cannot be sure that it will be able to sell any or all of the power generated by the facilities at commercially attractive rates or that the facilities will be able to operate profitably. This could lead to less predictable revenues, future impairments of the Company’s property, plant and equipment or to the closing of certain of its facilities, resulting in economic losses and liabilities, which could have a material adverse effect on the Company’s results of operations, financial condition or cash flows.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Maintenance, expansion and refurbishment of electric generation facilities involve significant risks that could result in unplanned power outages or reduced output.</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Company’s facilities may require periodic upgrading and improvement. Any unexpected operational or mechanical failure, including failure associated with breakdowns and forced outages, could reduce the Company’s facilities’ generating capacity below expected levels, reducing the Company’s revenues and jeopardizing the Company’s ability to pay dividends to holders of its common stock at expected levels or at all. Degradation of the performance of the Company’s solar facilities above levels provided for in the related offtake agreements may also reduce the Company’s revenues. Unanticipated capital expenditures associated with maintaining, upgrading or repairing the Company’s facilities may also reduce profitability.</w:t>
      </w:r>
    </w:p>
    <w:p>
      <w:pPr>
        <w:spacing w:after="0" w:line="9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If the Company makes any major modifications to its conventional power generation facilities, it may be required to install the best available control technology or to achieve the lowest achievable emission rates as such terms are defined under the new source review provisions of the Clean Air Act in the future. Any such modifications could likely result in substantial additional capital expenditures. The Company may also choose to repower, refurbish or upgrade its facilities based on its assessment that such activity will provide adequate financial returns. Such facilities require time for development and capital expenditures before commencement of commercial operations, and key assumptions underpinning a decision to make such an investment may prove incorrect, including assumptions regarding construction costs, timing, available financing and future fuel and power prices. These events could have a material adverse effect on the Company’s business, financial condition, results of operations and cash flows.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and/or customer concentration at certain of the Company’s facilities may expose the Company to significant financial credit or performance risks.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often relies on a single contracted supplier or a small number of suppliers for the provision of fuel, transportation of fuel, equipment, technology and/or other services required for the operation of certain facilities. In addition, certain of the Company’s suppliers provide long-term warranties with respect to the performance of their products or services. If any of these suppliers cannot perform under their agreements with the Company, or satisfy their related warranty obligations, the Company will need to utilize the marketplace to provide or repair these products and services. There can be no assurance that the marketplace can provide these products and services as, when and where required. The Company may not be able to enter into replacement agreements on favorable terms or at all. If the Company is unable to enter into replacement agreements to provide for fuel, equipment, technology and other required services, it would seek to purchase the related goods or services at market prices, exposing the Company to market price volatility and the risk that fuel and transportation may not be available during certain periods at any price. The Company may also be required to make significant capital contributions to remove, replace or redesign equipment that cannot be supported or maintained by replacement suppliers, which could have a material adverse effect on the business, financial condition, results of operations, credit support terms and cash flows.</w:t>
      </w:r>
    </w:p>
    <w:p>
      <w:pPr>
        <w:spacing w:after="0" w:line="10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potential or existing customers at the Company’s district energy centers and combined heat and power plants, or the Energy Centers, may opt for on-site systems in lieu of using the Company’s Energy Centers, either due to corporate policies regarding the allocation of capital, unique situations where an on-site system might in fact prove more efficient, because of previously committed capital in systems that are already on-site, or otherwise. At times, the Company relies on a single customer or a few customers to purchase all or a significant portion of a facility’s output, in some cases under long-term agreements that account for a substantial percentage of the anticipated revenue from a given facility.</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failure of any supplier to fulfill its contractual obligations to the Company or the Company’s loss of potential or existing customers could have a material adverse effect on its financial results. Consequently, the financial performance of the Company’s facilities is dependent on the credit quality of, and continued performance by, the Company’s suppliers and vendors and the Company’s ability to solicit and retain customers.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1" w:name="page22"/>
    <w:bookmarkEnd w:id="21"/>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currently owns, and in the future may acquire, certain assets in which the Company has limited control over management decisions and its interests in such assets may be subject to transfer or other related restrictions.</w:t>
      </w:r>
    </w:p>
    <w:p>
      <w:pPr>
        <w:spacing w:after="0" w:line="7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 xml:space="preserve">As described in Item 15 —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Company has limited control over the operation of certain of its assets, because the Company beneficially owns less than a majority of the membership interests in such assets. The Company may seek to acquire additional assets in which it owns less than a majority of the related membership interests in the future. In these investments, the Company will seek to exert a degree of influence with respect to the management and operation of assets in which it owns less than a majority of the membership interests by negotiating to obtain positions on management committees or to receive certain limited governance rights, such as rights to veto significant actions. However, the Company may not always succeed in such negotiations. The Company may be dependent on its co-venturers to operate such assets. The Company’s co-venturers may not have the level of experience, technical expertise, human resources management and other attributes necessary to operate these assets optimally. In addition, conflicts of interest may arise in the future between the Company and its stockholders, on the one hand, and the Company’s co-venturers, on the other hand, where the Company’s co-venturers’ business interests are inconsistent with the interests of the Company and its stockholders. Further, disagreements or disputes between the Company and its co-venturers could result in litigation, which could increase expenses and potentially limit the time and effort the Company’s officers and directors are able to devote to the business.</w:t>
      </w:r>
    </w:p>
    <w:p>
      <w:pPr>
        <w:spacing w:after="0" w:line="10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approval of co-venturers may also be required for the Company to receive distributions of funds from assets or to sell, pledge, transfer, assign or otherwise convey its interest in such assets, or for the Company to acquire CEG’s interests in such co-ventures as an initial matter. Alternatively, the Company’s co-venturers may have rights of first refusal or rights of first offer in the event of a proposed sale or transfer of the Company’s interests in such assets. These restrictions may limit the price or interest level for interests in such assets, in the event the Company wants to sell such interests.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Furthermore, certain of the Company’s facilities are operated by third-party operators. To the extent that third-party operators do not fulfill their obligations to manage operations of the facilities or are not effective in doing so, the amount of CAFD may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assets are exposed to risks inherent in the use of interest rate swaps and the Company may be exposed to additional risks in the future if it utilizes other derivative instruments.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uses interest rate swaps to manage interest rate risk. As a result, changes in the underlying assumptions or use of alternative valuation methods could affect the reported fair value of these contracts. If the values of these financial contracts change in a manner that the Company does not anticipate, or if a counterparty fails to perform under a contract, it could harm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does not own all of the land on which its power generation assets are located, which could result in disruption to its operations.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 does not own all of the land on which its power generation assets are located, and the Company is, therefore, subject to the possibility of less desirable terms and increased costs to retain necessary land use if it does not have valid leases or rights-of-way or if such rights-of-way lapse or terminate. Although the Company has obtained rights to construct and operate these assets pursuant to related lease arrangements, the rights to conduct those activities are subject to certain exceptions, including the term of the lease arrangement. The Company is also at risk of condemnation on land it owns. The loss of these rights, through the Company’s inability to renew right-of-way contracts, condemnation or otherwise, may adversely affect the Company’s ability to operate its generation assets.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use and enjoyment of real property rights for its projects may be adversely affected by the rights of lienholders and leaseholders that are superior to those of the grantors of those real property rights to the Company.</w:t>
      </w:r>
    </w:p>
    <w:p>
      <w:pPr>
        <w:spacing w:after="0" w:line="80"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Solar and wind projects generally are, and are likely to be, located on land occupied by the project pursuant to long-term easements and leases. The ownership interests in the land subject to these easements and leases may be subject to mortgages securing loans or other liens (such as tax liens) and other easement and lease rights of third parties (such as leases of oil or mineral rights) that were created prior to the project’s easements and leases. As a result, the project’s rights under these easements or leases may be subject, and subordinate, to the rights of those third parties. The Company performs title searches and obtains title insurance to protect itself against these risks. Such measures may, however, be inadequate to protect the Company against all risk of loss of its rights to use the land on which the wind projects are located, which could have a material adverse effect on the Company’s business, financial condition and results of operations.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businesses are subject to physical, market and economic risks relating to potential effects of climate change and public and governmental initiatives to address climate change.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Climate change creates uncertainty in weather and other environmental conditions, including temperature and precipitation levels, and thus may affect consumer demand for electricity. For example, deviations from normal weather may reduce demand or availability of electricity and gas distribution services. In addition, the potential physical effects of climate change, such as increased frequency and severity of storms, cloud coverage, precipitation, floods and other climatic events, could disrupt the Company’s operations and supply chain, and cause them to incur significant costs in preparing for or responding to these effects. These or other meteorological changes could lead to increased operating costs, capital expenses or power purchase costs.</w:t>
      </w:r>
    </w:p>
    <w:p>
      <w:pPr>
        <w:spacing w:after="0" w:line="9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Furthermore, governmental, scientific and public concern over the threat of climate change arising from GHG emissions may limit the Company’s access to natural gas or decrease demand for energy generated by the Company’s conventional assets. State, national and foreign governments and agencies continue to evaluate, and in some instances adopt, climate-related legislation and other regulatory initiatives that would restrict GHG emissions. Changes in environmental requirements related to GHG, climate change and alternative energy sources may impact demand for the Company’s services. For example, recently enacted H.R. 5376, commonly known as the Inflation Reduction Act of 2022, or IRA, includes incentives to increase wind and solar electric generation and encourage consumers to use these alternative energy sources. While this could benefit the Company by increasing the demand for the Company’s solar or wind energy, the Company could experience delayed or cancelled projects and/or reduced production and demand for energy generated by the Company’s conventional assets. However, the clean energy incentives included in the IRA or similar state or federal initiatives to incentivize a shift away from fossil fuels could reduce demand for energy generated by fossil fuels, and therefore have an adverse effect on the Company’s natural gas generation business, financial condition and results of operations.</w:t>
      </w:r>
    </w:p>
    <w:p>
      <w:pPr>
        <w:spacing w:after="0" w:line="10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Lastly, companies across all industries are facing increased scrutiny from the public, stakeholders and government agencies related to their environmental, social, and governance (ESG) practices and commitments to address climate change. In recent years, investor advocacy groups, institutional investors, investment funds, and other influential investors have placed increasing importance on ESG practices. Increased focus and activism related to ESG and similar matters may hinder access to capital, as investors may decide to reallocate capital or to not commit capital as a result of their assessment of a company’s ESG practices. While the Company is committed to engaging with its stakeholders on ESG practices in a proactive, holistic and integrated manner, changes in the public or stakeholder sentiment could impact the Company’s ability to fund its conventional assets or decrease the demand for the energy generated by these assets.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Risks that are beyond the Company’s control, including but not limited to acts of terrorism or related acts of war, natural disaster, pandemics (such as the COVID-19 pandemic), inflation, supply chain disruptions, hostile cyber intrusions or other catastrophic events, could have a material adverse effect on the business, financial condition, results of operations and cash flows.</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Company’s generation facilities that were acquired or those that the Company otherwise acquires or constructs and the facilities of third parties on which they rely may be targets of terrorist activities, as well as events occurring in response to or in connection with them, that could cause environmental repercussions and/or result in full or partial disruption of the facilities ability to generate, transmit, transport or distribute electricity or natural gas. Strategic targets, such as energy-related facilities, may be at greater risk of future terrorist activities than other domestic targets. Inflation, disruption in global and domestic supply chains, and other economic conditions could negatively impact the Company’s business in a manner that could adversely affect the Company’s results of operations and financial condition. Hostile cyber intrusions, including those targeting information systems as well as electronic control systems used at the generating plants and for the related distribution systems, could severely disrupt business operations and result in loss of service to customers, as well as create significant expense to repair security breaches or system damage.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3" w:name="page24"/>
    <w:bookmarkEnd w:id="23"/>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Furthermore, certain of the Company’s power generation assets are located in active earthquake zones in California and Arizona, and certain project companies and suppliers conduct their operations in the same region or in other locations that are susceptible to natural disasters. In addition, California and some of the locations where certain suppliers are located, from time to time, have experienced shortages of water, electric power and natural gas. Catastrophic events, such as an earthquake, wildfire, drought, flood, pandemics (such as the COVID-19 pandemic) or localized extended outages of critical utilities or transportation systems, or any critical resource shortages, affecting the Company or its suppliers, could cause a significant interruption in the business, damage or destroy the Company’s facilities or those of its suppliers or the manufacturing equipment or inventory of the Company’s suppliers. The Company has a limited number of highly skilled employees for some of its operations and relies on certain independent contractors and other service providers. If a large proportion of the Company’s employees in those critical positions, or independent contractors or other service providers to the Company or its customers were to be negatively impacted by a catastrophic event at the same time, the Company would rely upon its business continuity plans in an effort to continue operations at its facilities, but there is no certainty that such measures will be sufficient to mitigate the adverse impact to its operations that could result from shortages of highly skilled employees, independent contractors or service providers. Any such terrorist acts, environmental repercussions or disruptions or natural disasters could result in a significant decrease in revenues or significant reconstruction or remediation costs, beyond what could be recovered through insurance policies, which could have a material adverse effect on the business, financial condition, results of operations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operation of the Company’s businesses is subject to cyber-based security and integrity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Numerous functions affecting the efficient operation of the Company’s businesses depend on the secure and reliable storage, processing and communication of electronic data and the use of sophisticated computer hardware and software systems. The operation of the Company’s generating assets relies on cyber-based technologies and has been the target of disruptive actions. In addition, our business is dependent upon the computer systems of third-party providers to process certain data necessary to conduct our business, including sensitive employee information, credit card transaction information and other sensitive data.</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Potential disruptive actions could result from cyber-attack or cyber intrusion, including by computer hackers, foreign governments and cyber terrorists, or otherwise be compromised by unintentional events with respect to the Company or any of its contractors or customers. As a result, operations could be interrupted, property could be damaged and sensitive employee, customer or supplier information could be lost or stolen, causing the Company to incur significant losses of revenues, other substantial liabilities and damages, costs to replace or repair damaged equipment and damage to the Company’s reputation. Our insurance may not fully protect us against such losses. In addition, the Company may experience increased capital and operating costs to implement increased security for its cyber systems and generating assets.</w:t>
      </w:r>
    </w:p>
    <w:p>
      <w:pPr>
        <w:spacing w:after="0" w:line="10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addition, cyberattacks against us or others in our industry could result in additional regulations, which could lead to increased regulatory compliance costs, insurance coverage cost or capital expenditures. Any failure by us to comply with these additional regulations could result in significant penalties and liability to us. We cannot predict the potential impact to our business or the energy industry resulting from such additional regulations.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Company relies on electric distribution and transmission facilities that it does not own or control and that are subject to transmission constraints within a number of the Company’s regions. If these facilities fail to provide the Company with adequate transmission capacity, it may be restricted in its ability to deliver electric power to its customers and may either incur additional costs or forego revenues.</w:t>
      </w:r>
    </w:p>
    <w:p>
      <w:pPr>
        <w:spacing w:after="0" w:line="9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Company depends on electric distribution and transmission facilities owned and operated by others to deliver the wholesale power it will sell from its electric generation assets to its customers. A failure or delay in the operation or development of these facilities or a significant increase in the cost of the development of such facilities could result in lost revenues. Such failures or delays could limit the amount of power the Company’s operating facilities deliver or delay the completion of the Company’s construction projects. Additionally, such failures, delays or increased costs could have a material adverse effect on the business, financial condition and results of operations. If a region’s power transmission infrastructure is inadequate, the Company’s recovery of wholesale costs and profits may be limited. If restrictive transmission price regulation is imposed, the transmission companies may not have a sufficient incentive to invest in expansion of transmission infrastructure. The Company also cannot predict whether distribution or transmission facilities will be expanded in specific markets to accommodate competitive access to those markets. In addition, certain of the Company’s operating facilities’ generation of electricity may be curtailed without compensation due to transmission limitations or limitations on the electricity grid’s ability to accommodate intermittent and other electricity generating sources, reducing the Company’s revenues and impairing its ability to capitalize fully on a particular facility’s generating potential. Such curtailments could have a material adverse effect on the business, financial condition, results of operations and cash flows. Furthermore, economic congestion on transmission networks in certain of the markets in which the Company operates may occur and the Company may be deemed responsible for congestion costs. If the Company were liable for such congestion costs, its financial results could be adversely affected.</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costs, results of operations, financial condition and cash flows could be adversely impacted by the disruption of the fuel supplies necessary to generate power at its conventional power generation facilities.</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Delivery of fossil fuels to fuel the Company’s conventional generation facilities is dependent upon the infrastructure (including natural gas pipelines) available to serve each such generation facility as well as upon the continuing financial viability of contractual counterparties. As a result, the Company is subject to the risks of disruptions or curtailments in the production of power at these generation facilities if a counterparty fails to perform or if there is a disruption in the fuel delivery infrastructure.</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depends on key personnel and its ability to attract and retain additional skilled management and other personnel, the loss of any of which could have a material adverse effect on the Company’s financial condition and results of operations.</w:t>
      </w:r>
    </w:p>
    <w:p>
      <w:pPr>
        <w:spacing w:after="0" w:line="80"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believes its current operations and future success depend largely on the continued services of key personnel that it employs. Although the Company currently has access to the resources of CEG, the loss of key personnel employed by the Company or CEG could have a material adverse effect on the Company’s financial condition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potentially be adversely affected by emerging technologies that may over time impact capacity markets and the energy industry overall.</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Research and development activities are ongoing in the Company’s industry to provide alternative and more efficient technologies to produce power, including wind, photovoltaic (solar) cells, hydrogen, energy storage, and improvements in traditional technologies and equipment, such as more efficient gas turbines. Advances in these or other technologies could reduce the costs of power production to a level below what the Company has currently forecasted, which could adversely affect its cash flows, results of operations or competitive position.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Some emerging technologies, such as distributed renewable energy technologies, broad consumer adoption of electric vehicles and energy storage devices, could affect the price of energy. These emerging technologies may affect the financial viability of utility counterparties and could have significant impacts on market prices, which could ultimately have a material adverse effect on the Company’s financial condition, results of operations and cash flows.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Relationships with GIP, TotalEnergies and CEG</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GIP and TotalEnergies, through their equal ownership of CEG, the Company’s controlling stockholder, exercise substantial influence over the Company. The Company is highly dependent on GIP, TotalEnergies and CEG.</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CEG owns all of the Company’s outstanding Class B and Class D common stock. The Company’s outstanding Class B and Class D common stock is entitled to one vote per share and 1/100th of a vote per share, respectively. As a result of its ownership of the Class B and Class D common stock, CEG owns 54.91% of the combined voting power of the Company’s common stock as of December 31, 2022. CEG is equally owned by GIP and TotalEnergies. As a result of this ownership, GIP and TotalEnergies have substantial influence on the Company’s affairs and CEG’s voting power will constitute a large percentage of any quorum of the Company’s stockholders voting on any matter requiring the approval of the Company’s stockholders. Such matters include the election of directors, the adoption of amendments to the Company’s amended and restated certificate of incorporation and fourth amended and restated bylaws and approval of mergers or sale of all or substantially all of its assets. This concentration of ownership may also have the effect of delaying or preventing a change in control of the Company or discouraging others from making tender offers for the Company’s shares. In addition, CEG has the right to elect all of the Company’s directors. GIP and TotalEnergies, through CEG, may cause corporate actions to be taken that do not fully align with the interests of the Company’s other stockholders (including holders of the Company’s Class A and Class C common stock).</w:t>
      </w:r>
    </w:p>
    <w:p>
      <w:pPr>
        <w:spacing w:after="0" w:line="106"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Furthermore, the Company depends on certain services provided by or under the direction of CEG under the CEG Master Services Agreement, including numerous processes related to the Company’s internal control over financial reporting. CEG personnel and support staff that provide services to the Company under the CEG Master Services Agreement are not required to, and the Company does not expect that they will, have as their primary responsibility the management and administration of the Company or to act exclusively for the Company and the CEG Master Services Agreement does not require any specific individuals to be provided by CEG. Under the CEG Master Services Agreement, CEG has the discretion to determine which of its employees perform assignments required to be provided to the Company. Any failure to effectively manage the Company’s processes related to internal controls over financial reporting, operations or to implement its strategy could have a material adverse effect on the business, financial condition, results of operations and cash flows. The CEG Master Services Agreement will continue in perpetuity, until terminated in accordance with its terms.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also depends upon CEG and third parties for the provision of management, administration, O&amp;M and certain other services at certain of the Company’s facilities. Any failure by CEG or third parties to perform its requirements under these arrangements or the failure by the Company to identify and contract with replacement service providers, if required, could adversely affect the operation of the Company’s facilities and have a material adverse effect on the business, financial condition, results of operations and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controls the Company and has the ability to designate a majority of the members of the Company’s Board.</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Due to CEG’s approximate 54.91% combined voting power in the Company, the ability of other holders of the Company’s Class A and Class C common stock to exercise control over the corporate governance of the Company is limited. GIP and TotalEnergies, through their equal ownership of CEG, have a substantial influence on the Company’s affairs and CEG’s voting power constitutes a large percentage of any quorum of the Company’s stockholders voting on any matter requiring the approval of the Company’s stockholders. It is possible that the interests of GIP, TotalEnergies and their respective affiliates may in certain circumstances differ from the interests of the Company or other holders of the Company’s Class A and Class C common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consummate future acquisitions from CEG.</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ability to grow through acquisitions depends, in part, on CEG’s ability to identify and present the Company with acquisition opportunities. Although CEG has agreed, pursuant to the CEG ROFO Agreement, to grant the Company a right of first offer with respect to certain power generation assets that CEG may elect to sell in the future, CEG is under no obligation to sell any such power generation assets or to accept any related offers from the Company. In addition, CEG has not agreed to commit any minimum level of dedicated resources for the pursuit of renewable power-related acquisitions. There are a number of factors which could materially and adversely impact the extent to which suitable acquisition opportunities are made available from CEG, including that the same professionals within CEG’s organization that are involved in acquisitions that are suitable for the Company have responsibilities within CEG’s broader asset management business, which may include sourcing acquisition opportunities for CEG. Limits on the availability of such individuals will likewise result in a limitation on the availability of acquisition opportunities for the Company. In making these determinations, CEG may be influenced by factors that result in a misalignment with the Company’s interests or conflict of interest.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be unable to terminate the CEG Master Services Agreement, in certain circumstances.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CEG Master Services Agreement provides that the Company may terminate the agreement upon 30 days prior written notice to CEG upon the occurrence of any of the following: (i) CEG defaults in the performance or observance of any material term, condition or covenant contained therein in a manner that results in material harm to the Company and the default continues unremedied for a period of 30 days after written notice thereof is given to CEG; (ii) CEG engages in any act of fraud, misappropriation of funds or embezzlement that results in material harm to the Company; (iii) CEG is grossly negligent in the performance of its duties under the agreement and such negligence results in material harm to the Company; or (iv) upon the happening of certain events relating to the bankruptcy or insolvency of CEG. Furthermore, if the Company requests an amendment to the scope of services provided by CEG under the CEG Master Services Agreement and is not able to agree with CEG as to a change to the service fee resulting from a change in the scope of services within 180 days of the request, the Company will be able to terminate the agreement upon 30 days prior notice to CEG. The Company will not be able to terminate the agreement for any other reason, including if CEG experiences a change of control, and the agreement continues in perpetuity, until terminated in accordance with its terms. If CEG’s performance does not meet the expectations of investors, and the Company is unable to terminate the CEG Master Services Agreement, the market price of the Class A and Class C common stock could suffer.</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CEG terminates the CEG Master Services Agreement or defaults in the performance of its obligations under the agreement, the Company may be unable to contract with a substitute service provider on similar terms, or at all.</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relies on CEG to provide certain services under the CEG Master Services Agreement. The CEG Master Services Agreement provides that CEG may terminate the agreement upon 180 days prior written notice of termination to the Company if the Company defaults in the performance or observance of any material term, condition or covenant contained in the agreement in a manner that results in material harm and the default continues unremedied for a period of 30 days after written notice of the breach is given. If CEG terminates the Management Services Agreement or defaults in the performance of its obligations under the agreement, the Company may be unable to contract with CEG or a substitute service provider on similar terms or at all, and the costs of substituting service providers may be substantial. In addition, in light of CEG’s familiarity with the Company’s assets, a substitute service provider may not be able to provide the same level of service due to lack of pre-existing synergies.</w:t>
      </w:r>
    </w:p>
    <w:p>
      <w:pPr>
        <w:spacing w:after="0" w:line="10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liability of CEG is limited under the Company’s arrangements with it and the Company has agreed to indemnify CEG against claims that it may face in connection with such arrangements, which may lead CEG to assume greater risks when making decisions relating to the Company than it otherwise might if acting solely for its own account.</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Under the CEG Master Services Agreement, CEG does not assume any responsibility other than to provide or arrange for the provision of the services described in the CEG Master Services Agreement in good faith. In addition, under the CEG Master Services Agreement, the liability of CEG and its affiliates is limited to the fullest extent permitted by law to conduct involving bad faith, fraud, willful misconduct or gross negligence or, in the case of a criminal matter, action that was known to have been unlawful. In addition, the Company has agreed to indemnify CEG to the fullest extent permitted by law from and against any claims, liabilities, losses, damages, costs or expenses incurred by an indemnified person or threatened in connection with the Company’s operations, investments and activities or in respect of or arising from the CEG Master Services Agreement or the services provided by CEG, except to the extent that the claims, liabilities, losses, damages, costs or expenses are determined to have resulted from the conduct in respect of which such persons have liability as described above. These protections may result in CEG tolerating greater risks when making decisions than otherwise might be the case, including when determining whether to use leverage in connection with acquisitions. The indemnification arrangements to which CEG is a party may also give rise to legal claims for indemnification that are adverse to the Company and holders of its common stock.</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of the Company’s PPAs and project-level financing arrangements include provisions that would permit the counterparty to terminate the contract or accelerate maturity in the event GIP, TotalEnergies or their respective affiliates cease to control or own, directly or indirectly, a majority of the voting power of the Company.</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Certain of the Company’s PPAs and project-level financing arrangements contain change in control provisions that provide the counterparty with a termination right or the ability to accelerate maturity in the event of a change of control of the Company without the counterparty’s consent. These provisions are triggered in the event GIP, TotalEnergies or their respective affiliates cease to own, directly or indirectly, capital stock representing more than 50% of the voting power of the Company’s capital stock outstanding on such date, or, in some cases, if GIP, TotalEnergies or their respective affiliates cease to be the majority owner, directly or indirectly, of the applicable project subsidiary. As a result, if GIP, TotalEnergies or their respective affiliates cease to control, or in some cases, own a majority of the voting power of the Company, the counterparties could terminate such contracts or accelerate the maturity of such financing arrangements. The termination of any of the Company’s PPAs or the acceleration of the maturity of any of the Company’s project-level financing could have a material adverse effect on the Company’s business, financial condition, results of operations and cash flow.</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a “controlled company”, controlled by CEG, and as a result, is exempt from certain corporate governance requirements that are designed to provide protection to stockholders of companies that are not controlled companies.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As of December 31, 2022, CEG controls 54.91% of the Company’s combined voting power and is able to elect all of the Company’s board of directors. As a result, the Company is considered a “controlled company” for the purposes of the NYSE listing requirements. As a “controlled company,” the Company is permitted to, and the Company may, opt out of the NYSE listing requirements that would require (i) a majority of the members of the Company’s board of directors to be independent, (ii) that the Company establish a compensation 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the Company has elected to have a Corporate Governance, Conflicts and Nominating Committee consisting entirely of independent directors and to conduct an annual performance evaluation of this committee, the majority of the members of the Company’s board of directors are not considered independent and the Company’s compensation committee is not comprised entirely of independent directors. Therefore, the Company’s stockholders may not have the same protections afforded to stockholders of companies that are subject to all of the applicable NYSE listing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restrictions resulting from environmental, health and safety laws and regulations.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is subject to various federal, state and local environmental and health and safety laws and regulations. In addition, the Company may be held primarily or jointly and severally liable for costs relating to the investigation and clean-up of any property where there has been a release or threatened release of a hazardous regulated material as well as other affected properties, regardless of whether the Company knew of or caused the release. In addition to these costs, which are typically not limited by law or regulation and could exceed an affected property’s value, the Company could be liable for certain other costs, including governmental fines and injuries to persons, property or natural resources. Further, some environmental laws provide for the creation of a lien on a contaminated site in favor of the government as security for damages and any costs the government incurs in connection with such contamination and associated clean-up. Although the Company generally requires its operators to undertake to indemnify it for environmental liabilities they cause, the amount of such liabilities could exceed the financial ability of the operator to indemnify the Company. The presence of contamination or the failure to remediate contamination may adversely affect the Company’s ability to operate the business.</w:t>
      </w:r>
    </w:p>
    <w:p>
      <w:pPr>
        <w:spacing w:after="0" w:line="10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Greenhouse gas (GHG) regulation could also increase the cost of electricity generated by fossil fuels, and such increases could reduce demand for the power the Company’s conventional assets generate and market. Legislative and regulatory measures to address climate change and GHG emissions are in various phases of discussion or implementation. The EPA regulates GHG emissions from new and modified facilities that are potential major sources of criteria pollutants under the Clean Air Act’s Prevention of Significant Deterioration and Title V programs and has adopted regulations that require, among other things, preconstruction and operating permits for certain large stationary sources and the monitoring and reporting of GHGs from certain onshore oil and natural gas production sources on an annual basis. The United States Environmental Protection Agency has proposed strict new methane emissions regulations for certain oil and gas facilities. The IRA establishes a charge on methane emissions above certain limits from the same facilities.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addition, in 2015, the U.S., Canada and the U.K. participated in the United Nations Conference on Climate Change, which led to the creation of the Paris Agreement. The Paris Agreement, which was signed by the U.S. in April 2016, requires countries to review and “represent a progression” in their intended nationally determined contributions (which set GHG emission reduction goals) every five years beginning in 2020. In November 2020, the U.S. officially withdrew from the Paris Agreement in November 2020. However, on January 20, 2021, President Biden signed an “Acceptance on Behalf of the United States of America” that will allow the U.S. to rejoin the Paris Agreement. The newly signed acceptance, deposited with the United Nations on January 20, reverses the prior withdrawal. The U.S. officially rejoined the Paris Agreement on February 19, 2021.</w:t>
      </w:r>
    </w:p>
    <w:p>
      <w:pPr>
        <w:spacing w:after="0" w:line="10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The U.S. Congress, along with federal and state agencies, has also considered measures to reduce the emissions of GHGs. Legislation or regulation that restricts carbon emissions could increase the cost of environmental compliance for the Company’s conventional assets by requiring the Company to install new equipment to reduce emissions from larger facilities and/or purchase emission allowances. Climate change and GHG legislation or regulation could also delay or otherwise negatively affect efforts to obtain and maintain permits and other regulatory approvals for the Company’s conventional assets’ existing and new facilities, impose additional monitoring and reporting requirements or adversely affect demand for the natural gas the Company gathers, transports and stores. Conversely, legislation or regulation that sets a price on or otherwise restricts carbon emissions could also benefit the Company by increasing demand for solar or wind energy sources. In addition, governmental, scientific and public concern over the threat of climate change arising from GHG emissions has resulted in increasing political risks in the U.S, including climate change related pledges made by the Biden Administration. Shortly after taking office in January 2021, President Biden issued a series of executive orders designed to address climate change and suspend, revise, or rescind, prior agency actions that are identified as conflicting with the Biden Administration’s climate policies. Furthermore, as part of rejoining the Paris Agreement, President Biden announced that the United States would commit to a 50 to 52 percent reduction from 2005 levels of GHG emissions by 2030 and set the goal of reaching net-zero GHG emissions by 2050. Reentry into the Paris Agreement and President Biden’s executive orders may result in the development of additional regulations or changes to existing regulations. The effect on the Company of any new legislative or regulatory measures will depend on the particular provisions that are ultimately adopted.</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electric generation business is subject to substantial governmental regulation and may be adversely affected by changes in laws or regulations, as well as liability under, or any future inability to comply with, existing or future regulations or other legal requirements.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electric generation business is subject to extensive U.S. federal, state and local laws and regulations. Compliance with the requirements under these various regulatory regimes may cause the Company to incur significant additional costs, and failure to comply with such requirements could result in the shutdown of the non-complying facility, the imposition of liens, fines, and/or civil or criminal liability. Public utilities under the FPA are required to obtain FERC acceptance of their rate schedules for wholesale sales of electric energy, capacity and ancillary services. Except for generating facilities located in Hawaii or in Texas within the footprint of ERCOT, all of the Company’s generating companies are public utilities under the FPA with market-based rate authority unless exempt from FPA public utility rate regulation. FERC’s orders that grant market-based rate authority to wholesale power sellers reserve the right to revoke or revise that authority if FERC subsequently determines that the seller can exercise market power in transmission or generation, create barriers to entry, or engage in abusive affiliate transactions. In addition, public utilities are subject to FERC reporting requirements that impose administrative burdens and that, if violated, can expose the company to criminal and civil penalties or other risks.</w:t>
      </w:r>
    </w:p>
    <w:p>
      <w:pPr>
        <w:spacing w:after="0" w:line="104"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market-based sales are subject to certain rules prohibiting manipulative or deceptive conduct, and if any of the Company’s generating companies with market-based rate authority are deemed to have violated those rules, they could be subject to potential disgorgement of profits associated with the violation, penalties, suspension or revocation of market-based rate authority. If such generating companies were to lose their market-based rate authority, such companies would be required to obtain FERC’s acceptance of a cost-of-service rate schedule and could become subject to the significant accounting, record-keeping, and reporting requirements that are imposed on utilities with cost-based rate schedules. This could have a material adverse effect on the rates the Company is able to charge for power from its facilities.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All of the Company’s generating assets are operating either as EWGs as defined under the PUHCA, or as QFs as defined under the PURPA, as amended, and therefore are exempt from certain regulation under the PUHCA and the FPA. If a facility fails to maintain its status as an EWG or a QF or there are legislative or regulatory changes revoking or limiting the exemptions to the PUHCA and/or the FPA, then the Company may be subject to significant accounting, record-keeping, access to books and records and reporting requirements, and failure to comply with such requirements could result in the imposition of penalties and additional compliance obligations.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Substantially all of the Company’s generation assets are also subject to the reliability standards promulgated by the designated Electric Reliability Organization (currently the North American Electric Reliability Corporation, or NERC) and approved by FERC. If the Company fails to comply with the mandatory reliability standards, it could be subject to sanctions, including substantial monetary penalties and increased compliance obligations. The Company will also be affected by legislative and regulatory changes, as well as changes to market design, market rules, tariffs, cost allocations and bidding rules that occur in the existing regional markets operated by RTOs or ISOs, such as PJM. The RTOs/ISOs that oversee most of the wholesale power markets impose, and in the future may continue to impose, mitigation, including price limitations, offer caps, non-performance penalties and other mechanisms to address some of the volatility and the potential exercise of market power in these markets. These types of price limitations and other regulatory mechanisms may have a material adverse effect on the profitability of the Company’s generation facilities acquired in the future that sell energy, capacity and ancillary products into the wholesale power markets. The regulatory environment for electric generation has undergone significant changes in the last several years due to state and federal policies affecting wholesale competition and the creation of incentives for the addition of large amounts of new renewable generation and, in some cases, transmission assets. These changes are ongoing, and the Company cannot predict the future design of the wholesale power markets or the ultimate effect that the changing regulatory environment will have on the Company’s business. In addition, in some of these markets, interested parties have proposed to re-regulate the markets or require divestiture of electric generation assets by asset owners or operators to reduce their market share. Other proposals to re-regulate may be made and legislative or other attention to the electric power market restructuring process may delay or reverse the deregulation process. If competitive restructuring of the electric power markets is reversed, discontinued, or delayed, the Company’s business prospects and financial results could be negatively impacted.</w:t>
      </w:r>
    </w:p>
    <w:p>
      <w:pPr>
        <w:spacing w:after="0" w:line="27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subject to environmental laws and regulations that impose extensive and increasingly stringent requirements on its operations, as well as potentially substantial liabilities arising out of environmental contamination.</w:t>
      </w:r>
    </w:p>
    <w:p>
      <w:pPr>
        <w:spacing w:after="0" w:line="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The Company’s assets are subject to numerous and significant federal, state and local laws, including statutes, regulations, guidelines, policies, directives and other requirements governing or relating to, among other things: protection of wildlife, including threatened and endangered species; air emissions; discharges into water; water use; the storage, handling, use, transportation and distribution of dangerous goods and hazardous, residual and other regulated materials, such as chemicals; the prevention of releases of hazardous materials into the environment; the prevention, presence and remediation of hazardous materials in soil and groundwater, both on and offsite; land use and zoning matters; and workers’ health and safety matters. The Company’s facilities could experience incidents, malfunctions and other unplanned events that could result in spills or emissions in excess of permitted levels and result in personal injury, penalties and property damage. Any failure to comply with applicable environmental laws and regulations, including those relating to equipment failures, or obtain required governmental approvals and permits, may result in the assessment of administrative, civil or criminal penalties, imposition of investigatory or remedial activities and, in certain, less common circumstances, issuance of temporary or permanent injunctions, or construction or operation bans or delays. As such, the operation of the Company’s facilities carries an inherent risk of environmental, health and safety liabilities (including potential civil actions, compliance or remediation orders, fines and other penalties), and may result in the assets being involved from time to time in administrative and judicial proceedings relating to such matters. The Company has implemented environmental, health and safety management programs designed to continually improve environmental, health and safety performance. Environmental laws and regulations have generally become more stringent over time. Significant costs may be incurred for capital expenditures under environmental programs to keep the assets compliant with such environmental laws and regulations. If it is not economical to make those expenditures, it may be necessary to retire or mothball facilities or restrict or modify the Company’s operations to comply with more stringent standards. These environmental requirements and liabilities could have a material adverse effect on the business, financial condition, results of operations and cash flows.</w:t>
      </w:r>
    </w:p>
    <w:p>
      <w:pPr>
        <w:spacing w:after="0" w:line="10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business is subject to complex and evolving U.S. laws and regulations regarding privacy and data protection (“data protection laws”). Many of these laws and regulations are subject to change and uncertain interpretation, and could result in claims, increased cost of operations, or otherwise harm the Company’s business.</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regulatory environment surrounding data privacy and protection is constantly evolving and can be subject to significant change. New data protection laws pose increasingly complex compliance challenges and potentially elevate the Company’s costs. Complying with varying jurisdictional requirements could increase the costs and complexity of compliance, and violations of applicable data protection laws can result in significant penalties. Any failure, or perceived failure, by the Company to comply with applicable data protection laws could result in proceedings or actions against the Company by governmental entities or others, subject the Company to significant fines, penalties, judgments, and negative publicity, require the Company to change its business practices, increase the costs and complexity of compliance, and adversely affect the Company’s business. As noted above, the Company is also subject to the possibility of cyberattacks, which themselves may result in a violation of these laws. Additionally, if the Company acquires a company that has violated or is not in compliance with applicable data protection laws, the Company may incur significant liabilities and penalties as a result.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regulations providing incentives for renewable power generation could change at any time and such changes may negatively impact the Company’s growth strategy.</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growth strategy depends in part on government policies that support renewable generation and energy storage and enhance the economic viability of owning renewable power generation assets. Renewable power generation assets currently benefit from various federal, state and local governmental incentives such as ITCs, PTCs, loan guarantee programs, RPS, programs and accelerated depreciation for tax purposes. These laws, regulations and policies have had a significant impact on the development of renewable power generation projects and they could be changed, reduced or eliminated at any time. These incentives make the development of renewable power generation projects more competitive by providing tax credits or grants and accelerated depreciation for a portion of the development costs, decreasing the costs and risks associated with developing such projects or creating demand for renewable power assets through RPS programs.</w:t>
      </w:r>
    </w:p>
    <w:p>
      <w:pPr>
        <w:spacing w:after="0" w:line="10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elimination or loss of, or reduction in, such incentives could (i) decrease the attractiveness of renewable power generation projects to developers, including, but not limited to, CEG, which could reduce the Company’s acquisition opportunities, (ii) reduce the Company’s willingness to pursue or develop certain renewable power projects due to higher operating costs or decreased revenues under its PPAs, (iii) cause the market for future renewable energy PPAs to be smaller and the prices for future renewable energy PPAs to be lower and/or (iv) result in increased financing costs and difficulty in obtaining financing on acceptable terms.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Any of the foregoing could have a material adverse effect on the Company’s business, financial condition, results of operations and ability to grow its business and make cash distributions.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earned by the Company’s GenConn assets is established each year in a rate case; accordingly, the profitability of these assets is dependent on regulatory approval.</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Revenues related to the GenConn assets are established each year by the Connecticut Public Utilities Regulatory Authority. While such regulatory oversight is generally premised on the recovery of prudently incurred costs and a reasonable rate of return on invested capital, the rates that the Company may charge, or the revenue that the Company may earn with respect to this capacity are subject to authorization of the applicable regulatory authorities. There can be no assurance that such regulatory authorities will consider all of the costs to have been prudently incurred or that the regulatory process by which rates or revenues are determined will always result in rates or revenues that achieve full recovery of costs or an adequate return on the Company’s capital investments. While the Company’s rates and revenues are generally established based on an analysis of costs incurred in a base year, the rates the Company is allowed to charge, and the revenues the Company is authorized to earn, may or may not match the costs at any given time. If the Company’s costs are not adequately recovered through these regulatory processes, it could have a material adverse effect on the business, financial condition, results of operations and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Company’s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 may not be able to continue paying comparable or growing cash dividends to holders of its common stock in the future.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amount of CAFD principally depends upon the amount of cash the Company generates from its operations, which will fluctuate from quarter to quarter based on, among other things:</w:t>
      </w:r>
    </w:p>
    <w:p>
      <w:pPr>
        <w:spacing w:after="0" w:line="51"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and timing of capital expenditures the Company makes;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operating and general and administrative expenses, including reimbursements to CEG for services provided to the Company in accordance with the CEG Master Services Agreement;</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revenues generated by the business, due to seasonality, weather, unplanned plant outages, contractual pricing structures or otherwise;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requirements and other liabilities;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funds and access capital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contained in the Company’s debt agreements (including project-level financing and, if applicable, corporate debt);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business risks affecting cash levels.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a result of all these factors, the Company cannot guarantee that it will have sufficient cash generated from operations to pay a specific level of cash dividends to holders of its Class A or Class C common stock. Furthermore, holders of the Company’s Class A or Class C common stock should be aware that the amount of CAFD depends primarily on operating cash flow, and is not solely a function of profitability, which can be affected by non-cash items.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 may incur other expenses or liabilities during a period that could significantly reduce or eliminate its CAFD and, in turn, impair its ability to pay dividends to holders of the Company’s Class A or Class C common stock during the period. Because the Company is a holding company, its ability to pay dividends on the Company’s Class A or Class C common stock is restricted and further limited by the ability of the Company’s subsidiaries to make distributions to the Company, including restrictions under the terms of the agreements governing the Company’s corporate debt and project-level financing. For example, as a result of the bankruptcy of PG&amp;E, between early 2019 and mid-2020, certain of the Company’s unconsolidated investments were unable to distribute project distributions to the Company. The project-level financing agreements generally prohibit distributions from the project entities prior to COD and thereafter prohibit distributions to the Company unless certain specific conditions are met, including the satisfaction of financial ratios. The Company’s revolving credit facility also restricts the Company’s ability to declare and pay dividends if an event of default has occurred and is continuing or if the payment of the dividend would result in an event of default.</w:t>
      </w:r>
    </w:p>
    <w:p>
      <w:pPr>
        <w:spacing w:after="0" w:line="10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LLC’s CAFD will likely fluctuate from quarter to quarter, in some cases significantly, due to seasonality. As a result, the Company may cause Clearway Energy LLC to reduce the amount of cash it distributes to its members in a particular quarter to establish reserves to fund distributions to its members in future periods for which the cash distributions the Company would otherwise receive from Clearway Energy LLC would be insufficient to fund its quarterly dividend. If the Company fails to cause Clearway Energy LLC to establish sufficient reserves, the Company may not be able to maintain its quarterly dividend with respect to a quarter adversely affected by seasonality.</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Finally, dividends to holders of the Company’s Class A or Class C common stock will be paid at the discretion of the Company’s board of directors. The Company’s board of directors may decrease the level, or entirely discontinue payment, of dividends.</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 is a holding company and its only material asset is its interest in Clearway Energy LLC, and the Company is accordingly dependent upon distributions from Clearway Energy LLC and its subsidiaries to pay dividends and taxes and other expenses.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is a holding company and has no material assets other than its ownership of membership interests in Clearway Energy LLC, a holding company that has no material assets other than its interest in Clearway Energy Operating LLC, whose sole material assets are the project companies. None of the Company, Clearway Energy LLC or Clearway Energy Operating LLC has any independent means of generating revenue. The Company intends to continue to cause Clearway Energy Operating LLC’s subsidiaries to make distributions to Clearway Energy Operating LLC and, in turn, make distributions to Clearway Energy LLC, and, in turn, to make distributions to the Company in an amount sufficient to cover all applicable taxes payable and dividends, if any, declared by the Company. To the extent that the Company needs funds for a quarterly cash dividend to holders of the Company’s Class A and Class C common stock or otherwise, and Clearway Energy Operating LLC or Clearway Energy LLC is restricted from making such distributions under applicable law or regulation or is otherwise unable to provide such funds (including as a result of Clearway Energy Operating LLC’s operating subsidiaries being unable to make distributions), it could materially adversely affect the Company’s liquidity and financial condition and limit the Company’s ability to pay dividends to holders of the Company’s Class A and Class C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interest rates may have an effect on the value of the Company’s Class A and Class C common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One of the factors that influences the price of shares of the Company’s Class A and Class C common stock is the effective dividend yield of such shares (i.e., the yield as a percentage of the then market price of the Company’s shares) relative to market interest rates. An increase in market interest rates may lead investors of shares of the Company’s Class A and Class C common stock to expect a higher dividend yield and the Company’s inability to increase its dividend as a result of an increase in borrowing costs, insufficient CAFD or otherwise, could result in selling pressure on, and a decrease in the market prices of the Company’s Class A and Class C common stock as investors seek alternative investments with higher yield.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Market volatility and reports by securities or industry analysts may affect the price of the Company’s Class A and Class C common stock.</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market price of the Company’s Class A and Class C common stock may fluctuate significantly in response to a number of factors, most of which the Company cannot predict or control, including general market and economic conditions, disruptions, downgrades, credit events and perceived problems in the credit markets; actual or anticipated variations in its quarterly operating results or dividends; natural disasters, wildfires and other weather-related events; changes in the Company’s investments or asset composition; write-downs or perceived credit or liquidity issues affecting the Company’s assets; market perception of GIP, TotalEnergies or CEG, the Company’s business and the Company’s assets; the Company’s level of indebtedness and/or adverse market reaction to any indebtedness that the Company may incur in the future; the Company’s ability to raise capital on favorable terms or at all; loss of any major funding source; changes in market valuations of similar power generation companies; and speculation in the press or investment community regarding the Company, GIP, TotalEnergies or CEG.</w:t>
      </w:r>
    </w:p>
    <w:p>
      <w:pPr>
        <w:spacing w:after="0" w:line="10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Furthermore, any significant disruption to the Company’s ability to access the capital markets, or a significant increase in interest rates, could make it difficult for the Company to successfully acquire attractive projects from third parties and may also limit the Company’s ability to obtain debt or equity financing to complete such acquisitions. If the Company is unable to raise adequate proceeds when needed to fund such acquisitions, the ability to grow the Company’s project portfolio may be limited, which could have a material adverse effect on the Company’s ability to implement its growth strategy and, ultimately, its business, financial condition, results of operations and cash flows.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trading market for the Company’s Class A and Class C common stock is influenced by the research and reports that industry or securities analysts may publish about the Company, the Company’s business, the Company’s market or the Company’s competitors. If any of the analysts who may cover the Company change their recommendation regarding the Company’s Class A and/or Class C common stock adversely or provide more favorable relative recommendations about the Company’s competitors, the price of the Company’s Class A and/or Class C common stock could decline. If any analyst who covers the Company were to cease coverage of the Company or fail to regularly publish reports on the Company, the Company could lose visibility in the financial markets, which in turn could cause the stock price or trading volume of the Company’s Class A and/or Class C common stock to decline.</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Provisions of the Company’s charter documents or Delaware law could delay or prevent an acquisition of the Company, even if the acquisition would be beneficial to holders of the Company’s Class A and Class C common stock, and could make it more difficult to change management.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Provisions of the Company’s amended and restated certificate of incorporation and fourth amended and restated bylaws may discourage, delay or prevent a merger, acquisition or other change in control that holders of the Company’s Class A and Class C common stock may consider favorable, including transactions in which such stockholders might otherwise receive a premium for their shares. This is because these provisions may prevent or frustrate attempts by stockholders to replace or remove members of the Company’s management. These provisions include:</w:t>
      </w:r>
    </w:p>
    <w:p>
      <w:pPr>
        <w:spacing w:after="0" w:line="51"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through written consent;</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special meetings of stockholders be called upon a resolution approved by a majority of the Company’s directors then in office;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requirements for stockholder proposals and nominations;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authority of the board of directors to issue preferred stock with such terms as the board of directors may determine.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3" w:name="page34"/>
    <w:bookmarkEnd w:id="33"/>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Section 203 of the Delaware General Corporation Law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Additionally, the Company’s restated certificate of incorporation prohibits any person and any of its associate or affiliate companies in the aggregate, public utility or holding company from acquiring, other than secondary market transactions, an amount of the Company’s Class A or Class C common stock sufficient to result in a transfer of control without the prior written consent of the Company’s board of directors. Any such change of control, in addition to prior approval from the Company’s board of directors, would require prior authorization from FERC. Similar restrictions may apply to certain purchasers of the Company’s securities which are holding companies regardless of whether the Company’s securities are purchased in offerings by the Company or NRG, in open market transactions or otherwise. A purchaser of the Company’s securities which is a holding company will need to determine whether a given purchase of the Company’s securities may require prior FERC approval.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Investors may experience dilution of ownership interest due to the future issuance of additional shares of the Company’s Class A or Class C common stock.</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 is in a capital intensive business and may not have sufficient funds to finance the growth of the Company’s business, future acquisitions or to support the Company’s projected capital expenditures. As a result, the Company may require additional funds from further equity or debt financings, including tax equity financing transactions, sales under the ATM Program or sales of preferred shares or convertible debt to complete future acquisitions, expansions and capital expenditures and pay the general and administrative costs of the Company’s business. In the future, the Company may issue shares under its ATM Program and the Company’s previously authorized and unissued securities, resulting in the dilution of the ownership interests of purchasers of the Company’s Class A and Class C common stock. Under the Company’s restated certificate of incorporation, the Company is authorized to issue 500,000,000 shares of Class A common stock, 500,000,000 shares of Class B common stock, 1,000,000,000 shares of Class C common stock, 1,000,000,000 shares of Class D common stock and 10,000,000 shares of preferred stock with preferences and rights as determined by the Company’s board of directors. The potential issuance of additional shares of common stock or preferred stock or convertible debt may create downward pressure on the trading price of the Company’s Class A and Class C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the Company’s Class A or Class C common stock by CEG may cause the price of the Company’s Class A or Class C common stock to fall.</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market price of the Company’s Class A or Class C common stock could decline as a result of sales by CEG of such shares (issuable to CEG upon the exchange of some or all of its Clearway Energy LLC Class B or Class D units, respectively) in the market, or the perception that these sales could occur.</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market price of the Company’s Class A or Class C common stock may also decline as a result of CEG disposing or transferring some or all of the Company’s outstanding Class B or Class D common stock, which disposals or transfers would reduce CEG’s ownership interest in, and voting control over, the Company. These sales might also make it more difficult for the Company to sell equity securities at a time and price that the Company deems appropriate. CEG and certain of its affiliates have certain demand and piggyback registration rights with respect to shares of the Company’s Class A common stock issuable upon the exchange of Clearway Energy LLC’s Class B units and/or Class C common stock issuable upon the exchange of Clearway Energy LLC’s Class D units. The presence of additional shares of the Company’s Class A and/or Class C common stock trading in the public market, as a result of the exercise of such registration rights, could have a material adverse effect on the market price of the Company’s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Taxation</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Company’s future tax liability may be greater than expected if the Company does not generate NOLs sufficient to offset taxable income, if federal, state and local tax authorities challenge certain of the Company’s tax positions and exemptions or if changes in federal, state and local tax laws occur.</w:t>
      </w:r>
    </w:p>
    <w:p>
      <w:pPr>
        <w:spacing w:after="0" w:line="80"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expects to (i) generate NOLs and carryforward prior year NOL balances to offset future taxable income and (ii) generate tax credits and carryforward prior year tax credits to offset future income tax liabilities. Based on the Company’s current portfolio of assets, which include renewable assets that benefit from accelerated tax depreciation deductions and federal tax credits, and taking into account the taxable gain on the Thermal Disposition which closed May 1, 2022, the Company estimates it will not pay material federal income tax through 2027, but does expect to pay material state income tax across certain jurisdictions beginning in 2023.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4" w:name="page35"/>
    <w:bookmarkEnd w:id="34"/>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While the Company expects its NOLs and tax credits will be available as a future benefit, in the event that they are not generated as expected, successfully challenged by the IRS or state and local jurisdictions (in a tax audit or otherwise) or subject to future limitations from a potential change in ownership, the Company’s ability to realize these benefits may be limited. In addition, the Company’s ability to realize state and local tax exemptions, including property or sales and use tax exemptions, is subject to various tax laws. If these exemptions are successfully challenged by state and local jurisdictions or if a change in tax law occurs, the Company’s ability to realize these exemptions could be affected. A reduction in the Company’s expected NOLs, a limitation on the Company’s ability to use such losses or tax credits, and challenges by tax authorities to the Company’s tax positions may result in a material increase in the Company’s estimated future income, sales/use and property tax liability and may negatively impact the Company’s liquidity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Company’s ability to use NOLs to offset future income may be limited.</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ability to use NOLs could be substantially limited if the Company is unable to generate future taxable income or were to experience an “ownership change” as defined under Section 382 of the Code. In general, an “ownership change” would occur if the Company’s “5-percent shareholders,” as defined under Section 382 of the Code, collectively increased their ownership in the Company by more than 50 percentage points over a rolling three-year period. A corporation that experiences an ownership change will generally be subject to an annual limitation on the use of its pre-ownership change deferred tax assets equal to the equity value of the corporation immediately before the ownership change, multiplied by the long-term tax-exempt rate for the month in which the ownership change occurs. Future sales of any class of the Company’s common stock by CEG, as well as future issuances by the Company, could contribute to a potential ownership change.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valuation allowance may be required for the Company’s deferred tax assets.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expected NOLs and tax credits will be reflected as a deferred tax asset as they are generated until utilized to offset income. Valuation allowances may need to be maintained for deferred tax assets that the Company estimates are more likely than not to be unrealizable, based on available evidence at the time the estimate is made. Valuation allowances related to deferred tax assets can be affected by changes to tax laws, statutory tax rates and future taxable income levels. In the event that the Company was to determine that it would not be able to realize all or a portion of the net deferred tax assets in the future, the Company would reduce such amounts through a charge to income tax expense in the period in which that determination was made, which could have a material adverse impact on the Company’s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holders of the Company’s Class A and Class C common stock may be taxable.</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amount of distributions that will be treated as taxable for U.S. federal income tax purposes will depend on the amount of the Company’s current and accumulated earnings and profits. It is difficult to predict whether the Company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the Company’s current or accumulated earnings and profits. Distributions in excess of the Company’s current and accumulated earnings and profits will constitute a nontaxable return of capital to the extent of a stockholder’s basis in his or her Class A or Class C common stock. Distributions in excess of the Company’s current and accumulated earnings and profits and in excess of a stockholder’s basis will be treated as gain from the sale of the common stock.</w:t>
      </w:r>
    </w:p>
    <w:p>
      <w:pPr>
        <w:spacing w:after="0" w:line="10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For U.S. tax purposes, the Company’s distributions to its stockholders in 2022 were classified as taxable dividends, while the 2021 distributions were classified as a nontaxable return of capital and reduction of a U.S. stockholder’s tax basis, to the extent of a U.S. stockholder’s tax basis in each of the Company’s common shares, with any remaining amount being taxed as a capital gain. The Company anticipates that, largely due to the Thermal Disposition in 2022, it will be in a cumulative earnings and profits surplus position as of the end of 2022. As a result, a portion of any distributions made to holders of the Company’s Class A and Class C Common stock in 2023 and beyond may be treated as taxable for U.S. federal income tax purposes. The portion of distributions that will be treated as taxable dividends will depend upon a number of factors, including but not limited to, the Company’s overall performance and the gross amount of any distributions made to stockholders in 2023 and beyond.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policies, including but not limited to changes in corporate income tax rates, as well as judgments and estimates used in the determination of tax-related asset and liability amounts, could materially adversely affect the Company’s business, financial condition, results of operations and prospects.</w:t>
      </w:r>
    </w:p>
    <w:p>
      <w:pPr>
        <w:spacing w:after="0" w:line="8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Company’s provision for income taxes and reporting of tax-related assets and liabilities require significant judgments and the use of estimates. Amounts of tax-related assets and liabilities involve judgments and estimates of the timing and probability of recognition of income, deductions and tax credits, including, but not limited to, estimates for potential adverse outcomes regarding tax positions that have been taken and the ability to utilize tax benefit carryforwards, such as NOL and tax credit carryforwards. Actual income taxes could vary significantly from estimated amounts due to the future impacts of, among other things, changes in tax laws, guidance or policies, including changes in corporate income tax rates, the financial conditions and results of operations of the Company, and the resolution of audit issues raised by taxing authorities. These factors, including the ultimate resolution of income tax matters, may result in material adjustments to tax-related assets and liabilities, which could materially adversely affect the Company’s business, financial condition, results of operations and prospects.</w:t>
      </w:r>
    </w:p>
    <w:p>
      <w:pPr>
        <w:spacing w:after="0" w:line="10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recently enacted IRA contains a number of revisions to the Internal Revenue Code, including (i) a 15% corporate minimum income tax for certain taxpayers, (ii) a 1% excise tax on corporate stock repurchases in tax years beginning after December 31, 2022 and (iii) business tax credits and incentives for the development of clean energy projects and the production of clean energy. In order to qualify for the full amount of business tax credits and incentives for clean energy projects whose construction begins on or after January 30, 2023, certain wage and apprenticeship requirements must be met, the details of which have been released only in part with additional details expected in future guidance. The Company continues to analyze the potential impact of the IRA and monitor guidance to be issued by the United States Department of the Treasury.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38"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This Annual Report on Form 10-K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and the following:</w:t>
      </w:r>
    </w:p>
    <w:p>
      <w:pPr>
        <w:spacing w:after="0" w:line="274"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dividend;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GIP, TotalEnergies and CEG;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CEG;</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 as current offtake agreements expire;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 and</w:t>
      </w:r>
    </w:p>
    <w:p>
      <w:pPr>
        <w:ind w:left="520" w:hanging="260"/>
        <w:spacing w:after="0" w:line="28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Annual Report on Form 10-K should not be construed as exhaustive.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 Unresolved Staff Comments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Item 2 — Properties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Listed below are descriptions of the Company’s interests in facilities, operations and/or projects owned or leased as of December 31,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bottom w:val="single" w:sz="8" w:color="auto"/>
            </w:tcBorders>
            <w:gridSpan w:val="2"/>
          </w:tcPr>
          <w:p>
            <w:pPr>
              <w:ind w:left="1140"/>
              <w:spacing w:after="0"/>
              <w:rPr>
                <w:sz w:val="20"/>
                <w:szCs w:val="20"/>
                <w:color w:val="auto"/>
              </w:rPr>
            </w:pPr>
            <w:r>
              <w:rPr>
                <w:rFonts w:ascii="Times New Roman" w:cs="Times New Roman" w:eastAsia="Times New Roman" w:hAnsi="Times New Roman"/>
                <w:sz w:val="13"/>
                <w:szCs w:val="13"/>
                <w:b w:val="1"/>
                <w:bCs w:val="1"/>
                <w:color w:val="auto"/>
              </w:rPr>
              <w:t>PPA Terms</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Net MW</w:t>
            </w:r>
            <w:r>
              <w:rPr>
                <w:rFonts w:ascii="Times New Roman" w:cs="Times New Roman" w:eastAsia="Times New Roman" w:hAnsi="Times New Roman"/>
                <w:sz w:val="16"/>
                <w:szCs w:val="16"/>
                <w:b w:val="1"/>
                <w:bCs w:val="1"/>
                <w:color w:val="auto"/>
                <w:vertAlign w:val="superscript"/>
              </w:rPr>
              <w:t>(a)</w:t>
            </w:r>
          </w:p>
        </w:tc>
        <w:tc>
          <w:tcPr>
            <w:tcW w:w="10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Fuel</w:t>
            </w:r>
          </w:p>
        </w:tc>
        <w:tc>
          <w:tcPr>
            <w:tcW w:w="138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COD</w:t>
            </w:r>
          </w:p>
        </w:tc>
        <w:tc>
          <w:tcPr>
            <w:tcW w:w="18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4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59"/>
        </w:trPr>
        <w:tc>
          <w:tcPr>
            <w:tcW w:w="1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Conventional</w:t>
            </w: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Carlsbad</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Carlsbad,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2018</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Diego Gas &amp; Electric</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 Segundo</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El Segundo, CA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August 2013</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2023 - 2026</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GenConn Devon</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Milford, CT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Gas/Oil</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2010</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GenConn Middletown</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Middletown, CT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Gas/Oil</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2011</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Marsh Landing</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Antioch,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2013</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2023 - 2030</w:t>
            </w:r>
          </w:p>
        </w:tc>
        <w:tc>
          <w:tcPr>
            <w:tcW w:w="0" w:type="dxa"/>
            <w:vAlign w:val="bottom"/>
          </w:tcPr>
          <w:p>
            <w:pPr>
              <w:spacing w:after="0"/>
              <w:rPr>
                <w:sz w:val="1"/>
                <w:szCs w:val="1"/>
                <w:color w:val="auto"/>
              </w:rPr>
            </w:pPr>
          </w:p>
        </w:tc>
      </w:tr>
      <w:tr>
        <w:trPr>
          <w:trHeight w:val="153"/>
        </w:trPr>
        <w:tc>
          <w:tcPr>
            <w:tcW w:w="1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Walnut Creek</w:t>
            </w:r>
          </w:p>
        </w:tc>
        <w:tc>
          <w:tcPr>
            <w:tcW w:w="1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City of Industry, CA</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1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May 2013</w:t>
            </w:r>
          </w:p>
        </w:tc>
        <w:tc>
          <w:tcPr>
            <w:tcW w:w="1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2023 - 2026</w:t>
            </w:r>
          </w:p>
        </w:tc>
        <w:tc>
          <w:tcPr>
            <w:tcW w:w="0" w:type="dxa"/>
            <w:vAlign w:val="bottom"/>
          </w:tcPr>
          <w:p>
            <w:pPr>
              <w:spacing w:after="0"/>
              <w:rPr>
                <w:sz w:val="1"/>
                <w:szCs w:val="1"/>
                <w:color w:val="auto"/>
              </w:rPr>
            </w:pPr>
          </w:p>
        </w:tc>
      </w:tr>
      <w:tr>
        <w:trPr>
          <w:trHeight w:val="156"/>
        </w:trPr>
        <w:tc>
          <w:tcPr>
            <w:tcW w:w="1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i w:val="1"/>
                <w:iCs w:val="1"/>
                <w:color w:val="auto"/>
              </w:rPr>
              <w:t>Total Conventional</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Agua Caliente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Dateland, AZ</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51 %</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2014</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Alpine</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Lancaster, CA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January 2013</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Avenal</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Avenal,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August 2011</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Avra Valley</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Pima County, AZ</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2012</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Tucson Electric Power</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Blythe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Blythe,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2009</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Borrego</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Borrego Springs, CA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2013</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San Diego Gas and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4"/>
                <w:szCs w:val="14"/>
                <w:color w:val="auto"/>
                <w:vertAlign w:val="superscript"/>
              </w:rPr>
              <w:t>(b)</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Fort Stockton, TX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2018</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City of Georgetown, TX</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2043</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CVSR</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San Luis Obispo, CA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2013</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Desert Sunlight 250</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Desert Center,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2034</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Desert Sunlight 300</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Desert Center, CA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Kansas South</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Lemoore,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2013</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PG&amp;E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9"/>
        </w:trPr>
        <w:tc>
          <w:tcPr>
            <w:tcW w:w="18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Mililani I </w:t>
            </w:r>
            <w:r>
              <w:rPr>
                <w:rFonts w:ascii="Times New Roman" w:cs="Times New Roman" w:eastAsia="Times New Roman" w:hAnsi="Times New Roman"/>
                <w:sz w:val="14"/>
                <w:szCs w:val="14"/>
                <w:color w:val="auto"/>
                <w:vertAlign w:val="superscript"/>
              </w:rPr>
              <w:t>(b) (c)</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Honolulu, HI</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2022</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2042</w:t>
            </w:r>
          </w:p>
        </w:tc>
        <w:tc>
          <w:tcPr>
            <w:tcW w:w="0" w:type="dxa"/>
            <w:vAlign w:val="bottom"/>
          </w:tcPr>
          <w:p>
            <w:pPr>
              <w:spacing w:after="0"/>
              <w:rPr>
                <w:sz w:val="1"/>
                <w:szCs w:val="1"/>
                <w:color w:val="auto"/>
              </w:rPr>
            </w:pPr>
          </w:p>
        </w:tc>
      </w:tr>
      <w:tr>
        <w:trPr>
          <w:trHeight w:val="159"/>
        </w:trPr>
        <w:tc>
          <w:tcPr>
            <w:tcW w:w="18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Oahu Solar Projects </w:t>
            </w:r>
            <w:r>
              <w:rPr>
                <w:rFonts w:ascii="Times New Roman" w:cs="Times New Roman" w:eastAsia="Times New Roman" w:hAnsi="Times New Roman"/>
                <w:sz w:val="14"/>
                <w:szCs w:val="14"/>
                <w:color w:val="auto"/>
                <w:vertAlign w:val="superscript"/>
              </w:rPr>
              <w:t>(b)</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Oahu, HI</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September 2019</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Roadrunner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Santa Teresa, NM</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August 2011</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 Paso Electric</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(b)</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Rosamond,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2020</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2035 - 2047</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 High Desert</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Lancaster, CA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2013</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Utah Solar Portfolio</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Various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 September 2016</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0" w:type="dxa"/>
            <w:vAlign w:val="bottom"/>
          </w:tcPr>
          <w:p>
            <w:pPr>
              <w:spacing w:after="0"/>
              <w:rPr>
                <w:sz w:val="1"/>
                <w:szCs w:val="1"/>
                <w:color w:val="auto"/>
              </w:rPr>
            </w:pPr>
          </w:p>
        </w:tc>
      </w:tr>
      <w:tr>
        <w:trPr>
          <w:trHeight w:val="150"/>
        </w:trPr>
        <w:tc>
          <w:tcPr>
            <w:tcW w:w="1860" w:type="dxa"/>
            <w:vAlign w:val="bottom"/>
            <w:gridSpan w:val="2"/>
          </w:tcPr>
          <w:p>
            <w:pPr>
              <w:ind w:left="280"/>
              <w:spacing w:after="0" w:line="150" w:lineRule="exact"/>
              <w:rPr>
                <w:sz w:val="20"/>
                <w:szCs w:val="20"/>
                <w:color w:val="auto"/>
              </w:rPr>
            </w:pPr>
            <w:r>
              <w:rPr>
                <w:rFonts w:ascii="Times New Roman" w:cs="Times New Roman" w:eastAsia="Times New Roman" w:hAnsi="Times New Roman"/>
                <w:sz w:val="13"/>
                <w:szCs w:val="13"/>
                <w:b w:val="1"/>
                <w:bCs w:val="1"/>
                <w:i w:val="1"/>
                <w:iCs w:val="1"/>
                <w:color w:val="auto"/>
              </w:rPr>
              <w:t xml:space="preserve">Total Utility Scale Solar </w:t>
            </w:r>
            <w:r>
              <w:rPr>
                <w:rFonts w:ascii="Times New Roman" w:cs="Times New Roman" w:eastAsia="Times New Roman" w:hAnsi="Times New Roman"/>
                <w:sz w:val="16"/>
                <w:szCs w:val="16"/>
                <w:b w:val="1"/>
                <w:bCs w:val="1"/>
                <w:i w:val="1"/>
                <w:iCs w:val="1"/>
                <w:color w:val="auto"/>
                <w:vertAlign w:val="superscript"/>
              </w:rPr>
              <w:t>(d)</w:t>
            </w: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2,307</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1,616</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DGPV Fund Projects </w:t>
            </w:r>
            <w:r>
              <w:rPr>
                <w:rFonts w:ascii="Times New Roman" w:cs="Times New Roman" w:eastAsia="Times New Roman" w:hAnsi="Times New Roman"/>
                <w:sz w:val="14"/>
                <w:szCs w:val="14"/>
                <w:color w:val="auto"/>
                <w:vertAlign w:val="superscript"/>
              </w:rPr>
              <w:t>(b)</w:t>
            </w: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Various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September 2015 - March</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2030 - 2044</w:t>
            </w:r>
          </w:p>
        </w:tc>
        <w:tc>
          <w:tcPr>
            <w:tcW w:w="0" w:type="dxa"/>
            <w:vAlign w:val="bottom"/>
          </w:tcPr>
          <w:p>
            <w:pPr>
              <w:spacing w:after="0"/>
              <w:rPr>
                <w:sz w:val="1"/>
                <w:szCs w:val="1"/>
                <w:color w:val="auto"/>
              </w:rPr>
            </w:pPr>
          </w:p>
        </w:tc>
      </w:tr>
      <w:tr>
        <w:trPr>
          <w:trHeight w:val="155"/>
        </w:trPr>
        <w:tc>
          <w:tcPr>
            <w:tcW w:w="186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 Power Partners (SPP) Projects</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Various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June 2008 - June 2012</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2026 - 2037</w:t>
            </w:r>
          </w:p>
        </w:tc>
        <w:tc>
          <w:tcPr>
            <w:tcW w:w="0" w:type="dxa"/>
            <w:vAlign w:val="bottom"/>
          </w:tcPr>
          <w:p>
            <w:pPr>
              <w:spacing w:after="0"/>
              <w:rPr>
                <w:sz w:val="1"/>
                <w:szCs w:val="1"/>
                <w:color w:val="auto"/>
              </w:rPr>
            </w:pPr>
          </w:p>
        </w:tc>
      </w:tr>
      <w:tr>
        <w:trPr>
          <w:trHeight w:val="110"/>
        </w:trPr>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Other DG Projects</w:t>
            </w: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Various</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Solar</w:t>
            </w:r>
          </w:p>
        </w:tc>
        <w:tc>
          <w:tcPr>
            <w:tcW w:w="138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December 2010 - October</w:t>
            </w: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2023 - 2039</w:t>
            </w:r>
          </w:p>
        </w:tc>
        <w:tc>
          <w:tcPr>
            <w:tcW w:w="0" w:type="dxa"/>
            <w:vAlign w:val="bottom"/>
          </w:tcPr>
          <w:p>
            <w:pPr>
              <w:spacing w:after="0"/>
              <w:rPr>
                <w:sz w:val="1"/>
                <w:szCs w:val="1"/>
                <w:color w:val="auto"/>
              </w:rPr>
            </w:pPr>
          </w:p>
        </w:tc>
      </w:tr>
      <w:tr>
        <w:trPr>
          <w:trHeight w:val="151"/>
        </w:trPr>
        <w:tc>
          <w:tcPr>
            <w:tcW w:w="1860" w:type="dxa"/>
            <w:vAlign w:val="bottom"/>
            <w:tcBorders>
              <w:bottom w:val="single" w:sz="8" w:color="CCEEFF"/>
            </w:tcBorders>
            <w:gridSpan w:val="2"/>
            <w:vMerge w:val="continue"/>
          </w:tcPr>
          <w:p>
            <w:pPr>
              <w:spacing w:after="0"/>
              <w:rPr>
                <w:sz w:val="13"/>
                <w:szCs w:val="13"/>
                <w:color w:val="auto"/>
              </w:rPr>
            </w:pPr>
          </w:p>
        </w:tc>
        <w:tc>
          <w:tcPr>
            <w:tcW w:w="1440" w:type="dxa"/>
            <w:vAlign w:val="bottom"/>
            <w:tcBorders>
              <w:bottom w:val="single" w:sz="8" w:color="CCEEFF"/>
            </w:tcBorders>
            <w:gridSpan w:val="2"/>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CCEEFF"/>
            </w:tcBorders>
            <w:gridSpan w:val="2"/>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gridSpan w:val="2"/>
            <w:vMerge w:val="continue"/>
          </w:tcPr>
          <w:p>
            <w:pPr>
              <w:spacing w:after="0"/>
              <w:rPr>
                <w:sz w:val="13"/>
                <w:szCs w:val="13"/>
                <w:color w:val="auto"/>
              </w:rPr>
            </w:pPr>
          </w:p>
        </w:tc>
        <w:tc>
          <w:tcPr>
            <w:tcW w:w="1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2015</w:t>
            </w:r>
          </w:p>
        </w:tc>
        <w:tc>
          <w:tcPr>
            <w:tcW w:w="80" w:type="dxa"/>
            <w:vAlign w:val="bottom"/>
            <w:tcBorders>
              <w:bottom w:val="single" w:sz="8" w:color="CCEEFF"/>
            </w:tcBorders>
          </w:tcPr>
          <w:p>
            <w:pPr>
              <w:spacing w:after="0"/>
              <w:rPr>
                <w:sz w:val="13"/>
                <w:szCs w:val="13"/>
                <w:color w:val="auto"/>
              </w:rPr>
            </w:pPr>
          </w:p>
        </w:tc>
        <w:tc>
          <w:tcPr>
            <w:tcW w:w="1860" w:type="dxa"/>
            <w:vAlign w:val="bottom"/>
            <w:tcBorders>
              <w:bottom w:val="single" w:sz="8" w:color="CCEEFF"/>
            </w:tcBorders>
            <w:gridSpan w:val="2"/>
            <w:vMerge w:val="continue"/>
          </w:tcPr>
          <w:p>
            <w:pPr>
              <w:spacing w:after="0"/>
              <w:rPr>
                <w:sz w:val="13"/>
                <w:szCs w:val="13"/>
                <w:color w:val="auto"/>
              </w:rPr>
            </w:pPr>
          </w:p>
        </w:tc>
        <w:tc>
          <w:tcPr>
            <w:tcW w:w="104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60" w:type="dxa"/>
            <w:vAlign w:val="bottom"/>
            <w:gridSpan w:val="2"/>
            <w:shd w:val="clear" w:color="auto" w:fill="CCEEFF"/>
          </w:tcPr>
          <w:p>
            <w:pPr>
              <w:ind w:left="280"/>
              <w:spacing w:after="0" w:line="154" w:lineRule="exact"/>
              <w:rPr>
                <w:sz w:val="20"/>
                <w:szCs w:val="20"/>
                <w:color w:val="auto"/>
              </w:rPr>
            </w:pPr>
            <w:r>
              <w:rPr>
                <w:rFonts w:ascii="Times New Roman" w:cs="Times New Roman" w:eastAsia="Times New Roman" w:hAnsi="Times New Roman"/>
                <w:sz w:val="13"/>
                <w:szCs w:val="13"/>
                <w:b w:val="1"/>
                <w:bCs w:val="1"/>
                <w:i w:val="1"/>
                <w:iCs w:val="1"/>
                <w:color w:val="auto"/>
              </w:rPr>
              <w:t xml:space="preserve">Total Distributed Solar </w:t>
            </w:r>
            <w:r>
              <w:rPr>
                <w:rFonts w:ascii="Times New Roman" w:cs="Times New Roman" w:eastAsia="Times New Roman" w:hAnsi="Times New Roman"/>
                <w:sz w:val="16"/>
                <w:szCs w:val="16"/>
                <w:b w:val="1"/>
                <w:bCs w:val="1"/>
                <w:i w:val="1"/>
                <w:iCs w:val="1"/>
                <w:color w:val="auto"/>
                <w:vertAlign w:val="superscript"/>
              </w:rPr>
              <w:t>(d)</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II</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2010</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III</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53"/>
        </w:trPr>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Alta IV</w:t>
            </w:r>
          </w:p>
        </w:tc>
        <w:tc>
          <w:tcPr>
            <w:tcW w:w="1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2011</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r>
        <w:trPr>
          <w:trHeight w:val="165"/>
        </w:trPr>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Alta V</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Tehachapi,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2011</w:t>
            </w:r>
          </w:p>
        </w:tc>
        <w:tc>
          <w:tcPr>
            <w:tcW w:w="1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43"/>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bottom w:val="single" w:sz="8" w:color="auto"/>
            </w:tcBorders>
            <w:gridSpan w:val="2"/>
          </w:tcPr>
          <w:p>
            <w:pPr>
              <w:ind w:left="1120"/>
              <w:spacing w:after="0"/>
              <w:rPr>
                <w:sz w:val="20"/>
                <w:szCs w:val="20"/>
                <w:color w:val="auto"/>
              </w:rPr>
            </w:pPr>
            <w:r>
              <w:rPr>
                <w:rFonts w:ascii="Times New Roman" w:cs="Times New Roman" w:eastAsia="Times New Roman" w:hAnsi="Times New Roman"/>
                <w:sz w:val="13"/>
                <w:szCs w:val="13"/>
                <w:b w:val="1"/>
                <w:bCs w:val="1"/>
                <w:color w:val="auto"/>
              </w:rPr>
              <w:t>PPA Terms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Rated MW</w:t>
            </w: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rPr>
              <w:t>Net MW</w:t>
            </w:r>
            <w:r>
              <w:rPr>
                <w:rFonts w:ascii="Times New Roman" w:cs="Times New Roman" w:eastAsia="Times New Roman" w:hAnsi="Times New Roman"/>
                <w:sz w:val="16"/>
                <w:szCs w:val="16"/>
                <w:b w:val="1"/>
                <w:bCs w:val="1"/>
                <w:color w:val="auto"/>
                <w:vertAlign w:val="superscript"/>
              </w:rPr>
              <w:t>(a)</w:t>
            </w:r>
          </w:p>
        </w:tc>
        <w:tc>
          <w:tcPr>
            <w:tcW w:w="10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Fuel</w:t>
            </w:r>
          </w:p>
        </w:tc>
        <w:tc>
          <w:tcPr>
            <w:tcW w:w="138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COD</w:t>
            </w: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020" w:type="dxa"/>
            <w:vAlign w:val="bottom"/>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0" w:type="dxa"/>
            <w:vAlign w:val="bottom"/>
          </w:tcPr>
          <w:p>
            <w:pPr>
              <w:spacing w:after="0"/>
              <w:rPr>
                <w:sz w:val="1"/>
                <w:szCs w:val="1"/>
                <w:color w:val="auto"/>
              </w:rPr>
            </w:pPr>
          </w:p>
        </w:tc>
      </w:tr>
      <w:tr>
        <w:trPr>
          <w:trHeight w:val="150"/>
        </w:trPr>
        <w:tc>
          <w:tcPr>
            <w:tcW w:w="1700" w:type="dxa"/>
            <w:vAlign w:val="bottom"/>
            <w:tcBorders>
              <w:top w:val="single" w:sz="8" w:color="auto"/>
            </w:tcBorders>
          </w:tcPr>
          <w:p>
            <w:pPr>
              <w:ind w:left="20"/>
              <w:spacing w:after="0" w:line="150" w:lineRule="exact"/>
              <w:rPr>
                <w:sz w:val="20"/>
                <w:szCs w:val="20"/>
                <w:color w:val="auto"/>
              </w:rPr>
            </w:pPr>
            <w:r>
              <w:rPr>
                <w:rFonts w:ascii="Times New Roman" w:cs="Times New Roman" w:eastAsia="Times New Roman" w:hAnsi="Times New Roman"/>
                <w:sz w:val="11"/>
                <w:szCs w:val="11"/>
                <w:color w:val="auto"/>
              </w:rPr>
              <w:t xml:space="preserve">Alta X </w:t>
            </w:r>
            <w:r>
              <w:rPr>
                <w:rFonts w:ascii="Times New Roman" w:cs="Times New Roman" w:eastAsia="Times New Roman" w:hAnsi="Times New Roman"/>
                <w:sz w:val="14"/>
                <w:szCs w:val="14"/>
                <w:color w:val="auto"/>
                <w:vertAlign w:val="superscript"/>
              </w:rPr>
              <w:t>(b)</w:t>
            </w:r>
          </w:p>
        </w:tc>
        <w:tc>
          <w:tcPr>
            <w:tcW w:w="260" w:type="dxa"/>
            <w:vAlign w:val="bottom"/>
          </w:tcPr>
          <w:p>
            <w:pPr>
              <w:spacing w:after="0"/>
              <w:rPr>
                <w:sz w:val="13"/>
                <w:szCs w:val="13"/>
                <w:color w:val="auto"/>
              </w:rPr>
            </w:pPr>
          </w:p>
        </w:tc>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Tehachapi, CA</w:t>
            </w:r>
          </w:p>
        </w:tc>
        <w:tc>
          <w:tcPr>
            <w:tcW w:w="1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00" w:type="dxa"/>
            <w:vAlign w:val="bottom"/>
          </w:tcPr>
          <w:p>
            <w:pPr>
              <w:spacing w:after="0"/>
              <w:rPr>
                <w:sz w:val="13"/>
                <w:szCs w:val="13"/>
                <w:color w:val="auto"/>
              </w:rPr>
            </w:pPr>
          </w:p>
        </w:tc>
        <w:tc>
          <w:tcPr>
            <w:tcW w:w="1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100" w:type="dxa"/>
            <w:vAlign w:val="bottom"/>
          </w:tcPr>
          <w:p>
            <w:pPr>
              <w:spacing w:after="0"/>
              <w:rPr>
                <w:sz w:val="13"/>
                <w:szCs w:val="13"/>
                <w:color w:val="auto"/>
              </w:rPr>
            </w:pPr>
          </w:p>
        </w:tc>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0" w:type="dxa"/>
            <w:vAlign w:val="bottom"/>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59"/>
        </w:trPr>
        <w:tc>
          <w:tcPr>
            <w:tcW w:w="19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Alta XI </w:t>
            </w:r>
            <w:r>
              <w:rPr>
                <w:rFonts w:ascii="Times New Roman" w:cs="Times New Roman" w:eastAsia="Times New Roman" w:hAnsi="Times New Roman"/>
                <w:sz w:val="14"/>
                <w:szCs w:val="14"/>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Tehachapi, CA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February 2014</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2038</w:t>
            </w:r>
          </w:p>
        </w:tc>
        <w:tc>
          <w:tcPr>
            <w:tcW w:w="0" w:type="dxa"/>
            <w:vAlign w:val="bottom"/>
          </w:tcPr>
          <w:p>
            <w:pPr>
              <w:spacing w:after="0"/>
              <w:rPr>
                <w:sz w:val="1"/>
                <w:szCs w:val="1"/>
                <w:color w:val="auto"/>
              </w:rPr>
            </w:pPr>
          </w:p>
        </w:tc>
      </w:tr>
      <w:tr>
        <w:trPr>
          <w:trHeight w:val="110"/>
        </w:trPr>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4"/>
                <w:szCs w:val="14"/>
                <w:color w:val="auto"/>
                <w:vertAlign w:val="superscript"/>
              </w:rPr>
              <w:t>(b)</w:t>
            </w:r>
          </w:p>
        </w:tc>
        <w:tc>
          <w:tcPr>
            <w:tcW w:w="14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Mineral and Grant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Toyota and AEP</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0" w:type="dxa"/>
            <w:vAlign w:val="bottom"/>
          </w:tcPr>
          <w:p>
            <w:pPr>
              <w:spacing w:after="0"/>
              <w:rPr>
                <w:sz w:val="1"/>
                <w:szCs w:val="1"/>
                <w:color w:val="auto"/>
              </w:rPr>
            </w:pPr>
          </w:p>
        </w:tc>
      </w:tr>
      <w:tr>
        <w:trPr>
          <w:trHeight w:val="155"/>
        </w:trPr>
        <w:tc>
          <w:tcPr>
            <w:tcW w:w="1960" w:type="dxa"/>
            <w:vAlign w:val="bottom"/>
            <w:gridSpan w:val="2"/>
            <w:vMerge w:val="continue"/>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Counties, WV</w:t>
            </w: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Buffalo Bear</w:t>
            </w: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Buffalo, OK</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2008</w:t>
            </w:r>
          </w:p>
        </w:tc>
        <w:tc>
          <w:tcPr>
            <w:tcW w:w="1840" w:type="dxa"/>
            <w:vAlign w:val="bottom"/>
            <w:gridSpan w:val="2"/>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Western Farmers Electric Co-</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5"/>
        </w:trPr>
        <w:tc>
          <w:tcPr>
            <w:tcW w:w="1960" w:type="dxa"/>
            <w:vAlign w:val="bottom"/>
            <w:gridSpan w:val="2"/>
            <w:vMerge w:val="continue"/>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operative</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Capistrano Wind Portfolio</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2008-2012</w:t>
            </w:r>
          </w:p>
        </w:tc>
        <w:tc>
          <w:tcPr>
            <w:tcW w:w="100" w:type="dxa"/>
            <w:vAlign w:val="bottom"/>
          </w:tcPr>
          <w:p>
            <w:pPr>
              <w:spacing w:after="0"/>
              <w:rPr>
                <w:sz w:val="13"/>
                <w:szCs w:val="13"/>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2030 - 2033</w:t>
            </w:r>
          </w:p>
        </w:tc>
        <w:tc>
          <w:tcPr>
            <w:tcW w:w="0" w:type="dxa"/>
            <w:vAlign w:val="bottom"/>
          </w:tcPr>
          <w:p>
            <w:pPr>
              <w:spacing w:after="0"/>
              <w:rPr>
                <w:sz w:val="1"/>
                <w:szCs w:val="1"/>
                <w:color w:val="auto"/>
              </w:rPr>
            </w:pPr>
          </w:p>
        </w:tc>
      </w:tr>
      <w:tr>
        <w:trPr>
          <w:trHeight w:val="16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4"/>
                <w:szCs w:val="14"/>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Howard County, TX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2008</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Elkhorn Ridge</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Bloomfield, NE</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66.7 %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March 2009</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6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Forward</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Berlin, PA</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April 2008</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5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Goat Wind</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Sterling City, TX</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April 2008/June 2009</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Dow Pipeline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16"/>
        </w:trPr>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4"/>
                <w:szCs w:val="14"/>
                <w:color w:val="auto"/>
                <w:vertAlign w:val="superscript"/>
              </w:rPr>
              <w:t>(b)</w:t>
            </w: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Christoval, TX</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December 2009/November</w:t>
            </w: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Goldman Sachs</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2033</w:t>
            </w:r>
          </w:p>
        </w:tc>
        <w:tc>
          <w:tcPr>
            <w:tcW w:w="0" w:type="dxa"/>
            <w:vAlign w:val="bottom"/>
          </w:tcPr>
          <w:p>
            <w:pPr>
              <w:spacing w:after="0"/>
              <w:rPr>
                <w:sz w:val="1"/>
                <w:szCs w:val="1"/>
                <w:color w:val="auto"/>
              </w:rPr>
            </w:pPr>
          </w:p>
        </w:tc>
      </w:tr>
      <w:tr>
        <w:trPr>
          <w:trHeight w:val="155"/>
        </w:trPr>
        <w:tc>
          <w:tcPr>
            <w:tcW w:w="1960" w:type="dxa"/>
            <w:vAlign w:val="bottom"/>
            <w:gridSpan w:val="2"/>
            <w:vMerge w:val="continue"/>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2020</w:t>
            </w:r>
          </w:p>
        </w:tc>
        <w:tc>
          <w:tcPr>
            <w:tcW w:w="100" w:type="dxa"/>
            <w:vAlign w:val="bottom"/>
            <w:shd w:val="clear" w:color="auto" w:fill="CCEEFF"/>
          </w:tcPr>
          <w:p>
            <w:pPr>
              <w:spacing w:after="0"/>
              <w:rPr>
                <w:sz w:val="13"/>
                <w:szCs w:val="13"/>
                <w:color w:val="auto"/>
              </w:rPr>
            </w:pPr>
          </w:p>
        </w:tc>
        <w:tc>
          <w:tcPr>
            <w:tcW w:w="1840" w:type="dxa"/>
            <w:vAlign w:val="bottom"/>
            <w:gridSpan w:val="2"/>
            <w:vMerge w:val="continue"/>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Laredo Ridge</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Petersburg, NE</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February 2011</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16"/>
        </w:trPr>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Lookout</w:t>
            </w: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Berlin, PA</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184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Southern Maryland Electric</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2030</w:t>
            </w:r>
          </w:p>
        </w:tc>
        <w:tc>
          <w:tcPr>
            <w:tcW w:w="0" w:type="dxa"/>
            <w:vAlign w:val="bottom"/>
          </w:tcPr>
          <w:p>
            <w:pPr>
              <w:spacing w:after="0"/>
              <w:rPr>
                <w:sz w:val="1"/>
                <w:szCs w:val="1"/>
                <w:color w:val="auto"/>
              </w:rPr>
            </w:pPr>
          </w:p>
        </w:tc>
      </w:tr>
      <w:tr>
        <w:trPr>
          <w:trHeight w:val="155"/>
        </w:trPr>
        <w:tc>
          <w:tcPr>
            <w:tcW w:w="1960" w:type="dxa"/>
            <w:vAlign w:val="bottom"/>
            <w:gridSpan w:val="2"/>
            <w:vMerge w:val="continue"/>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Cooperative</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4"/>
                <w:szCs w:val="14"/>
                <w:color w:val="auto"/>
                <w:vertAlign w:val="superscript"/>
              </w:rPr>
              <w:t>(b)</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Callahan County, TX</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2021</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2033 - 2036</w:t>
            </w:r>
          </w:p>
        </w:tc>
        <w:tc>
          <w:tcPr>
            <w:tcW w:w="0" w:type="dxa"/>
            <w:vAlign w:val="bottom"/>
          </w:tcPr>
          <w:p>
            <w:pPr>
              <w:spacing w:after="0"/>
              <w:rPr>
                <w:sz w:val="1"/>
                <w:szCs w:val="1"/>
                <w:color w:val="auto"/>
              </w:rPr>
            </w:pPr>
          </w:p>
        </w:tc>
      </w:tr>
      <w:tr>
        <w:trPr>
          <w:trHeight w:val="159"/>
        </w:trPr>
        <w:tc>
          <w:tcPr>
            <w:tcW w:w="19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4"/>
                <w:szCs w:val="14"/>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Fisher County, TX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50 %</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May 2020</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Various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2032 - 2035</w:t>
            </w:r>
          </w:p>
        </w:tc>
        <w:tc>
          <w:tcPr>
            <w:tcW w:w="0" w:type="dxa"/>
            <w:vAlign w:val="bottom"/>
          </w:tcPr>
          <w:p>
            <w:pPr>
              <w:spacing w:after="0"/>
              <w:rPr>
                <w:sz w:val="1"/>
                <w:szCs w:val="1"/>
                <w:color w:val="auto"/>
              </w:rPr>
            </w:pPr>
          </w:p>
        </w:tc>
      </w:tr>
      <w:tr>
        <w:trPr>
          <w:trHeight w:val="15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Mt. Storm</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Grant County, WV</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October 2008</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Citigroup</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6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Ocotillo</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Forsan, TX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November 2008</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Odin</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Mountain Lake, MN</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June 2008</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Missouri River Energy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116"/>
        </w:trPr>
        <w:tc>
          <w:tcPr>
            <w:tcW w:w="17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2011/December</w:t>
            </w:r>
          </w:p>
        </w:tc>
        <w:tc>
          <w:tcPr>
            <w:tcW w:w="1840" w:type="dxa"/>
            <w:vAlign w:val="bottom"/>
            <w:gridSpan w:val="2"/>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Maryland Department of General</w:t>
            </w:r>
          </w:p>
        </w:tc>
        <w:tc>
          <w:tcPr>
            <w:tcW w:w="1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4"/>
                <w:szCs w:val="14"/>
                <w:color w:val="auto"/>
                <w:vertAlign w:val="superscript"/>
              </w:rPr>
              <w:t>(b)</w:t>
            </w: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Keyser, WV</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vMerge w:val="continue"/>
            <w:shd w:val="clear" w:color="auto" w:fill="CCEEFF"/>
          </w:tcPr>
          <w:p>
            <w:pPr>
              <w:spacing w:after="0"/>
              <w:rPr>
                <w:sz w:val="9"/>
                <w:szCs w:val="9"/>
                <w:color w:val="auto"/>
              </w:rPr>
            </w:pPr>
          </w:p>
        </w:tc>
        <w:tc>
          <w:tcPr>
            <w:tcW w:w="1840" w:type="dxa"/>
            <w:vAlign w:val="bottom"/>
            <w:gridSpan w:val="2"/>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Services and University System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59"/>
        </w:trPr>
        <w:tc>
          <w:tcPr>
            <w:tcW w:w="1960" w:type="dxa"/>
            <w:vAlign w:val="bottom"/>
            <w:gridSpan w:val="2"/>
            <w:vMerge w:val="continue"/>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Maryland</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4"/>
                <w:szCs w:val="14"/>
                <w:color w:val="auto"/>
                <w:vertAlign w:val="superscript"/>
              </w:rPr>
              <w:t>(b) (e)</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Ritzville, WA</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2020</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Avista Corporation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0" w:type="dxa"/>
            <w:vAlign w:val="bottom"/>
          </w:tcPr>
          <w:p>
            <w:pPr>
              <w:spacing w:after="0"/>
              <w:rPr>
                <w:sz w:val="1"/>
                <w:szCs w:val="1"/>
                <w:color w:val="auto"/>
              </w:rPr>
            </w:pPr>
          </w:p>
        </w:tc>
      </w:tr>
      <w:tr>
        <w:trPr>
          <w:trHeight w:val="110"/>
        </w:trPr>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San Juan Mesa</w:t>
            </w:r>
          </w:p>
        </w:tc>
        <w:tc>
          <w:tcPr>
            <w:tcW w:w="14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Elida, NM</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75 %</w:t>
            </w:r>
          </w:p>
        </w:tc>
        <w:tc>
          <w:tcPr>
            <w:tcW w:w="80" w:type="dxa"/>
            <w:vAlign w:val="bottom"/>
            <w:shd w:val="clear" w:color="auto" w:fill="CCEEFF"/>
          </w:tcPr>
          <w:p>
            <w:pPr>
              <w:spacing w:after="0"/>
              <w:rPr>
                <w:sz w:val="9"/>
                <w:szCs w:val="9"/>
                <w:color w:val="auto"/>
              </w:rPr>
            </w:pP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2005</w:t>
            </w:r>
          </w:p>
        </w:tc>
        <w:tc>
          <w:tcPr>
            <w:tcW w:w="1840" w:type="dxa"/>
            <w:vAlign w:val="bottom"/>
            <w:gridSpan w:val="2"/>
            <w:shd w:val="clear" w:color="auto" w:fill="CCEEFF"/>
          </w:tcPr>
          <w:p>
            <w:pPr>
              <w:ind w:left="20"/>
              <w:spacing w:after="0" w:line="110" w:lineRule="exact"/>
              <w:rPr>
                <w:sz w:val="20"/>
                <w:szCs w:val="20"/>
                <w:color w:val="auto"/>
              </w:rPr>
            </w:pPr>
            <w:r>
              <w:rPr>
                <w:rFonts w:ascii="Times New Roman" w:cs="Times New Roman" w:eastAsia="Times New Roman" w:hAnsi="Times New Roman"/>
                <w:sz w:val="11"/>
                <w:szCs w:val="11"/>
                <w:color w:val="auto"/>
              </w:rPr>
              <w:t>Southwestern Public Service</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0" w:type="dxa"/>
            <w:vAlign w:val="bottom"/>
          </w:tcPr>
          <w:p>
            <w:pPr>
              <w:spacing w:after="0"/>
              <w:rPr>
                <w:sz w:val="1"/>
                <w:szCs w:val="1"/>
                <w:color w:val="auto"/>
              </w:rPr>
            </w:pPr>
          </w:p>
        </w:tc>
      </w:tr>
      <w:tr>
        <w:trPr>
          <w:trHeight w:val="155"/>
        </w:trPr>
        <w:tc>
          <w:tcPr>
            <w:tcW w:w="1960" w:type="dxa"/>
            <w:vAlign w:val="bottom"/>
            <w:gridSpan w:val="2"/>
            <w:vMerge w:val="continue"/>
            <w:shd w:val="clear" w:color="auto" w:fill="CCEEFF"/>
          </w:tcPr>
          <w:p>
            <w:pPr>
              <w:spacing w:after="0"/>
              <w:rPr>
                <w:sz w:val="13"/>
                <w:szCs w:val="13"/>
                <w:color w:val="auto"/>
              </w:rPr>
            </w:pPr>
          </w:p>
        </w:tc>
        <w:tc>
          <w:tcPr>
            <w:tcW w:w="1420" w:type="dxa"/>
            <w:vAlign w:val="bottom"/>
            <w:gridSpan w:val="2"/>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Company</w:t>
            </w:r>
          </w:p>
        </w:tc>
        <w:tc>
          <w:tcPr>
            <w:tcW w:w="10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Sleeping Bear</w:t>
            </w: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Woodward, OK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October 2007</w:t>
            </w:r>
          </w:p>
        </w:tc>
        <w:tc>
          <w:tcPr>
            <w:tcW w:w="18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Public Service Company of</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2032</w:t>
            </w:r>
          </w:p>
        </w:tc>
        <w:tc>
          <w:tcPr>
            <w:tcW w:w="0" w:type="dxa"/>
            <w:vAlign w:val="bottom"/>
          </w:tcPr>
          <w:p>
            <w:pPr>
              <w:spacing w:after="0"/>
              <w:rPr>
                <w:sz w:val="1"/>
                <w:szCs w:val="1"/>
                <w:color w:val="auto"/>
              </w:rPr>
            </w:pPr>
          </w:p>
        </w:tc>
      </w:tr>
      <w:tr>
        <w:trPr>
          <w:trHeight w:val="151"/>
        </w:trPr>
        <w:tc>
          <w:tcPr>
            <w:tcW w:w="1960" w:type="dxa"/>
            <w:vAlign w:val="bottom"/>
            <w:gridSpan w:val="2"/>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Oklahoma</w:t>
            </w: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South Trent</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Sweetwater, TX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2009</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AEP Energy Partners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2029</w:t>
            </w:r>
          </w:p>
        </w:tc>
        <w:tc>
          <w:tcPr>
            <w:tcW w:w="0" w:type="dxa"/>
            <w:vAlign w:val="bottom"/>
          </w:tcPr>
          <w:p>
            <w:pPr>
              <w:spacing w:after="0"/>
              <w:rPr>
                <w:sz w:val="1"/>
                <w:szCs w:val="1"/>
                <w:color w:val="auto"/>
              </w:rPr>
            </w:pPr>
          </w:p>
        </w:tc>
      </w:tr>
      <w:tr>
        <w:trPr>
          <w:trHeight w:val="153"/>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Spanish Fork</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Spanish Fork, UT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July 2008</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PacifiCorp</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w:t>
            </w:r>
          </w:p>
        </w:tc>
        <w:tc>
          <w:tcPr>
            <w:tcW w:w="0" w:type="dxa"/>
            <w:vAlign w:val="bottom"/>
          </w:tcPr>
          <w:p>
            <w:pPr>
              <w:spacing w:after="0"/>
              <w:rPr>
                <w:sz w:val="1"/>
                <w:szCs w:val="1"/>
                <w:color w:val="auto"/>
              </w:rPr>
            </w:pPr>
          </w:p>
        </w:tc>
      </w:tr>
      <w:tr>
        <w:trPr>
          <w:trHeight w:val="165"/>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xml:space="preserve">Spring Canyon II </w:t>
            </w:r>
            <w:r>
              <w:rPr>
                <w:rFonts w:ascii="Times New Roman" w:cs="Times New Roman" w:eastAsia="Times New Roman" w:hAnsi="Times New Roman"/>
                <w:sz w:val="14"/>
                <w:szCs w:val="14"/>
                <w:color w:val="auto"/>
                <w:vertAlign w:val="superscript"/>
              </w:rPr>
              <w:t>(b)</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Logan County, CO</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October 2014</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19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Spring Canyon III </w:t>
            </w:r>
            <w:r>
              <w:rPr>
                <w:rFonts w:ascii="Times New Roman" w:cs="Times New Roman" w:eastAsia="Times New Roman" w:hAnsi="Times New Roman"/>
                <w:sz w:val="14"/>
                <w:szCs w:val="14"/>
                <w:color w:val="auto"/>
                <w:vertAlign w:val="superscript"/>
              </w:rPr>
              <w:t>(b)</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Logan County, CO</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90.1 %</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December 2014</w:t>
            </w: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w:t>
            </w:r>
          </w:p>
        </w:tc>
        <w:tc>
          <w:tcPr>
            <w:tcW w:w="0" w:type="dxa"/>
            <w:vAlign w:val="bottom"/>
          </w:tcPr>
          <w:p>
            <w:pPr>
              <w:spacing w:after="0"/>
              <w:rPr>
                <w:sz w:val="1"/>
                <w:szCs w:val="1"/>
                <w:color w:val="auto"/>
              </w:rPr>
            </w:pPr>
          </w:p>
        </w:tc>
      </w:tr>
      <w:tr>
        <w:trPr>
          <w:trHeight w:val="15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Taloga</w:t>
            </w: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Putnam, OK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July 2011</w:t>
            </w:r>
          </w:p>
        </w:tc>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2031</w:t>
            </w:r>
          </w:p>
        </w:tc>
        <w:tc>
          <w:tcPr>
            <w:tcW w:w="0" w:type="dxa"/>
            <w:vAlign w:val="bottom"/>
          </w:tcPr>
          <w:p>
            <w:pPr>
              <w:spacing w:after="0"/>
              <w:rPr>
                <w:sz w:val="1"/>
                <w:szCs w:val="1"/>
                <w:color w:val="auto"/>
              </w:rPr>
            </w:pPr>
          </w:p>
        </w:tc>
      </w:tr>
      <w:tr>
        <w:trPr>
          <w:trHeight w:val="110"/>
        </w:trPr>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4"/>
                <w:szCs w:val="14"/>
                <w:color w:val="auto"/>
                <w:vertAlign w:val="superscript"/>
              </w:rPr>
              <w:t>(b)</w:t>
            </w: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Vega, TX</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9"/>
                <w:szCs w:val="9"/>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Wind</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April 2007</w:t>
            </w:r>
          </w:p>
        </w:tc>
        <w:tc>
          <w:tcPr>
            <w:tcW w:w="18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Southwestern Public Service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2027</w:t>
            </w:r>
          </w:p>
        </w:tc>
        <w:tc>
          <w:tcPr>
            <w:tcW w:w="0" w:type="dxa"/>
            <w:vAlign w:val="bottom"/>
          </w:tcPr>
          <w:p>
            <w:pPr>
              <w:spacing w:after="0"/>
              <w:rPr>
                <w:sz w:val="1"/>
                <w:szCs w:val="1"/>
                <w:color w:val="auto"/>
              </w:rPr>
            </w:pPr>
          </w:p>
        </w:tc>
      </w:tr>
      <w:tr>
        <w:trPr>
          <w:trHeight w:val="155"/>
        </w:trPr>
        <w:tc>
          <w:tcPr>
            <w:tcW w:w="1960" w:type="dxa"/>
            <w:vAlign w:val="bottom"/>
            <w:tcBorders>
              <w:bottom w:val="single" w:sz="8" w:color="CCEEFF"/>
            </w:tcBorders>
            <w:gridSpan w:val="2"/>
            <w:vMerge w:val="continue"/>
          </w:tcPr>
          <w:p>
            <w:pPr>
              <w:spacing w:after="0"/>
              <w:rPr>
                <w:sz w:val="13"/>
                <w:szCs w:val="13"/>
                <w:color w:val="auto"/>
              </w:rPr>
            </w:pPr>
          </w:p>
        </w:tc>
        <w:tc>
          <w:tcPr>
            <w:tcW w:w="1420" w:type="dxa"/>
            <w:vAlign w:val="bottom"/>
            <w:tcBorders>
              <w:bottom w:val="single" w:sz="8" w:color="CCEEFF"/>
            </w:tcBorders>
            <w:gridSpan w:val="2"/>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CCEEFF"/>
            </w:tcBorders>
            <w:gridSpan w:val="2"/>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gridSpan w:val="2"/>
            <w:vMerge w:val="continue"/>
          </w:tcPr>
          <w:p>
            <w:pPr>
              <w:spacing w:after="0"/>
              <w:rPr>
                <w:sz w:val="13"/>
                <w:szCs w:val="13"/>
                <w:color w:val="auto"/>
              </w:rPr>
            </w:pPr>
          </w:p>
        </w:tc>
        <w:tc>
          <w:tcPr>
            <w:tcW w:w="1380" w:type="dxa"/>
            <w:vAlign w:val="bottom"/>
            <w:tcBorders>
              <w:bottom w:val="single" w:sz="8" w:color="CCEEFF"/>
            </w:tcBorders>
            <w:gridSpan w:val="2"/>
            <w:vMerge w:val="continue"/>
          </w:tcPr>
          <w:p>
            <w:pPr>
              <w:spacing w:after="0"/>
              <w:rPr>
                <w:sz w:val="13"/>
                <w:szCs w:val="13"/>
                <w:color w:val="auto"/>
              </w:rPr>
            </w:pPr>
          </w:p>
        </w:tc>
        <w:tc>
          <w:tcPr>
            <w:tcW w:w="1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Company</w:t>
            </w:r>
          </w:p>
        </w:tc>
        <w:tc>
          <w:tcPr>
            <w:tcW w:w="102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gridSpan w:val="2"/>
            <w:shd w:val="clear" w:color="auto" w:fill="CCEEFF"/>
          </w:tcPr>
          <w:p>
            <w:pPr>
              <w:ind w:left="280"/>
              <w:spacing w:after="0" w:line="150" w:lineRule="exact"/>
              <w:rPr>
                <w:sz w:val="20"/>
                <w:szCs w:val="20"/>
                <w:color w:val="auto"/>
              </w:rPr>
            </w:pPr>
            <w:r>
              <w:rPr>
                <w:rFonts w:ascii="Times New Roman" w:cs="Times New Roman" w:eastAsia="Times New Roman" w:hAnsi="Times New Roman"/>
                <w:sz w:val="13"/>
                <w:szCs w:val="13"/>
                <w:b w:val="1"/>
                <w:bCs w:val="1"/>
                <w:i w:val="1"/>
                <w:iCs w:val="1"/>
                <w:color w:val="auto"/>
              </w:rPr>
              <w:t xml:space="preserve">Total Wind </w:t>
            </w:r>
            <w:r>
              <w:rPr>
                <w:rFonts w:ascii="Times New Roman" w:cs="Times New Roman" w:eastAsia="Times New Roman" w:hAnsi="Times New Roman"/>
                <w:sz w:val="16"/>
                <w:szCs w:val="16"/>
                <w:b w:val="1"/>
                <w:bCs w:val="1"/>
                <w:i w:val="1"/>
                <w:iCs w:val="1"/>
                <w:color w:val="auto"/>
                <w:vertAlign w:val="superscript"/>
              </w:rPr>
              <w:t>(d)</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4,157</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3,658</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Clearway Energy, Inc.</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9,458</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8,078</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61" w:lineRule="exact"/>
        <w:rPr>
          <w:sz w:val="20"/>
          <w:szCs w:val="20"/>
          <w:color w:val="auto"/>
        </w:rPr>
      </w:pPr>
    </w:p>
    <w:p>
      <w:pPr>
        <w:ind w:left="120" w:hanging="115"/>
        <w:spacing w:after="0"/>
        <w:tabs>
          <w:tab w:leader="none" w:pos="1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Net capacity represents the maximum, or rated, generating capacity of the facility multiplied by the Company’s percentage ownership in the facility as of December 31, 2022.</w:t>
      </w:r>
    </w:p>
    <w:p>
      <w:pPr>
        <w:spacing w:after="0" w:line="58" w:lineRule="exact"/>
        <w:rPr>
          <w:rFonts w:ascii="Times New Roman" w:cs="Times New Roman" w:eastAsia="Times New Roman" w:hAnsi="Times New Roman"/>
          <w:sz w:val="14"/>
          <w:szCs w:val="14"/>
          <w:color w:val="auto"/>
          <w:vertAlign w:val="superscript"/>
        </w:rPr>
      </w:pPr>
    </w:p>
    <w:p>
      <w:pPr>
        <w:ind w:left="120" w:hanging="115"/>
        <w:spacing w:after="0" w:line="225" w:lineRule="auto"/>
        <w:tabs>
          <w:tab w:leader="none" w:pos="1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 xml:space="preserve">Projects are part of tax equity arrangements, as further described in Item 15 </w:t>
      </w: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 xml:space="preserve"> Note 2, </w:t>
      </w:r>
      <w:r>
        <w:rPr>
          <w:rFonts w:ascii="Times New Roman" w:cs="Times New Roman" w:eastAsia="Times New Roman" w:hAnsi="Times New Roman"/>
          <w:sz w:val="10"/>
          <w:szCs w:val="10"/>
          <w:i w:val="1"/>
          <w:iCs w:val="1"/>
          <w:color w:val="auto"/>
        </w:rPr>
        <w:t>Summary of Significant Accounting Policies.</w:t>
      </w:r>
    </w:p>
    <w:p>
      <w:pPr>
        <w:spacing w:after="0" w:line="16"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storage capacity that matches the facility’s rated generating capacity.</w:t>
      </w:r>
    </w:p>
    <w:p>
      <w:pPr>
        <w:spacing w:after="0" w:line="35"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Typical average capacity factors are 25% for solar facilities and 25-45% for wind facilities. For the year ended December 31, 2022, the Company's solar and wind facilities had weighted-average capacity factors of 28% and 30%, respectively.</w:t>
      </w:r>
    </w:p>
    <w:p>
      <w:pPr>
        <w:spacing w:after="0" w:line="24"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Rattlesnake has a deliverable capacity of 144 MW.</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Item 3 — Legal Proceedings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See Item 15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Note 16,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to the Consolidated Financial Statements for discussion of the material legal proceedings to which the Company is a party or of which any of its properties is subject.</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0" w:name="page41"/>
    <w:bookmarkEnd w:id="40"/>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Equity Holders and Dividends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Company’s Class A common stock and Class C common stock are listed on the New York Stock Exchange and trade under the ticker symbols “CWEN.A” and “CWEN,” respectively. The Company’s Class B common stock and Class D common stock are not publicly traded.</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As of January 31, 2023, there were two holders of record of the Class A common stock, one holder of record of the Class B common stock, three holders of record of the Class C common stock and one holder of record of the Class D common stock.</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On February 15, 2023, the Company declared a quarterly dividend on its Class A and Class C common stock of $0.3745 per share payable on March 15, 2023, to stockholders of record as of March 1, 2023.</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Company’s Class A and Class C common stock dividends are subject to available capital, market conditions, and compliance with associated laws and regulations. The Company expects that, based on current circumstances, comparable cash dividends will continue to be paid in the foreseeable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performance graph below compares the Company’s cumulative total stockholder return on the Company's Class A common stock and Class C common stock from December 31, 2017 through December 31, 2022, with the cumulative total return of the Standard &amp; Poor’s 500 Composite Stock Price Index, or S&amp;P 500, and the Philadelphia Utility Sector Index, or UTY.</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performance graph shown below is being furnished and compares each period assuming that $100 was invested on December 31, 2017 in each of the Class A common stock of the Company, the Class C common stock of the Company, the stocks included in the S&amp;P 500 and the stocks included in the UTY,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60960</wp:posOffset>
            </wp:positionV>
            <wp:extent cx="4608195" cy="1913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08195" cy="191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2017</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2018</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2019</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2020</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2022</w:t>
            </w:r>
          </w:p>
        </w:tc>
      </w:tr>
      <w:tr>
        <w:trPr>
          <w:trHeight w:val="18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 Class A common stock</w:t>
            </w: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93.26</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110.82</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179.18</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212.57</w:t>
            </w:r>
          </w:p>
        </w:tc>
        <w:tc>
          <w:tcPr>
            <w:tcW w:w="3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198.47</w:t>
            </w:r>
          </w:p>
        </w:tc>
      </w:tr>
      <w:tr>
        <w:trPr>
          <w:trHeight w:val="180"/>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Inc. Class C common stock</w:t>
            </w: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115.75</w:t>
            </w:r>
          </w:p>
        </w:tc>
        <w:tc>
          <w:tcPr>
            <w:tcW w:w="34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193.34</w:t>
            </w:r>
          </w:p>
        </w:tc>
        <w:tc>
          <w:tcPr>
            <w:tcW w:w="34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227.82</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209.85</w:t>
            </w:r>
          </w:p>
        </w:tc>
      </w:tr>
      <w:tr>
        <w:trPr>
          <w:trHeight w:val="18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w:t>
            </w: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124.68</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147.62</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190.00</w:t>
            </w:r>
          </w:p>
        </w:tc>
        <w:tc>
          <w:tcPr>
            <w:tcW w:w="3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155.59</w:t>
            </w:r>
          </w:p>
        </w:tc>
      </w:tr>
      <w:tr>
        <w:trPr>
          <w:trHeight w:val="184"/>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UTY</w:t>
            </w: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132.38</w:t>
            </w:r>
          </w:p>
        </w:tc>
        <w:tc>
          <w:tcPr>
            <w:tcW w:w="34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135.98</w:t>
            </w:r>
          </w:p>
        </w:tc>
        <w:tc>
          <w:tcPr>
            <w:tcW w:w="34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160.79</w:t>
            </w:r>
          </w:p>
        </w:tc>
        <w:tc>
          <w:tcPr>
            <w:tcW w:w="3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161.83</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Item 7 — Management’s Discussion and Analysis of Financial Condition and the Results of Operations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 you read this discussion and analysis, refer to the Company’s Consolidated Statements of Income to this Form 10-K. Also refer to Item 1 —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which include detailed discussions of various items impacting the Company’s business, results of operations and financial condition. Discussions of the year ended December 31, 2020 that are not included in this Annual Report on Form 10-K and year-to-year comparisons of the year ended December 31, 2021 and the year ended December 31, 2020 can be found in “Management’s Discussion and Analysis of Financial Condition and the Results of Operations” in Part II, Item 7 of the Company’s Annual Report on Form 10-K for the year ended December 31, 2021.</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315"/>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income;</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7"/>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315"/>
        <w:spacing w:after="0"/>
        <w:tabs>
          <w:tab w:leader="none" w:pos="10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auto"/>
        </w:rPr>
      </w:pPr>
    </w:p>
    <w:p>
      <w:pPr>
        <w:ind w:left="580" w:right="220" w:firstLine="125"/>
        <w:spacing w:after="0" w:line="287" w:lineRule="auto"/>
        <w:tabs>
          <w:tab w:leader="none" w:pos="102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 The weighted average remaining contract duration of these offtake agreements was approximately 11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December 31, 2022 </w:t>
      </w:r>
      <w:r>
        <w:rPr>
          <w:rFonts w:ascii="Times New Roman" w:cs="Times New Roman" w:eastAsia="Times New Roman" w:hAnsi="Times New Roman"/>
          <w:sz w:val="14"/>
          <w:szCs w:val="14"/>
          <w:color w:val="231F20"/>
        </w:rPr>
        <w:t>based on CAFD.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Thermal Disposition</w:t>
      </w:r>
    </w:p>
    <w:p>
      <w:pPr>
        <w:spacing w:after="0" w:line="138" w:lineRule="exact"/>
        <w:rPr>
          <w:sz w:val="20"/>
          <w:szCs w:val="20"/>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b w:val="1"/>
          <w:bCs w:val="1"/>
          <w:i w:val="1"/>
          <w:iCs w:val="1"/>
          <w:color w:val="231F20"/>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The transaction resulted in a gain on sale of business of approximately $1.29 billion, which is net of the $18 million in transaction expenses referenced above. See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Capistrano Wind Portfolio Acquisition</w:t>
      </w:r>
    </w:p>
    <w:p>
      <w:pPr>
        <w:spacing w:after="0" w:line="138" w:lineRule="exact"/>
        <w:rPr>
          <w:sz w:val="20"/>
          <w:szCs w:val="20"/>
          <w:color w:val="auto"/>
        </w:rPr>
      </w:pPr>
    </w:p>
    <w:p>
      <w:pPr>
        <w:jc w:val="both"/>
        <w:ind w:left="520" w:hanging="260"/>
        <w:spacing w:after="0" w:line="270" w:lineRule="auto"/>
        <w:tabs>
          <w:tab w:leader="none" w:pos="516" w:val="left"/>
        </w:tabs>
        <w:numPr>
          <w:ilvl w:val="0"/>
          <w:numId w:val="19"/>
        </w:numPr>
        <w:rPr>
          <w:rFonts w:ascii="Times New Roman" w:cs="Times New Roman" w:eastAsia="Times New Roman" w:hAnsi="Times New Roman"/>
          <w:sz w:val="14"/>
          <w:szCs w:val="14"/>
          <w:b w:val="1"/>
          <w:bCs w:val="1"/>
          <w:i w:val="1"/>
          <w:iCs w:val="1"/>
          <w:color w:val="231F20"/>
        </w:rPr>
      </w:pPr>
      <w:r>
        <w:rPr>
          <w:rFonts w:ascii="Times New Roman" w:cs="Times New Roman" w:eastAsia="Times New Roman" w:hAnsi="Times New Roman"/>
          <w:sz w:val="14"/>
          <w:szCs w:val="14"/>
          <w:color w:val="auto"/>
        </w:rPr>
        <w:t xml:space="preserve">On August 22, 2022, the Company acquired the Capistrano Wind Portfolio, which consists of five wind projects located in Nebraska, Texas and Wyoming with a combined capacity of 413 MW, from Capistrano Wind Partners LLC, an indirect subsidiary of CEG, for total net consideration of approximately $239 million. See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 xml:space="preserve">On February 17, 2023, the Company, through a partnership with a third-party investor, acquired an interest in Daggett TargetCo LLC from Clearway Renew LLC, a subsidiary of CEG, for cash consideration of $21 million. The third-party investor also contributed cash consideration of $129 million, which was utilized to acquire their portion of the acquired entity. Daggett TargetCo LLC is the primary beneficiary and consolidates its interests in a tax equity fund, Daggett TE Holdco LLC, the owner of the Daggett 3 solar project, a 300 MW solar project with matching storage capacity that is currently under construction and located in San Bernardino, California. See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w:t>
      </w:r>
    </w:p>
    <w:p>
      <w:pPr>
        <w:spacing w:after="0" w:line="98" w:lineRule="exact"/>
        <w:rPr>
          <w:rFonts w:ascii="Times New Roman" w:cs="Times New Roman" w:eastAsia="Times New Roman" w:hAnsi="Times New Roman"/>
          <w:sz w:val="14"/>
          <w:szCs w:val="14"/>
          <w:i w:val="1"/>
          <w:iCs w:val="1"/>
          <w:color w:val="auto"/>
        </w:rPr>
      </w:pPr>
    </w:p>
    <w:p>
      <w:pPr>
        <w:jc w:val="both"/>
        <w:ind w:left="520" w:hanging="260"/>
        <w:spacing w:after="0" w:line="261"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23, 2022, the Company, through an indirect subsidiary, entered into an agreement with CEG to acquire the Class A membership interests in a partnership formed to hold the interests in the Victory Pass and Arica solar and energy storage projects, which are both located in Riverside, California, upon the projects reaching certain milestones for a total purchase price of approximately $228 million in cash, subject to customary working capital adjustments. Victory Pass is a 200 MW solar facility and Arica is a 263 MW solar facility, each with an energy storage system. Upon the closing of the transaction, which is expected in the second half of 2023, the Company will own 40% of the partnership holding interests in Victory Pass and Arica, which are anticipated to be held in a tax equity fund with another third-party investor.</w:t>
      </w:r>
    </w:p>
    <w:p>
      <w:pPr>
        <w:spacing w:after="0" w:line="100"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October 3, 2022, the Company, through a partnership with a third-party investor, acquired Waiawa BL Borrower Holdco LLC, the indirect owner, through its ownership interests in and consolidation of a tax equity fund, of the Waiawa solar project, a 36 MW solar project with matching storage capacity located in Honolulu, Hawaii, from Clearway Renew LLC for cash consideration of $20 million. The third-party investor also contributed cash consideration of $12 million, which was utilized to acquire their portion of the acquired entity. See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jc w:val="both"/>
        <w:ind w:left="520" w:hanging="260"/>
        <w:spacing w:after="0" w:line="26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March 25, 2022, the Company, through a partnership with a third-party investor, acquired Mililani BL Borrower Holdco LLC, the indirect owner, through its ownership interests in and consolidation of a tax equity fund, of the Mililani I solar project, a 39 MW solar project with matching storage capacity located in Honolulu, Hawaii, from Clearway Renew LLC for cash consideration of $22 million. The third-party investor also contributed cash consideration of $14 million, which was utilized to acquire their portion of the acquired entity. See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w:t>
      </w:r>
    </w:p>
    <w:p>
      <w:pPr>
        <w:spacing w:after="0" w:line="9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February 2022, in connection with 2021 Black Rock Drop Down, the Company paid an additional $23 million to Clearway Renew LLC as final funding after all remaining turbines of the project became operational. Concurrent with the final funding, the $59 million that was contributed in 2021 by third-party investors was released to Clearway Renew LLC. See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for further discussion.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Resource Adequacy Agreements</w:t>
      </w:r>
    </w:p>
    <w:p>
      <w:pPr>
        <w:spacing w:after="0" w:line="138"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August 2022, the Company contracted with SCE to sell 100% of El Segundo’s available capacity commencing in August 2023 and ending in August 2026.</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July 2022, the Company contracted with several load serving entities to sell the remaining 20% of Marsh Landing’s available capacity commencing in May 2023. The agreements are for approximately three and a half years. Marsh Landing’s capacity is now 100% contracted for a weighted average contract tenor of approximately four years commencing in May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 Financing Activities</w:t>
      </w:r>
    </w:p>
    <w:p>
      <w:pPr>
        <w:spacing w:after="0" w:line="138" w:lineRule="exact"/>
        <w:rPr>
          <w:sz w:val="20"/>
          <w:szCs w:val="20"/>
          <w:color w:val="auto"/>
        </w:rPr>
      </w:pPr>
    </w:p>
    <w:p>
      <w:pPr>
        <w:ind w:left="520" w:hanging="260"/>
        <w:spacing w:after="0" w:line="287"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May 3, 2022, the Company repaid (i) $305 million in outstanding borrowings under the revolving credit facility and (ii) $335 million in outstanding borrowings under the Bridge Loan Agreement utilizing proceeds received from the Thermal Disposition. See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Project-level Financing Activities</w:t>
      </w:r>
    </w:p>
    <w:p>
      <w:pPr>
        <w:spacing w:after="0" w:line="138" w:lineRule="exact"/>
        <w:rPr>
          <w:sz w:val="20"/>
          <w:szCs w:val="20"/>
          <w:color w:val="auto"/>
        </w:rPr>
      </w:pPr>
    </w:p>
    <w:p>
      <w:pPr>
        <w:ind w:left="520" w:hanging="260"/>
        <w:spacing w:after="0" w:line="287" w:lineRule="auto"/>
        <w:tabs>
          <w:tab w:leader="none" w:pos="511" w:val="left"/>
        </w:tabs>
        <w:numPr>
          <w:ilvl w:val="0"/>
          <w:numId w:val="2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 xml:space="preserve">In connection with the Capistrano Wind Portfolio acquisition and the 2022 Drop Downs of Waiawa and Mililani I, the Company assumed non-recourse project-level debt. See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 of the non-recourse project-level debt associated with each project.</w:t>
      </w:r>
    </w:p>
    <w:p>
      <w:pPr>
        <w:spacing w:after="0" w:line="81" w:lineRule="exact"/>
        <w:rPr>
          <w:rFonts w:ascii="Times New Roman" w:cs="Times New Roman" w:eastAsia="Times New Roman" w:hAnsi="Times New Roman"/>
          <w:sz w:val="13"/>
          <w:szCs w:val="13"/>
          <w:b w:val="1"/>
          <w:bCs w:val="1"/>
          <w:i w:val="1"/>
          <w:iCs w:val="1"/>
          <w:color w:val="auto"/>
        </w:rPr>
      </w:pPr>
    </w:p>
    <w:p>
      <w:pPr>
        <w:ind w:left="520" w:hanging="260"/>
        <w:spacing w:after="0" w:line="287"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15, 2022, the Company repaid the outstanding project-level debt of El Segundo Energy Center in the amount of approximately $130 million, utilizing cash on hand. The project-level debt had an original maturity of August 2023.</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1" w:val="left"/>
        </w:tabs>
        <w:numPr>
          <w:ilvl w:val="0"/>
          <w:numId w:val="24"/>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 xml:space="preserve">On March 16, 2022, the Company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 See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for further discussion.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 and Regulatory Matters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Details of environmental matters and regulatory matters are presented in Item 1 — </w:t>
      </w:r>
      <w:r>
        <w:rPr>
          <w:rFonts w:ascii="Times New Roman" w:cs="Times New Roman" w:eastAsia="Times New Roman" w:hAnsi="Times New Roman"/>
          <w:sz w:val="14"/>
          <w:szCs w:val="14"/>
          <w:i w:val="1"/>
          <w:iCs w:val="1"/>
          <w:color w:val="auto"/>
        </w:rPr>
        <w:t>Business, Regulatory Matters</w:t>
      </w:r>
      <w:r>
        <w:rPr>
          <w:rFonts w:ascii="Times New Roman" w:cs="Times New Roman" w:eastAsia="Times New Roman" w:hAnsi="Times New Roman"/>
          <w:sz w:val="14"/>
          <w:szCs w:val="14"/>
          <w:color w:val="auto"/>
        </w:rPr>
        <w:t xml:space="preserve"> and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Details of some of this information relate to costs that may impact the Company’s financial results.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0"/>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5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Revenues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Energy and capacity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80" w:type="dxa"/>
            <w:vAlign w:val="bottom"/>
          </w:tcPr>
          <w:p>
            <w:pPr>
              <w:spacing w:after="0"/>
              <w:rPr>
                <w:sz w:val="14"/>
                <w:szCs w:val="14"/>
                <w:color w:val="auto"/>
              </w:rPr>
            </w:pPr>
          </w:p>
        </w:tc>
        <w:tc>
          <w:tcPr>
            <w:tcW w:w="28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revenues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Contract amortization</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operating revenues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0" w:type="dxa"/>
            <w:vAlign w:val="bottom"/>
          </w:tcPr>
          <w:p>
            <w:pPr>
              <w:spacing w:after="0"/>
              <w:rPr>
                <w:sz w:val="1"/>
                <w:szCs w:val="1"/>
                <w:color w:val="auto"/>
              </w:rPr>
            </w:pP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Costs and Expenses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fuels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Operations and maintenance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costs of operations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Development costs</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77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sale of business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Impairment loss on investment</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sale of unconsolidated affiliate</w:t>
            </w: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77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interest income</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8"/>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interest expense</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0" w:type="dxa"/>
            <w:vAlign w:val="bottom"/>
          </w:tcPr>
          <w:p>
            <w:pPr>
              <w:spacing w:after="0"/>
              <w:rPr>
                <w:sz w:val="1"/>
                <w:szCs w:val="1"/>
                <w:color w:val="auto"/>
              </w:rPr>
            </w:pPr>
          </w:p>
        </w:tc>
      </w:tr>
      <w:tr>
        <w:trPr>
          <w:trHeight w:val="163"/>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expense, net</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0" w:type="dxa"/>
            <w:vAlign w:val="bottom"/>
          </w:tcPr>
          <w:p>
            <w:pPr>
              <w:spacing w:after="0"/>
              <w:rPr>
                <w:sz w:val="1"/>
                <w:szCs w:val="1"/>
                <w:color w:val="auto"/>
              </w:rPr>
            </w:pPr>
          </w:p>
        </w:tc>
      </w:tr>
      <w:tr>
        <w:trPr>
          <w:trHeight w:val="158"/>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 Before Income Taxes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333333"/>
              </w:rPr>
              <w:t>1,282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3"/>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interests and redeemable interests</w:t>
            </w:r>
          </w:p>
        </w:tc>
        <w:tc>
          <w:tcPr>
            <w:tcW w:w="1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60"/>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Clearway Energy,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8"/>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2021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61"/>
        </w:trPr>
        <w:tc>
          <w:tcPr>
            <w:tcW w:w="7780" w:type="dxa"/>
            <w:vAlign w:val="bottom"/>
            <w:shd w:val="clear" w:color="auto" w:fill="CCEEFF"/>
          </w:tcPr>
          <w:p>
            <w:pPr>
              <w:ind w:left="80"/>
              <w:spacing w:after="0" w:line="161" w:lineRule="exact"/>
              <w:rPr>
                <w:sz w:val="20"/>
                <w:szCs w:val="20"/>
                <w:color w:val="auto"/>
              </w:rPr>
            </w:pPr>
            <w:r>
              <w:rPr>
                <w:rFonts w:ascii="Times New Roman" w:cs="Times New Roman" w:eastAsia="Times New Roman" w:hAnsi="Times New Roman"/>
                <w:sz w:val="13"/>
                <w:szCs w:val="13"/>
                <w:color w:val="auto"/>
              </w:rPr>
              <w:t xml:space="preserve">Solar MWh generated/sold (in thousands) </w:t>
            </w:r>
            <w:r>
              <w:rPr>
                <w:rFonts w:ascii="Times New Roman" w:cs="Times New Roman" w:eastAsia="Times New Roman" w:hAnsi="Times New Roman"/>
                <w:sz w:val="16"/>
                <w:szCs w:val="16"/>
                <w:color w:val="auto"/>
                <w:vertAlign w:val="superscript"/>
              </w:rPr>
              <w:t>(a)</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4,991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3,585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1,894</w:t>
            </w:r>
          </w:p>
        </w:tc>
        <w:tc>
          <w:tcPr>
            <w:tcW w:w="0" w:type="dxa"/>
            <w:vAlign w:val="bottom"/>
          </w:tcPr>
          <w:p>
            <w:pPr>
              <w:spacing w:after="0"/>
              <w:rPr>
                <w:sz w:val="1"/>
                <w:szCs w:val="1"/>
                <w:color w:val="auto"/>
              </w:rPr>
            </w:pPr>
          </w:p>
        </w:tc>
      </w:tr>
      <w:tr>
        <w:trPr>
          <w:trHeight w:val="170"/>
        </w:trPr>
        <w:tc>
          <w:tcPr>
            <w:tcW w:w="7780" w:type="dxa"/>
            <w:vAlign w:val="bottom"/>
            <w:tcBorders>
              <w:bottom w:val="single" w:sz="8" w:color="CCEEFF"/>
            </w:tcBorders>
          </w:tcPr>
          <w:p>
            <w:pPr>
              <w:ind w:left="80"/>
              <w:spacing w:after="0" w:line="170" w:lineRule="exact"/>
              <w:rPr>
                <w:sz w:val="20"/>
                <w:szCs w:val="20"/>
                <w:color w:val="auto"/>
              </w:rPr>
            </w:pPr>
            <w:r>
              <w:rPr>
                <w:rFonts w:ascii="Times New Roman" w:cs="Times New Roman" w:eastAsia="Times New Roman" w:hAnsi="Times New Roman"/>
                <w:sz w:val="13"/>
                <w:szCs w:val="13"/>
                <w:color w:val="auto"/>
              </w:rPr>
              <w:t xml:space="preserve">Wind MWh generated/sold (in thousands) </w:t>
            </w:r>
            <w:r>
              <w:rPr>
                <w:rFonts w:ascii="Times New Roman" w:cs="Times New Roman" w:eastAsia="Times New Roman" w:hAnsi="Times New Roman"/>
                <w:sz w:val="16"/>
                <w:szCs w:val="16"/>
                <w:color w:val="auto"/>
                <w:vertAlign w:val="superscript"/>
              </w:rPr>
              <w:t>(a)</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9,343</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7,728</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5,566</w:t>
            </w:r>
          </w:p>
        </w:tc>
        <w:tc>
          <w:tcPr>
            <w:tcW w:w="0" w:type="dxa"/>
            <w:vAlign w:val="bottom"/>
          </w:tcPr>
          <w:p>
            <w:pPr>
              <w:spacing w:after="0"/>
              <w:rPr>
                <w:sz w:val="1"/>
                <w:szCs w:val="1"/>
                <w:color w:val="auto"/>
              </w:rPr>
            </w:pPr>
          </w:p>
        </w:tc>
      </w:tr>
      <w:tr>
        <w:trPr>
          <w:trHeight w:val="185"/>
        </w:trPr>
        <w:tc>
          <w:tcPr>
            <w:tcW w:w="7780" w:type="dxa"/>
            <w:vAlign w:val="bottom"/>
            <w:tcBorders>
              <w:bottom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 xml:space="preserve">Renewables MWh generated/sold (in thousands) </w:t>
            </w:r>
            <w:r>
              <w:rPr>
                <w:rFonts w:ascii="Times New Roman" w:cs="Times New Roman" w:eastAsia="Times New Roman" w:hAnsi="Times New Roman"/>
                <w:sz w:val="16"/>
                <w:szCs w:val="16"/>
                <w:color w:val="auto"/>
                <w:vertAlign w:val="superscript"/>
              </w:rPr>
              <w:t>(a)</w:t>
            </w: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14,334</w:t>
            </w: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11,313</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7,460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Thermal MWt sold (in thousands) </w:t>
            </w:r>
            <w:r>
              <w:rPr>
                <w:rFonts w:ascii="Times New Roman" w:cs="Times New Roman" w:eastAsia="Times New Roman" w:hAnsi="Times New Roman"/>
                <w:sz w:val="16"/>
                <w:szCs w:val="16"/>
                <w:color w:val="auto"/>
                <w:vertAlign w:val="superscript"/>
              </w:rPr>
              <w:t>(b)</w:t>
            </w: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17"/>
              <w:spacing w:after="0" w:line="133" w:lineRule="exact"/>
              <w:rPr>
                <w:sz w:val="20"/>
                <w:szCs w:val="20"/>
                <w:color w:val="auto"/>
              </w:rPr>
            </w:pPr>
            <w:r>
              <w:rPr>
                <w:rFonts w:ascii="Times New Roman" w:cs="Times New Roman" w:eastAsia="Times New Roman" w:hAnsi="Times New Roman"/>
                <w:sz w:val="13"/>
                <w:szCs w:val="13"/>
                <w:color w:val="auto"/>
              </w:rPr>
              <w:t>835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jc w:val="right"/>
              <w:ind w:right="57"/>
              <w:spacing w:after="0" w:line="133" w:lineRule="exact"/>
              <w:rPr>
                <w:sz w:val="20"/>
                <w:szCs w:val="20"/>
                <w:color w:val="auto"/>
              </w:rPr>
            </w:pPr>
            <w:r>
              <w:rPr>
                <w:rFonts w:ascii="Times New Roman" w:cs="Times New Roman" w:eastAsia="Times New Roman" w:hAnsi="Times New Roman"/>
                <w:sz w:val="13"/>
                <w:szCs w:val="13"/>
                <w:color w:val="auto"/>
              </w:rPr>
              <w:t>2,035</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ind w:right="97"/>
              <w:spacing w:after="0" w:line="133" w:lineRule="exact"/>
              <w:rPr>
                <w:sz w:val="20"/>
                <w:szCs w:val="20"/>
                <w:color w:val="auto"/>
              </w:rPr>
            </w:pPr>
            <w:r>
              <w:rPr>
                <w:rFonts w:ascii="Times New Roman" w:cs="Times New Roman" w:eastAsia="Times New Roman" w:hAnsi="Times New Roman"/>
                <w:sz w:val="13"/>
                <w:szCs w:val="13"/>
                <w:color w:val="auto"/>
              </w:rPr>
              <w:t>1,927</w:t>
            </w:r>
          </w:p>
        </w:tc>
        <w:tc>
          <w:tcPr>
            <w:tcW w:w="0" w:type="dxa"/>
            <w:vAlign w:val="bottom"/>
          </w:tcPr>
          <w:p>
            <w:pPr>
              <w:spacing w:after="0"/>
              <w:rPr>
                <w:sz w:val="1"/>
                <w:szCs w:val="1"/>
                <w:color w:val="auto"/>
              </w:rPr>
            </w:pPr>
          </w:p>
        </w:tc>
      </w:tr>
      <w:tr>
        <w:trPr>
          <w:trHeight w:val="170"/>
        </w:trPr>
        <w:tc>
          <w:tcPr>
            <w:tcW w:w="77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Thermal MWh sold (in thousands) </w:t>
            </w:r>
            <w:r>
              <w:rPr>
                <w:rFonts w:ascii="Times New Roman" w:cs="Times New Roman" w:eastAsia="Times New Roman" w:hAnsi="Times New Roman"/>
                <w:sz w:val="16"/>
                <w:szCs w:val="16"/>
                <w:color w:val="auto"/>
                <w:vertAlign w:val="superscript"/>
              </w:rPr>
              <w:t>(b)</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59</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70"/>
        </w:trPr>
        <w:tc>
          <w:tcPr>
            <w:tcW w:w="77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Conventional MWh generated (in thousands) </w:t>
            </w:r>
            <w:r>
              <w:rPr>
                <w:rFonts w:ascii="Times New Roman" w:cs="Times New Roman" w:eastAsia="Times New Roman" w:hAnsi="Times New Roman"/>
                <w:sz w:val="16"/>
                <w:szCs w:val="16"/>
                <w:color w:val="auto"/>
                <w:vertAlign w:val="superscript"/>
              </w:rPr>
              <w:t>(a)(c)</w:t>
            </w:r>
          </w:p>
        </w:tc>
        <w:tc>
          <w:tcPr>
            <w:tcW w:w="12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1,475</w:t>
            </w:r>
          </w:p>
        </w:tc>
        <w:tc>
          <w:tcPr>
            <w:tcW w:w="0" w:type="dxa"/>
            <w:vAlign w:val="bottom"/>
          </w:tcPr>
          <w:p>
            <w:pPr>
              <w:spacing w:after="0"/>
              <w:rPr>
                <w:sz w:val="1"/>
                <w:szCs w:val="1"/>
                <w:color w:val="auto"/>
              </w:rPr>
            </w:pPr>
          </w:p>
        </w:tc>
      </w:tr>
      <w:tr>
        <w:trPr>
          <w:trHeight w:val="17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Conventional equivalent availability factor</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92.2 %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94.7 %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9" w:lineRule="exact"/>
        <w:rPr>
          <w:sz w:val="20"/>
          <w:szCs w:val="20"/>
          <w:color w:val="auto"/>
        </w:rPr>
      </w:pPr>
    </w:p>
    <w:p>
      <w:pPr>
        <w:ind w:left="120" w:hanging="115"/>
        <w:spacing w:after="0"/>
        <w:tabs>
          <w:tab w:leader="none" w:pos="120" w:val="left"/>
        </w:tabs>
        <w:numPr>
          <w:ilvl w:val="0"/>
          <w:numId w:val="2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Volumes do not include the MWh generated/sold by the Company’s equity method investments.</w:t>
      </w:r>
    </w:p>
    <w:p>
      <w:pPr>
        <w:spacing w:after="0" w:line="3" w:lineRule="exact"/>
        <w:rPr>
          <w:rFonts w:ascii="Times New Roman" w:cs="Times New Roman" w:eastAsia="Times New Roman" w:hAnsi="Times New Roman"/>
          <w:sz w:val="15"/>
          <w:szCs w:val="15"/>
          <w:color w:val="auto"/>
          <w:vertAlign w:val="superscript"/>
        </w:rPr>
      </w:pPr>
    </w:p>
    <w:p>
      <w:pPr>
        <w:ind w:left="100" w:hanging="95"/>
        <w:spacing w:after="0" w:line="234" w:lineRule="auto"/>
        <w:tabs>
          <w:tab w:leader="none" w:pos="100" w:val="left"/>
        </w:tabs>
        <w:numPr>
          <w:ilvl w:val="0"/>
          <w:numId w:val="2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On May 1, 2022, the Company completed the sale of 100% of its interests in the Thermal Business to KKR.</w:t>
      </w:r>
    </w:p>
    <w:p>
      <w:pPr>
        <w:spacing w:after="0" w:line="3" w:lineRule="exact"/>
        <w:rPr>
          <w:rFonts w:ascii="Times New Roman" w:cs="Times New Roman" w:eastAsia="Times New Roman" w:hAnsi="Times New Roman"/>
          <w:sz w:val="12"/>
          <w:szCs w:val="12"/>
          <w:color w:val="auto"/>
          <w:vertAlign w:val="superscript"/>
        </w:rPr>
      </w:pPr>
    </w:p>
    <w:p>
      <w:pPr>
        <w:ind w:left="100" w:hanging="95"/>
        <w:spacing w:after="0" w:line="234" w:lineRule="auto"/>
        <w:tabs>
          <w:tab w:leader="none" w:pos="100" w:val="left"/>
        </w:tabs>
        <w:numPr>
          <w:ilvl w:val="0"/>
          <w:numId w:val="2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Volumes generated are not sold as the Conventional facilities sell capacity rather than energy.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Management’s discussion of the results of operations for the years ended December 31, 2022 and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Operating revenues decreased by $96 million for the year ended December 31, 2022, compared to the same period in 2021, due to a combination of the drivers summarized in the table below:</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60" w:type="dxa"/>
            <w:vAlign w:val="bottom"/>
            <w:tcBorders>
              <w:bottom w:val="single" w:sz="8" w:color="CCEEFF"/>
            </w:tcBorders>
          </w:tcPr>
          <w:p>
            <w:pPr>
              <w:spacing w:after="0"/>
              <w:rPr>
                <w:sz w:val="16"/>
                <w:szCs w:val="16"/>
                <w:color w:val="auto"/>
              </w:rPr>
            </w:pPr>
          </w:p>
        </w:tc>
        <w:tc>
          <w:tcPr>
            <w:tcW w:w="7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18"/>
        </w:trPr>
        <w:tc>
          <w:tcPr>
            <w:tcW w:w="2360" w:type="dxa"/>
            <w:vAlign w:val="bottom"/>
            <w:shd w:val="clear" w:color="auto" w:fill="CCEEFF"/>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Renewables Segment</w:t>
            </w:r>
          </w:p>
        </w:tc>
        <w:tc>
          <w:tcPr>
            <w:tcW w:w="7560" w:type="dxa"/>
            <w:vAlign w:val="bottom"/>
            <w:shd w:val="clear" w:color="auto" w:fill="CCEEFF"/>
          </w:tcPr>
          <w:p>
            <w:pPr>
              <w:ind w:left="300"/>
              <w:spacing w:after="0" w:line="118" w:lineRule="exact"/>
              <w:rPr>
                <w:sz w:val="20"/>
                <w:szCs w:val="20"/>
                <w:color w:val="auto"/>
              </w:rPr>
            </w:pPr>
            <w:r>
              <w:rPr>
                <w:rFonts w:ascii="Times New Roman" w:cs="Times New Roman" w:eastAsia="Times New Roman" w:hAnsi="Times New Roman"/>
                <w:sz w:val="13"/>
                <w:szCs w:val="13"/>
                <w:color w:val="auto"/>
              </w:rPr>
              <w:t>Increase for solar acquisitions due to the 2021 acquisitions of the Utah Solar Portfolio and Agua Caliente and the 2022</w:t>
            </w: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acquisition of Mililani I, slightly offset by the 2022 disposition of Kawailoa.</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38"/>
        </w:trPr>
        <w:tc>
          <w:tcPr>
            <w:tcW w:w="2360" w:type="dxa"/>
            <w:vAlign w:val="bottom"/>
          </w:tcPr>
          <w:p>
            <w:pPr>
              <w:spacing w:after="0"/>
              <w:rPr>
                <w:sz w:val="11"/>
                <w:szCs w:val="11"/>
                <w:color w:val="auto"/>
              </w:rPr>
            </w:pPr>
          </w:p>
        </w:tc>
        <w:tc>
          <w:tcPr>
            <w:tcW w:w="7560" w:type="dxa"/>
            <w:vAlign w:val="bottom"/>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for wind acquisitions due to the 2021 acquisitions of Mt. Storm, Mesquite Sky and Black Rock and the 2022</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1"/>
        </w:trPr>
        <w:tc>
          <w:tcPr>
            <w:tcW w:w="2360" w:type="dxa"/>
            <w:vAlign w:val="bottom"/>
          </w:tcPr>
          <w:p>
            <w:pPr>
              <w:spacing w:after="0"/>
              <w:rPr>
                <w:sz w:val="16"/>
                <w:szCs w:val="16"/>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acquisition of the Capistrano Wind Portfolio, along with the 2021 repowering of the Pinnacle wind project.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38"/>
        </w:trPr>
        <w:tc>
          <w:tcPr>
            <w:tcW w:w="2360" w:type="dxa"/>
            <w:vAlign w:val="bottom"/>
            <w:shd w:val="clear" w:color="auto" w:fill="CCEEFF"/>
          </w:tcPr>
          <w:p>
            <w:pPr>
              <w:spacing w:after="0"/>
              <w:rPr>
                <w:sz w:val="12"/>
                <w:szCs w:val="12"/>
                <w:color w:val="auto"/>
              </w:rPr>
            </w:pPr>
          </w:p>
        </w:tc>
        <w:tc>
          <w:tcPr>
            <w:tcW w:w="756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Favorable impact from the loss in February 2021 related to net settlements of obligations for wind facilities that were unable to</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produce the required output during extreme weather conditions in Texas.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2360" w:type="dxa"/>
            <w:vAlign w:val="bottom"/>
          </w:tcPr>
          <w:p>
            <w:pPr>
              <w:spacing w:after="0"/>
              <w:rPr>
                <w:sz w:val="15"/>
                <w:szCs w:val="15"/>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Increase primarily driven by higher average realized prices at the wind facilities.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2360" w:type="dxa"/>
            <w:vAlign w:val="bottom"/>
            <w:shd w:val="clear" w:color="auto" w:fill="CCEEFF"/>
          </w:tcPr>
          <w:p>
            <w:pPr>
              <w:spacing w:after="0"/>
              <w:rPr>
                <w:sz w:val="15"/>
                <w:szCs w:val="15"/>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Decrease primarily driven by lower wind generation.</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Thermal Segment</w:t>
            </w: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Decrease primarily driven by the sale of the Thermal Business on May 1, 2022.</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r>
        <w:trPr>
          <w:trHeight w:val="138"/>
        </w:trPr>
        <w:tc>
          <w:tcPr>
            <w:tcW w:w="236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Conventional Segment</w:t>
            </w:r>
          </w:p>
        </w:tc>
        <w:tc>
          <w:tcPr>
            <w:tcW w:w="7560" w:type="dxa"/>
            <w:vAlign w:val="bottom"/>
            <w:shd w:val="clear" w:color="auto" w:fill="CCEEFF"/>
          </w:tcPr>
          <w:p>
            <w:pPr>
              <w:ind w:left="300"/>
              <w:spacing w:after="0" w:line="138" w:lineRule="exact"/>
              <w:rPr>
                <w:sz w:val="20"/>
                <w:szCs w:val="20"/>
                <w:color w:val="auto"/>
              </w:rPr>
            </w:pPr>
            <w:r>
              <w:rPr>
                <w:rFonts w:ascii="Times New Roman" w:cs="Times New Roman" w:eastAsia="Times New Roman" w:hAnsi="Times New Roman"/>
                <w:sz w:val="14"/>
                <w:szCs w:val="14"/>
                <w:color w:val="auto"/>
              </w:rPr>
              <w:t>Decrease primarily driven by forced outages at the El Segundo and Walnut Creek facilities in 2022, resulting in lower capacity</w:t>
            </w: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91"/>
        </w:trPr>
        <w:tc>
          <w:tcPr>
            <w:tcW w:w="2360" w:type="dxa"/>
            <w:vAlign w:val="bottom"/>
            <w:shd w:val="clear" w:color="auto" w:fill="CCEEFF"/>
          </w:tcPr>
          <w:p>
            <w:pPr>
              <w:spacing w:after="0"/>
              <w:rPr>
                <w:sz w:val="16"/>
                <w:szCs w:val="16"/>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revenue.</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38"/>
        </w:trPr>
        <w:tc>
          <w:tcPr>
            <w:tcW w:w="23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Mark-to-market economic hedges</w:t>
            </w:r>
          </w:p>
        </w:tc>
        <w:tc>
          <w:tcPr>
            <w:tcW w:w="7560" w:type="dxa"/>
            <w:vAlign w:val="bottom"/>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in unrealized losses due to changes in the fair value of commodity contracts, primarily driven by the acquisition of</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44"/>
        </w:trPr>
        <w:tc>
          <w:tcPr>
            <w:tcW w:w="2360" w:type="dxa"/>
            <w:vAlign w:val="bottom"/>
          </w:tcPr>
          <w:p>
            <w:pPr>
              <w:spacing w:after="0"/>
              <w:rPr>
                <w:sz w:val="12"/>
                <w:szCs w:val="12"/>
                <w:color w:val="auto"/>
              </w:rPr>
            </w:pPr>
          </w:p>
        </w:tc>
        <w:tc>
          <w:tcPr>
            <w:tcW w:w="7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Mesquite Sky in 2021 and mark-to-market losses of the Langford commodity contract, which previously qualified for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4"/>
        </w:trPr>
        <w:tc>
          <w:tcPr>
            <w:tcW w:w="2360" w:type="dxa"/>
            <w:vAlign w:val="bottom"/>
          </w:tcPr>
          <w:p>
            <w:pPr>
              <w:spacing w:after="0"/>
              <w:rPr>
                <w:sz w:val="16"/>
                <w:szCs w:val="16"/>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NPNS exception.</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81"/>
        </w:trPr>
        <w:tc>
          <w:tcPr>
            <w:tcW w:w="2360" w:type="dxa"/>
            <w:vAlign w:val="bottom"/>
            <w:shd w:val="clear" w:color="auto" w:fill="CCEEFF"/>
          </w:tcPr>
          <w:p>
            <w:pPr>
              <w:spacing w:after="0"/>
              <w:rPr>
                <w:sz w:val="15"/>
                <w:szCs w:val="15"/>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Increase in unrealized losses due to increases in forward power prices in the ERCOT and PJM markets.</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38"/>
        </w:trPr>
        <w:tc>
          <w:tcPr>
            <w:tcW w:w="236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Contract amortization</w:t>
            </w:r>
          </w:p>
        </w:tc>
        <w:tc>
          <w:tcPr>
            <w:tcW w:w="7560" w:type="dxa"/>
            <w:vAlign w:val="bottom"/>
          </w:tcPr>
          <w:p>
            <w:pPr>
              <w:ind w:left="300"/>
              <w:spacing w:after="0" w:line="138" w:lineRule="exact"/>
              <w:rPr>
                <w:sz w:val="20"/>
                <w:szCs w:val="20"/>
                <w:color w:val="auto"/>
              </w:rPr>
            </w:pPr>
            <w:r>
              <w:rPr>
                <w:rFonts w:ascii="Times New Roman" w:cs="Times New Roman" w:eastAsia="Times New Roman" w:hAnsi="Times New Roman"/>
                <w:sz w:val="14"/>
                <w:szCs w:val="14"/>
                <w:color w:val="auto"/>
              </w:rPr>
              <w:t>Increase primarily driven by amortization of the intangible assets for PPAs related to the 2021 acquisitions of Agua Caliente</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1"/>
        </w:trPr>
        <w:tc>
          <w:tcPr>
            <w:tcW w:w="2360" w:type="dxa"/>
            <w:vAlign w:val="bottom"/>
            <w:tcBorders>
              <w:bottom w:val="single" w:sz="8" w:color="CCEEFF"/>
            </w:tcBorders>
          </w:tcPr>
          <w:p>
            <w:pPr>
              <w:spacing w:after="0"/>
              <w:rPr>
                <w:sz w:val="16"/>
                <w:szCs w:val="16"/>
                <w:color w:val="auto"/>
              </w:rPr>
            </w:pPr>
          </w:p>
        </w:tc>
        <w:tc>
          <w:tcPr>
            <w:tcW w:w="7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color w:val="auto"/>
              </w:rPr>
              <w:t>and the Utah Solar Portfolio and the 2022 acquisition of the Capistrano Wind Portfolio.</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2360" w:type="dxa"/>
            <w:vAlign w:val="bottom"/>
            <w:tcBorders>
              <w:bottom w:val="single" w:sz="8" w:color="CCEEFF"/>
            </w:tcBorders>
            <w:shd w:val="clear" w:color="auto" w:fill="CCEEFF"/>
          </w:tcPr>
          <w:p>
            <w:pPr>
              <w:spacing w:after="0"/>
              <w:rPr>
                <w:sz w:val="16"/>
                <w:szCs w:val="16"/>
                <w:color w:val="auto"/>
              </w:rPr>
            </w:pPr>
          </w:p>
        </w:tc>
        <w:tc>
          <w:tcPr>
            <w:tcW w:w="7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Fuels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Cost of fuels decreased by $46 million during the year ended December 31, 2022, compared to the same period in 2021, primarily due to the sale of the Thermal Business on May 1, 2022, as further described in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Operations and maintenance expense increased by $16 million during the year ended December 31, 2022, compared to the same period in 2021, due to a combination of the drivers summarized in the table below: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Borders>
              <w:bottom w:val="single" w:sz="8" w:color="CCEEFF"/>
            </w:tcBorders>
          </w:tcPr>
          <w:p>
            <w:pPr>
              <w:spacing w:after="0"/>
              <w:rPr>
                <w:sz w:val="14"/>
                <w:szCs w:val="14"/>
                <w:color w:val="auto"/>
              </w:rPr>
            </w:pPr>
          </w:p>
        </w:tc>
        <w:tc>
          <w:tcPr>
            <w:tcW w:w="79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20"/>
        </w:trPr>
        <w:tc>
          <w:tcPr>
            <w:tcW w:w="202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Renewables Segment</w:t>
            </w:r>
          </w:p>
        </w:tc>
        <w:tc>
          <w:tcPr>
            <w:tcW w:w="7900" w:type="dxa"/>
            <w:vAlign w:val="bottom"/>
            <w:shd w:val="clear" w:color="auto" w:fill="CCEEFF"/>
          </w:tcPr>
          <w:p>
            <w:pPr>
              <w:ind w:left="640"/>
              <w:spacing w:after="0" w:line="120" w:lineRule="exact"/>
              <w:rPr>
                <w:sz w:val="20"/>
                <w:szCs w:val="20"/>
                <w:color w:val="auto"/>
              </w:rPr>
            </w:pPr>
            <w:r>
              <w:rPr>
                <w:rFonts w:ascii="Times New Roman" w:cs="Times New Roman" w:eastAsia="Times New Roman" w:hAnsi="Times New Roman"/>
                <w:sz w:val="13"/>
                <w:szCs w:val="13"/>
                <w:color w:val="auto"/>
              </w:rPr>
              <w:t>Increase for wind acquisitions due to the 2021 acquisitions of Mt Storm, Mesquite Sky and Black Rock and the 2022</w:t>
            </w: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20" w:type="dxa"/>
            <w:vAlign w:val="bottom"/>
            <w:shd w:val="clear" w:color="auto" w:fill="CCEEFF"/>
          </w:tcPr>
          <w:p>
            <w:pPr>
              <w:spacing w:after="0"/>
              <w:rPr>
                <w:sz w:val="16"/>
                <w:szCs w:val="16"/>
                <w:color w:val="auto"/>
              </w:rPr>
            </w:pPr>
          </w:p>
        </w:tc>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acquisition of the Capistrano Wind Portfolio.</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7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Increase for solar acquisitions due to the 2021 acquisition of the Utah Solar Portfolio and the 2022 acquisition of Mililani I.</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spacing w:after="0"/>
              <w:rPr>
                <w:sz w:val="11"/>
                <w:szCs w:val="11"/>
                <w:color w:val="auto"/>
              </w:rPr>
            </w:pPr>
          </w:p>
        </w:tc>
        <w:tc>
          <w:tcPr>
            <w:tcW w:w="7900" w:type="dxa"/>
            <w:vAlign w:val="bottom"/>
            <w:shd w:val="clear" w:color="auto" w:fill="CCEEFF"/>
          </w:tcPr>
          <w:p>
            <w:pPr>
              <w:ind w:left="640"/>
              <w:spacing w:after="0" w:line="138" w:lineRule="exact"/>
              <w:rPr>
                <w:sz w:val="20"/>
                <w:szCs w:val="20"/>
                <w:color w:val="auto"/>
              </w:rPr>
            </w:pPr>
            <w:r>
              <w:rPr>
                <w:rFonts w:ascii="Times New Roman" w:cs="Times New Roman" w:eastAsia="Times New Roman" w:hAnsi="Times New Roman"/>
                <w:sz w:val="14"/>
                <w:szCs w:val="14"/>
                <w:color w:val="auto"/>
              </w:rPr>
              <w:t>Increase primarily driven by timing of maintenance activities, as well as increasing material costs largely at the solar and wind</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20" w:type="dxa"/>
            <w:vAlign w:val="bottom"/>
            <w:shd w:val="clear" w:color="auto" w:fill="CCEEFF"/>
          </w:tcPr>
          <w:p>
            <w:pPr>
              <w:spacing w:after="0"/>
              <w:rPr>
                <w:sz w:val="16"/>
                <w:szCs w:val="16"/>
                <w:color w:val="auto"/>
              </w:rPr>
            </w:pPr>
          </w:p>
        </w:tc>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facilities.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Conventional Segment</w:t>
            </w:r>
          </w:p>
        </w:tc>
        <w:tc>
          <w:tcPr>
            <w:tcW w:w="79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Increase due to the forced outages at El Segundo and Walnut Creek primarily in the third quarter of 2022.</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Thermal Segment</w:t>
            </w:r>
          </w:p>
        </w:tc>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Decrease primarily driven by the sale of the Thermal Business on May 1, 2022.</w:t>
            </w: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7900" w:type="dxa"/>
            <w:vAlign w:val="bottom"/>
            <w:vMerge w:val="restart"/>
          </w:tcPr>
          <w:p>
            <w:pPr>
              <w:ind w:left="3560"/>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2020" w:type="dxa"/>
            <w:vAlign w:val="bottom"/>
          </w:tcPr>
          <w:p>
            <w:pPr>
              <w:spacing w:after="0"/>
              <w:rPr>
                <w:sz w:val="24"/>
                <w:szCs w:val="24"/>
                <w:color w:val="auto"/>
              </w:rPr>
            </w:pPr>
          </w:p>
        </w:tc>
        <w:tc>
          <w:tcPr>
            <w:tcW w:w="7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20" w:type="dxa"/>
            <w:vAlign w:val="bottom"/>
            <w:tcBorders>
              <w:bottom w:val="single" w:sz="8" w:color="9A9A9A"/>
            </w:tcBorders>
          </w:tcPr>
          <w:p>
            <w:pPr>
              <w:spacing w:after="0"/>
              <w:rPr>
                <w:sz w:val="7"/>
                <w:szCs w:val="7"/>
                <w:color w:val="auto"/>
              </w:rPr>
            </w:pPr>
          </w:p>
        </w:tc>
        <w:tc>
          <w:tcPr>
            <w:tcW w:w="79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Costs of Operations Expense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Other costs of operations expense, which primarily consists of insurance and property taxes, increased by $14 million during the year ended December 31, 2022, compared to the same period in 2021, primarily due an increase in property taxes due to the acquisitions of the Utah Solar Portfolio, Mesquite Sky and Black Rock in 2021 and the acquisition of the Capistrano Wind Portfolio in 2022, as well as an increase in property taxes at certain wind projects.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Losses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recorded impairment losses of $16 million and $6 million for the years ended December 31, 2022 and 2021, respectively, related to certain projects in the Renewables segment as further described in Item 15— Note 9, </w:t>
      </w:r>
      <w:r>
        <w:rPr>
          <w:rFonts w:ascii="Times New Roman" w:cs="Times New Roman" w:eastAsia="Times New Roman" w:hAnsi="Times New Roman"/>
          <w:sz w:val="14"/>
          <w:szCs w:val="14"/>
          <w:i w:val="1"/>
          <w:iCs w:val="1"/>
          <w:color w:val="auto"/>
        </w:rPr>
        <w:t>Asset Impairments.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Gain on Sale of Business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resulting in a gain on sale of business of approximately $1.29 billion, as further described in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Other income, net increased $14 million during the year ended December 31, 2022, compared to the same period in 2021, primarily due to higher interest income earned on larger cash balances with investments in money market and time deposit accounts.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Debt Extinguishment</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recorded loss on debt extinguishment of $2 million during the year ended December 31, 2022, which reflects the write-off of previously deferred finance costs related to the Laredo Ridge, Tapestry Wind LLC and Viento Funding II, LLC, as further described in Item 15 — Note 10, </w:t>
      </w:r>
      <w:r>
        <w:rPr>
          <w:rFonts w:ascii="Times New Roman" w:cs="Times New Roman" w:eastAsia="Times New Roman" w:hAnsi="Times New Roman"/>
          <w:sz w:val="14"/>
          <w:szCs w:val="14"/>
          <w:i w:val="1"/>
          <w:iCs w:val="1"/>
          <w:color w:val="auto"/>
        </w:rPr>
        <w:t>Long-term Debt.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recorded loss on debt extinguishment of $53 million during the year ended December 31, 2021, primarily driven by the write-off of previously deferred finance costs and payment of premiums related to the redemption of the 2026 Senior Notes and the 2025 Senior Notes in 2021, as further described in Item 15 — Note 10, </w:t>
      </w:r>
      <w:r>
        <w:rPr>
          <w:rFonts w:ascii="Times New Roman" w:cs="Times New Roman" w:eastAsia="Times New Roman" w:hAnsi="Times New Roman"/>
          <w:sz w:val="14"/>
          <w:szCs w:val="14"/>
          <w:i w:val="1"/>
          <w:iCs w:val="1"/>
          <w:color w:val="auto"/>
        </w:rPr>
        <w:t>Long-term Debt.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97"/>
        </w:trPr>
        <w:tc>
          <w:tcPr>
            <w:tcW w:w="99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expense decreased by $80 million during the year ended December 31, 2022, compared to the same period in 2021 primarily due to:</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4"/>
        </w:trPr>
        <w:tc>
          <w:tcPr>
            <w:tcW w:w="99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7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interest rate swaps due to higher interest rates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interest expense due to decreased principal balances of project-level debt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interest expense due to the sale of the Thermal Business on May 1, 2022</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38"/>
        </w:trPr>
        <w:tc>
          <w:tcPr>
            <w:tcW w:w="99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Decrease in interest expense due to decreased principal balances of Corporate debt, which includes repayment of the outstanding borrowings under the Bridge Loan</w:t>
            </w: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1"/>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Agreement and the revolving credit facility on May 3, 2022</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financing costs related to the Bridge Loan that was entered into during the fourth quarter of 2021 and paid in full on May 3, 2022</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99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9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For the year ended December 31, 2022, the Company recorded income tax expense of $222 million on pretax income of $1,282 million. For the same period in 2021, the Company recorded an income tax expense of $12 million on pretax loss of $63 million. The primary driver of the $210 million increase in income tax expense is the increase in taxable earnings allocated to the Company in 2022 compared to 2021, including the gain recorded on the sale of the Thermal Business on May 1, 2022, as further described in Item 15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4"/>
          <w:szCs w:val="14"/>
          <w:color w:val="auto"/>
        </w:rPr>
        <w:t>A reconciliation of the U.S. federal statutory rate of 21% to the Company's effective rate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6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960" w:type="dxa"/>
            <w:vAlign w:val="bottom"/>
          </w:tcPr>
          <w:p>
            <w:pPr>
              <w:spacing w:after="0"/>
              <w:rPr>
                <w:sz w:val="13"/>
                <w:szCs w:val="13"/>
                <w:color w:val="auto"/>
              </w:rPr>
            </w:pPr>
          </w:p>
        </w:tc>
        <w:tc>
          <w:tcPr>
            <w:tcW w:w="2760" w:type="dxa"/>
            <w:vAlign w:val="bottom"/>
            <w:gridSpan w:val="4"/>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3"/>
                <w:szCs w:val="13"/>
                <w:color w:val="333333"/>
                <w:w w:val="91"/>
              </w:rPr>
              <w:t>$</w:t>
            </w:r>
          </w:p>
        </w:tc>
        <w:tc>
          <w:tcPr>
            <w:tcW w:w="6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333333"/>
              </w:rPr>
              <w:t>1,282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58"/>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98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 taxes, net of federal benefit</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7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Impact of non-taxable partnership (losses) earnings</w:t>
            </w:r>
          </w:p>
        </w:tc>
        <w:tc>
          <w:tcPr>
            <w:tcW w:w="98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9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7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Production tax credits, including prior year true-up</w:t>
            </w:r>
          </w:p>
        </w:tc>
        <w:tc>
          <w:tcPr>
            <w:tcW w:w="98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Rate change</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7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Partnership state basis</w:t>
            </w:r>
          </w:p>
        </w:tc>
        <w:tc>
          <w:tcPr>
            <w:tcW w:w="98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spacing w:after="0"/>
              <w:rPr>
                <w:sz w:val="14"/>
                <w:szCs w:val="14"/>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 taxes assessed at subsidiaries</w:t>
            </w: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7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9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7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Income tax expense</w:t>
            </w:r>
          </w:p>
        </w:tc>
        <w:tc>
          <w:tcPr>
            <w:tcW w:w="980" w:type="dxa"/>
            <w:vAlign w:val="bottom"/>
            <w:tcBorders>
              <w:bottom w:val="single" w:sz="8" w:color="auto"/>
            </w:tcBorders>
            <w:shd w:val="clear" w:color="auto" w:fill="CCEEFF"/>
          </w:tcPr>
          <w:p>
            <w:pPr>
              <w:jc w:val="right"/>
              <w:ind w:right="84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Effective income tax rate</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96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17.3 %</w:t>
            </w: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effective income tax rate may vary from period to period depending on, among other factors, the geographic and business mix of earnings and losses, earnings and losses allocated to partners’ interest in Clearway Energy LLC which includes the effects of applying the HLBV method of accounting for book purposes to certain partnerships, and changes in valuation allowances in accordance with ASC 740. These factors and others, including the Company’s history of pre-tax earnings and losses, are taken into account in assessing the ability to realize deferred tax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(Loss) Attributable to Noncontrolling Interests and Redeemable Noncontrolling Interests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For the year ended December 31, 2022, the Company had a net income of $478 million attributable to noncontrolling interests and redeemable noncontrolling interests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71"/>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584</w:t>
            </w:r>
          </w:p>
        </w:tc>
      </w:tr>
      <w:tr>
        <w:trPr>
          <w:trHeight w:val="180"/>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HLBV</w:t>
            </w:r>
          </w:p>
        </w:tc>
        <w:tc>
          <w:tcPr>
            <w:tcW w:w="200" w:type="dxa"/>
            <w:vAlign w:val="bottom"/>
          </w:tcPr>
          <w:p>
            <w:pPr>
              <w:spacing w:after="0"/>
              <w:rPr>
                <w:sz w:val="15"/>
                <w:szCs w:val="15"/>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attributable to third-party partnerships</w:t>
            </w: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992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478</w:t>
            </w:r>
          </w:p>
        </w:tc>
      </w:tr>
      <w:tr>
        <w:trPr>
          <w:trHeight w:val="20"/>
        </w:trPr>
        <w:tc>
          <w:tcPr>
            <w:tcW w:w="9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2021, the Company had a net loss of $126 million attributable to noncontrolling interests and redeemable noncontrolling interests comprised of the following:</w:t>
      </w:r>
    </w:p>
    <w:p>
      <w:pPr>
        <w:sectPr>
          <w:pgSz w:w="11900" w:h="16838" w:orient="portrait"/>
          <w:cols w:equalWidth="0" w:num="1">
            <w:col w:w="11280"/>
          </w:cols>
          <w:pgMar w:left="300" w:top="761" w:right="319" w:bottom="1440" w:gutter="0" w:footer="0" w:header="0"/>
        </w:sect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HLBV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61530" cy="121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Losses attributable to CEG’s interest in partnerships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CEG’s economic interest in Clearway Energy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Income attributable to third-party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291"/>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2" w:lineRule="exact"/>
        <w:rPr>
          <w:sz w:val="20"/>
          <w:szCs w:val="20"/>
          <w:color w:val="auto"/>
        </w:rPr>
      </w:pPr>
    </w:p>
    <w:p>
      <w:pPr>
        <w:ind w:left="1031" w:hanging="1031"/>
        <w:spacing w:after="0"/>
        <w:tabs>
          <w:tab w:leader="none" w:pos="1031"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(174)</w:t>
      </w:r>
    </w:p>
    <w:p>
      <w:pPr>
        <w:spacing w:after="0" w:line="34" w:lineRule="exact"/>
        <w:rPr>
          <w:rFonts w:ascii="Times New Roman" w:cs="Times New Roman" w:eastAsia="Times New Roman" w:hAnsi="Times New Roman"/>
          <w:sz w:val="13"/>
          <w:szCs w:val="13"/>
          <w:color w:val="auto"/>
        </w:rPr>
      </w:pPr>
    </w:p>
    <w:p>
      <w:pPr>
        <w:ind w:left="117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w:t>
      </w:r>
    </w:p>
    <w:p>
      <w:pPr>
        <w:spacing w:after="0" w:line="30" w:lineRule="exact"/>
        <w:rPr>
          <w:rFonts w:ascii="Times New Roman" w:cs="Times New Roman" w:eastAsia="Times New Roman" w:hAnsi="Times New Roman"/>
          <w:sz w:val="13"/>
          <w:szCs w:val="13"/>
          <w:color w:val="auto"/>
        </w:rPr>
      </w:pPr>
    </w:p>
    <w:p>
      <w:pPr>
        <w:ind w:left="115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47</w:t>
      </w:r>
    </w:p>
    <w:p>
      <w:pPr>
        <w:spacing w:after="0" w:line="19" w:lineRule="exact"/>
        <w:rPr>
          <w:rFonts w:ascii="Times New Roman" w:cs="Times New Roman" w:eastAsia="Times New Roman" w:hAnsi="Times New Roman"/>
          <w:sz w:val="13"/>
          <w:szCs w:val="13"/>
          <w:color w:val="auto"/>
        </w:rPr>
      </w:pPr>
    </w:p>
    <w:p>
      <w:pPr>
        <w:ind w:left="1231"/>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4</w:t>
      </w:r>
    </w:p>
    <w:p>
      <w:pPr>
        <w:spacing w:after="0" w:line="26" w:lineRule="exact"/>
        <w:rPr>
          <w:sz w:val="20"/>
          <w:szCs w:val="20"/>
          <w:color w:val="auto"/>
        </w:rPr>
      </w:pPr>
    </w:p>
    <w:p>
      <w:pPr>
        <w:ind w:left="1031" w:hanging="1031"/>
        <w:spacing w:after="0"/>
        <w:tabs>
          <w:tab w:leader="none" w:pos="1031"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86931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9" w:space="720"/>
            <w:col w:w="1351"/>
          </w:cols>
          <w:pgMar w:left="300" w:top="761" w:right="31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 repurchase 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2022</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2021</w:t>
      </w:r>
      <w:r>
        <w:rPr>
          <w:rFonts w:ascii="Times New Roman" w:cs="Times New Roman" w:eastAsia="Times New Roman" w:hAnsi="Times New Roman"/>
          <w:sz w:val="14"/>
          <w:szCs w:val="14"/>
          <w:color w:val="231F20"/>
        </w:rPr>
        <w:t>, the Company’s liquidity was approximately $1.37 billion and $821 million, respectively, comprised of cash, restricted cash and availability under the Company’s revolving credit facility.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5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00" w:type="dxa"/>
            <w:vAlign w:val="bottom"/>
            <w:tcBorders>
              <w:bottom w:val="single" w:sz="8" w:color="auto"/>
            </w:tcBorders>
          </w:tcPr>
          <w:p>
            <w:pPr>
              <w:spacing w:after="0"/>
              <w:rPr>
                <w:sz w:val="14"/>
                <w:szCs w:val="14"/>
                <w:color w:val="auto"/>
              </w:rPr>
            </w:pPr>
          </w:p>
        </w:tc>
      </w:tr>
      <w:tr>
        <w:trPr>
          <w:trHeight w:val="161"/>
        </w:trPr>
        <w:tc>
          <w:tcPr>
            <w:tcW w:w="85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w w:val="99"/>
              </w:rPr>
              <w:t>2021</w:t>
            </w:r>
          </w:p>
        </w:tc>
      </w:tr>
      <w:tr>
        <w:trPr>
          <w:trHeight w:val="160"/>
        </w:trPr>
        <w:tc>
          <w:tcPr>
            <w:tcW w:w="85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0" w:type="dxa"/>
            <w:vAlign w:val="bottom"/>
            <w:tcBorders>
              <w:bottom w:val="single" w:sz="8" w:color="auto"/>
            </w:tcBorders>
          </w:tcPr>
          <w:p>
            <w:pPr>
              <w:spacing w:after="0"/>
              <w:rPr>
                <w:sz w:val="13"/>
                <w:szCs w:val="13"/>
                <w:color w:val="auto"/>
              </w:rPr>
            </w:pPr>
          </w:p>
        </w:tc>
      </w:tr>
      <w:tr>
        <w:trPr>
          <w:trHeight w:val="151"/>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8"/>
        </w:trPr>
        <w:tc>
          <w:tcPr>
            <w:tcW w:w="85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Clearway Energy, Inc. and Clearway Energy LLC, excluding subsidiaries</w:t>
            </w:r>
          </w:p>
        </w:tc>
        <w:tc>
          <w:tcPr>
            <w:tcW w:w="8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Pr>
          <w:p>
            <w:pPr>
              <w:spacing w:after="0"/>
              <w:rPr>
                <w:sz w:val="14"/>
                <w:szCs w:val="14"/>
                <w:color w:val="auto"/>
              </w:rPr>
            </w:pPr>
          </w:p>
        </w:tc>
        <w:tc>
          <w:tcPr>
            <w:tcW w:w="52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72"/>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Subsidiaries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69"/>
        </w:trPr>
        <w:tc>
          <w:tcPr>
            <w:tcW w:w="8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accounts</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r>
      <w:tr>
        <w:trPr>
          <w:trHeight w:val="168"/>
        </w:trPr>
        <w:tc>
          <w:tcPr>
            <w:tcW w:w="8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Reserves, including debt service, distributions, performance obligations and other reserves</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r>
      <w:tr>
        <w:trPr>
          <w:trHeight w:val="16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r>
      <w:tr>
        <w:trPr>
          <w:trHeight w:val="168"/>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Revolving credit facility availability</w:t>
            </w: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w:t>
            </w:r>
          </w:p>
        </w:tc>
      </w:tr>
      <w:tr>
        <w:trPr>
          <w:trHeight w:val="18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liquidity</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$339 million and $475 million of restricted cash balances as of December 31, 2022 and </w:t>
      </w:r>
      <w:r>
        <w:rPr>
          <w:rFonts w:ascii="Times New Roman" w:cs="Times New Roman" w:eastAsia="Times New Roman" w:hAnsi="Times New Roman"/>
          <w:sz w:val="14"/>
          <w:szCs w:val="14"/>
          <w:color w:val="000000"/>
        </w:rPr>
        <w:t>2021</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4"/>
          <w:szCs w:val="14"/>
          <w:color w:val="000000"/>
        </w:rPr>
        <w:t>December 31, 2022, these restricted funds were comprised of</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$109 million designated to fund operating expenses, approximately $55 million designated for current debt service payments, and $105 million restricted for reserves including debt service, performance obligations and other reserves, as well as capital expenditures. The remaining $70 million is held in distribution reserve accounts.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As of December 31, 2022, the Company had no outstanding borrowings under the revolving credit facility and $125 million in letters of credit outstanding. During the year ended December 31, 2022, the Company borrowed $80 million under the revolving credit facility, and subsequently repaid $325 million, $305 million of which was repaid on May 3, 2022, utilizing the proceeds received from the Thermal Disposition. </w:t>
      </w:r>
      <w:r>
        <w:rPr>
          <w:rFonts w:ascii="Times New Roman" w:cs="Times New Roman" w:eastAsia="Times New Roman" w:hAnsi="Times New Roman"/>
          <w:sz w:val="14"/>
          <w:szCs w:val="14"/>
          <w:color w:val="231F20"/>
        </w:rPr>
        <w:t>The facility, which the Company expects to refinance prior to its expiration in April 2023, will continue to be used for general corporate purposes including financing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future acquisitions and posting letters of credit.</w:t>
      </w:r>
    </w:p>
    <w:p>
      <w:pPr>
        <w:spacing w:after="0" w:line="9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0" w:name="page51"/>
    <w:bookmarkEnd w:id="50"/>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credit ratings for the Company and its Senior Notes as of December 31, 2022. The ratings outlook is stable.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1580" w:type="dxa"/>
            <w:vAlign w:val="bottom"/>
            <w:gridSpan w:val="2"/>
          </w:tcPr>
          <w:p>
            <w:pPr>
              <w:ind w:left="62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8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Clearway Energy, Inc.</w:t>
            </w:r>
          </w:p>
        </w:tc>
        <w:tc>
          <w:tcPr>
            <w:tcW w:w="15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4.750% Senior Notes, due 2028</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3.750% Senior Notes, due 2031</w:t>
            </w:r>
          </w:p>
        </w:tc>
        <w:tc>
          <w:tcPr>
            <w:tcW w:w="15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r>
        <w:trPr>
          <w:trHeight w:val="18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3.750% Senior Notes, due 2032</w:t>
            </w:r>
          </w:p>
        </w:tc>
        <w:tc>
          <w:tcPr>
            <w:tcW w:w="158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Ba2</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15 </w:t>
      </w:r>
      <w:r>
        <w:rPr>
          <w:rFonts w:ascii="Times New Roman" w:cs="Times New Roman" w:eastAsia="Times New Roman" w:hAnsi="Times New Roman"/>
          <w:sz w:val="14"/>
          <w:szCs w:val="14"/>
          <w:color w:val="000000"/>
        </w:rPr>
        <w:t>— 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the Company’s financing arrangements consist of corporate level debt, which includes Senior Notes and the revolving credit facility; the ATM Program; and project-level financings for its various assets.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31F20"/>
        </w:rPr>
        <w:t>Thermal Disposition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net proceeds of approximately $1.46 billion, inclusive of working capital adjustments, which excludes approximately $18 million in transaction expenses that were incurred in connection with the disposition. See </w:t>
      </w:r>
      <w:r>
        <w:rPr>
          <w:rFonts w:ascii="Times New Roman" w:cs="Times New Roman" w:eastAsia="Times New Roman" w:hAnsi="Times New Roman"/>
          <w:sz w:val="14"/>
          <w:szCs w:val="14"/>
          <w:color w:val="231F20"/>
        </w:rPr>
        <w:t>Item 15</w:t>
      </w:r>
      <w:r>
        <w:rPr>
          <w:rFonts w:ascii="Times New Roman" w:cs="Times New Roman" w:eastAsia="Times New Roman" w:hAnsi="Times New Roman"/>
          <w:sz w:val="14"/>
          <w:szCs w:val="14"/>
          <w:color w:val="auto"/>
        </w:rPr>
        <w:t xml:space="preserve"> —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xml:space="preserve"> for further discussion.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Item 15 </w:t>
      </w:r>
      <w:r>
        <w:rPr>
          <w:rFonts w:ascii="Times New Roman" w:cs="Times New Roman" w:eastAsia="Times New Roman" w:hAnsi="Times New Roman"/>
          <w:sz w:val="14"/>
          <w:szCs w:val="14"/>
          <w:color w:val="000000"/>
        </w:rPr>
        <w:t>— Note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10</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(ii) capital expenditures; (iii) off-balance sheet arrangements; (iv) acquisitions and investments, as described more fully in Item 15</w:t>
      </w:r>
      <w:r>
        <w:rPr>
          <w:rFonts w:ascii="Times New Roman" w:cs="Times New Roman" w:eastAsia="Times New Roman" w:hAnsi="Times New Roman"/>
          <w:sz w:val="14"/>
          <w:szCs w:val="14"/>
          <w:color w:val="000000"/>
        </w:rPr>
        <w:t xml:space="preserve"> — Note 3, </w:t>
      </w:r>
      <w:r>
        <w:rPr>
          <w:rFonts w:ascii="Times New Roman" w:cs="Times New Roman" w:eastAsia="Times New Roman" w:hAnsi="Times New Roman"/>
          <w:sz w:val="14"/>
          <w:szCs w:val="14"/>
          <w:i w:val="1"/>
          <w:iCs w:val="1"/>
          <w:color w:val="000000"/>
        </w:rPr>
        <w:t>Acquisitions and Dispositions</w:t>
      </w:r>
      <w:r>
        <w:rPr>
          <w:rFonts w:ascii="Times New Roman" w:cs="Times New Roman" w:eastAsia="Times New Roman" w:hAnsi="Times New Roman"/>
          <w:sz w:val="14"/>
          <w:szCs w:val="14"/>
          <w:color w:val="231F20"/>
        </w:rPr>
        <w:t>; and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(v) cash dividends to investors.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1" w:name="page52"/>
    <w:bookmarkEnd w:id="51"/>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Debt Service Obligations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Principal payments on debt as of December 31, 2022, are due in the following periods: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80" w:type="dxa"/>
            <w:vAlign w:val="bottom"/>
          </w:tcPr>
          <w:p>
            <w:pPr>
              <w:spacing w:after="0"/>
              <w:rPr>
                <w:sz w:val="12"/>
                <w:szCs w:val="12"/>
                <w:color w:val="auto"/>
              </w:rPr>
            </w:pPr>
          </w:p>
        </w:tc>
        <w:tc>
          <w:tcPr>
            <w:tcW w:w="6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160" w:type="dxa"/>
            <w:vAlign w:val="bottom"/>
          </w:tcPr>
          <w:p>
            <w:pPr>
              <w:spacing w:after="0"/>
              <w:rPr>
                <w:sz w:val="12"/>
                <w:szCs w:val="12"/>
                <w:color w:val="auto"/>
              </w:rPr>
            </w:pPr>
          </w:p>
        </w:tc>
        <w:tc>
          <w:tcPr>
            <w:tcW w:w="6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1"/>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Corporate-level debt: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2028</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00" w:type="dxa"/>
            <w:vAlign w:val="bottom"/>
          </w:tcPr>
          <w:p>
            <w:pPr>
              <w:spacing w:after="0"/>
              <w:rPr>
                <w:sz w:val="14"/>
                <w:szCs w:val="14"/>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2031</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Clearway Energy Operating LLC Senior Notes, due 2032</w:t>
            </w:r>
          </w:p>
        </w:tc>
        <w:tc>
          <w:tcPr>
            <w:tcW w:w="1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Corporate-level debt</w:t>
            </w:r>
          </w:p>
        </w:tc>
        <w:tc>
          <w:tcPr>
            <w:tcW w:w="1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w:t>
            </w:r>
          </w:p>
        </w:tc>
      </w:tr>
      <w:tr>
        <w:trPr>
          <w:trHeight w:val="169"/>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Project-level debt:</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Borrego, due 2024 and 2038</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Buckthorn Solar, due 2025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Capistrano Wind Portfolio, due 2029 and 2031</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CVSR, due 2037</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Marsh Landing, due 2023</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Mililani I, due 2027</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NIMH Solar, due 2024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Rosie Class B LLC, due 2027</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Viento Funding II, LLC, due 2029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 xml:space="preserve">Waiawa, due 2023 </w:t>
            </w:r>
            <w:r>
              <w:rPr>
                <w:rFonts w:ascii="Times New Roman" w:cs="Times New Roman" w:eastAsia="Times New Roman" w:hAnsi="Times New Roman"/>
                <w:sz w:val="16"/>
                <w:szCs w:val="16"/>
                <w:color w:val="auto"/>
                <w:vertAlign w:val="superscript"/>
              </w:rPr>
              <w:t>(a)</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68"/>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Walnut Creek, due 2023</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20" w:type="dxa"/>
            <w:vAlign w:val="bottom"/>
            <w:shd w:val="clear" w:color="auto" w:fill="CCEEFF"/>
          </w:tcPr>
          <w:p>
            <w:pPr>
              <w:spacing w:after="0"/>
              <w:rPr>
                <w:sz w:val="14"/>
                <w:szCs w:val="14"/>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WCEP Holdings, LLC, due 2023</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20" w:type="dxa"/>
            <w:vAlign w:val="bottom"/>
            <w:tcBorders>
              <w:bottom w:val="single" w:sz="8" w:color="CCEEFF"/>
            </w:tcBorders>
          </w:tcPr>
          <w:p>
            <w:pPr>
              <w:spacing w:after="0"/>
              <w:rPr>
                <w:sz w:val="14"/>
                <w:szCs w:val="14"/>
                <w:color w:val="auto"/>
              </w:rPr>
            </w:pPr>
          </w:p>
        </w:tc>
        <w:tc>
          <w:tcPr>
            <w:tcW w:w="5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r>
      <w:tr>
        <w:trPr>
          <w:trHeight w:val="160"/>
        </w:trPr>
        <w:tc>
          <w:tcPr>
            <w:tcW w:w="20" w:type="dxa"/>
            <w:vAlign w:val="bottom"/>
            <w:shd w:val="clear" w:color="auto" w:fill="CCEEFF"/>
          </w:tcPr>
          <w:p>
            <w:pPr>
              <w:spacing w:after="0"/>
              <w:rPr>
                <w:sz w:val="13"/>
                <w:szCs w:val="13"/>
                <w:color w:val="auto"/>
              </w:rPr>
            </w:pPr>
          </w:p>
        </w:tc>
        <w:tc>
          <w:tcPr>
            <w:tcW w:w="5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Total project-level debt</w:t>
            </w:r>
          </w:p>
        </w:tc>
        <w:tc>
          <w:tcPr>
            <w:tcW w:w="1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w:t>
            </w:r>
          </w:p>
        </w:tc>
      </w:tr>
      <w:tr>
        <w:trPr>
          <w:trHeight w:val="163"/>
        </w:trPr>
        <w:tc>
          <w:tcPr>
            <w:tcW w:w="2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6,870</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60" w:firstLine="9"/>
        <w:spacing w:after="0"/>
        <w:tabs>
          <w:tab w:leader="none" w:pos="185" w:val="left"/>
        </w:tabs>
        <w:numPr>
          <w:ilvl w:val="0"/>
          <w:numId w:val="2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At December 31, 2022, amount includes $97 million recorded in long-term debt on the Company’s consolidated balance sheet that is due in 2023 and is either being funded through long-term equity contributions or is converting to long-term debt.</w:t>
      </w:r>
    </w:p>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El Segundo Energy Center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December 15, 2022, the Company repaid the outstanding project-level debt of El Segundo Energy Center in the amount of approximately $130 million utilizing cash on hand.</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Bridge Loan Agreement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3, 2022, the Company repaid the $335 million in outstanding borrowings under the Bridge Loan Agreement utilizing proceeds received from the Thermal Disposition.</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Capital Expenditures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and costs to complete the construction of assets where construction is in process.</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For the years ended </w:t>
      </w:r>
      <w:r>
        <w:rPr>
          <w:rFonts w:ascii="Times New Roman" w:cs="Times New Roman" w:eastAsia="Times New Roman" w:hAnsi="Times New Roman"/>
          <w:sz w:val="14"/>
          <w:szCs w:val="14"/>
          <w:color w:val="000000"/>
        </w:rPr>
        <w:t>December 31, 2022</w:t>
      </w:r>
      <w:r>
        <w:rPr>
          <w:rFonts w:ascii="Times New Roman" w:cs="Times New Roman" w:eastAsia="Times New Roman" w:hAnsi="Times New Roman"/>
          <w:sz w:val="14"/>
          <w:szCs w:val="14"/>
          <w:color w:val="231F20"/>
        </w:rPr>
        <w:t xml:space="preserve"> and 2021, the Company used approximately $112 million, and $151 million, respectively, to fund capital expenditures, including </w:t>
      </w:r>
      <w:r>
        <w:rPr>
          <w:rFonts w:ascii="Times New Roman" w:cs="Times New Roman" w:eastAsia="Times New Roman" w:hAnsi="Times New Roman"/>
          <w:sz w:val="14"/>
          <w:szCs w:val="14"/>
          <w:color w:val="000000"/>
        </w:rPr>
        <w:t>maintenance capital</w:t>
      </w:r>
      <w:r>
        <w:rPr>
          <w:rFonts w:ascii="Times New Roman" w:cs="Times New Roman" w:eastAsia="Times New Roman" w:hAnsi="Times New Roman"/>
          <w:sz w:val="14"/>
          <w:szCs w:val="14"/>
          <w:color w:val="231F20"/>
        </w:rPr>
        <w:t xml:space="preserve"> expenditures </w:t>
      </w:r>
      <w:r>
        <w:rPr>
          <w:rFonts w:ascii="Times New Roman" w:cs="Times New Roman" w:eastAsia="Times New Roman" w:hAnsi="Times New Roman"/>
          <w:sz w:val="14"/>
          <w:szCs w:val="14"/>
          <w:color w:val="000000"/>
        </w:rPr>
        <w:t>of $25 million for both years.</w:t>
      </w:r>
      <w:r>
        <w:rPr>
          <w:rFonts w:ascii="Times New Roman" w:cs="Times New Roman" w:eastAsia="Times New Roman" w:hAnsi="Times New Roman"/>
          <w:sz w:val="14"/>
          <w:szCs w:val="14"/>
          <w:color w:val="231F20"/>
        </w:rPr>
        <w:t xml:space="preserve"> Growth capital expenditures in 2022 </w:t>
      </w:r>
      <w:r>
        <w:rPr>
          <w:rFonts w:ascii="Times New Roman" w:cs="Times New Roman" w:eastAsia="Times New Roman" w:hAnsi="Times New Roman"/>
          <w:sz w:val="14"/>
          <w:szCs w:val="14"/>
          <w:color w:val="000000"/>
        </w:rPr>
        <w:t>of $83 million in the Renewables segment were funded through construction-related financing. Renewables segment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capital expenditures included $34 million incurred in connection with the Mililani I solar project, $26 million incurred in connection with the Mesquite Sky wind project, $10 million incurred in connection with the Black Rock wind project, $5 million incurred in connection with the Rattlesnake wind project and $8 million incurred by other wind and solar projects. Prior to the sale of the Thermal Business on May 1, 2022, the Company incurred $4 million of growth capital expenditures in the Thermal segment in connection with various development projects.</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estimates $35 million of maintenance capital expenditures for 2023. </w:t>
      </w:r>
      <w:r>
        <w:rPr>
          <w:rFonts w:ascii="Times New Roman" w:cs="Times New Roman" w:eastAsia="Times New Roman" w:hAnsi="Times New Roman"/>
          <w:sz w:val="14"/>
          <w:szCs w:val="14"/>
          <w:color w:val="000000"/>
        </w:rPr>
        <w:t>These estimates are subject to continuing review and adjustment and actual capital expenditures may vary</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from these estimates.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Retained or Contingent Interests</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Obligations Arising Out of a Variable Interest in an Unconsolidated Entity</w:t>
      </w:r>
    </w:p>
    <w:p>
      <w:pPr>
        <w:spacing w:after="0" w:line="12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Variable interest in equity investments </w:t>
      </w:r>
      <w:r>
        <w:rPr>
          <w:rFonts w:ascii="Times New Roman" w:cs="Times New Roman" w:eastAsia="Times New Roman" w:hAnsi="Times New Roman"/>
          <w:sz w:val="14"/>
          <w:szCs w:val="14"/>
          <w:color w:val="auto"/>
        </w:rPr>
        <w:t>— As of December 31, 2022, the Company has several investments with an ownership interest percentage of 50% or less. GenConn is a variable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entity for which the Company is not the primary beneficiary. The Company’s pro-rata share of non-recourse debt held by unconsolidated affiliates was approximately $325 million as of December 31, 2022. This indebtedness may restrict the ability of these subsidiaries to issue dividends or distributions to the Company. See also Item 15 — Note 5, </w:t>
      </w:r>
      <w:r>
        <w:rPr>
          <w:rFonts w:ascii="Times New Roman" w:cs="Times New Roman" w:eastAsia="Times New Roman" w:hAnsi="Times New Roman"/>
          <w:sz w:val="14"/>
          <w:szCs w:val="14"/>
          <w:i w:val="1"/>
          <w:iCs w:val="1"/>
          <w:color w:val="auto"/>
        </w:rPr>
        <w:t>Investments Accounted for by the Equity Method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Variable Interest Entities</w:t>
      </w:r>
      <w:r>
        <w:rPr>
          <w:rFonts w:ascii="Times New Roman" w:cs="Times New Roman" w:eastAsia="Times New Roman" w:hAnsi="Times New Roman"/>
          <w:sz w:val="14"/>
          <w:szCs w:val="14"/>
          <w:color w:val="auto"/>
        </w:rPr>
        <w:t>.</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Commercial Commitments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In addition to the Company’s capital expenditure programs, the Company has a variety of contractual obligations and other commercial commitments that represent prospective cash requirements. The following table summarizes the Company’s contractual obligations. See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Note 16,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and Note 17,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for additional discussion.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By Remaining Maturity at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Contractual Cash Obligations</w:t>
            </w:r>
          </w:p>
        </w:tc>
        <w:tc>
          <w:tcPr>
            <w:tcW w:w="220" w:type="dxa"/>
            <w:vAlign w:val="bottom"/>
          </w:tcPr>
          <w:p>
            <w:pPr>
              <w:spacing w:after="0"/>
              <w:rPr>
                <w:sz w:val="8"/>
                <w:szCs w:val="8"/>
                <w:color w:val="auto"/>
              </w:rPr>
            </w:pPr>
          </w:p>
        </w:tc>
        <w:tc>
          <w:tcPr>
            <w:tcW w:w="920" w:type="dxa"/>
            <w:vAlign w:val="bottom"/>
            <w:gridSpan w:val="2"/>
          </w:tcPr>
          <w:p>
            <w:pPr>
              <w:ind w:left="140"/>
              <w:spacing w:after="0" w:line="102" w:lineRule="exact"/>
              <w:rPr>
                <w:sz w:val="20"/>
                <w:szCs w:val="20"/>
                <w:color w:val="auto"/>
              </w:rPr>
            </w:pPr>
            <w:r>
              <w:rPr>
                <w:rFonts w:ascii="Times New Roman" w:cs="Times New Roman" w:eastAsia="Times New Roman" w:hAnsi="Times New Roman"/>
                <w:sz w:val="11"/>
                <w:szCs w:val="11"/>
                <w:b w:val="1"/>
                <w:bCs w:val="1"/>
                <w:color w:val="auto"/>
              </w:rPr>
              <w:t>Under</w:t>
            </w:r>
          </w:p>
        </w:tc>
        <w:tc>
          <w:tcPr>
            <w:tcW w:w="200" w:type="dxa"/>
            <w:vAlign w:val="bottom"/>
          </w:tcPr>
          <w:p>
            <w:pPr>
              <w:spacing w:after="0"/>
              <w:rPr>
                <w:sz w:val="8"/>
                <w:szCs w:val="8"/>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1-3 Years</w:t>
            </w:r>
          </w:p>
        </w:tc>
        <w:tc>
          <w:tcPr>
            <w:tcW w:w="100" w:type="dxa"/>
            <w:vAlign w:val="bottom"/>
          </w:tcPr>
          <w:p>
            <w:pPr>
              <w:spacing w:after="0"/>
              <w:rPr>
                <w:sz w:val="8"/>
                <w:szCs w:val="8"/>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3-5 Years</w:t>
            </w:r>
          </w:p>
        </w:tc>
        <w:tc>
          <w:tcPr>
            <w:tcW w:w="300" w:type="dxa"/>
            <w:vAlign w:val="bottom"/>
          </w:tcPr>
          <w:p>
            <w:pPr>
              <w:spacing w:after="0"/>
              <w:rPr>
                <w:sz w:val="8"/>
                <w:szCs w:val="8"/>
                <w:color w:val="auto"/>
              </w:rPr>
            </w:pPr>
          </w:p>
        </w:tc>
        <w:tc>
          <w:tcPr>
            <w:tcW w:w="840" w:type="dxa"/>
            <w:vAlign w:val="bottom"/>
            <w:gridSpan w:val="2"/>
          </w:tcPr>
          <w:p>
            <w:pPr>
              <w:jc w:val="center"/>
              <w:ind w:right="400"/>
              <w:spacing w:after="0" w:line="102" w:lineRule="exact"/>
              <w:rPr>
                <w:sz w:val="20"/>
                <w:szCs w:val="20"/>
                <w:color w:val="auto"/>
              </w:rPr>
            </w:pPr>
            <w:r>
              <w:rPr>
                <w:rFonts w:ascii="Times New Roman" w:cs="Times New Roman" w:eastAsia="Times New Roman" w:hAnsi="Times New Roman"/>
                <w:sz w:val="11"/>
                <w:szCs w:val="11"/>
                <w:b w:val="1"/>
                <w:bCs w:val="1"/>
                <w:color w:val="auto"/>
              </w:rPr>
              <w:t>Over</w:t>
            </w:r>
          </w:p>
        </w:tc>
        <w:tc>
          <w:tcPr>
            <w:tcW w:w="240" w:type="dxa"/>
            <w:vAlign w:val="bottom"/>
          </w:tcPr>
          <w:p>
            <w:pPr>
              <w:spacing w:after="0"/>
              <w:rPr>
                <w:sz w:val="8"/>
                <w:szCs w:val="8"/>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40" w:type="dxa"/>
            <w:vAlign w:val="bottom"/>
          </w:tcPr>
          <w:p>
            <w:pPr>
              <w:spacing w:after="0"/>
              <w:rPr>
                <w:sz w:val="8"/>
                <w:szCs w:val="8"/>
                <w:color w:val="auto"/>
              </w:rPr>
            </w:pPr>
          </w:p>
        </w:tc>
        <w:tc>
          <w:tcPr>
            <w:tcW w:w="820" w:type="dxa"/>
            <w:vAlign w:val="bottom"/>
            <w:vMerge w:val="restart"/>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3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tcPr>
          <w:p>
            <w:pPr>
              <w:ind w:left="140"/>
              <w:spacing w:after="0" w:line="117" w:lineRule="exact"/>
              <w:rPr>
                <w:sz w:val="20"/>
                <w:szCs w:val="20"/>
                <w:color w:val="auto"/>
              </w:rPr>
            </w:pPr>
            <w:r>
              <w:rPr>
                <w:rFonts w:ascii="Times New Roman" w:cs="Times New Roman" w:eastAsia="Times New Roman" w:hAnsi="Times New Roman"/>
                <w:sz w:val="11"/>
                <w:szCs w:val="11"/>
                <w:b w:val="1"/>
                <w:bCs w:val="1"/>
                <w:color w:val="auto"/>
              </w:rPr>
              <w:t>1 Year</w:t>
            </w:r>
          </w:p>
        </w:tc>
        <w:tc>
          <w:tcPr>
            <w:tcW w:w="2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400"/>
              <w:spacing w:after="0" w:line="117" w:lineRule="exact"/>
              <w:rPr>
                <w:sz w:val="20"/>
                <w:szCs w:val="20"/>
                <w:color w:val="auto"/>
              </w:rPr>
            </w:pPr>
            <w:r>
              <w:rPr>
                <w:rFonts w:ascii="Times New Roman" w:cs="Times New Roman" w:eastAsia="Times New Roman" w:hAnsi="Times New Roman"/>
                <w:sz w:val="11"/>
                <w:szCs w:val="11"/>
                <w:b w:val="1"/>
                <w:bCs w:val="1"/>
                <w:color w:val="auto"/>
              </w:rPr>
              <w:t>5 Years</w:t>
            </w:r>
          </w:p>
        </w:tc>
        <w:tc>
          <w:tcPr>
            <w:tcW w:w="2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(including estimated interest)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3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Fuel purchase and transportation obligations </w:t>
            </w:r>
            <w:r>
              <w:rPr>
                <w:rFonts w:ascii="Times New Roman" w:cs="Times New Roman" w:eastAsia="Times New Roman" w:hAnsi="Times New Roman"/>
                <w:sz w:val="18"/>
                <w:szCs w:val="18"/>
                <w:color w:val="auto"/>
                <w:vertAlign w:val="superscript"/>
              </w:rPr>
              <w:t>(a)</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38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Other liabilities </w:t>
            </w:r>
            <w:r>
              <w:rPr>
                <w:rFonts w:ascii="Times New Roman" w:cs="Times New Roman" w:eastAsia="Times New Roman" w:hAnsi="Times New Roman"/>
                <w:sz w:val="18"/>
                <w:szCs w:val="18"/>
                <w:color w:val="auto"/>
                <w:vertAlign w:val="superscript"/>
              </w:rPr>
              <w:t>(b)</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120" w:hanging="115"/>
        <w:spacing w:after="0"/>
        <w:tabs>
          <w:tab w:leader="none" w:pos="120"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These contractual cash obligations were related to the Thermal Business, which was sold on May 1, 2022.</w:t>
      </w:r>
    </w:p>
    <w:p>
      <w:pPr>
        <w:spacing w:after="0" w:line="45" w:lineRule="exact"/>
        <w:rPr>
          <w:rFonts w:ascii="Times New Roman" w:cs="Times New Roman" w:eastAsia="Times New Roman" w:hAnsi="Times New Roman"/>
          <w:sz w:val="15"/>
          <w:szCs w:val="15"/>
          <w:color w:val="auto"/>
          <w:vertAlign w:val="superscript"/>
        </w:rPr>
      </w:pPr>
    </w:p>
    <w:p>
      <w:pPr>
        <w:ind w:left="140" w:hanging="135"/>
        <w:spacing w:after="0" w:line="187" w:lineRule="auto"/>
        <w:tabs>
          <w:tab w:leader="none" w:pos="140" w:val="left"/>
        </w:tabs>
        <w:numPr>
          <w:ilvl w:val="0"/>
          <w:numId w:val="2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water right agreements, service and maintenance agreements, and LTSA commitments.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Acquisitions and Investments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8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Daggett 3 Drop Down </w:t>
      </w:r>
      <w:r>
        <w:rPr>
          <w:rFonts w:ascii="Times New Roman" w:cs="Times New Roman" w:eastAsia="Times New Roman" w:hAnsi="Times New Roman"/>
          <w:sz w:val="14"/>
          <w:szCs w:val="14"/>
          <w:color w:val="auto"/>
        </w:rPr>
        <w:t>— On February 17, 2023, the Company, through a partnership with a third-party investor, acquired an interest in Daggett TargetCo LLC from Clearway Renew LLC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consideration of $21 million. Daggett TargetCo LLC is the primary beneficiary and consolidates its interest in a tax equity fund, Daggett TE Holdco LLC, the owner of the Daggett 3 solar project. Daggett 3 has PPAs with investment-grade counterparties that have a 15-year weighted average contract duration that commence when the project reaches commercial operations, which is expected to occur in the first half of 2023. The acquisition was funded with existing sources of liquidity.</w:t>
      </w:r>
    </w:p>
    <w:p>
      <w:pPr>
        <w:spacing w:after="0" w:line="9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Waiawa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October 3, 2022, the Company, through a partnership with a third-party investor, acquired Waiawa BL Borrower Holdco LLC, the indirect owner, through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ownership interests in and consolidation of a tax equity fund, of the Waiawa solar project, from Clearway Renew LLC for cash consideration of $20 million. Waiawa has a 20-year PPA with an investment-grade utility that commenced in January 2023. The acquisition was funded with existing sources of liquidity. As part of the acquisition, the Company assumed the project’s financing agreement, which includes a construction loan that converts to a term loan upon the project reaching substantial completion, which is expected to occur in the first half of 2023, a tax equity bridge loan that will be repaid upon the project reaching substantial completion and a sponsor equity bridge loan that was repaid at acquisition date.</w:t>
      </w:r>
    </w:p>
    <w:p>
      <w:pPr>
        <w:spacing w:after="0" w:line="9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Capistrano Wind Portfolio Acquisition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August 22, 2022, the Company acquired the Capistrano Wind Portfolio from Capistrano Wind Partners LLC for total net consideration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$239 million. The assets within the portfolio sell power under PPAs with investment-grade counterparties that have a weighted average remaining contract duration of approximately 10 years. The acquisition was funded with existing sources of liquidity. As part of the acquisition, the Company assumed non-recourse project-level debt held by the projects in the portfolio.</w:t>
      </w:r>
    </w:p>
    <w:p>
      <w:pPr>
        <w:spacing w:after="0" w:line="9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Mililani I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25, 2022, the Company, through a partnership with a third-party investor, acquired Mililani BL Borrower Holdco LLC, the indirect owner, through 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ownership interests in and consolidation of a tax equity fund, of the Mililani I solar project from Clearway Renew LLC for cash consideration of $22 million. Mililani I has a 20-year PPA with an investment-grade utility that commenced in July 2022. The acquisition was funded with existing sources of liquidity. As part of the acquisition, the Company assumed the project’s financing agreement, which includes a construction loan that converted to a term loan on December 7, 2022 upon the project reaching substantial completion, a tax equity bridge loan that was repaid on December 7, 2022 and a sponsor equity bridge loan that was repaid at acquisition date.</w:t>
      </w:r>
    </w:p>
    <w:p>
      <w:pPr>
        <w:spacing w:after="0" w:line="97"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Black Rock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February 2022, in connection with the 2021 Black Rock Drop Down, the Company paid an additional $23 million to Clearway Renew, LLC as final funding after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 remaining turbines of the project became operational.</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Cash Dividends to Investors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The Company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that is generated each quarter less reserves for the prudent conduct of the business. Dividends on t</w:t>
      </w:r>
      <w:r>
        <w:rPr>
          <w:rFonts w:ascii="Times New Roman" w:cs="Times New Roman" w:eastAsia="Times New Roman" w:hAnsi="Times New Roman"/>
          <w:sz w:val="14"/>
          <w:szCs w:val="14"/>
          <w:color w:val="000000"/>
        </w:rPr>
        <w:t>he Class A common stock and Class C common stock are subject to available capital, market conditions, and compliance with associated laws, regulations and</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other contractual obligations. The Company expects that, based on current circumstances, comparable cash dividends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common stock and Class C common stock during the year ended December 31,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2022</w:t>
            </w:r>
          </w:p>
        </w:tc>
        <w:tc>
          <w:tcPr>
            <w:tcW w:w="1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2022</w:t>
            </w:r>
          </w:p>
        </w:tc>
        <w:tc>
          <w:tcPr>
            <w:tcW w:w="140" w:type="dxa"/>
            <w:vAlign w:val="bottom"/>
          </w:tcPr>
          <w:p>
            <w:pPr>
              <w:spacing w:after="0"/>
              <w:rPr>
                <w:sz w:val="13"/>
                <w:szCs w:val="13"/>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2022</w:t>
            </w:r>
          </w:p>
        </w:tc>
        <w:tc>
          <w:tcPr>
            <w:tcW w:w="160" w:type="dxa"/>
            <w:vAlign w:val="bottom"/>
          </w:tcPr>
          <w:p>
            <w:pPr>
              <w:spacing w:after="0"/>
              <w:rPr>
                <w:sz w:val="13"/>
                <w:szCs w:val="13"/>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6"/>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February 15, 2023, the Company declared a quarterly dividend on its Class A and Class C common stock of $0.3745 per share payable on March 15, 2023, to stockholders of record as of March 1, 2023.</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2022 Compared to Year Ended December 31, 2021</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changes in cash flows for the year ended December 31, 2022 compared to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2021</w:t>
            </w: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54"/>
        </w:trPr>
        <w:tc>
          <w:tcPr>
            <w:tcW w:w="8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4"/>
                <w:szCs w:val="14"/>
                <w:color w:val="auto"/>
              </w:rPr>
              <w:t>701</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4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1,065</w:t>
            </w:r>
          </w:p>
        </w:tc>
        <w:tc>
          <w:tcPr>
            <w:tcW w:w="200" w:type="dxa"/>
            <w:vAlign w:val="bottom"/>
          </w:tcPr>
          <w:p>
            <w:pPr>
              <w:spacing w:after="0"/>
              <w:rPr>
                <w:sz w:val="15"/>
                <w:szCs w:val="15"/>
                <w:color w:val="auto"/>
              </w:rPr>
            </w:pPr>
          </w:p>
        </w:tc>
        <w:tc>
          <w:tcPr>
            <w:tcW w:w="900" w:type="dxa"/>
            <w:vAlign w:val="bottom"/>
          </w:tcPr>
          <w:p>
            <w:pPr>
              <w:jc w:val="center"/>
              <w:ind w:left="375"/>
              <w:spacing w:after="0"/>
              <w:rPr>
                <w:sz w:val="20"/>
                <w:szCs w:val="20"/>
                <w:color w:val="auto"/>
              </w:rPr>
            </w:pPr>
            <w:r>
              <w:rPr>
                <w:rFonts w:ascii="Times New Roman" w:cs="Times New Roman" w:eastAsia="Times New Roman" w:hAnsi="Times New Roman"/>
                <w:sz w:val="14"/>
                <w:szCs w:val="14"/>
                <w:color w:val="auto"/>
                <w:w w:val="98"/>
              </w:rPr>
              <w:t>(865)</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(1,510)</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4"/>
                <w:szCs w:val="14"/>
                <w:color w:val="auto"/>
              </w:rPr>
              <w:t>367</w:t>
            </w: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w:t>
            </w:r>
          </w:p>
        </w:tc>
      </w:tr>
    </w:tbl>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ectPr>
          <w:pgSz w:w="11900" w:h="16838" w:orient="portrait"/>
          <w:cols w:equalWidth="0" w:num="1">
            <w:col w:w="11260"/>
          </w:cols>
          <w:pgMar w:left="300" w:top="728" w:right="339" w:bottom="1440" w:gutter="0" w:footer="0" w:header="0"/>
        </w:sectPr>
      </w:pP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operating income adjusted for non-cash items</w:t>
      </w:r>
    </w:p>
    <w:p>
      <w:pPr>
        <w:spacing w:after="0" w:line="23" w:lineRule="exact"/>
        <w:rPr>
          <w:sz w:val="20"/>
          <w:szCs w:val="20"/>
          <w:color w:val="auto"/>
        </w:rPr>
      </w:pPr>
    </w:p>
    <w:p>
      <w:pPr>
        <w:ind w:left="100" w:right="1900"/>
        <w:spacing w:after="0" w:line="283" w:lineRule="auto"/>
        <w:rPr>
          <w:sz w:val="20"/>
          <w:szCs w:val="20"/>
          <w:color w:val="auto"/>
        </w:rPr>
      </w:pPr>
      <w:r>
        <w:rPr>
          <w:rFonts w:ascii="Times New Roman" w:cs="Times New Roman" w:eastAsia="Times New Roman" w:hAnsi="Times New Roman"/>
          <w:sz w:val="14"/>
          <w:szCs w:val="14"/>
          <w:color w:val="auto"/>
        </w:rPr>
        <w:t>Increase in working capital primarily driven by the timing of accounts receivable collections and payments of accounts payable Transaction expenses paid on May 1, 2022 in connection with the sale of the Thermal Business Decrease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161530" cy="11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-17145</wp:posOffset>
            </wp:positionV>
            <wp:extent cx="7161530" cy="134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(Used In) Investing Activities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provided by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Proceeds from the sale of the Thermal Business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Cash paid for acquisitions, net of cash acquired, in 2021</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cash paid for Drop Down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Decrease in capital expenditures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Cash paid to CEG in 2021 for equipment for the Pinnacle wind project repowering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Cash paid to CEG in 2022 for Capistrano Wind Portfolio</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the return of investment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Provided by Financing Activities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in net cash (used in) provided by financing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contributions from noncontrolling interests, net of distributions</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proceeds from the revolving credit facility, net of payments</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Decrease in payments for long-term debt, net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Cash released from escrow distributed to CEG in 2022</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dividends paid to common stockholders and distributions paid to CEG unit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Tax-related distributions in 2022</w:t>
      </w:r>
    </w:p>
    <w:p>
      <w:pPr>
        <w:spacing w:after="0" w:line="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160" w:hanging="1151"/>
        <w:spacing w:after="0"/>
        <w:tabs>
          <w:tab w:leader="none" w:pos="11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w:t>
      </w:r>
    </w:p>
    <w:p>
      <w:pPr>
        <w:spacing w:after="0" w:line="23" w:lineRule="exact"/>
        <w:rPr>
          <w:rFonts w:ascii="Times New Roman" w:cs="Times New Roman" w:eastAsia="Times New Roman" w:hAnsi="Times New Roman"/>
          <w:sz w:val="14"/>
          <w:szCs w:val="14"/>
          <w:color w:val="auto"/>
        </w:rPr>
      </w:pPr>
    </w:p>
    <w:p>
      <w:pPr>
        <w:ind w:left="1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6" w:lineRule="exact"/>
        <w:rPr>
          <w:sz w:val="20"/>
          <w:szCs w:val="20"/>
          <w:color w:val="auto"/>
        </w:rPr>
      </w:pPr>
    </w:p>
    <w:p>
      <w:pPr>
        <w:ind w:left="1160" w:hanging="1151"/>
        <w:spacing w:after="0"/>
        <w:tabs>
          <w:tab w:leader="none" w:pos="11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86931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980" w:hanging="971"/>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1,457</w:t>
      </w:r>
    </w:p>
    <w:p>
      <w:pPr>
        <w:spacing w:after="0" w:line="23" w:lineRule="exact"/>
        <w:rPr>
          <w:rFonts w:ascii="Times New Roman" w:cs="Times New Roman" w:eastAsia="Times New Roman" w:hAnsi="Times New Roman"/>
          <w:sz w:val="14"/>
          <w:szCs w:val="14"/>
          <w:color w:val="auto"/>
        </w:rPr>
      </w:pPr>
    </w:p>
    <w:p>
      <w:pPr>
        <w:ind w:left="1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533</w:t>
      </w:r>
    </w:p>
    <w:p>
      <w:pPr>
        <w:spacing w:after="0" w:line="19" w:lineRule="exact"/>
        <w:rPr>
          <w:rFonts w:ascii="Times New Roman" w:cs="Times New Roman" w:eastAsia="Times New Roman" w:hAnsi="Times New Roman"/>
          <w:sz w:val="14"/>
          <w:szCs w:val="14"/>
          <w:color w:val="auto"/>
        </w:rPr>
      </w:pPr>
    </w:p>
    <w:p>
      <w:pPr>
        <w:ind w:left="1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158</w:t>
      </w:r>
    </w:p>
    <w:p>
      <w:pPr>
        <w:spacing w:after="0" w:line="19" w:lineRule="exact"/>
        <w:rPr>
          <w:rFonts w:ascii="Times New Roman" w:cs="Times New Roman" w:eastAsia="Times New Roman" w:hAnsi="Times New Roman"/>
          <w:sz w:val="14"/>
          <w:szCs w:val="14"/>
          <w:color w:val="auto"/>
        </w:rPr>
      </w:pPr>
    </w:p>
    <w:p>
      <w:pPr>
        <w:ind w:left="1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39</w:t>
      </w:r>
    </w:p>
    <w:p>
      <w:pPr>
        <w:spacing w:after="0" w:line="19" w:lineRule="exact"/>
        <w:rPr>
          <w:rFonts w:ascii="Times New Roman" w:cs="Times New Roman" w:eastAsia="Times New Roman" w:hAnsi="Times New Roman"/>
          <w:sz w:val="14"/>
          <w:szCs w:val="14"/>
          <w:color w:val="auto"/>
        </w:rPr>
      </w:pPr>
    </w:p>
    <w:p>
      <w:pPr>
        <w:ind w:left="1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pacing w:after="0" w:line="26" w:lineRule="exact"/>
        <w:rPr>
          <w:sz w:val="20"/>
          <w:szCs w:val="20"/>
          <w:color w:val="auto"/>
        </w:rPr>
      </w:pPr>
    </w:p>
    <w:p>
      <w:pPr>
        <w:ind w:left="980" w:hanging="971"/>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86931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040" w:hanging="1031"/>
        <w:spacing w:after="0"/>
        <w:tabs>
          <w:tab w:leader="none" w:pos="104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(907)</w:t>
      </w:r>
    </w:p>
    <w:p>
      <w:pPr>
        <w:spacing w:after="0" w:line="34" w:lineRule="exact"/>
        <w:rPr>
          <w:rFonts w:ascii="Times New Roman" w:cs="Times New Roman" w:eastAsia="Times New Roman" w:hAnsi="Times New Roman"/>
          <w:sz w:val="13"/>
          <w:szCs w:val="13"/>
          <w:color w:val="auto"/>
        </w:rPr>
      </w:pPr>
    </w:p>
    <w:p>
      <w:pPr>
        <w:ind w:left="10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(490)</w:t>
      </w:r>
    </w:p>
    <w:p>
      <w:pPr>
        <w:spacing w:after="0" w:line="30" w:lineRule="exact"/>
        <w:rPr>
          <w:rFonts w:ascii="Times New Roman" w:cs="Times New Roman" w:eastAsia="Times New Roman" w:hAnsi="Times New Roman"/>
          <w:sz w:val="13"/>
          <w:szCs w:val="13"/>
          <w:color w:val="auto"/>
        </w:rPr>
      </w:pPr>
    </w:p>
    <w:p>
      <w:pPr>
        <w:ind w:left="10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(390)</w:t>
      </w:r>
    </w:p>
    <w:p>
      <w:pPr>
        <w:spacing w:after="0" w:line="30" w:lineRule="exact"/>
        <w:rPr>
          <w:rFonts w:ascii="Times New Roman" w:cs="Times New Roman" w:eastAsia="Times New Roman" w:hAnsi="Times New Roman"/>
          <w:sz w:val="13"/>
          <w:szCs w:val="13"/>
          <w:color w:val="auto"/>
        </w:rPr>
      </w:pPr>
    </w:p>
    <w:p>
      <w:pPr>
        <w:ind w:left="11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(64)</w:t>
      </w:r>
    </w:p>
    <w:p>
      <w:pPr>
        <w:spacing w:after="0" w:line="19" w:lineRule="exact"/>
        <w:rPr>
          <w:rFonts w:ascii="Times New Roman" w:cs="Times New Roman" w:eastAsia="Times New Roman" w:hAnsi="Times New Roman"/>
          <w:sz w:val="13"/>
          <w:szCs w:val="13"/>
          <w:color w:val="auto"/>
        </w:rPr>
      </w:pPr>
    </w:p>
    <w:p>
      <w:pPr>
        <w:ind w:left="11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(21)</w:t>
      </w:r>
    </w:p>
    <w:p>
      <w:pPr>
        <w:spacing w:after="0" w:line="19" w:lineRule="exact"/>
        <w:rPr>
          <w:rFonts w:ascii="Times New Roman" w:cs="Times New Roman" w:eastAsia="Times New Roman" w:hAnsi="Times New Roman"/>
          <w:sz w:val="13"/>
          <w:szCs w:val="13"/>
          <w:color w:val="auto"/>
        </w:rPr>
      </w:pPr>
    </w:p>
    <w:p>
      <w:pPr>
        <w:ind w:left="11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w:t>
      </w:r>
    </w:p>
    <w:p>
      <w:pPr>
        <w:spacing w:after="0" w:line="30" w:lineRule="exact"/>
        <w:rPr>
          <w:rFonts w:ascii="Times New Roman" w:cs="Times New Roman" w:eastAsia="Times New Roman" w:hAnsi="Times New Roman"/>
          <w:sz w:val="13"/>
          <w:szCs w:val="13"/>
          <w:color w:val="auto"/>
        </w:rPr>
      </w:pPr>
    </w:p>
    <w:p>
      <w:pPr>
        <w:ind w:left="1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86931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6" w:lineRule="exact"/>
        <w:rPr>
          <w:sz w:val="20"/>
          <w:szCs w:val="20"/>
          <w:color w:val="auto"/>
        </w:rPr>
      </w:pPr>
    </w:p>
    <w:p>
      <w:pPr>
        <w:ind w:left="920" w:hanging="911"/>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86931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6931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wp:posOffset>
            </wp:positionV>
            <wp:extent cx="86931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00" w:space="720"/>
            <w:col w:w="1340"/>
          </w:cols>
          <w:pgMar w:left="300" w:top="728" w:right="339" w:bottom="1440" w:gutter="0" w:footer="0" w:header="0"/>
          <w:type w:val="continuous"/>
        </w:sect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NOLs, Deferred Tax Assets and Uncertain Tax Position Implications, under ASC 740</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of December 31, 2022, the Company has a cumulative federal NOL carry forward balance of $481 million for financial statement purposes, of which $88 million will begin expiring in 2037 if unutilized. The Company does not anticipate material federal income tax payments until 2027. Additionally, as of December 31, 2022, the Company has a cumulative state NOL carryforward balance of $64 million for financial statement purposes, which will expire between 2023 to 2040 if unutilized. In addition, the Company has PTC and ITC carryforward balances totaling $18 million, which will expire between 2034 and 2042 if unutilized.</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a result of the sale of the Thermal Business, the Company, after the utilization of various state NOL carryforwards, has paid $9 million in state income taxes through December 31, 2022, and expects to pay approximately $19 million of additional state income taxes by April 15, 2023. The Company does not anticipate being subject to the corporate minimum tax on financial statement income as enacted by the recently passed the IRA, which is discussed in further detail below.</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March 27, 2020, the Coronavirus Aid, Relief, and Economic Security (CARES) Act, or the CARES Act, was signed into law, which includes modifications to the business interest expense disallowance and net operating loss provisions. While the Company utilized previously disallowed interest expense during 2020 as a result of the modifications, the CARES Act did not have a material impact on the consolidated financial statements. The Company will continue to assess the effects of the CARES Act and ongoing government guidance related to COVID-19 and its variants that may be issued.</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February 9, 2022, the governor of California signed Senate Bill 113, or SB 113, removing the suspension of California NOL utilization for tax year 2022. After assessing the law change, the Company expects SB 113 to have an immaterial impact on the consolidated financial statements.</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recently enacted IRA contains a number of revisions to the Internal Revenue Code, including a 15% corporate minimum income tax for certain taxpayers, a 1% excise tax on corporate stock repurchases in tax years beginning after December 31, 2022 and business tax credits and incentives for the development of clean energy projects and the production of clean energy. The Company continues to analyze the potential impact of the IRA and monitor guidance to be issued by the United States Department of the Treasury, but it does not anticipate the corporate minimum tax will apply to it or that the IRA will otherwise have a material impact on its consolidated financial statements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subject to examination by taxing authorities for income tax returns filed in the U.S. federal and various state jurisdictions. All tax returns filed by the Company for the year ended December 31, 2013 and forward remain subject to audit. As of December 31, 2022, the U.S. federal partnership returns of three of the Company’s subsidiaries are under audit by the IRS. The IRS has issued proposed adjustments with respect to one of the subsidiaries under audit. The Company believes that such proposed adjustments are incorrect and, in any case, would not impact the Company’s tax liability or the tax liability of such subsidiary. The IRS has not yet issued any proposed adjustments with respect to the other two subsidiaries under audit. In any case, the Company</w:t>
      </w:r>
    </w:p>
    <w:p>
      <w:pPr>
        <w:spacing w:after="0" w:line="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believes that the ultimate settlement of each of these audits will not be material to the Company’s financial condition, results of operations or liquidity. The Company believes that an adequate provision has been made for any adjustments that may result from tax examinations. However, the outcome of tax audits cannot be predicted with certainty. If any issues addressed in tax audits of the Company are resolved in a manner inconsistent with its expectations, the Company could be required to adjust its provision for income taxes in the period such resolution occurs.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no material uncertain tax benefits.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The Company may enter into commodity purchase contracts and other energy-related financial instruments to mitigate variability in earnings due to fluctuations in spot market prices. In addition, in order to mitigate interest rate risk associated with the issuance of variable rate debt, the Company enters into interest rate swap agreements.</w:t>
      </w:r>
    </w:p>
    <w:p>
      <w:pPr>
        <w:spacing w:after="0" w:line="8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December 31, 2022</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December 31, 2022</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Item 15</w:t>
      </w:r>
      <w:r>
        <w:rPr>
          <w:rFonts w:ascii="Times New Roman" w:cs="Times New Roman" w:eastAsia="Times New Roman" w:hAnsi="Times New Roman"/>
          <w:sz w:val="14"/>
          <w:szCs w:val="14"/>
          <w:color w:val="000000"/>
        </w:rPr>
        <w:t xml:space="preserve"> — Note 6</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Instruments</w:t>
      </w:r>
      <w:r>
        <w:rPr>
          <w:rFonts w:ascii="Times New Roman" w:cs="Times New Roman" w:eastAsia="Times New Roman" w:hAnsi="Times New Roman"/>
          <w:sz w:val="14"/>
          <w:szCs w:val="14"/>
          <w:color w:val="231F20"/>
        </w:rPr>
        <w:t>.</w:t>
      </w:r>
    </w:p>
    <w:p>
      <w:pPr>
        <w:spacing w:after="0" w:line="254" w:lineRule="exact"/>
        <w:rPr>
          <w:sz w:val="20"/>
          <w:szCs w:val="20"/>
          <w:color w:val="auto"/>
        </w:rPr>
      </w:pPr>
    </w:p>
    <w:p>
      <w:pPr>
        <w:ind w:left="20"/>
        <w:spacing w:after="0"/>
        <w:tabs>
          <w:tab w:leader="none" w:pos="10400" w:val="left"/>
        </w:tabs>
        <w:rPr>
          <w:sz w:val="20"/>
          <w:szCs w:val="20"/>
          <w:color w:val="auto"/>
        </w:rPr>
      </w:pPr>
      <w:r>
        <w:rPr>
          <w:rFonts w:ascii="Times New Roman" w:cs="Times New Roman" w:eastAsia="Times New Roman" w:hAnsi="Times New Roman"/>
          <w:sz w:val="11"/>
          <w:szCs w:val="11"/>
          <w:b w:val="1"/>
          <w:bCs w:val="1"/>
          <w:u w:val="single" w:color="auto"/>
          <w:color w:val="auto"/>
        </w:rPr>
        <w:t>Derivative Activity (Losses)/Gains</w:t>
      </w:r>
      <w:r>
        <w:rPr>
          <w:sz w:val="20"/>
          <w:szCs w:val="20"/>
          <w:color w:val="auto"/>
        </w:rPr>
        <w:tab/>
      </w:r>
      <w:r>
        <w:rPr>
          <w:rFonts w:ascii="Times New Roman" w:cs="Times New Roman" w:eastAsia="Times New Roman" w:hAnsi="Times New Roman"/>
          <w:sz w:val="11"/>
          <w:szCs w:val="11"/>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2021</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Contracts acquired during the period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Contracts added due to loss of NPNS exception</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Contracts removed during the period</w:t>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Changes in fair value</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u w:val="single" w:color="auto"/>
          <w:color w:val="auto"/>
        </w:rPr>
        <w:t>Fair Value Hierarchy Losses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5280" w:type="dxa"/>
        <w:tblCellMar>
          <w:top w:w="0" w:type="dxa"/>
          <w:left w:w="0" w:type="dxa"/>
          <w:bottom w:w="0" w:type="dxa"/>
          <w:right w:w="0" w:type="dxa"/>
        </w:tblCellMar>
      </w:tblPr>
      <w:tr>
        <w:trPr>
          <w:trHeight w:val="186"/>
        </w:trPr>
        <w:tc>
          <w:tcPr>
            <w:tcW w:w="440" w:type="dxa"/>
            <w:vAlign w:val="bottom"/>
            <w:tcBorders>
              <w:top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0"/>
        </w:trPr>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4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4"/>
        </w:trPr>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71"/>
        </w:trPr>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-605790</wp:posOffset>
            </wp:positionV>
            <wp:extent cx="716153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-376555</wp:posOffset>
            </wp:positionV>
            <wp:extent cx="7161530" cy="114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-3094990</wp:posOffset>
            </wp:positionH>
            <wp:positionV relativeFrom="paragraph">
              <wp:posOffset>-147320</wp:posOffset>
            </wp:positionV>
            <wp:extent cx="7161530" cy="134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Fair value of contracts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40627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62730" cy="6985"/>
                    </a:xfrm>
                    <a:prstGeom prst="rect">
                      <a:avLst/>
                    </a:prstGeom>
                    <a:noFill/>
                  </pic:spPr>
                </pic:pic>
              </a:graphicData>
            </a:graphic>
          </wp:anchor>
        </w:drawing>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Maturity</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Greater Than 1 Year</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Greater Than 3 Years</w:t>
            </w:r>
          </w:p>
        </w:tc>
        <w:tc>
          <w:tcPr>
            <w:tcW w:w="1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Total Fair</w:t>
            </w:r>
          </w:p>
        </w:tc>
      </w:tr>
      <w:tr>
        <w:trPr>
          <w:trHeight w:val="169"/>
        </w:trPr>
        <w:tc>
          <w:tcPr>
            <w:tcW w:w="11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360" w:type="dxa"/>
            <w:vAlign w:val="bottom"/>
            <w:tcBorders>
              <w:bottom w:val="single" w:sz="8" w:color="auto"/>
            </w:tcBorders>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to 3 Years</w:t>
            </w:r>
          </w:p>
        </w:tc>
        <w:tc>
          <w:tcPr>
            <w:tcW w:w="130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to 5 Years</w:t>
            </w:r>
          </w:p>
        </w:tc>
        <w:tc>
          <w:tcPr>
            <w:tcW w:w="1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Greater Than 5 Years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49"/>
        </w:trPr>
        <w:tc>
          <w:tcPr>
            <w:tcW w:w="1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20" w:lineRule="exact"/>
        <w:rPr>
          <w:sz w:val="20"/>
          <w:szCs w:val="20"/>
          <w:color w:val="auto"/>
        </w:rPr>
      </w:pPr>
    </w:p>
    <w:p>
      <w:pPr>
        <w:sectPr>
          <w:pgSz w:w="11900" w:h="16838" w:orient="portrait"/>
          <w:cols w:equalWidth="0" w:num="2">
            <w:col w:w="4160" w:space="720"/>
            <w:col w:w="6400"/>
          </w:cols>
          <w:pgMar w:left="300" w:top="897"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Level 2</w:t>
            </w: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center"/>
              <w:ind w:left="369"/>
              <w:spacing w:after="0"/>
              <w:rPr>
                <w:sz w:val="20"/>
                <w:szCs w:val="20"/>
                <w:color w:val="auto"/>
              </w:rPr>
            </w:pPr>
            <w:r>
              <w:rPr>
                <w:rFonts w:ascii="Times New Roman" w:cs="Times New Roman" w:eastAsia="Times New Roman" w:hAnsi="Times New Roman"/>
                <w:sz w:val="14"/>
                <w:szCs w:val="14"/>
                <w:color w:val="auto"/>
                <w:w w:val="99"/>
              </w:rPr>
              <w:t>26</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center"/>
              <w:ind w:left="329"/>
              <w:spacing w:after="0"/>
              <w:rPr>
                <w:sz w:val="20"/>
                <w:szCs w:val="20"/>
                <w:color w:val="auto"/>
              </w:rPr>
            </w:pPr>
            <w:r>
              <w:rPr>
                <w:rFonts w:ascii="Times New Roman" w:cs="Times New Roman" w:eastAsia="Times New Roman" w:hAnsi="Times New Roman"/>
                <w:sz w:val="14"/>
                <w:szCs w:val="14"/>
                <w:color w:val="auto"/>
                <w:w w:val="99"/>
              </w:rPr>
              <w:t>36</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w w:val="99"/>
              </w:rPr>
              <w:t>16</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Level 3</w:t>
            </w:r>
          </w:p>
        </w:tc>
        <w:tc>
          <w:tcPr>
            <w:tcW w:w="5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349"/>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left="309"/>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left="309"/>
              <w:spacing w:after="0"/>
              <w:rPr>
                <w:sz w:val="20"/>
                <w:szCs w:val="20"/>
                <w:color w:val="auto"/>
              </w:rPr>
            </w:pPr>
            <w:r>
              <w:rPr>
                <w:rFonts w:ascii="Times New Roman" w:cs="Times New Roman" w:eastAsia="Times New Roman" w:hAnsi="Times New Roman"/>
                <w:sz w:val="14"/>
                <w:szCs w:val="14"/>
                <w:color w:val="auto"/>
                <w:w w:val="94"/>
              </w:rPr>
              <w:t>(76)</w:t>
            </w: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96"/>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center"/>
              <w:ind w:left="349"/>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4"/>
              </w:rPr>
              <w:t>(60)</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has elected to disclose derivative assets and liabilities on a trade-by-trade basis and does not offset amounts at the counterparty master agreement level.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1"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Company’s significant accounting policies are summarized in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acquisition accounting and determining the fair value of financial instruments.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57" w:name="page58"/>
    <w:bookmarkEnd w:id="57"/>
    <w:tbl>
      <w:tblPr>
        <w:tblLayout w:type="fixed"/>
        <w:tblInd w:w="20" w:type="dxa"/>
        <w:tblCellMar>
          <w:top w:w="0" w:type="dxa"/>
          <w:left w:w="0" w:type="dxa"/>
          <w:bottom w:w="0" w:type="dxa"/>
          <w:right w:w="0" w:type="dxa"/>
        </w:tblCellMar>
      </w:tblPr>
      <w:tr>
        <w:trPr>
          <w:trHeight w:val="126"/>
        </w:trPr>
        <w:tc>
          <w:tcPr>
            <w:tcW w:w="5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Accounting Policy</w:t>
            </w:r>
          </w:p>
        </w:tc>
        <w:tc>
          <w:tcPr>
            <w:tcW w:w="5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Judgments/Uncertainties Affecting Application</w:t>
            </w:r>
          </w:p>
        </w:tc>
      </w:tr>
      <w:tr>
        <w:trPr>
          <w:trHeight w:val="22"/>
        </w:trPr>
        <w:tc>
          <w:tcPr>
            <w:tcW w:w="880" w:type="dxa"/>
            <w:vAlign w:val="bottom"/>
            <w:tcBorders>
              <w:top w:val="single" w:sz="8" w:color="auto"/>
            </w:tcBorders>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260" w:type="dxa"/>
            <w:vAlign w:val="bottom"/>
            <w:tcBorders>
              <w:bottom w:val="single" w:sz="8" w:color="auto"/>
            </w:tcBorders>
          </w:tcPr>
          <w:p>
            <w:pPr>
              <w:spacing w:after="0" w:line="20" w:lineRule="exact"/>
              <w:rPr>
                <w:sz w:val="1"/>
                <w:szCs w:val="1"/>
                <w:color w:val="auto"/>
              </w:rPr>
            </w:pPr>
          </w:p>
        </w:tc>
      </w:tr>
      <w:tr>
        <w:trPr>
          <w:trHeight w:val="24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Taxes and Valuation Allowance for Deferred Tax Assets</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Ability to withstand legal challenges of tax authority decisions or appeals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Anticipated future decisions of tax authorities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Application of tax statutes and regulations to transactions</w:t>
            </w:r>
          </w:p>
        </w:tc>
      </w:tr>
      <w:tr>
        <w:trPr>
          <w:trHeight w:val="142"/>
        </w:trPr>
        <w:tc>
          <w:tcPr>
            <w:tcW w:w="8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2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Ability to utilize tax benefits through carry backs to prior periods and carry forwards to</w:t>
            </w:r>
          </w:p>
        </w:tc>
      </w:tr>
      <w:tr>
        <w:trPr>
          <w:trHeight w:val="184"/>
        </w:trPr>
        <w:tc>
          <w:tcPr>
            <w:tcW w:w="8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periods</w:t>
            </w:r>
          </w:p>
        </w:tc>
      </w:tr>
      <w:tr>
        <w:trPr>
          <w:trHeight w:val="18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Hypothetical Liquidation at Book Value (HLBV)</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Estimates of taxable income (loss) and tax capital accounts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calculation of specified target investor returns</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Application of liquidation provisions of operating agreements</w:t>
            </w:r>
          </w:p>
        </w:tc>
      </w:tr>
      <w:tr>
        <w:trPr>
          <w:trHeight w:val="180"/>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Acquisition Accounting</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Identification of assets acquired</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Inputs for fair values of assets and liabilities acquired</w:t>
            </w:r>
          </w:p>
        </w:tc>
      </w:tr>
      <w:tr>
        <w:trPr>
          <w:trHeight w:val="180"/>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Application of appropriate fair value methodologies</w:t>
            </w:r>
          </w:p>
        </w:tc>
      </w:tr>
      <w:tr>
        <w:trPr>
          <w:trHeight w:val="142"/>
        </w:trPr>
        <w:tc>
          <w:tcPr>
            <w:tcW w:w="5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Financial Instruments</w:t>
            </w:r>
          </w:p>
        </w:tc>
        <w:tc>
          <w:tcPr>
            <w:tcW w:w="52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Use of unobservable market inputs such as future electricity prices, future interest rates and</w:t>
            </w:r>
          </w:p>
        </w:tc>
      </w:tr>
      <w:tr>
        <w:trPr>
          <w:trHeight w:val="184"/>
        </w:trPr>
        <w:tc>
          <w:tcPr>
            <w:tcW w:w="88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discount rates</w:t>
            </w:r>
          </w:p>
        </w:tc>
      </w:tr>
    </w:tbl>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Income Taxes and Valuation Allowance for Deferred Tax Assets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determining whether a valuation allowance is required for deferred tax assets, the Company must assess whether it believes it is more likely than not that the results of future operations will generate sufficient taxable income which includes the future reversal of existing taxable temporary differences to realize deferred tax assets. The Company considers the timing and future realization of net deferred tax assets, the profit before tax generated in recent years as well as projections of future earnings and estimates of taxable income in arriving at this conclusion. The realization of deferred tax assets is primarily dependent upon earnings in federal and various state and local jurisdictions. Judgment is also required to continually assess changing tax regulations, interpretations and new legislation to determine the impact on the Company’s tax position.</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Hypothetical Liquidation at Book Value (HLBV)</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color w:val="auto"/>
        </w:rPr>
        <w:t>Certain portions of the Company’s redeemable noncontrolling interest and noncontrolling interest represent third-party interests in the net assets under certain tax equity arrangements, which are consolidated by the Company, that were established to finance the cost of facilities eligible for certain tax credits and benefits.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as well as estimated calculations of tax capital accounts based on the relevant provisions of each agreement and the related tax guidance. In addition, these calculations often take into account the stipulated targeted investor return specified in the subsidiaries’ operating agreement and agreed by the members of the arrangement.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 of income using a systematic and rational method over the period during which the investor is expected to achieve its target return. In certain cases, the Company must apply judgment in determining the methodology for applying these concepts in the HLBV method and changes in certain factors may have a significant impact on the amounts that an investor would receive upon a hypothetical liquidation. The use of the HLBV method to allocate income (loss) to the noncontrolling interest holders may create volatility in the consolidated statements of income.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6" w:right="31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Acquisition Accounting</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 applies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when accounting for acquisitions, with identifiable assets acquired and liabilities assumed recorded at their estimated fair values at acquisition date. For many of the Company’s acquisitions, the Company applies ASC 805-50, which provides that acquisitions of entities under common control are recorded at historical cost, except in the case where the ultimate parent has a different basis, such as when an acquiree did not elect to apply pushdown accounting. In those circumstances, the Company may also be required to record its acquired assets and liabilities at acquisition date fair value.</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Significant judgment is required in determining the acquisition date fair value of the assets acquired and liabilities assumed, predominantly with respect to property, plant and equipment, power purchase agreements, asset retirement obligations and other contractual arrangements for third-party acquisitions. Evaluations include numerous inputs including forecasted cash flows that incorporate the specific attributes of each asset including age, useful life, equipment condition and technology as well as current replacement costs for similar assets. Other key inputs that require judgment include discount rates, comparable market transactions, estimated 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Financial Instruments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financial instruments, which primarily consist of derivative financial instruments, at fair value. The Company determines the fair value of its financial instruments using discounted cash flow models that require the use of assumptions concerning the amount of estimated future cash flows. The assumptions are determined using external, observable market inputs when available. When observable market inputs are not available, the Company must apply significant judgment to determine market participant assumptions such as future electricity prices, future interest rates and discount rates. As these inputs are based on estimates, fair values may not reflect the amounts actually realized from the related transaction.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Item 7A — Quantitative and Qualitative Disclosures About Market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Commodity price risks result from exposures to changes in spot prices, forward prices, volatilities, and correlations between various commodities, such as electricity and emissions credits. The Company manages the commodity price risk of its merchant generation operations by entering into derivative or non-derivative instruments to hedge the variability in future cash flows from forecasted power sales. The portion of forecasted transactions hedged may vary based upon management’s assessment of market, weather, operation and other factors.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color w:val="231F20"/>
        </w:rPr>
        <w:t>, for more information.</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Based on a sensitivity analysis using simplified assumptions, the impact of a $0.50 per MWh increase or decrease in power prices across the term of the derivative contracts would cause a change of approximately $7 million to the net value of power derivatives as of December 31, 2022.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15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Accounting for Derivative Instruments and Hedging Activities</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231F20"/>
        </w:rPr>
        <w:t xml:space="preserve"> for more information.</w:t>
      </w:r>
    </w:p>
    <w:p>
      <w:pPr>
        <w:spacing w:after="0" w:line="26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Most of the Company’s project subsidiaries enter into interest rate swaps, intended to hedge the risks associated with interest rates on non-recourse project 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color w:val="231F20"/>
        </w:rPr>
        <w:t>, for more information about interest rate swaps of the Company’s project subsidiaries.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above swaps had been discontinued on </w:t>
      </w:r>
      <w:r>
        <w:rPr>
          <w:rFonts w:ascii="Times New Roman" w:cs="Times New Roman" w:eastAsia="Times New Roman" w:hAnsi="Times New Roman"/>
          <w:sz w:val="14"/>
          <w:szCs w:val="14"/>
          <w:color w:val="000000"/>
        </w:rPr>
        <w:t>December 31, 2022</w:t>
      </w:r>
      <w:r>
        <w:rPr>
          <w:rFonts w:ascii="Times New Roman" w:cs="Times New Roman" w:eastAsia="Times New Roman" w:hAnsi="Times New Roman"/>
          <w:sz w:val="14"/>
          <w:szCs w:val="14"/>
          <w:color w:val="231F20"/>
        </w:rPr>
        <w:t>, the counterparties would have owed the Company $93 million.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December 31, 2022</w:t>
      </w:r>
      <w:r>
        <w:rPr>
          <w:rFonts w:ascii="Times New Roman" w:cs="Times New Roman" w:eastAsia="Times New Roman" w:hAnsi="Times New Roman"/>
          <w:sz w:val="14"/>
          <w:szCs w:val="14"/>
          <w:color w:val="231F20"/>
        </w:rPr>
        <w:t>, a 1% change in interest rates would result in an approximately $1 million change in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2022</w:t>
      </w:r>
      <w:r>
        <w:rPr>
          <w:rFonts w:ascii="Times New Roman" w:cs="Times New Roman" w:eastAsia="Times New Roman" w:hAnsi="Times New Roman"/>
          <w:sz w:val="14"/>
          <w:szCs w:val="14"/>
          <w:color w:val="231F20"/>
        </w:rPr>
        <w:t>, the fair value of the Company’s debt was $6,288 million and the carrying value was $6,874 million. The Company estimates that a 1% decrease in market interest rates would have increased the fair value of its long-term debt by $358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15 — </w:t>
      </w:r>
      <w:r>
        <w:rPr>
          <w:rFonts w:ascii="Times New Roman" w:cs="Times New Roman" w:eastAsia="Times New Roman" w:hAnsi="Times New Roman"/>
          <w:sz w:val="14"/>
          <w:szCs w:val="14"/>
          <w:color w:val="000000"/>
        </w:rPr>
        <w:t>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for more information about concentration of credit risk.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 Financial Statements and Supplementary Data</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financial statements and schedules are listed in Part IV, Item 15 of this Form 10-K.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color w:val="auto"/>
        </w:rPr>
        <w:t>Item 9 — Changes in and Disagreements with Accountants on Accounting and Financial Disclosure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As previously reported in the Company’s Current Report on Form 8-K filed on March 15, 2021, on March 9, 2021, the Audit Committee of the Board of Directors of the Company dismissed KPMG LLP as the Company’s independent registered public accounting firm and appointed Ernst &amp; Young LLP, an independent registered public accounting firm, to audit the consolidated financial statements of the Company and its subsidiaries for the fiscal year ending December 31, 2021. For more information, please refer to the Company’s Current Report on Form 8-K filed on March 15, 2021.</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Conclusion Regarding the Effectiveness of Disclosure Controls and Procedures and Internal Control Over Financial Reporting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Annual Report on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under the Exchange Act) during the quarter ended December 31, 2022, that materially affected, or are reasonably likely to materially affect, the Company’s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Inherent Limitations over Internal Controls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internal control over financial reporting is designed to provide reasonable assurance regarding the reliability of financial reporting and the preparation of consolidated financial statements for external purposes in accordance with GAAP. The Company’s internal control over financial reporting includes those policies and procedures that:</w:t>
      </w:r>
    </w:p>
    <w:p>
      <w:pPr>
        <w:spacing w:after="0" w:line="82" w:lineRule="exact"/>
        <w:rPr>
          <w:sz w:val="20"/>
          <w:szCs w:val="20"/>
          <w:color w:val="auto"/>
        </w:rPr>
      </w:pPr>
    </w:p>
    <w:p>
      <w:pPr>
        <w:ind w:left="460" w:hanging="137"/>
        <w:spacing w:after="0"/>
        <w:tabs>
          <w:tab w:leader="none" w:pos="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Company’s assets;</w:t>
      </w:r>
    </w:p>
    <w:p>
      <w:pPr>
        <w:spacing w:after="0" w:line="136" w:lineRule="exact"/>
        <w:rPr>
          <w:rFonts w:ascii="Times New Roman" w:cs="Times New Roman" w:eastAsia="Times New Roman" w:hAnsi="Times New Roman"/>
          <w:sz w:val="14"/>
          <w:szCs w:val="14"/>
          <w:color w:val="auto"/>
        </w:rPr>
      </w:pPr>
    </w:p>
    <w:p>
      <w:pPr>
        <w:ind w:firstLine="323"/>
        <w:spacing w:after="0" w:line="287" w:lineRule="auto"/>
        <w:tabs>
          <w:tab w:leader="none" w:pos="461"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consolidated financial statements in accordance with GAAP, and that the Company’s receipts and expenditures are being made only in accordance with authorizations of its management and directors; and</w:t>
      </w:r>
    </w:p>
    <w:p>
      <w:pPr>
        <w:spacing w:after="0" w:line="81" w:lineRule="exact"/>
        <w:rPr>
          <w:rFonts w:ascii="Times New Roman" w:cs="Times New Roman" w:eastAsia="Times New Roman" w:hAnsi="Times New Roman"/>
          <w:sz w:val="14"/>
          <w:szCs w:val="14"/>
          <w:color w:val="auto"/>
        </w:rPr>
      </w:pPr>
    </w:p>
    <w:p>
      <w:pPr>
        <w:ind w:firstLine="323"/>
        <w:spacing w:after="0" w:line="287" w:lineRule="auto"/>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consolidated financial statements.</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Internal control over financial reporting cannot provide absolute assurance of achieving financial reporting objectives because of its inherent limitations, including the possibility of human error and circumvention by collusion or overriding of controls. Accordingly, even an effective internal control system may not prevent or detect material misstatements on a timely basis.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Company’s management is responsible for establishing and maintaining adequate internal control over financial reporting, as such term is defined in Exchange Act Rule 13a-15(f). Under the supervision and with the participation of the Company’s management, including its principal executive officer, principal financial officer and principal accounting officer, the Company conducted an evaluation of the effectiveness of its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Based on the Company’s evaluation under the framework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the Company’s management concluded that its internal control over financial reporting was effective as of December 31, 2022.</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effectiveness of the Company’s internal control over financial reporting as of December 31, 2022, has been audited by Ernst &amp; Young LLP, the Company’s independent registered public accounting firm, as stated in its report which is included in this Form 10-K.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61" w:name="page62"/>
    <w:bookmarkEnd w:id="61"/>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Clearway Energy,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Internal Control over Financial Reporting</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audited Clearway Energy, Inc.’s (the Company) internal control over financial reporting as of December 31, 2022,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December 31, 2022, based on the COSO criteria.</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2022 consolidated financial statements of the Company and our report dated February 23, 2023 expressed an unqualified opinion thereon.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color w:val="auto"/>
        </w:rPr>
        <w:t>Item 9B — Other Information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 Information about Directors, Executive Officers and Corporate Governance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Nathaniel Anschuetz, 35, </w:t>
      </w:r>
      <w:r>
        <w:rPr>
          <w:rFonts w:ascii="Times New Roman" w:cs="Times New Roman" w:eastAsia="Times New Roman" w:hAnsi="Times New Roman"/>
          <w:sz w:val="14"/>
          <w:szCs w:val="14"/>
          <w:color w:val="auto"/>
        </w:rPr>
        <w:t>has served as a director since August 2018. Mr. Anschuetz is a Principal at GIP. Prior to joining GIP in 2012, Mr. Anschuetz was an Analyst in the Power &amp; Utilities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Coverage Group at Citigroup from June 2010 through June 2012. Mr. Anschuetz is also a member of the board of directors of Clearway Energy Group LLC, Eolian, L.P. and SunPower Corporation. Mr. Anschuetz graduated with cum laude honors from Columbia College in 2010 with an A.B. in Economics and Operations Research, and a concentration in Sustainable Development. Mr. Anschuetz’s financial expertise provides significant value to the Company’s board of directors.</w:t>
      </w:r>
    </w:p>
    <w:p>
      <w:pPr>
        <w:spacing w:after="0" w:line="9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Jonathan Bram, 57, </w:t>
      </w:r>
      <w:r>
        <w:rPr>
          <w:rFonts w:ascii="Times New Roman" w:cs="Times New Roman" w:eastAsia="Times New Roman" w:hAnsi="Times New Roman"/>
          <w:sz w:val="14"/>
          <w:szCs w:val="14"/>
          <w:color w:val="auto"/>
        </w:rPr>
        <w:t>has served as a director and Chairman of the board of directors of the Company since August 2018. Mr. Bram is a founding partner of GIP and serves on its Investment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Committees and chairs the Investment Committee of its credit funds.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Clearway Energy Group LLC, SunPower Corporation and Chile Renovables, SpA. He previously served on the boards of Terra-Gen Power, Guacolda Energy and Channelview Cogeneration. Mr. Bram holds a B.A. in economics from Columbia College. Mr. Bram’s significant experience in investment banking for, and investments in, energy and power companies, as well as his leadership role at GIP, provide strong financial and transactional experience to the Company’s board of directors.</w:t>
      </w:r>
    </w:p>
    <w:p>
      <w:pPr>
        <w:spacing w:after="0" w:line="100"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Brian R. Ford, 74, </w:t>
      </w:r>
      <w:r>
        <w:rPr>
          <w:rFonts w:ascii="Times New Roman" w:cs="Times New Roman" w:eastAsia="Times New Roman" w:hAnsi="Times New Roman"/>
          <w:sz w:val="14"/>
          <w:szCs w:val="14"/>
          <w:color w:val="auto"/>
        </w:rPr>
        <w:t>has served as a director since July 2013 and Lead Independent Director since January 2019. Mr. Ford was the Chief Executive Officer of Washington Philadelphia Partners,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Company’s board of directors.</w:t>
      </w:r>
    </w:p>
    <w:p>
      <w:pPr>
        <w:spacing w:after="0" w:line="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Bruce MacLennan, 56, </w:t>
      </w:r>
      <w:r>
        <w:rPr>
          <w:rFonts w:ascii="Times New Roman" w:cs="Times New Roman" w:eastAsia="Times New Roman" w:hAnsi="Times New Roman"/>
          <w:sz w:val="14"/>
          <w:szCs w:val="14"/>
          <w:color w:val="auto"/>
        </w:rPr>
        <w:t>has served as a director since August 2018. Mr. MacLennan is a Partner of GIP and focuses on the energy and power sectors. Prior to joining GIP at its formation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previously served on the boards of Competitive Power Ventures and Clearway Energy Group LLC. Mr. MacLennan’s significant experience in investment banking for, and investments in, energy and power companies, as well as his leadership role at GIP, provide strong financial and transactional experience to the Company’s board of directors.</w:t>
      </w:r>
    </w:p>
    <w:p>
      <w:pPr>
        <w:spacing w:after="0" w:line="27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Daniel B. More, 66, </w:t>
      </w:r>
      <w:r>
        <w:rPr>
          <w:rFonts w:ascii="Times New Roman" w:cs="Times New Roman" w:eastAsia="Times New Roman" w:hAnsi="Times New Roman"/>
          <w:sz w:val="14"/>
          <w:szCs w:val="14"/>
          <w:color w:val="auto"/>
        </w:rPr>
        <w:t>has served as a director since February 2019. Mr. More has been a Senior Advisor with Guggenheim Securities since October 2015. Mr. More retired as a Managing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Company’s board of directors.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E. Stanley O’Neal, 71, </w:t>
      </w:r>
      <w:r>
        <w:rPr>
          <w:rFonts w:ascii="Times New Roman" w:cs="Times New Roman" w:eastAsia="Times New Roman" w:hAnsi="Times New Roman"/>
          <w:sz w:val="14"/>
          <w:szCs w:val="14"/>
          <w:color w:val="auto"/>
        </w:rPr>
        <w:t>has served as a director since August 2018. Mr. O’Neal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6"/>
          <w:szCs w:val="16"/>
          <w:color w:val="auto"/>
        </w:rPr>
        <w:t>s</w:t>
      </w:r>
      <w:r>
        <w:rPr>
          <w:rFonts w:ascii="Times New Roman" w:cs="Times New Roman" w:eastAsia="Times New Roman" w:hAnsi="Times New Roman"/>
          <w:sz w:val="14"/>
          <w:szCs w:val="14"/>
          <w:color w:val="auto"/>
        </w:rPr>
        <w:t>erved as Chairman of the Board and Chief Executive Officer of Merrill Lynch &amp; Co., Inc. until October 2007. 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was a director of General Motors Corporation from 2001 to 2006, chairman of the board of Merrill Lynch &amp; Co., Inc. from 2003 to 2007, and a director of American Beacon Advisors, Inc. (investment advisor registered with the Securities and Exchange Commission) from 2009 to September 2012. Mr. O’Neal’s extensive executive experience, financial expertise and leadership skills enable him to provide unique guidance to the Company’s board of directors and management team.</w:t>
      </w:r>
    </w:p>
    <w:p>
      <w:pPr>
        <w:spacing w:after="0" w:line="102"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Jennifer Lowry, 54, </w:t>
      </w:r>
      <w:r>
        <w:rPr>
          <w:rFonts w:ascii="Times New Roman" w:cs="Times New Roman" w:eastAsia="Times New Roman" w:hAnsi="Times New Roman"/>
          <w:sz w:val="14"/>
          <w:szCs w:val="14"/>
          <w:color w:val="auto"/>
        </w:rPr>
        <w:t>has served as a director since February 2022. Ms. Lowry served as Vice President of Risk, Treasury and Corporate Finance for McCormick &amp; Company, Inc. from October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recently Chair of the Maryland Zoo Board of Trustees. Ms. Lowry has also been a member of the board of directors of MYR Group, Inc. since 2018, and is currently chair of its Audit Committee. Ms. Lowry’s financial and energy industry experience provides significant value to the Company’s board of directors.</w:t>
      </w:r>
    </w:p>
    <w:p>
      <w:pPr>
        <w:spacing w:after="0" w:line="99"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Guillaume Hédiard, 41, </w:t>
      </w:r>
      <w:r>
        <w:rPr>
          <w:rFonts w:ascii="Times New Roman" w:cs="Times New Roman" w:eastAsia="Times New Roman" w:hAnsi="Times New Roman"/>
          <w:sz w:val="14"/>
          <w:szCs w:val="14"/>
          <w:color w:val="auto"/>
        </w:rPr>
        <w:t>has served as a director since October 2022. Mr. Hédiard is Vice President Transactions and is in charge of M&amp;A, Structured Finance, and Legal activities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TotalEnergies Renewables. Prior to joining TotalEnergies in 2018, Mr. Hédiard spent 12 years at Crédit Agricole Corporate and Investment Bank in Paris and London, where he served as Executive Director in CA-CIB’s Power &amp; Utilities EMEA team in charge of debt arranging and structured finance advisory mandates in the power sector for the EMEA region. Mr. Hédiard holds a BA Corporate Finance and Financial Engineering from the Paris Dauphine University. Mr. Hédiard’s extensive financial and power industry experience provides significant value to the Company’s board of directors.</w:t>
      </w:r>
    </w:p>
    <w:p>
      <w:pPr>
        <w:spacing w:after="0" w:line="27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Vincent Stoquart, 48, </w:t>
      </w:r>
      <w:r>
        <w:rPr>
          <w:rFonts w:ascii="Times New Roman" w:cs="Times New Roman" w:eastAsia="Times New Roman" w:hAnsi="Times New Roman"/>
          <w:sz w:val="14"/>
          <w:szCs w:val="14"/>
          <w:color w:val="auto"/>
        </w:rPr>
        <w:t>has served as a director since October 2022. Mr. Stoquart has served as senior vice president of the Renewables division of TotalEnergies S.E. since December 6,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October 2019 to December 2021, he served as Senior Vice President, Refining and Petrochemicals Americas, and President and Chief Executive Officer of Total Petrochemicals &amp; Refining USA, Inc. He was, during this period, also the country chair for TotalEnergies in the United States, based in Houston, Texas. Prior to that, Mr. Stoquart served as Senior Vice President, Polymers, of TotalEnergies Refining &amp; Chemicals in Brussels, Belgium. From 2012 to 2017, Mr. Stoquart managed TotalEnergies’s Flanders Refinery in Dunkirk, France, before joining TotalEnergies Global Services where he became President, TotalEnergies Learning Solutions. Mr. Stoquart began his career with TotalEnergies in 1998 as an engineering project manager at the Feluy Polymers Plant in Belgium, working as a production manager in various positions from 2002 to 2009 before being appointed as human resources and communications manager of the Feluy Plant in 2010. Mr. Stoquart graduated as a mechanical engineer from the Catholic University of Louvain, Belgium. He also has a diploma in aeronautics and aerospace from the von Karman Institute for Fluid Dynamics. Mr. Stoquart’s engineering, energy and leadership experience provides significant value to the Company’s board of directors.</w:t>
      </w:r>
    </w:p>
    <w:p>
      <w:pPr>
        <w:spacing w:after="0" w:line="101"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Emmanuel Barrois, 40, </w:t>
      </w:r>
      <w:r>
        <w:rPr>
          <w:rFonts w:ascii="Times New Roman" w:cs="Times New Roman" w:eastAsia="Times New Roman" w:hAnsi="Times New Roman"/>
          <w:sz w:val="14"/>
          <w:szCs w:val="14"/>
          <w:color w:val="auto"/>
        </w:rPr>
        <w:t>has served as a director since October 2022. Mr. Barrois has 15 years of experience in the energy industry. Starting as a petroleum engineer in France and in Nigeria, 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moved on to management positions in the Republic of Congo and the UAE. In 2019, he joined the strategy team in the Exploration &amp; Production branch of TotalEnergies, where he led the Long Term Business Plan team. Since 2022, he has been in charge of TotalEnergies' Renewables portfolio management team. He holds Masters of Engineering from Ecole Nationale des Ponts et Chaussées and Ecole Nationale Supérieure des Pétroles et Moteurs, and a Master of Science from Colorado School of Mines. Mr. Barrois’ engineering, energy and leadership experience provides significant value to the Company’s board of directors.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65" w:name="page66"/>
    <w:bookmarkEnd w:id="65"/>
    <w:p>
      <w:pPr>
        <w:jc w:val="both"/>
        <w:ind w:firstLine="318"/>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Christopher S. Sotos, 51, </w:t>
      </w:r>
      <w:r>
        <w:rPr>
          <w:rFonts w:ascii="Times New Roman" w:cs="Times New Roman" w:eastAsia="Times New Roman" w:hAnsi="Times New Roman"/>
          <w:sz w:val="14"/>
          <w:szCs w:val="14"/>
          <w:color w:val="auto"/>
        </w:rPr>
        <w:t>has served as President and Chief Executive Officer of the Company since May 2016, and as a director since May 2013. Mr. Sotos had also served in various positions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 NRG, including most recently as Executive Vice President - Strategy and Mergers and Acquisitions from February 2016 through May 2016 and Senior Vice President - Strategy and Mergers and Acquisitions from November 2012 through February 2016. In this role, he led NRG’s corporate strategy, mergers and acquisitions, strategic alliances and other special projects for NRG. Previously, he served as NRG’s Senior Vice President and Treasurer from March 2008 to September 2012, where he was responsible for all treasury functions, including raising capital, valuation, debt administration and cash management. Mr. Sotos also previously served as a director of FuelCell Energy, Inc. from September 2014 to April 2019. As President and Chief Executive Officer of the Company, Mr. Sotos provides the Company’s board of directors with management’s perspective regarding the Company’s day to day operations and overall strategic plan. Mr. Sotos also brings strong financial and accounting skills to the Company’s board of directors.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Christopher S. Sotos </w:t>
      </w:r>
      <w:r>
        <w:rPr>
          <w:rFonts w:ascii="Times New Roman" w:cs="Times New Roman" w:eastAsia="Times New Roman" w:hAnsi="Times New Roman"/>
          <w:sz w:val="14"/>
          <w:szCs w:val="14"/>
          <w:color w:val="auto"/>
        </w:rPr>
        <w:t>has served as President and Chief Executive Officer of the Company since May 2016, and as a director of the Company since May 2013. For additional biographical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for Mr. Sotos, see above under “Directors.”</w:t>
      </w:r>
    </w:p>
    <w:p>
      <w:pPr>
        <w:spacing w:after="0" w:line="78"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Sarah Rubenstein, 45, </w:t>
      </w:r>
      <w:r>
        <w:rPr>
          <w:rFonts w:ascii="Times New Roman" w:cs="Times New Roman" w:eastAsia="Times New Roman" w:hAnsi="Times New Roman"/>
          <w:sz w:val="14"/>
          <w:szCs w:val="14"/>
          <w:color w:val="auto"/>
        </w:rPr>
        <w:t>has served as Senior Vice President and Chief Accounting Officer of the Company since January 2022 and previously served as Vice President and Controller from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November 2020 through December 2021. Ms. Rubenstein previously served as Assistant Controller of the Company since August 2018, where she was responsible for managing corporate accounting and financial reporting activities, and immediately prior to that, as Director of Accounting Research and Financial Reporting at NRG Energy, Inc. from August 2012 through August 2018. Ms. Rubenstein’s prior roles include Director of Finance at EPV Solar, Inc. and Senior Director of Financial Reporting at Warner Music Group. Ms. Rubenstein began her career as an auditor with PricewaterhouseCoopers.</w:t>
      </w:r>
    </w:p>
    <w:p>
      <w:pPr>
        <w:spacing w:after="0" w:line="9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Kevin P. Malcarney, 56, </w:t>
      </w:r>
      <w:r>
        <w:rPr>
          <w:rFonts w:ascii="Times New Roman" w:cs="Times New Roman" w:eastAsia="Times New Roman" w:hAnsi="Times New Roman"/>
          <w:sz w:val="14"/>
          <w:szCs w:val="14"/>
          <w:color w:val="auto"/>
        </w:rPr>
        <w:t>has served as the Company’s General Counsel and Corporate Secretary since May 11, 2018, and was promoted from Senior Vice President to Executive Vice President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January 2022. Mr. Malcarney served as Interim General Counsel of the Company from March 16, 2018 to May 11, 2018. Mr. Malcarney was previously Vice President and Deputy General Counsel and served in various other roles at NRG since September 2008. Prior to NRG, Mr. Malcarney worked at two major law firms in Princeton, New Jersey and Philadelphia, Pennsylvania, and handled mergers and acquisitions, project financing and general corporate matters.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adopted a code of ethics entitled “Clearway Energy, Inc. Code of Business Conduct and Ethics” that applies to all of the Company’s directors and employees, including the Company’s Officers (e.g., CEO, CFO, and Principal Accounting Officer). It may be accessed through the “Corporate Governance” section of the Company’s website at </w:t>
      </w:r>
      <w:r>
        <w:rPr>
          <w:rFonts w:ascii="Times New Roman" w:cs="Times New Roman" w:eastAsia="Times New Roman" w:hAnsi="Times New Roman"/>
          <w:sz w:val="14"/>
          <w:szCs w:val="14"/>
          <w:i w:val="1"/>
          <w:iCs w:val="1"/>
          <w:color w:val="auto"/>
        </w:rPr>
        <w:t xml:space="preserve">http://www.clearwayenergy.com. </w:t>
      </w:r>
      <w:r>
        <w:rPr>
          <w:rFonts w:ascii="Times New Roman" w:cs="Times New Roman" w:eastAsia="Times New Roman" w:hAnsi="Times New Roman"/>
          <w:sz w:val="14"/>
          <w:szCs w:val="14"/>
          <w:color w:val="auto"/>
        </w:rPr>
        <w:t>The Company also elects to disclose the information required by Form 8-K, Item 5.05, “Amendments to the Registrant’s Code of Ethics, or Waiver of a Provision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Code of Ethics,” through the Company’s website, and such information will remain available on this website for at least a 12-month period. A copy of the “Clearway Energy, Inc. Code of Business Conduct and Ethics” is available in print to any stockholder who requests it.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Other information required by this Item will be incorporated by reference to the similarly named section of the Company’s Definitive Proxy Statement for its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Item 11 — Executive Compensation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2023 Annual Meeting of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 Security Ownership of Certain Beneficial Owners and Management and Related Stockholder Matters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the Clearway Energy, Inc. Amended and Restated 2013 Equity Compensation Plan</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w:t>
            </w: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9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(b)</w:t>
            </w:r>
          </w:p>
        </w:tc>
        <w:tc>
          <w:tcPr>
            <w:tcW w:w="19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Remaining Available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9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Number of Securities</w:t>
            </w:r>
          </w:p>
        </w:tc>
        <w:tc>
          <w:tcPr>
            <w:tcW w:w="200" w:type="dxa"/>
            <w:vAlign w:val="bottom"/>
          </w:tcPr>
          <w:p>
            <w:pPr>
              <w:spacing w:after="0"/>
              <w:rPr>
                <w:sz w:val="9"/>
                <w:szCs w:val="9"/>
                <w:color w:val="auto"/>
              </w:rPr>
            </w:pPr>
          </w:p>
        </w:tc>
        <w:tc>
          <w:tcPr>
            <w:tcW w:w="1800" w:type="dxa"/>
            <w:vAlign w:val="bottom"/>
            <w:gridSpan w:val="2"/>
            <w:vMerge w:val="continue"/>
          </w:tcPr>
          <w:p>
            <w:pPr>
              <w:spacing w:after="0"/>
              <w:rPr>
                <w:sz w:val="9"/>
                <w:szCs w:val="9"/>
                <w:color w:val="auto"/>
              </w:rPr>
            </w:pP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for Future Issuance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9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to be Issued Upon</w:t>
            </w:r>
          </w:p>
        </w:tc>
        <w:tc>
          <w:tcPr>
            <w:tcW w:w="200" w:type="dxa"/>
            <w:vAlign w:val="bottom"/>
          </w:tcPr>
          <w:p>
            <w:pPr>
              <w:spacing w:after="0"/>
              <w:rPr>
                <w:sz w:val="10"/>
                <w:szCs w:val="10"/>
                <w:color w:val="auto"/>
              </w:rPr>
            </w:pPr>
          </w:p>
        </w:tc>
        <w:tc>
          <w:tcPr>
            <w:tcW w:w="1800" w:type="dxa"/>
            <w:vAlign w:val="bottom"/>
            <w:gridSpan w:val="2"/>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rPr>
              <w:t>Weighted-Average Exercise</w:t>
            </w:r>
          </w:p>
        </w:tc>
        <w:tc>
          <w:tcPr>
            <w:tcW w:w="19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Under Equity Compensation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9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Exercise of</w:t>
            </w:r>
          </w:p>
        </w:tc>
        <w:tc>
          <w:tcPr>
            <w:tcW w:w="200" w:type="dxa"/>
            <w:vAlign w:val="bottom"/>
          </w:tcPr>
          <w:p>
            <w:pPr>
              <w:spacing w:after="0"/>
              <w:rPr>
                <w:sz w:val="9"/>
                <w:szCs w:val="9"/>
                <w:color w:val="auto"/>
              </w:rPr>
            </w:pPr>
          </w:p>
        </w:tc>
        <w:tc>
          <w:tcPr>
            <w:tcW w:w="18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Price of Outstanding</w:t>
            </w:r>
          </w:p>
        </w:tc>
        <w:tc>
          <w:tcPr>
            <w:tcW w:w="19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Plans (Excluding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98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 Options,</w:t>
            </w:r>
          </w:p>
        </w:tc>
        <w:tc>
          <w:tcPr>
            <w:tcW w:w="200" w:type="dxa"/>
            <w:vAlign w:val="bottom"/>
          </w:tcPr>
          <w:p>
            <w:pPr>
              <w:spacing w:after="0"/>
              <w:rPr>
                <w:sz w:val="9"/>
                <w:szCs w:val="9"/>
                <w:color w:val="auto"/>
              </w:rPr>
            </w:pPr>
          </w:p>
        </w:tc>
        <w:tc>
          <w:tcPr>
            <w:tcW w:w="1800" w:type="dxa"/>
            <w:vAlign w:val="bottom"/>
            <w:gridSpan w:val="2"/>
          </w:tcPr>
          <w:p>
            <w:pPr>
              <w:jc w:val="center"/>
              <w:ind w:right="280"/>
              <w:spacing w:after="0" w:line="115" w:lineRule="exact"/>
              <w:rPr>
                <w:sz w:val="20"/>
                <w:szCs w:val="20"/>
                <w:color w:val="auto"/>
              </w:rPr>
            </w:pPr>
            <w:r>
              <w:rPr>
                <w:rFonts w:ascii="Times New Roman" w:cs="Times New Roman" w:eastAsia="Times New Roman" w:hAnsi="Times New Roman"/>
                <w:sz w:val="11"/>
                <w:szCs w:val="11"/>
                <w:b w:val="1"/>
                <w:bCs w:val="1"/>
                <w:color w:val="auto"/>
              </w:rPr>
              <w:t>Options, Warrants and</w:t>
            </w:r>
          </w:p>
        </w:tc>
        <w:tc>
          <w:tcPr>
            <w:tcW w:w="19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Securities Reflected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380" w:type="dxa"/>
            <w:vAlign w:val="bottom"/>
            <w:gridSpan w:val="3"/>
            <w:vMerge w:val="continue"/>
          </w:tcPr>
          <w:p>
            <w:pPr>
              <w:spacing w:after="0"/>
              <w:rPr>
                <w:sz w:val="10"/>
                <w:szCs w:val="10"/>
                <w:color w:val="auto"/>
              </w:rPr>
            </w:pPr>
          </w:p>
        </w:tc>
        <w:tc>
          <w:tcPr>
            <w:tcW w:w="1980" w:type="dxa"/>
            <w:vAlign w:val="bottom"/>
            <w:gridSpan w:val="2"/>
          </w:tcPr>
          <w:p>
            <w:pPr>
              <w:jc w:val="center"/>
              <w:ind w:right="80"/>
              <w:spacing w:after="0" w:line="97" w:lineRule="exact"/>
              <w:rPr>
                <w:sz w:val="20"/>
                <w:szCs w:val="20"/>
                <w:color w:val="auto"/>
              </w:rPr>
            </w:pPr>
            <w:r>
              <w:rPr>
                <w:rFonts w:ascii="Times New Roman" w:cs="Times New Roman" w:eastAsia="Times New Roman" w:hAnsi="Times New Roman"/>
                <w:sz w:val="11"/>
                <w:szCs w:val="11"/>
                <w:b w:val="1"/>
                <w:bCs w:val="1"/>
                <w:color w:val="auto"/>
              </w:rPr>
              <w:t>Warrants and Rights</w:t>
            </w:r>
          </w:p>
        </w:tc>
        <w:tc>
          <w:tcPr>
            <w:tcW w:w="200" w:type="dxa"/>
            <w:vAlign w:val="bottom"/>
          </w:tcPr>
          <w:p>
            <w:pPr>
              <w:spacing w:after="0"/>
              <w:rPr>
                <w:sz w:val="10"/>
                <w:szCs w:val="10"/>
                <w:color w:val="auto"/>
              </w:rPr>
            </w:pPr>
          </w:p>
        </w:tc>
        <w:tc>
          <w:tcPr>
            <w:tcW w:w="1800" w:type="dxa"/>
            <w:vAlign w:val="bottom"/>
            <w:gridSpan w:val="2"/>
          </w:tcPr>
          <w:p>
            <w:pPr>
              <w:jc w:val="center"/>
              <w:ind w:right="280"/>
              <w:spacing w:after="0" w:line="97" w:lineRule="exact"/>
              <w:rPr>
                <w:sz w:val="20"/>
                <w:szCs w:val="20"/>
                <w:color w:val="auto"/>
              </w:rPr>
            </w:pPr>
            <w:r>
              <w:rPr>
                <w:rFonts w:ascii="Times New Roman" w:cs="Times New Roman" w:eastAsia="Times New Roman" w:hAnsi="Times New Roman"/>
                <w:sz w:val="11"/>
                <w:szCs w:val="11"/>
                <w:b w:val="1"/>
                <w:bCs w:val="1"/>
                <w:color w:val="auto"/>
              </w:rPr>
              <w:t>Rights</w:t>
            </w:r>
          </w:p>
        </w:tc>
        <w:tc>
          <w:tcPr>
            <w:tcW w:w="190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rPr>
              <w:t xml:space="preserve">in Column (a)) </w:t>
            </w:r>
            <w:r>
              <w:rPr>
                <w:rFonts w:ascii="Times New Roman" w:cs="Times New Roman" w:eastAsia="Times New Roman" w:hAnsi="Times New Roman"/>
                <w:sz w:val="11"/>
                <w:szCs w:val="11"/>
                <w:b w:val="1"/>
                <w:bCs w:val="1"/>
                <w:color w:val="auto"/>
                <w:vertAlign w:val="superscript"/>
              </w:rPr>
              <w:t>(1)</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3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 - Class A common stock</w:t>
            </w:r>
          </w:p>
        </w:tc>
        <w:tc>
          <w:tcPr>
            <w:tcW w:w="1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7,186</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vMerge w:val="restart"/>
            <w:shd w:val="clear" w:color="auto" w:fill="CCEEFF"/>
          </w:tcPr>
          <w:p>
            <w:pPr>
              <w:jc w:val="center"/>
              <w:ind w:left="1317"/>
              <w:spacing w:after="0"/>
              <w:rPr>
                <w:sz w:val="20"/>
                <w:szCs w:val="20"/>
                <w:color w:val="auto"/>
              </w:rPr>
            </w:pPr>
            <w:r>
              <w:rPr>
                <w:rFonts w:ascii="Times New Roman" w:cs="Times New Roman" w:eastAsia="Times New Roman" w:hAnsi="Times New Roman"/>
                <w:sz w:val="14"/>
                <w:szCs w:val="14"/>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5380" w:type="dxa"/>
            <w:vAlign w:val="bottom"/>
            <w:gridSpan w:val="3"/>
            <w:vMerge w:val="continue"/>
            <w:shd w:val="clear" w:color="auto" w:fill="CCEEFF"/>
          </w:tcPr>
          <w:p>
            <w:pPr>
              <w:spacing w:after="0"/>
              <w:rPr>
                <w:sz w:val="7"/>
                <w:szCs w:val="7"/>
                <w:color w:val="auto"/>
              </w:rPr>
            </w:pPr>
          </w:p>
        </w:tc>
        <w:tc>
          <w:tcPr>
            <w:tcW w:w="19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1800" w:type="dxa"/>
            <w:vAlign w:val="bottom"/>
            <w:gridSpan w:val="2"/>
            <w:vMerge w:val="continue"/>
            <w:shd w:val="clear" w:color="auto" w:fill="CCEEFF"/>
          </w:tcPr>
          <w:p>
            <w:pPr>
              <w:spacing w:after="0"/>
              <w:rPr>
                <w:sz w:val="7"/>
                <w:szCs w:val="7"/>
                <w:color w:val="auto"/>
              </w:rPr>
            </w:pPr>
          </w:p>
        </w:tc>
        <w:tc>
          <w:tcPr>
            <w:tcW w:w="1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compensation plans approved by security holders - Class C common stock</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578,627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left="1317"/>
              <w:spacing w:after="0"/>
              <w:rPr>
                <w:sz w:val="20"/>
                <w:szCs w:val="20"/>
                <w:color w:val="auto"/>
              </w:rPr>
            </w:pPr>
            <w:r>
              <w:rPr>
                <w:rFonts w:ascii="Times New Roman" w:cs="Times New Roman" w:eastAsia="Times New Roman" w:hAnsi="Times New Roman"/>
                <w:sz w:val="14"/>
                <w:szCs w:val="14"/>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3,110,282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compensation plans not approved by security holders</w:t>
            </w:r>
          </w:p>
        </w:tc>
        <w:tc>
          <w:tcPr>
            <w:tcW w:w="1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center"/>
              <w:ind w:left="1297"/>
              <w:spacing w:after="0"/>
              <w:rPr>
                <w:sz w:val="20"/>
                <w:szCs w:val="20"/>
                <w:color w:val="auto"/>
              </w:rPr>
            </w:pPr>
            <w:r>
              <w:rPr>
                <w:rFonts w:ascii="Times New Roman" w:cs="Times New Roman" w:eastAsia="Times New Roman" w:hAnsi="Times New Roman"/>
                <w:sz w:val="14"/>
                <w:szCs w:val="14"/>
                <w:color w:val="auto"/>
                <w:w w:val="99"/>
              </w:rPr>
              <w:t>N/A</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585,813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bottom w:val="single" w:sz="8" w:color="auto"/>
            </w:tcBorders>
          </w:tcPr>
          <w:p>
            <w:pPr>
              <w:jc w:val="center"/>
              <w:ind w:left="1417"/>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3,110,282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20" w:hanging="115"/>
        <w:spacing w:after="0"/>
        <w:tabs>
          <w:tab w:leader="none" w:pos="120" w:val="left"/>
        </w:tabs>
        <w:numPr>
          <w:ilvl w:val="0"/>
          <w:numId w:val="3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Beginning in May 2015, awards to be granted and associated dividend equivalent rights to be issued under the Clearway Energy, Inc. Amended and Restated 2013 Equity Incentive Plan convert to Class C common stock upon vesting.</w:t>
      </w:r>
    </w:p>
    <w:p>
      <w:pPr>
        <w:spacing w:after="0" w:line="12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Other information required by this Item will be incorporated by reference to the similarly named section of the Company’s Definitive Proxy Statement for its 2023 Annual Meeting of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 Certain Relationships and Related Transactions, and Director Independence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2023 Annual Meeting of Stockholders.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 Principal Accounting Fees and Services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Information required by this Item will be incorporated by reference to the similarly named section of the Company’s Definitive Proxy Statement for its 2023 Annual Meeting of Stockholders.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7" w:name="page68"/>
    <w:bookmarkEnd w:id="67"/>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 Exhibits, Financial Statement Schedules</w:t>
      </w:r>
    </w:p>
    <w:p>
      <w:pPr>
        <w:spacing w:after="0" w:line="1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(a)(1) Financial Statements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consolidated financial statements of Clearway Energy, Inc. and related notes thereto, together with the Report of Independent Registered Public Accounting Firm of Ernst &amp;</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Young LLP (PCAOB ID: 42) and Report of Independent Registered Public Accounting Firm of KPMG LLP (PCAOB ID: 185) thereon, are included herein:</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Income — Years ended December 31, 2022, 2021 and 2020</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Comprehensive Income — Years ended December 31, 2022, 2021 and 2020</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Balance Sheets — As of December 31, 2022 and 2021</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Cash Flows — Years ended December 31, 2022, 2021 and 2020</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Consolidated Statements of Stockholders’ Equity — Years ended December 31, 2022, 2021 and 2020</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Notes to Consolidated Financial Statements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(a)(2) Financial Statement Schedules</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The following schedules of Clearway Energy, Inc. are filed as part of Item 15 of this report and should be read in conjunction with the Consolidated Financial Statements:</w:t>
      </w:r>
    </w:p>
    <w:p>
      <w:pPr>
        <w:spacing w:after="0" w:line="136" w:lineRule="exact"/>
        <w:rPr>
          <w:sz w:val="20"/>
          <w:szCs w:val="20"/>
          <w:color w:val="auto"/>
        </w:rPr>
      </w:pPr>
    </w:p>
    <w:p>
      <w:pPr>
        <w:ind w:left="760" w:right="80"/>
        <w:spacing w:after="0" w:line="287" w:lineRule="auto"/>
        <w:rPr>
          <w:sz w:val="20"/>
          <w:szCs w:val="20"/>
          <w:color w:val="auto"/>
        </w:rPr>
      </w:pPr>
      <w:r>
        <w:rPr>
          <w:rFonts w:ascii="Times New Roman" w:cs="Times New Roman" w:eastAsia="Times New Roman" w:hAnsi="Times New Roman"/>
          <w:sz w:val="14"/>
          <w:szCs w:val="14"/>
          <w:color w:val="auto"/>
        </w:rPr>
        <w:t>Schedule I — Clearway Energy, Inc. (Parent) Condensed Financial Statements for the years ended December 31, 2022, 2021 and 2020, are included in Clearway Energy, Inc.’s Annual Report on Form 10-K pursuant to the requirements of Rule 5-04(c) of Regulation S-X</w:t>
      </w:r>
    </w:p>
    <w:p>
      <w:pPr>
        <w:spacing w:after="0" w:line="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Schedule II — Valuation and Qualifying Accounts</w:t>
      </w:r>
    </w:p>
    <w:p>
      <w:pPr>
        <w:spacing w:after="0" w:line="136" w:lineRule="exact"/>
        <w:rPr>
          <w:sz w:val="20"/>
          <w:szCs w:val="20"/>
          <w:color w:val="auto"/>
        </w:rPr>
      </w:pPr>
    </w:p>
    <w:p>
      <w:pPr>
        <w:ind w:left="760"/>
        <w:spacing w:after="0" w:line="287" w:lineRule="auto"/>
        <w:rPr>
          <w:sz w:val="20"/>
          <w:szCs w:val="20"/>
          <w:color w:val="auto"/>
        </w:rPr>
      </w:pPr>
      <w:r>
        <w:rPr>
          <w:rFonts w:ascii="Times New Roman" w:cs="Times New Roman" w:eastAsia="Times New Roman" w:hAnsi="Times New Roman"/>
          <w:sz w:val="14"/>
          <w:szCs w:val="14"/>
          <w:color w:val="auto"/>
        </w:rPr>
        <w:t>All other schedules for which provision is made in the applicable accounting regulation of the Securities and Exchange Commission are not required under the related instructions or are inapplicable, and therefore, have been omitted</w:t>
      </w:r>
    </w:p>
    <w:p>
      <w:pPr>
        <w:spacing w:after="0" w:line="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(a)(3) Exhibits: See Exhibit Index submitted as a separate section of this report</w:t>
      </w:r>
    </w:p>
    <w:p>
      <w:pPr>
        <w:spacing w:after="0" w:line="136" w:lineRule="exact"/>
        <w:rPr>
          <w:sz w:val="20"/>
          <w:szCs w:val="20"/>
          <w:color w:val="auto"/>
        </w:rPr>
      </w:pPr>
    </w:p>
    <w:p>
      <w:pPr>
        <w:ind w:left="580" w:hanging="193"/>
        <w:spacing w:after="0"/>
        <w:tabs>
          <w:tab w:leader="none" w:pos="5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36"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Exhibit Index submitted as a separate section of this report</w:t>
      </w:r>
    </w:p>
    <w:p>
      <w:pPr>
        <w:spacing w:after="0" w:line="136" w:lineRule="exact"/>
        <w:rPr>
          <w:rFonts w:ascii="Times New Roman" w:cs="Times New Roman" w:eastAsia="Times New Roman" w:hAnsi="Times New Roman"/>
          <w:sz w:val="14"/>
          <w:szCs w:val="14"/>
          <w:color w:val="auto"/>
        </w:rPr>
      </w:pPr>
    </w:p>
    <w:p>
      <w:pPr>
        <w:ind w:left="580" w:hanging="193"/>
        <w:spacing w:after="0"/>
        <w:tabs>
          <w:tab w:leader="none" w:pos="5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7" w:right="379" w:bottom="1440" w:gutter="0" w:footer="0" w:header="0"/>
        </w:sectPr>
      </w:pPr>
    </w:p>
    <w:bookmarkStart w:id="68" w:name="page69"/>
    <w:bookmarkEnd w:id="68"/>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Clearway Energy, Inc.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Financial Statements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Clearway Energy, Inc. (the Company) as of December 31, 2022 and 2021, the related consolidated statements of income, comprehensive income, stockholders’ equity, and cash flows for each of the two years in the period ended December 31, 2022,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23, 2023, expressed an unqualified opinion thereon.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i w:val="1"/>
                <w:iCs w:val="1"/>
                <w:color w:val="auto"/>
              </w:rPr>
              <w:t>Allocation of earnings to noncontrolling interests in tax equity arrangements</w:t>
            </w:r>
          </w:p>
        </w:tc>
      </w:tr>
      <w:tr>
        <w:trPr>
          <w:trHeight w:val="357"/>
        </w:trPr>
        <w:tc>
          <w:tcPr>
            <w:tcW w:w="1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 described in Note 5 to the consolidated financial statements, during 2022, tax equity investors purchased noncontrolling interests in Mililani TE Holdco</w:t>
            </w:r>
          </w:p>
        </w:tc>
      </w:tr>
      <w:tr>
        <w:trPr>
          <w:trHeight w:val="159"/>
        </w:trPr>
        <w:tc>
          <w:tcPr>
            <w:tcW w:w="1940" w:type="dxa"/>
            <w:vAlign w:val="bottom"/>
          </w:tcPr>
          <w:p>
            <w:pPr>
              <w:spacing w:after="0"/>
              <w:rPr>
                <w:sz w:val="13"/>
                <w:szCs w:val="13"/>
                <w:color w:val="auto"/>
              </w:rPr>
            </w:pPr>
          </w:p>
        </w:tc>
        <w:tc>
          <w:tcPr>
            <w:tcW w:w="934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LLC and Waiawa TE Holdco LLC (the “new tax equity arrangements”). Each tax equity investor received Class A membership interests in the respective</w:t>
            </w:r>
          </w:p>
        </w:tc>
      </w:tr>
      <w:tr>
        <w:trPr>
          <w:trHeight w:val="149"/>
        </w:trPr>
        <w:tc>
          <w:tcPr>
            <w:tcW w:w="1940" w:type="dxa"/>
            <w:vAlign w:val="bottom"/>
          </w:tcPr>
          <w:p>
            <w:pPr>
              <w:spacing w:after="0"/>
              <w:rPr>
                <w:sz w:val="12"/>
                <w:szCs w:val="12"/>
                <w:color w:val="auto"/>
              </w:rPr>
            </w:pPr>
          </w:p>
        </w:tc>
        <w:tc>
          <w:tcPr>
            <w:tcW w:w="93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entity. The Company utilizes the output of a hypothetical liquidation at book value (HLBV) model to determine the earnings allocated to the tax equity</w:t>
            </w:r>
          </w:p>
        </w:tc>
      </w:tr>
      <w:tr>
        <w:trPr>
          <w:trHeight w:val="184"/>
        </w:trPr>
        <w:tc>
          <w:tcPr>
            <w:tcW w:w="1940" w:type="dxa"/>
            <w:vAlign w:val="bottom"/>
          </w:tcPr>
          <w:p>
            <w:pPr>
              <w:spacing w:after="0"/>
              <w:rPr>
                <w:sz w:val="16"/>
                <w:szCs w:val="16"/>
                <w:color w:val="auto"/>
              </w:rPr>
            </w:pP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noncontrolling interest holders as the contractual agreements between the parties represent substantive profit-sharing arrangements.</w:t>
            </w:r>
          </w:p>
        </w:tc>
      </w:tr>
      <w:tr>
        <w:trPr>
          <w:trHeight w:val="304"/>
        </w:trPr>
        <w:tc>
          <w:tcPr>
            <w:tcW w:w="1940" w:type="dxa"/>
            <w:vAlign w:val="bottom"/>
          </w:tcPr>
          <w:p>
            <w:pPr>
              <w:spacing w:after="0"/>
              <w:rPr>
                <w:sz w:val="24"/>
                <w:szCs w:val="24"/>
                <w:color w:val="auto"/>
              </w:rPr>
            </w:pP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Auditing the allocation of earnings using the HLBV method to the new tax equity arrangements was complex due to the judgments required at the inception</w:t>
            </w:r>
          </w:p>
        </w:tc>
      </w:tr>
      <w:tr>
        <w:trPr>
          <w:trHeight w:val="159"/>
        </w:trPr>
        <w:tc>
          <w:tcPr>
            <w:tcW w:w="1940" w:type="dxa"/>
            <w:vAlign w:val="bottom"/>
          </w:tcPr>
          <w:p>
            <w:pPr>
              <w:spacing w:after="0"/>
              <w:rPr>
                <w:sz w:val="13"/>
                <w:szCs w:val="13"/>
                <w:color w:val="auto"/>
              </w:rPr>
            </w:pPr>
          </w:p>
        </w:tc>
        <w:tc>
          <w:tcPr>
            <w:tcW w:w="934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of the arrangement to evaluate whether the HLBV model appropriately reflects the unique substantive profit-sharing terms and features within each</w:t>
            </w:r>
          </w:p>
        </w:tc>
      </w:tr>
      <w:tr>
        <w:trPr>
          <w:trHeight w:val="149"/>
        </w:trPr>
        <w:tc>
          <w:tcPr>
            <w:tcW w:w="1940" w:type="dxa"/>
            <w:vAlign w:val="bottom"/>
          </w:tcPr>
          <w:p>
            <w:pPr>
              <w:spacing w:after="0"/>
              <w:rPr>
                <w:sz w:val="12"/>
                <w:szCs w:val="12"/>
                <w:color w:val="auto"/>
              </w:rPr>
            </w:pPr>
          </w:p>
        </w:tc>
        <w:tc>
          <w:tcPr>
            <w:tcW w:w="93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arrangement. A greater extent of audit effort and specialized skill and knowledge was required with respect to evaluating the appropriateness of the tax</w:t>
            </w:r>
          </w:p>
        </w:tc>
      </w:tr>
      <w:tr>
        <w:trPr>
          <w:trHeight w:val="149"/>
        </w:trPr>
        <w:tc>
          <w:tcPr>
            <w:tcW w:w="1940" w:type="dxa"/>
            <w:vAlign w:val="bottom"/>
          </w:tcPr>
          <w:p>
            <w:pPr>
              <w:spacing w:after="0"/>
              <w:rPr>
                <w:sz w:val="12"/>
                <w:szCs w:val="12"/>
                <w:color w:val="auto"/>
              </w:rPr>
            </w:pPr>
          </w:p>
        </w:tc>
        <w:tc>
          <w:tcPr>
            <w:tcW w:w="934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capital account balances used in the HLBV model for compliance with the provisions of the Internal Revenue Code, as well as compliance with the</w:t>
            </w:r>
          </w:p>
        </w:tc>
      </w:tr>
      <w:tr>
        <w:trPr>
          <w:trHeight w:val="184"/>
        </w:trPr>
        <w:tc>
          <w:tcPr>
            <w:tcW w:w="1940" w:type="dxa"/>
            <w:vAlign w:val="bottom"/>
          </w:tcPr>
          <w:p>
            <w:pPr>
              <w:spacing w:after="0"/>
              <w:rPr>
                <w:sz w:val="16"/>
                <w:szCs w:val="16"/>
                <w:color w:val="auto"/>
              </w:rPr>
            </w:pPr>
          </w:p>
        </w:tc>
        <w:tc>
          <w:tcPr>
            <w:tcW w:w="9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contractual provisions in each agreement.</w:t>
            </w:r>
          </w:p>
        </w:tc>
      </w:tr>
      <w:tr>
        <w:trPr>
          <w:trHeight w:val="817"/>
        </w:trPr>
        <w:tc>
          <w:tcPr>
            <w:tcW w:w="1940" w:type="dxa"/>
            <w:vAlign w:val="bottom"/>
          </w:tcPr>
          <w:p>
            <w:pPr>
              <w:spacing w:after="0"/>
              <w:rPr>
                <w:sz w:val="24"/>
                <w:szCs w:val="24"/>
                <w:color w:val="auto"/>
              </w:rPr>
            </w:pPr>
          </w:p>
        </w:tc>
        <w:tc>
          <w:tcPr>
            <w:tcW w:w="9340" w:type="dxa"/>
            <w:vAlign w:val="bottom"/>
          </w:tcPr>
          <w:p>
            <w:pPr>
              <w:ind w:left="3640"/>
              <w:spacing w:after="0"/>
              <w:rPr>
                <w:sz w:val="20"/>
                <w:szCs w:val="20"/>
                <w:color w:val="auto"/>
              </w:rPr>
            </w:pPr>
            <w:r>
              <w:rPr>
                <w:rFonts w:ascii="Times New Roman" w:cs="Times New Roman" w:eastAsia="Times New Roman" w:hAnsi="Times New Roman"/>
                <w:sz w:val="14"/>
                <w:szCs w:val="14"/>
                <w:color w:val="auto"/>
              </w:rPr>
              <w:t>69</w:t>
            </w:r>
          </w:p>
        </w:tc>
      </w:tr>
      <w:tr>
        <w:trPr>
          <w:trHeight w:val="87"/>
        </w:trPr>
        <w:tc>
          <w:tcPr>
            <w:tcW w:w="1940" w:type="dxa"/>
            <w:vAlign w:val="bottom"/>
            <w:tcBorders>
              <w:bottom w:val="single" w:sz="8" w:color="9A9A9A"/>
            </w:tcBorders>
          </w:tcPr>
          <w:p>
            <w:pPr>
              <w:spacing w:after="0"/>
              <w:rPr>
                <w:sz w:val="7"/>
                <w:szCs w:val="7"/>
                <w:color w:val="auto"/>
              </w:rPr>
            </w:pPr>
          </w:p>
        </w:tc>
        <w:tc>
          <w:tcPr>
            <w:tcW w:w="9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3"/>
          <w:szCs w:val="13"/>
          <w:i w:val="1"/>
          <w:iCs w:val="1"/>
          <w:color w:val="auto"/>
        </w:rPr>
        <w:t>How We Addressed the Matter in Our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control over the Company’s process for establishing the</w:t>
      </w:r>
    </w:p>
    <w:p>
      <w:pPr>
        <w:spacing w:after="0" w:line="11" w:lineRule="exact"/>
        <w:rPr>
          <w:sz w:val="20"/>
          <w:szCs w:val="20"/>
          <w:color w:val="auto"/>
        </w:rPr>
      </w:pPr>
    </w:p>
    <w:p>
      <w:pPr>
        <w:sectPr>
          <w:pgSz w:w="11900" w:h="16838" w:orient="portrait"/>
          <w:cols w:equalWidth="0" w:num="2">
            <w:col w:w="2140" w:space="300"/>
            <w:col w:w="8820"/>
          </w:cols>
          <w:pgMar w:left="300" w:top="759" w:right="339" w:bottom="1440" w:gutter="0" w:footer="0" w:header="0"/>
        </w:sectPr>
      </w:pPr>
    </w:p>
    <w:p>
      <w:pPr>
        <w:ind w:left="20"/>
        <w:spacing w:after="0"/>
        <w:rPr>
          <w:sz w:val="20"/>
          <w:szCs w:val="20"/>
          <w:color w:val="auto"/>
        </w:rPr>
      </w:pPr>
      <w:r>
        <w:rPr>
          <w:rFonts w:ascii="Times New Roman" w:cs="Times New Roman" w:eastAsia="Times New Roman" w:hAnsi="Times New Roman"/>
          <w:sz w:val="13"/>
          <w:szCs w:val="13"/>
          <w:i w:val="1"/>
          <w:iCs w:val="1"/>
          <w:color w:val="auto"/>
        </w:rPr>
        <w:t>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HLBV model for the new tax equity arrangements. For example, we tested a control over management’s review of the substantive profit-sharing terms and</w:t>
      </w:r>
    </w:p>
    <w:p>
      <w:pPr>
        <w:spacing w:after="0" w:line="1" w:lineRule="exact"/>
        <w:rPr>
          <w:sz w:val="20"/>
          <w:szCs w:val="20"/>
          <w:color w:val="auto"/>
        </w:rPr>
      </w:pPr>
    </w:p>
    <w:p>
      <w:pPr>
        <w:sectPr>
          <w:pgSz w:w="11900" w:h="16838" w:orient="portrait"/>
          <w:cols w:equalWidth="0" w:num="2">
            <w:col w:w="1720" w:space="720"/>
            <w:col w:w="8820"/>
          </w:cols>
          <w:pgMar w:left="300" w:top="759" w:right="339" w:bottom="1440" w:gutter="0" w:footer="0" w:header="0"/>
          <w:type w:val="continuous"/>
        </w:sectPr>
      </w:pPr>
    </w:p>
    <w:p>
      <w:pPr>
        <w:ind w:left="2440"/>
        <w:spacing w:after="0" w:line="237" w:lineRule="auto"/>
        <w:rPr>
          <w:sz w:val="20"/>
          <w:szCs w:val="20"/>
          <w:color w:val="auto"/>
        </w:rPr>
      </w:pPr>
      <w:r>
        <w:rPr>
          <w:rFonts w:ascii="Times New Roman" w:cs="Times New Roman" w:eastAsia="Times New Roman" w:hAnsi="Times New Roman"/>
          <w:sz w:val="14"/>
          <w:szCs w:val="14"/>
          <w:color w:val="auto"/>
        </w:rPr>
        <w:t>features within each arrangement and evaluated whether they are properly reflected in each HLBV model.</w:t>
      </w:r>
    </w:p>
    <w:p>
      <w:pPr>
        <w:spacing w:after="0" w:line="15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To test the allocation of earnings to noncontrolling interest holders in the new tax equity arrangements, we read the related agreements to understand the</w:t>
      </w:r>
    </w:p>
    <w:p>
      <w:pPr>
        <w:ind w:left="2440"/>
        <w:spacing w:after="0" w:line="226" w:lineRule="auto"/>
        <w:rPr>
          <w:sz w:val="20"/>
          <w:szCs w:val="20"/>
          <w:color w:val="auto"/>
        </w:rPr>
      </w:pPr>
      <w:r>
        <w:rPr>
          <w:rFonts w:ascii="Times New Roman" w:cs="Times New Roman" w:eastAsia="Times New Roman" w:hAnsi="Times New Roman"/>
          <w:sz w:val="14"/>
          <w:szCs w:val="14"/>
          <w:color w:val="auto"/>
        </w:rPr>
        <w:t>business purpose and the substantive profit-sharing provisions. We evaluated each HLBV model for consistency with the contractual provisions in the</w:t>
      </w:r>
    </w:p>
    <w:p>
      <w:pPr>
        <w:ind w:left="2440"/>
        <w:spacing w:after="0" w:line="237" w:lineRule="auto"/>
        <w:rPr>
          <w:sz w:val="20"/>
          <w:szCs w:val="20"/>
          <w:color w:val="auto"/>
        </w:rPr>
      </w:pPr>
      <w:r>
        <w:rPr>
          <w:rFonts w:ascii="Times New Roman" w:cs="Times New Roman" w:eastAsia="Times New Roman" w:hAnsi="Times New Roman"/>
          <w:sz w:val="14"/>
          <w:szCs w:val="14"/>
          <w:color w:val="auto"/>
        </w:rPr>
        <w:t>related agreements and tested the initial recognition of the noncontrolling interest balance by agreeing capital contributions to supporting documentation.</w:t>
      </w:r>
    </w:p>
    <w:p>
      <w:pPr>
        <w:ind w:left="2440"/>
        <w:spacing w:after="0" w:line="222" w:lineRule="auto"/>
        <w:rPr>
          <w:sz w:val="20"/>
          <w:szCs w:val="20"/>
          <w:color w:val="auto"/>
        </w:rPr>
      </w:pPr>
      <w:r>
        <w:rPr>
          <w:rFonts w:ascii="Times New Roman" w:cs="Times New Roman" w:eastAsia="Times New Roman" w:hAnsi="Times New Roman"/>
          <w:sz w:val="14"/>
          <w:szCs w:val="14"/>
          <w:color w:val="auto"/>
        </w:rPr>
        <w:t>We involved tax subject matter professionals to assist in evaluating the calculation of the tax capital accounts used in each HLBV model for compliance</w:t>
      </w:r>
    </w:p>
    <w:p>
      <w:pPr>
        <w:ind w:left="2440"/>
        <w:spacing w:after="0" w:line="221" w:lineRule="auto"/>
        <w:rPr>
          <w:sz w:val="20"/>
          <w:szCs w:val="20"/>
          <w:color w:val="auto"/>
        </w:rPr>
      </w:pPr>
      <w:r>
        <w:rPr>
          <w:rFonts w:ascii="Times New Roman" w:cs="Times New Roman" w:eastAsia="Times New Roman" w:hAnsi="Times New Roman"/>
          <w:sz w:val="14"/>
          <w:szCs w:val="14"/>
          <w:color w:val="auto"/>
        </w:rPr>
        <w:t>with the provisions of the Internal Revenue Code, as well as compliance with the contractual provisions in the agreements. Additionally, we tested the year</w:t>
      </w:r>
    </w:p>
    <w:p>
      <w:pPr>
        <w:ind w:left="2440"/>
        <w:spacing w:after="0" w:line="222" w:lineRule="auto"/>
        <w:rPr>
          <w:sz w:val="20"/>
          <w:szCs w:val="20"/>
          <w:color w:val="auto"/>
        </w:rPr>
      </w:pPr>
      <w:r>
        <w:rPr>
          <w:rFonts w:ascii="Times New Roman" w:cs="Times New Roman" w:eastAsia="Times New Roman" w:hAnsi="Times New Roman"/>
          <w:sz w:val="14"/>
          <w:szCs w:val="14"/>
          <w:color w:val="auto"/>
        </w:rPr>
        <w:t>end noncontrolling interest balances for the new tax equity arrangements by agreeing contributions and distributions to supporting documentation and</w:t>
      </w:r>
    </w:p>
    <w:p>
      <w:pPr>
        <w:ind w:left="2440"/>
        <w:spacing w:after="0"/>
        <w:rPr>
          <w:sz w:val="20"/>
          <w:szCs w:val="20"/>
          <w:color w:val="auto"/>
        </w:rPr>
      </w:pPr>
      <w:r>
        <w:rPr>
          <w:rFonts w:ascii="Times New Roman" w:cs="Times New Roman" w:eastAsia="Times New Roman" w:hAnsi="Times New Roman"/>
          <w:sz w:val="14"/>
          <w:szCs w:val="14"/>
          <w:color w:val="auto"/>
        </w:rPr>
        <w:t>recalculating the allocation of earnings using each HLBV model.</w:t>
      </w:r>
    </w:p>
    <w:p>
      <w:pPr>
        <w:spacing w:after="0" w:line="23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b w:val="1"/>
          <w:bCs w:val="1"/>
          <w:i w:val="1"/>
          <w:iCs w:val="1"/>
          <w:color w:val="auto"/>
        </w:rPr>
        <w:t>Fair value of Level 3 energy related commodity contracts</w:t>
      </w:r>
    </w:p>
    <w:p>
      <w:pPr>
        <w:sectPr>
          <w:pgSz w:w="11900" w:h="16838" w:orient="portrait"/>
          <w:cols w:equalWidth="0" w:num="1">
            <w:col w:w="11260"/>
          </w:cols>
          <w:pgMar w:left="300" w:top="759" w:right="339" w:bottom="1440" w:gutter="0" w:footer="0" w:header="0"/>
          <w:type w:val="continuous"/>
        </w:sect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As described in Note 6 to the consolidated financial statements, as of December 31, 2022, the aggregate fair value of energy related commodity contracts classified as Level 3 derivative instruments was $353 million. The Company’s determination of the fair value of long-term power commodity contracts</w:t>
      </w:r>
    </w:p>
    <w:p>
      <w:pPr>
        <w:spacing w:after="0" w:line="1" w:lineRule="exact"/>
        <w:rPr>
          <w:sz w:val="20"/>
          <w:szCs w:val="20"/>
          <w:color w:val="auto"/>
        </w:rPr>
      </w:pPr>
    </w:p>
    <w:p>
      <w:pPr>
        <w:sectPr>
          <w:pgSz w:w="11900" w:h="16838" w:orient="portrait"/>
          <w:cols w:equalWidth="0" w:num="2">
            <w:col w:w="1720" w:space="720"/>
            <w:col w:w="8820"/>
          </w:cols>
          <w:pgMar w:left="300" w:top="759" w:right="339" w:bottom="1440" w:gutter="0" w:footer="0" w:header="0"/>
          <w:type w:val="continuous"/>
        </w:sectPr>
      </w:pPr>
    </w:p>
    <w:p>
      <w:pPr>
        <w:jc w:val="both"/>
        <w:ind w:left="2440"/>
        <w:spacing w:after="0" w:line="213" w:lineRule="auto"/>
        <w:rPr>
          <w:sz w:val="20"/>
          <w:szCs w:val="20"/>
          <w:color w:val="auto"/>
        </w:rPr>
      </w:pPr>
      <w:r>
        <w:rPr>
          <w:rFonts w:ascii="Times New Roman" w:cs="Times New Roman" w:eastAsia="Times New Roman" w:hAnsi="Times New Roman"/>
          <w:sz w:val="14"/>
          <w:szCs w:val="14"/>
          <w:color w:val="auto"/>
        </w:rPr>
        <w:t>executed in illiquid markets are considered Level 3 fair value measurements as they contain significant unobservable inputs, including forward market energy pricing curves. The Company uses a discounted cash flow valuation technique to determine the fair value of its energy related commodity contracts.</w:t>
      </w:r>
    </w:p>
    <w:p>
      <w:pPr>
        <w:spacing w:after="0" w:line="146" w:lineRule="exact"/>
        <w:rPr>
          <w:sz w:val="20"/>
          <w:szCs w:val="20"/>
          <w:color w:val="auto"/>
        </w:rPr>
      </w:pPr>
    </w:p>
    <w:p>
      <w:pPr>
        <w:ind w:left="2440"/>
        <w:spacing w:after="0" w:line="255" w:lineRule="auto"/>
        <w:rPr>
          <w:sz w:val="20"/>
          <w:szCs w:val="20"/>
          <w:color w:val="auto"/>
        </w:rPr>
      </w:pPr>
      <w:r>
        <w:rPr>
          <w:rFonts w:ascii="Times New Roman" w:cs="Times New Roman" w:eastAsia="Times New Roman" w:hAnsi="Times New Roman"/>
          <w:sz w:val="14"/>
          <w:szCs w:val="14"/>
          <w:color w:val="auto"/>
        </w:rPr>
        <w:t>Auditing the fair value measurement of energy related commodity contracts classified as Level 3 financial instruments was complex due to the judgmental nature of the forward market energy pricing curve assumptions used as an input into the valuation models.</w:t>
      </w:r>
    </w:p>
    <w:p>
      <w:pPr>
        <w:sectPr>
          <w:pgSz w:w="11900" w:h="16838" w:orient="portrait"/>
          <w:cols w:equalWidth="0" w:num="1">
            <w:col w:w="11260"/>
          </w:cols>
          <w:pgMar w:left="300" w:top="759" w:right="339" w:bottom="1440" w:gutter="0" w:footer="0" w:header="0"/>
          <w:type w:val="continuous"/>
        </w:sectPr>
      </w:pPr>
    </w:p>
    <w:p>
      <w:pPr>
        <w:spacing w:after="0" w:line="197"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controls over the Company’s processes for reviewing the key assumptions in estimating Level 3 fair values. For example, we tested controls over management’s review of the specific forward market energy pricing</w:t>
      </w:r>
    </w:p>
    <w:p>
      <w:pPr>
        <w:spacing w:after="0" w:line="1" w:lineRule="exact"/>
        <w:rPr>
          <w:sz w:val="20"/>
          <w:szCs w:val="20"/>
          <w:color w:val="auto"/>
        </w:rPr>
      </w:pPr>
    </w:p>
    <w:p>
      <w:pPr>
        <w:sectPr>
          <w:pgSz w:w="11900" w:h="16838" w:orient="portrait"/>
          <w:cols w:equalWidth="0" w:num="2">
            <w:col w:w="2140" w:space="300"/>
            <w:col w:w="8820"/>
          </w:cols>
          <w:pgMar w:left="300" w:top="759" w:right="339" w:bottom="1440" w:gutter="0" w:footer="0" w:header="0"/>
          <w:type w:val="continuous"/>
        </w:sectPr>
      </w:pPr>
    </w:p>
    <w:p>
      <w:pPr>
        <w:ind w:left="2440"/>
        <w:spacing w:after="0" w:line="222" w:lineRule="auto"/>
        <w:rPr>
          <w:sz w:val="20"/>
          <w:szCs w:val="20"/>
          <w:color w:val="auto"/>
        </w:rPr>
      </w:pPr>
      <w:r>
        <w:rPr>
          <w:rFonts w:ascii="Times New Roman" w:cs="Times New Roman" w:eastAsia="Times New Roman" w:hAnsi="Times New Roman"/>
          <w:sz w:val="14"/>
          <w:szCs w:val="14"/>
          <w:color w:val="auto"/>
        </w:rPr>
        <w:t>curves used as an input into the valuation models.</w:t>
      </w:r>
    </w:p>
    <w:p>
      <w:pPr>
        <w:spacing w:after="0" w:line="92" w:lineRule="exact"/>
        <w:rPr>
          <w:sz w:val="20"/>
          <w:szCs w:val="20"/>
          <w:color w:val="auto"/>
        </w:rPr>
      </w:pPr>
    </w:p>
    <w:p>
      <w:pPr>
        <w:ind w:left="2440"/>
        <w:spacing w:after="0" w:line="225" w:lineRule="auto"/>
        <w:rPr>
          <w:sz w:val="20"/>
          <w:szCs w:val="20"/>
          <w:color w:val="auto"/>
        </w:rPr>
      </w:pPr>
      <w:r>
        <w:rPr>
          <w:rFonts w:ascii="Times New Roman" w:cs="Times New Roman" w:eastAsia="Times New Roman" w:hAnsi="Times New Roman"/>
          <w:sz w:val="14"/>
          <w:szCs w:val="14"/>
          <w:color w:val="auto"/>
        </w:rPr>
        <w:t>To test the fair value of Level 3 energy related commodity contracts, our audit procedures included, among others, evaluating the valuation methodologies used by the Company and testing significant inputs, estimates and the mathematical accuracy of the calculations. In certain instances, with the assistance of</w:t>
      </w:r>
    </w:p>
    <w:p>
      <w:pPr>
        <w:spacing w:after="0" w:line="1" w:lineRule="exact"/>
        <w:rPr>
          <w:sz w:val="20"/>
          <w:szCs w:val="20"/>
          <w:color w:val="auto"/>
        </w:rPr>
      </w:pPr>
    </w:p>
    <w:p>
      <w:pPr>
        <w:jc w:val="both"/>
        <w:ind w:left="2440"/>
        <w:spacing w:after="0" w:line="210" w:lineRule="auto"/>
        <w:rPr>
          <w:sz w:val="20"/>
          <w:szCs w:val="20"/>
          <w:color w:val="auto"/>
        </w:rPr>
      </w:pPr>
      <w:r>
        <w:rPr>
          <w:rFonts w:ascii="Times New Roman" w:cs="Times New Roman" w:eastAsia="Times New Roman" w:hAnsi="Times New Roman"/>
          <w:sz w:val="14"/>
          <w:szCs w:val="14"/>
          <w:color w:val="auto"/>
        </w:rPr>
        <w:t>our valuation specialists, we independently determined the significant assumptions, calculated the resultant fair values and compared them to the Company’s estimates. We obtained forward market energy prices from independent sources, including pricing service providers and counterparty fair values, and evaluated the Company’s assumptions related to their forward curves and confirmed key inputs with counterparties. We also performed</w:t>
      </w:r>
    </w:p>
    <w:p>
      <w:pPr>
        <w:spacing w:after="0" w:line="2" w:lineRule="exact"/>
        <w:rPr>
          <w:sz w:val="20"/>
          <w:szCs w:val="20"/>
          <w:color w:val="auto"/>
        </w:rPr>
      </w:pPr>
    </w:p>
    <w:p>
      <w:pPr>
        <w:ind w:left="2440"/>
        <w:spacing w:after="0" w:line="228" w:lineRule="auto"/>
        <w:rPr>
          <w:sz w:val="20"/>
          <w:szCs w:val="20"/>
          <w:color w:val="auto"/>
        </w:rPr>
      </w:pPr>
      <w:r>
        <w:rPr>
          <w:rFonts w:ascii="Times New Roman" w:cs="Times New Roman" w:eastAsia="Times New Roman" w:hAnsi="Times New Roman"/>
          <w:sz w:val="14"/>
          <w:szCs w:val="14"/>
          <w:color w:val="auto"/>
        </w:rPr>
        <w:t>sensitivity analyses using independent sources of market data to evaluate the significance of the change in fair value of Level 3 energy related commodity contracts that would result from changes in underlying assumptions.</w:t>
      </w:r>
    </w:p>
    <w:p>
      <w:pPr>
        <w:sectPr>
          <w:pgSz w:w="11900" w:h="16838" w:orient="portrait"/>
          <w:cols w:equalWidth="0" w:num="1">
            <w:col w:w="11260"/>
          </w:cols>
          <w:pgMar w:left="300" w:top="759" w:right="3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Energy,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income, comprehensive income, stockholders’ equity, and cash flows of Clearway Energy, Inc. and subsidiaries (the Company) for the year ended December 31, 2020, and the related notes and financial statement schedules “Schedule I-Condensed Financial Information of Registrant” and “Schedule II-Valuation and Qualifying Accounts” (collectively, the consolidated financial statements). In our opinion, the consolidated financial statements present fairly, in all material respects, the results of operations of the Company and its cash flows for the year ended December 31, 2020, in conformity with U.S. generally accepted accounting principles.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served as the Company’s auditor from 2012 to 2021.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 2021</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6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6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Development costs</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7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business</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16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Impairment loss on investment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unconsolidated affiliate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 and redeemable interests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6"/>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Inc.</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Share Attributable to Clearway Energy, Inc. Class A and Class C Common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9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A common shares outstanding - basic and diluted</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7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C common shares outstanding - basic</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0"/>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Weighted average number of Class C common shares outstanding - diluted</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59"/>
        </w:trPr>
        <w:tc>
          <w:tcPr>
            <w:tcW w:w="79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Earnings per Weighted Average Class A and Class C Common Share - Basic and Diluted</w:t>
            </w:r>
          </w:p>
        </w:tc>
        <w:tc>
          <w:tcPr>
            <w:tcW w:w="24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4.99</w:t>
            </w:r>
          </w:p>
        </w:tc>
        <w:tc>
          <w:tcPr>
            <w:tcW w:w="340" w:type="dxa"/>
            <w:vAlign w:val="bottom"/>
            <w:gridSpan w:val="2"/>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0.44</w:t>
            </w:r>
          </w:p>
        </w:tc>
        <w:tc>
          <w:tcPr>
            <w:tcW w:w="120" w:type="dxa"/>
            <w:vAlign w:val="bottom"/>
          </w:tcPr>
          <w:p>
            <w:pPr>
              <w:spacing w:after="0"/>
              <w:rPr>
                <w:sz w:val="13"/>
                <w:szCs w:val="13"/>
                <w:color w:val="auto"/>
              </w:rPr>
            </w:pPr>
          </w:p>
        </w:tc>
        <w:tc>
          <w:tcPr>
            <w:tcW w:w="240" w:type="dxa"/>
            <w:vAlign w:val="bottom"/>
          </w:tcPr>
          <w:p>
            <w:pPr>
              <w:jc w:val="right"/>
              <w:ind w:right="8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Common Share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Dividends Per Class C Common Share</w:t>
            </w: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r>
        <w:rPr>
          <w:rFonts w:ascii="Times New Roman" w:cs="Times New Roman" w:eastAsia="Times New Roman" w:hAnsi="Times New Roman"/>
          <w:sz w:val="11"/>
          <w:szCs w:val="11"/>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0"/>
        </w:trPr>
        <w:tc>
          <w:tcPr>
            <w:tcW w:w="804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39"/>
        </w:trPr>
        <w:tc>
          <w:tcPr>
            <w:tcW w:w="8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9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62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38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 net of tax</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Unrealized gain on derivatives and changes in accumulated OCI/OCL, net of income tax expense (benefit) of $5, $(3) and $—</w:t>
            </w:r>
          </w:p>
        </w:tc>
        <w:tc>
          <w:tcPr>
            <w:tcW w:w="6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80"/>
        </w:trPr>
        <w:tc>
          <w:tcPr>
            <w:tcW w:w="8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Less: Comprehensive income (loss) attributable to noncontrolling interests and redeemable interests</w:t>
            </w: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9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Attributable to Clearway Energy, Inc.</w:t>
            </w:r>
          </w:p>
        </w:tc>
        <w:tc>
          <w:tcPr>
            <w:tcW w:w="62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shares)</w:t>
            </w: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0" w:type="dxa"/>
            <w:vAlign w:val="bottom"/>
          </w:tcPr>
          <w:p>
            <w:pPr>
              <w:spacing w:after="0"/>
              <w:rPr>
                <w:sz w:val="1"/>
                <w:szCs w:val="1"/>
                <w:color w:val="auto"/>
              </w:rPr>
            </w:pPr>
          </w:p>
        </w:tc>
      </w:tr>
      <w:tr>
        <w:trPr>
          <w:trHeight w:val="170"/>
        </w:trPr>
        <w:tc>
          <w:tcPr>
            <w:tcW w:w="7720" w:type="dxa"/>
            <w:vAlign w:val="bottom"/>
          </w:tcPr>
          <w:p>
            <w:pPr>
              <w:ind w:left="36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4"/>
                <w:szCs w:val="14"/>
                <w:color w:val="auto"/>
              </w:rPr>
            </w:pP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Restricted cash</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assets held-for-sale</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68"/>
        </w:trPr>
        <w:tc>
          <w:tcPr>
            <w:tcW w:w="7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63"/>
        </w:trPr>
        <w:tc>
          <w:tcPr>
            <w:tcW w:w="7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0" w:type="dxa"/>
            <w:vAlign w:val="bottom"/>
          </w:tcPr>
          <w:p>
            <w:pPr>
              <w:spacing w:after="0"/>
              <w:rPr>
                <w:sz w:val="1"/>
                <w:szCs w:val="1"/>
                <w:color w:val="auto"/>
              </w:rPr>
            </w:pPr>
          </w:p>
        </w:tc>
      </w:tr>
      <w:tr>
        <w:trPr>
          <w:trHeight w:val="15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7,650</w:t>
            </w:r>
          </w:p>
        </w:tc>
        <w:tc>
          <w:tcPr>
            <w:tcW w:w="0" w:type="dxa"/>
            <w:vAlign w:val="bottom"/>
          </w:tcPr>
          <w:p>
            <w:pPr>
              <w:spacing w:after="0"/>
              <w:rPr>
                <w:sz w:val="1"/>
                <w:szCs w:val="1"/>
                <w:color w:val="auto"/>
              </w:rPr>
            </w:pPr>
          </w:p>
        </w:tc>
      </w:tr>
      <w:tr>
        <w:trPr>
          <w:trHeight w:val="152"/>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Right-of-use assets, net</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0" w:type="dxa"/>
            <w:vAlign w:val="bottom"/>
          </w:tcPr>
          <w:p>
            <w:pPr>
              <w:spacing w:after="0"/>
              <w:rPr>
                <w:sz w:val="1"/>
                <w:szCs w:val="1"/>
                <w:color w:val="auto"/>
              </w:rPr>
            </w:pPr>
          </w:p>
        </w:tc>
      </w:tr>
      <w:tr>
        <w:trPr>
          <w:trHeight w:val="168"/>
        </w:trPr>
        <w:tc>
          <w:tcPr>
            <w:tcW w:w="7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0"/>
        </w:trPr>
        <w:tc>
          <w:tcPr>
            <w:tcW w:w="7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240" w:type="dxa"/>
            <w:vAlign w:val="bottom"/>
            <w:tcBorders>
              <w:bottom w:val="single" w:sz="8" w:color="auto"/>
            </w:tcBorders>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3,632</w:t>
            </w:r>
          </w:p>
        </w:tc>
        <w:tc>
          <w:tcPr>
            <w:tcW w:w="0" w:type="dxa"/>
            <w:vAlign w:val="bottom"/>
          </w:tcPr>
          <w:p>
            <w:pPr>
              <w:spacing w:after="0"/>
              <w:rPr>
                <w:sz w:val="1"/>
                <w:szCs w:val="1"/>
                <w:color w:val="auto"/>
              </w:rPr>
            </w:pPr>
          </w:p>
        </w:tc>
      </w:tr>
      <w:tr>
        <w:trPr>
          <w:trHeight w:val="163"/>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12,813</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720" w:type="dxa"/>
            <w:vAlign w:val="bottom"/>
            <w:shd w:val="clear" w:color="auto" w:fill="CCEEFF"/>
          </w:tcPr>
          <w:p>
            <w:pPr>
              <w:ind w:left="234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 — trade</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interest expense</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liabilities held-for-sale</w:t>
            </w:r>
          </w:p>
        </w:tc>
        <w:tc>
          <w:tcPr>
            <w:tcW w:w="24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58"/>
        </w:trPr>
        <w:tc>
          <w:tcPr>
            <w:tcW w:w="7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0" w:type="dxa"/>
            <w:vAlign w:val="bottom"/>
          </w:tcPr>
          <w:p>
            <w:pPr>
              <w:spacing w:after="0"/>
              <w:rPr>
                <w:sz w:val="1"/>
                <w:szCs w:val="1"/>
                <w:color w:val="auto"/>
              </w:rPr>
            </w:pPr>
          </w:p>
        </w:tc>
      </w:tr>
      <w:tr>
        <w:trPr>
          <w:trHeight w:val="16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Long-term debt</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6,939</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 instruments</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168"/>
        </w:trPr>
        <w:tc>
          <w:tcPr>
            <w:tcW w:w="7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0" w:type="dxa"/>
            <w:vAlign w:val="bottom"/>
          </w:tcPr>
          <w:p>
            <w:pPr>
              <w:spacing w:after="0"/>
              <w:rPr>
                <w:sz w:val="1"/>
                <w:szCs w:val="1"/>
                <w:color w:val="auto"/>
              </w:rPr>
            </w:pPr>
          </w:p>
        </w:tc>
      </w:tr>
      <w:tr>
        <w:trPr>
          <w:trHeight w:val="163"/>
        </w:trPr>
        <w:tc>
          <w:tcPr>
            <w:tcW w:w="7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7,882</w:t>
            </w:r>
          </w:p>
        </w:tc>
        <w:tc>
          <w:tcPr>
            <w:tcW w:w="0" w:type="dxa"/>
            <w:vAlign w:val="bottom"/>
          </w:tcPr>
          <w:p>
            <w:pPr>
              <w:spacing w:after="0"/>
              <w:rPr>
                <w:sz w:val="1"/>
                <w:szCs w:val="1"/>
                <w:color w:val="auto"/>
              </w:rPr>
            </w:pPr>
          </w:p>
        </w:tc>
      </w:tr>
      <w:tr>
        <w:trPr>
          <w:trHeight w:val="15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8,279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9,513</w:t>
            </w:r>
          </w:p>
        </w:tc>
        <w:tc>
          <w:tcPr>
            <w:tcW w:w="0" w:type="dxa"/>
            <w:vAlign w:val="bottom"/>
          </w:tcPr>
          <w:p>
            <w:pPr>
              <w:spacing w:after="0"/>
              <w:rPr>
                <w:sz w:val="1"/>
                <w:szCs w:val="1"/>
                <w:color w:val="auto"/>
              </w:rPr>
            </w:pPr>
          </w:p>
        </w:tc>
      </w:tr>
      <w:tr>
        <w:trPr>
          <w:trHeight w:val="16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Redeemable noncontrolling interest in subsidiaries</w:t>
            </w: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77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 $0.01 par value; 10,000,000 shares authorized; none issued</w:t>
            </w:r>
          </w:p>
        </w:tc>
        <w:tc>
          <w:tcPr>
            <w:tcW w:w="240" w:type="dxa"/>
            <w:vAlign w:val="bottom"/>
          </w:tcPr>
          <w:p>
            <w:pPr>
              <w:spacing w:after="0"/>
              <w:rPr>
                <w:sz w:val="14"/>
                <w:szCs w:val="1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7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Class A, Class B, Class C and Class D common stock, $0.01 par value; 3,000,000,000 shares authorized (Class A 500,000,000, Class B</w:t>
            </w: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72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w w:val="98"/>
              </w:rPr>
              <w:t>500,000,000, Class C 1,000,000,000, Class D 1,000,000,000); 201,972,813 shares issued and outstanding (Class A 34,613,853, Class B 42,738,750,</w:t>
            </w: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720" w:type="dxa"/>
            <w:vAlign w:val="bottom"/>
            <w:shd w:val="clear" w:color="auto" w:fill="CCEEFF"/>
          </w:tcPr>
          <w:p>
            <w:pPr>
              <w:ind w:left="120"/>
              <w:spacing w:after="0" w:line="128" w:lineRule="exact"/>
              <w:rPr>
                <w:sz w:val="20"/>
                <w:szCs w:val="20"/>
                <w:color w:val="auto"/>
              </w:rPr>
            </w:pPr>
            <w:r>
              <w:rPr>
                <w:rFonts w:ascii="Times New Roman" w:cs="Times New Roman" w:eastAsia="Times New Roman" w:hAnsi="Times New Roman"/>
                <w:sz w:val="13"/>
                <w:szCs w:val="13"/>
                <w:color w:val="auto"/>
              </w:rPr>
              <w:t>Class C 82,283,460, Class D 42,336,750) at December 31, 2022 and 201,856,166 shares issued and outstanding (Class A 34,599,645, Class B</w:t>
            </w:r>
          </w:p>
        </w:tc>
        <w:tc>
          <w:tcPr>
            <w:tcW w:w="24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42,738,750, Class C 81,779,021, Class D 42,738,750) at December 31, 2021</w:t>
            </w:r>
          </w:p>
        </w:tc>
        <w:tc>
          <w:tcPr>
            <w:tcW w:w="240" w:type="dxa"/>
            <w:vAlign w:val="bottom"/>
            <w:shd w:val="clear" w:color="auto" w:fill="CCEEFF"/>
          </w:tcPr>
          <w:p>
            <w:pPr>
              <w:spacing w:after="0"/>
              <w:rPr>
                <w:sz w:val="14"/>
                <w:szCs w:val="14"/>
                <w:color w:val="auto"/>
              </w:rPr>
            </w:pPr>
          </w:p>
        </w:tc>
        <w:tc>
          <w:tcPr>
            <w:tcW w:w="14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2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8"/>
        </w:trPr>
        <w:tc>
          <w:tcPr>
            <w:tcW w:w="7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2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0" w:type="dxa"/>
            <w:vAlign w:val="bottom"/>
          </w:tcPr>
          <w:p>
            <w:pPr>
              <w:spacing w:after="0"/>
              <w:rPr>
                <w:sz w:val="1"/>
                <w:szCs w:val="1"/>
                <w:color w:val="auto"/>
              </w:rPr>
            </w:pPr>
          </w:p>
        </w:tc>
      </w:tr>
      <w:tr>
        <w:trPr>
          <w:trHeight w:val="15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2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3,300</w:t>
            </w:r>
          </w:p>
        </w:tc>
        <w:tc>
          <w:tcPr>
            <w:tcW w:w="0" w:type="dxa"/>
            <w:vAlign w:val="bottom"/>
          </w:tcPr>
          <w:p>
            <w:pPr>
              <w:spacing w:after="0"/>
              <w:rPr>
                <w:sz w:val="1"/>
                <w:szCs w:val="1"/>
                <w:color w:val="auto"/>
              </w:rPr>
            </w:pPr>
          </w:p>
        </w:tc>
      </w:tr>
      <w:tr>
        <w:trPr>
          <w:trHeight w:val="18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12,312</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12,813</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6"/>
          </w:tcPr>
          <w:p>
            <w:pPr>
              <w:jc w:val="center"/>
              <w:ind w:lef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0"/>
        </w:trPr>
        <w:tc>
          <w:tcPr>
            <w:tcW w:w="81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9"/>
        </w:trPr>
        <w:tc>
          <w:tcPr>
            <w:tcW w:w="8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57"/>
        </w:trPr>
        <w:tc>
          <w:tcPr>
            <w:tcW w:w="8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income (loss) to net cash provided by operating activities:</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Equity in earnings of unconsolidated affiliates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Distributions from unconsolidated affiliates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Depreciation, amortization and accretion</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Amortization of financing costs and debt discounts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Loss on debt extinguishment</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Reduction in carrying amount of right-of-use assets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Gain on sale of unconsolidated affiliate</w:t>
            </w:r>
          </w:p>
        </w:tc>
        <w:tc>
          <w:tcPr>
            <w:tcW w:w="6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Gain on sale of business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(1,292)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Impairment losses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Change in deferred income taxes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Changes in derivative instruments and amortization of accumulated OCI/OCL</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Loss on disposal of asset components</w:t>
            </w:r>
          </w:p>
        </w:tc>
        <w:tc>
          <w:tcPr>
            <w:tcW w:w="6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57"/>
        </w:trPr>
        <w:tc>
          <w:tcPr>
            <w:tcW w:w="81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Cash provided (used) in changes in other working capital</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Changes in prepaid and accrued liabilities for tolling agreements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57"/>
        </w:trPr>
        <w:tc>
          <w:tcPr>
            <w:tcW w:w="8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Changes in other working capital</w:t>
            </w: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w:t>
            </w:r>
          </w:p>
        </w:tc>
      </w:tr>
      <w:tr>
        <w:trPr>
          <w:trHeight w:val="15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787</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w:t>
            </w:r>
          </w:p>
        </w:tc>
      </w:tr>
      <w:tr>
        <w:trPr>
          <w:trHeight w:val="139"/>
        </w:trPr>
        <w:tc>
          <w:tcPr>
            <w:tcW w:w="8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59"/>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Acquisitions, net of cash acquired</w:t>
            </w:r>
          </w:p>
        </w:tc>
        <w:tc>
          <w:tcPr>
            <w:tcW w:w="6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Acquisition of Drop Down Assets, net of cash acquired</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Acquisition of Capistrano Wind Portfolio, net of cash acquired</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Capital expenditures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Asset purchase from affiliate</w:t>
            </w:r>
          </w:p>
        </w:tc>
        <w:tc>
          <w:tcPr>
            <w:tcW w:w="6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Return of investment from unconsolidated affiliates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Investments in unconsolidated affiliates</w:t>
            </w:r>
          </w:p>
        </w:tc>
        <w:tc>
          <w:tcPr>
            <w:tcW w:w="6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Proceeds from sale of assets</w:t>
            </w:r>
          </w:p>
        </w:tc>
        <w:tc>
          <w:tcPr>
            <w:tcW w:w="6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Proceeds from sale of business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Consolidation of DGPV Holdco 3 LLC</w:t>
            </w:r>
          </w:p>
        </w:tc>
        <w:tc>
          <w:tcPr>
            <w:tcW w:w="6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6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4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Provided by (Used in) Investing Activities</w:t>
            </w: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1,065</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(865)</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Contributions from noncontrolling interests, net of distributions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247</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Buyout of Repowering Partnership II LLC noncontrolling interest</w:t>
            </w:r>
          </w:p>
        </w:tc>
        <w:tc>
          <w:tcPr>
            <w:tcW w:w="6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Proceeds from the issuance of common stock</w:t>
            </w:r>
          </w:p>
        </w:tc>
        <w:tc>
          <w:tcPr>
            <w:tcW w:w="60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Payments of dividends and distributions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Distributions to CEG of escrowed amounts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Tax-related distributions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Proceeds from the revolving credit facility</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Payments for the revolving credit facility</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Proceeds from issuance of long-term debt</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Payments of debt issuance costs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7"/>
        </w:trPr>
        <w:tc>
          <w:tcPr>
            <w:tcW w:w="812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Payments for long-term debt</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(1,198)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w:t>
            </w:r>
          </w:p>
        </w:tc>
      </w:tr>
      <w:tr>
        <w:trPr>
          <w:trHeight w:val="161"/>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w:t>
            </w:r>
          </w:p>
        </w:tc>
        <w:tc>
          <w:tcPr>
            <w:tcW w:w="6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Cash (Used in) Provided by Financing Activities</w:t>
            </w: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7"/>
              </w:rPr>
              <w:t>(1,510)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w:t>
            </w:r>
          </w:p>
        </w:tc>
      </w:tr>
      <w:tr>
        <w:trPr>
          <w:trHeight w:val="15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Reclassification of Cash to Assets Held-for-Sale</w:t>
            </w:r>
          </w:p>
        </w:tc>
        <w:tc>
          <w:tcPr>
            <w:tcW w:w="6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8"/>
        </w:trPr>
        <w:tc>
          <w:tcPr>
            <w:tcW w:w="8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Increase in Cash, Cash Equivalents and Restricted Cash</w:t>
            </w:r>
          </w:p>
        </w:tc>
        <w:tc>
          <w:tcPr>
            <w:tcW w:w="6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6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Beginning of Period</w:t>
            </w:r>
          </w:p>
        </w:tc>
        <w:tc>
          <w:tcPr>
            <w:tcW w:w="60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w:t>
            </w:r>
          </w:p>
        </w:tc>
      </w:tr>
      <w:tr>
        <w:trPr>
          <w:trHeight w:val="150"/>
        </w:trPr>
        <w:tc>
          <w:tcPr>
            <w:tcW w:w="8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Cash Equivalents and Restricted Cash at End of Period</w:t>
            </w:r>
          </w:p>
        </w:tc>
        <w:tc>
          <w:tcPr>
            <w:tcW w:w="6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996</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654</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465</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0"/>
        </w:trPr>
        <w:tc>
          <w:tcPr>
            <w:tcW w:w="8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r>
      <w:tr>
        <w:trPr>
          <w:trHeight w:val="159"/>
        </w:trPr>
        <w:tc>
          <w:tcPr>
            <w:tcW w:w="81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Disclosures:</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9"/>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Interest paid, net of amount capitalized</w:t>
            </w:r>
          </w:p>
        </w:tc>
        <w:tc>
          <w:tcPr>
            <w:tcW w:w="60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r>
      <w:tr>
        <w:trPr>
          <w:trHeight w:val="157"/>
        </w:trPr>
        <w:tc>
          <w:tcPr>
            <w:tcW w:w="8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Income taxes paid</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Non-cash investing and financing activities:</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57"/>
        </w:trPr>
        <w:tc>
          <w:tcPr>
            <w:tcW w:w="81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Non-cash adjustment for change in tax basis</w:t>
            </w:r>
          </w:p>
        </w:tc>
        <w:tc>
          <w:tcPr>
            <w:tcW w:w="6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61"/>
        </w:trPr>
        <w:tc>
          <w:tcPr>
            <w:tcW w:w="8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Non-cash (distributions to), contributions from CEG</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95"/>
        </w:trPr>
        <w:tc>
          <w:tcPr>
            <w:tcW w:w="4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2"/>
          </w:tcPr>
          <w:p>
            <w:pPr>
              <w:jc w:val="center"/>
              <w:ind w:right="200"/>
              <w:spacing w:after="0" w:line="96"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40" w:type="dxa"/>
            <w:vAlign w:val="bottom"/>
          </w:tcPr>
          <w:p>
            <w:pPr>
              <w:spacing w:after="0"/>
              <w:rPr>
                <w:sz w:val="9"/>
                <w:szCs w:val="9"/>
                <w:color w:val="auto"/>
              </w:rPr>
            </w:pPr>
          </w:p>
        </w:tc>
        <w:tc>
          <w:tcPr>
            <w:tcW w:w="820" w:type="dxa"/>
            <w:vAlign w:val="bottom"/>
            <w:gridSpan w:val="2"/>
          </w:tcPr>
          <w:p>
            <w:pPr>
              <w:jc w:val="center"/>
              <w:ind w:right="260"/>
              <w:spacing w:after="0" w:line="106" w:lineRule="exact"/>
              <w:rPr>
                <w:sz w:val="20"/>
                <w:szCs w:val="20"/>
                <w:color w:val="auto"/>
              </w:rPr>
            </w:pPr>
            <w:r>
              <w:rPr>
                <w:rFonts w:ascii="Times New Roman" w:cs="Times New Roman" w:eastAsia="Times New Roman" w:hAnsi="Times New Roman"/>
                <w:sz w:val="10"/>
                <w:szCs w:val="10"/>
                <w:b w:val="1"/>
                <w:bCs w:val="1"/>
                <w:color w:val="auto"/>
                <w:w w:val="99"/>
              </w:rPr>
              <w:t>Paid-In</w:t>
            </w:r>
          </w:p>
        </w:tc>
        <w:tc>
          <w:tcPr>
            <w:tcW w:w="1120" w:type="dxa"/>
            <w:vAlign w:val="bottom"/>
            <w:gridSpan w:val="3"/>
          </w:tcPr>
          <w:p>
            <w:pPr>
              <w:jc w:val="center"/>
              <w:ind w:right="100"/>
              <w:spacing w:after="0" w:line="106" w:lineRule="exact"/>
              <w:rPr>
                <w:sz w:val="20"/>
                <w:szCs w:val="20"/>
                <w:color w:val="auto"/>
              </w:rPr>
            </w:pPr>
            <w:r>
              <w:rPr>
                <w:rFonts w:ascii="Times New Roman" w:cs="Times New Roman" w:eastAsia="Times New Roman" w:hAnsi="Times New Roman"/>
                <w:sz w:val="10"/>
                <w:szCs w:val="10"/>
                <w:b w:val="1"/>
                <w:bCs w:val="1"/>
                <w:color w:val="auto"/>
                <w:w w:val="99"/>
              </w:rPr>
              <w:t>(Accumulated Deficit)</w:t>
            </w:r>
          </w:p>
        </w:tc>
        <w:tc>
          <w:tcPr>
            <w:tcW w:w="80" w:type="dxa"/>
            <w:vAlign w:val="bottom"/>
          </w:tcPr>
          <w:p>
            <w:pPr>
              <w:spacing w:after="0"/>
              <w:rPr>
                <w:sz w:val="9"/>
                <w:szCs w:val="9"/>
                <w:color w:val="auto"/>
              </w:rPr>
            </w:pPr>
          </w:p>
        </w:tc>
        <w:tc>
          <w:tcPr>
            <w:tcW w:w="1140" w:type="dxa"/>
            <w:vAlign w:val="bottom"/>
            <w:gridSpan w:val="2"/>
          </w:tcPr>
          <w:p>
            <w:pPr>
              <w:jc w:val="center"/>
              <w:ind w:right="200"/>
              <w:spacing w:after="0" w:line="106" w:lineRule="exact"/>
              <w:rPr>
                <w:sz w:val="20"/>
                <w:szCs w:val="20"/>
                <w:color w:val="auto"/>
              </w:rPr>
            </w:pPr>
            <w:r>
              <w:rPr>
                <w:rFonts w:ascii="Times New Roman" w:cs="Times New Roman" w:eastAsia="Times New Roman" w:hAnsi="Times New Roman"/>
                <w:sz w:val="10"/>
                <w:szCs w:val="10"/>
                <w:b w:val="1"/>
                <w:bCs w:val="1"/>
                <w:color w:val="auto"/>
                <w:w w:val="98"/>
              </w:rPr>
              <w:t>Comprehensive (Loss)</w:t>
            </w:r>
          </w:p>
        </w:tc>
        <w:tc>
          <w:tcPr>
            <w:tcW w:w="60" w:type="dxa"/>
            <w:vAlign w:val="bottom"/>
          </w:tcPr>
          <w:p>
            <w:pPr>
              <w:spacing w:after="0"/>
              <w:rPr>
                <w:sz w:val="9"/>
                <w:szCs w:val="9"/>
                <w:color w:val="auto"/>
              </w:rPr>
            </w:pPr>
          </w:p>
        </w:tc>
        <w:tc>
          <w:tcPr>
            <w:tcW w:w="860" w:type="dxa"/>
            <w:vAlign w:val="bottom"/>
            <w:gridSpan w:val="2"/>
          </w:tcPr>
          <w:p>
            <w:pPr>
              <w:jc w:val="center"/>
              <w:ind w:right="160"/>
              <w:spacing w:after="0" w:line="106" w:lineRule="exact"/>
              <w:rPr>
                <w:sz w:val="20"/>
                <w:szCs w:val="20"/>
                <w:color w:val="auto"/>
              </w:rPr>
            </w:pPr>
            <w:r>
              <w:rPr>
                <w:rFonts w:ascii="Times New Roman" w:cs="Times New Roman" w:eastAsia="Times New Roman" w:hAnsi="Times New Roman"/>
                <w:sz w:val="10"/>
                <w:szCs w:val="10"/>
                <w:b w:val="1"/>
                <w:bCs w:val="1"/>
                <w:color w:val="auto"/>
                <w:w w:val="97"/>
              </w:rPr>
              <w:t>Non-controlling</w:t>
            </w:r>
          </w:p>
        </w:tc>
        <w:tc>
          <w:tcPr>
            <w:tcW w:w="140" w:type="dxa"/>
            <w:vAlign w:val="bottom"/>
          </w:tcPr>
          <w:p>
            <w:pPr>
              <w:spacing w:after="0"/>
              <w:rPr>
                <w:sz w:val="9"/>
                <w:szCs w:val="9"/>
                <w:color w:val="auto"/>
              </w:rPr>
            </w:pPr>
          </w:p>
        </w:tc>
        <w:tc>
          <w:tcPr>
            <w:tcW w:w="900" w:type="dxa"/>
            <w:vAlign w:val="bottom"/>
          </w:tcPr>
          <w:p>
            <w:pPr>
              <w:jc w:val="center"/>
              <w:ind w:right="104"/>
              <w:spacing w:after="0" w:line="106"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130"/>
        </w:trPr>
        <w:tc>
          <w:tcPr>
            <w:tcW w:w="430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Retained Earnings</w:t>
            </w:r>
          </w:p>
        </w:tc>
        <w:tc>
          <w:tcPr>
            <w:tcW w:w="80" w:type="dxa"/>
            <w:vAlign w:val="bottom"/>
          </w:tcPr>
          <w:p>
            <w:pPr>
              <w:spacing w:after="0"/>
              <w:rPr>
                <w:sz w:val="11"/>
                <w:szCs w:val="11"/>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60" w:type="dxa"/>
            <w:vAlign w:val="bottom"/>
          </w:tcPr>
          <w:p>
            <w:pPr>
              <w:spacing w:after="0"/>
              <w:rPr>
                <w:sz w:val="11"/>
                <w:szCs w:val="11"/>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40" w:type="dxa"/>
            <w:vAlign w:val="bottom"/>
          </w:tcPr>
          <w:p>
            <w:pPr>
              <w:spacing w:after="0"/>
              <w:rPr>
                <w:sz w:val="11"/>
                <w:szCs w:val="11"/>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1"/>
        </w:trPr>
        <w:tc>
          <w:tcPr>
            <w:tcW w:w="4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2019</w:t>
            </w: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320" w:type="dxa"/>
            <w:vAlign w:val="bottom"/>
            <w:tcBorders>
              <w:top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1,936</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413</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2,263</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gain on derivatives and changes in accumulated OCL, net of tax</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Contributions from CEG, non-cash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Contributions from CEG,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Distributions to noncontrolling interests, non-cash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DGPV Drop Down and Consolidation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Mesquite Star Drop Down and Consolidation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361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Langford Drop Down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76</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Rosamond Central Drop Down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57</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Lighthouse Partnership Yield Protection Agreement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Buyout of Repowering Partnership II LLC non-controlling interest</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Non-cash adjustment for change in tax basis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proceeds from the issuance of common stock under the ATM Program</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62</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0" w:type="dxa"/>
            <w:vAlign w:val="bottom"/>
          </w:tcPr>
          <w:p>
            <w:pPr>
              <w:spacing w:after="0"/>
              <w:rPr>
                <w:sz w:val="1"/>
                <w:szCs w:val="1"/>
                <w:color w:val="auto"/>
              </w:rPr>
            </w:pPr>
          </w:p>
        </w:tc>
      </w:tr>
      <w:tr>
        <w:trPr>
          <w:trHeight w:val="156"/>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2020</w:t>
            </w: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2,715</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income (loss)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Unrealized gain on derivatives and changes in accumulated OCL, net of tax</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Contributions from CEG, net of distributions, non-cash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Contributions from CEG, net of distributions,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296</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676</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Lighthouse Partnership Yield Protection Agreement Amendment</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Agua Caliente Acquisition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273</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Rattlesnake Drop Down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Mesquite Sky Drop Down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Black Rock Drop Down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0" w:type="dxa"/>
            <w:vAlign w:val="bottom"/>
          </w:tcPr>
          <w:p>
            <w:pPr>
              <w:spacing w:after="0"/>
              <w:rPr>
                <w:sz w:val="1"/>
                <w:szCs w:val="1"/>
                <w:color w:val="auto"/>
              </w:rPr>
            </w:pPr>
          </w:p>
        </w:tc>
      </w:tr>
      <w:tr>
        <w:trPr>
          <w:trHeight w:val="153"/>
        </w:trPr>
        <w:tc>
          <w:tcPr>
            <w:tcW w:w="43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Non-cash adjustment for change in tax basis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w:t>
            </w:r>
          </w:p>
        </w:tc>
        <w:tc>
          <w:tcPr>
            <w:tcW w:w="0" w:type="dxa"/>
            <w:vAlign w:val="bottom"/>
          </w:tcPr>
          <w:p>
            <w:pPr>
              <w:spacing w:after="0"/>
              <w:rPr>
                <w:sz w:val="1"/>
                <w:szCs w:val="1"/>
                <w:color w:val="auto"/>
              </w:rPr>
            </w:pPr>
          </w:p>
        </w:tc>
      </w:tr>
      <w:tr>
        <w:trPr>
          <w:trHeight w:val="156"/>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2021</w:t>
            </w:r>
          </w:p>
        </w:tc>
        <w:tc>
          <w:tcPr>
            <w:tcW w:w="3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1,466</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3,300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1,049</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Unrealized gain on derivatives and changes in accumulated OCL, net of tax</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Distributions to CEG, net of contributions, non-cash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Contributions from CEG, net of distributions, cash</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Contributions from noncontrolling interests, net of distributions, cash</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Mesquite Sky Drop Down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Black Rock Drop Down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Mililani I Drop Down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Waiawa Drop Down</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Capistrano Wind Portfolio Acquisition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Kawailoa Sale to Clearway Renew LLC</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Tax-related distributions</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Non-cash adjustments for change in tax basis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3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 dividends and distributions to CEG unit holders</w:t>
            </w:r>
          </w:p>
        </w:tc>
        <w:tc>
          <w:tcPr>
            <w:tcW w:w="300" w:type="dxa"/>
            <w:vAlign w:val="bottom"/>
          </w:tcPr>
          <w:p>
            <w:pPr>
              <w:spacing w:after="0"/>
              <w:rPr>
                <w:sz w:val="13"/>
                <w:szCs w:val="13"/>
                <w:color w:val="auto"/>
              </w:rPr>
            </w:pP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0" w:type="dxa"/>
            <w:vAlign w:val="bottom"/>
          </w:tcPr>
          <w:p>
            <w:pPr>
              <w:spacing w:after="0"/>
              <w:rPr>
                <w:sz w:val="1"/>
                <w:szCs w:val="1"/>
                <w:color w:val="auto"/>
              </w:rPr>
            </w:pPr>
          </w:p>
        </w:tc>
      </w:tr>
      <w:tr>
        <w:trPr>
          <w:trHeight w:val="181"/>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December 31, 2022</w:t>
            </w: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463</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4,026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63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Nature of Business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over 5,500 net MW of installed wind and solar generation projects. The Company’s over 8,000 net MW of assets also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from long-term contractual arrangements for the output or capacity from these assets.</w:t>
      </w:r>
    </w:p>
    <w:p>
      <w:pPr>
        <w:spacing w:after="0" w:line="9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consolidates the results of Clearway Energy LLC through its controlling interest, with CEG's interest shown as non-controlling interest in the consolidated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2022, the Company owned 57.88% of the economic interests of Clearway Energy LLC, with CEG owning 42.12% of the economic interests of Clearway Energy LLC. For further discussion, see Note 12, </w:t>
      </w:r>
      <w:r>
        <w:rPr>
          <w:rFonts w:ascii="Times New Roman" w:cs="Times New Roman" w:eastAsia="Times New Roman" w:hAnsi="Times New Roman"/>
          <w:sz w:val="14"/>
          <w:szCs w:val="14"/>
          <w:i w:val="1"/>
          <w:iCs w:val="1"/>
          <w:color w:val="auto"/>
        </w:rPr>
        <w:t>Stockholders’ Equity.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7" w:name="page78"/>
    <w:bookmarkEnd w:id="77"/>
    <w:p>
      <w:pPr>
        <w:ind w:left="320"/>
        <w:spacing w:after="0"/>
        <w:rPr>
          <w:sz w:val="20"/>
          <w:szCs w:val="20"/>
          <w:color w:val="auto"/>
        </w:rPr>
      </w:pPr>
      <w:r>
        <w:rPr>
          <w:rFonts w:ascii="Times New Roman" w:cs="Times New Roman" w:eastAsia="Times New Roman" w:hAnsi="Times New Roman"/>
          <w:sz w:val="14"/>
          <w:szCs w:val="14"/>
          <w:color w:val="auto"/>
        </w:rPr>
        <w:t>The diagram below represents a summarized structure of the Company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4406265" cy="3260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06265" cy="326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consolidated financial statements have been prepared in accordance with GAAP. The FASB ASC is the source of authoritative GAAP to be applied by nongovernmental entities.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the rules and interpretative releases of the SEC under authority of federal securities laws are also sources of authoritative GAAP for SEC registrants.</w:t>
      </w:r>
    </w:p>
    <w:p>
      <w:pPr>
        <w:spacing w:after="0" w:line="12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consolidated financial statements include the Company’s accounts and operations and those of its subsidiaries in which it has a controlling financial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to determine when an entity that is insufficiently capitalized or not controlled through its voting interests, referred to as a variable interest entity, or VIE, should be consolidated.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project subsidiaries was $121 million and $146 million as of December 31, 2022 and 2021,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6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r>
      <w:tr>
        <w:trPr>
          <w:trHeight w:val="154"/>
        </w:trPr>
        <w:tc>
          <w:tcPr>
            <w:tcW w:w="8680" w:type="dxa"/>
            <w:vAlign w:val="bottom"/>
          </w:tcPr>
          <w:p>
            <w:pPr>
              <w:spacing w:after="0"/>
              <w:rPr>
                <w:sz w:val="13"/>
                <w:szCs w:val="13"/>
                <w:color w:val="auto"/>
              </w:rPr>
            </w:pPr>
          </w:p>
        </w:tc>
        <w:tc>
          <w:tcPr>
            <w:tcW w:w="8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0"/>
        </w:trPr>
        <w:tc>
          <w:tcPr>
            <w:tcW w:w="8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60" w:type="dxa"/>
            <w:vAlign w:val="bottom"/>
          </w:tcPr>
          <w:p>
            <w:pPr>
              <w:spacing w:after="0"/>
              <w:rPr>
                <w:sz w:val="13"/>
                <w:szCs w:val="13"/>
                <w:color w:val="auto"/>
              </w:rPr>
            </w:pPr>
          </w:p>
        </w:tc>
      </w:tr>
      <w:tr>
        <w:trPr>
          <w:trHeight w:val="186"/>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8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8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96"/>
        </w:trPr>
        <w:tc>
          <w:tcPr>
            <w:tcW w:w="8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86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996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projects that are restricted in their use. As of December 31, 2022, these restricted funds were comprised of $109 million designated to fund operating expenses, $55 million designated for current debt service payments and $105 million restricted for reserves including debt service, performance obligations and other reserves as well as capital expenditures. The remaining $70 million is held in distributions reserve accounts.</w:t>
      </w:r>
    </w:p>
    <w:p>
      <w:pPr>
        <w:spacing w:after="0" w:line="93"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In 2020, the members of the partnerships holding the Oahu Solar and Kawailoa Solar projects submitted applications to the state of Hawaii for refundable tax credits based on the cost of construction of the projects. In 2021, the members of the partnerships contributed their respective portions of the tax credits in the amount of $27 million to the Oahu Solar and $22 million to the Kawailoa Solar project companies, which were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On August 1, 2022, the Company sold its Class A membership interests in the Kawailoa Partnership, which consolidates the Kawailoa Solar project, to Clearway Renew LLC,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resulting in the removal of $7 million that remained in restricted cash at the time of sale. As of December 31, 2022, $26 million of the $27 million previously contributed to the Oahu Solar projects has been utilized to offset invoiced amounts under the projects’ PPAs.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 — Trade and Allowance for Credit Losses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Accounts receivable — trade are reported on the consolidated balance sheet at the invoiced amount adjusted for any write-offs and the allowance for credit losses. The allowance for credit losses is reviewed periodically based on amounts past due and their significance. The allowance for credit losses was immaterial as of December 31, 2022 and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Inventory consists of spare parts and is valued at weighted average cost, unless evidence indicates that the weighted average cost will not be recovered with a normal profit in the ordinary course of business. Inventory is removed when used for repairs, maintenance or capital projects.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Property, plant and equipment are stated at cost, however impairment adjustments are recorded whenever events or changes in circumstances indicate that their carrying amounts may not be recoverable.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income. For further discussion of the Company’s property, plant and equipment refer to Note 4,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Construction in-progress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facilities and equipment.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Development costs include project development costs, which are expensed in the preliminary stages of a project and capitalized when the project is deemed to be commercially viable. Commercial viability is determined by one or a series of actions including, among others, Board of Director approval pursuant to a formal project plan that subjects the Company to significant future obligations that can only be discharged by the use of a Company asset. When a project is available for operations, capitalized interest and capitalized project development costs are reclassified to property, plant and equipment and depreciated on a straight-line basis over the estimated useful life of the project’s related assets. Capitalized costs are charged to expense if a project is abandoned or management otherwise determines the costs to be unrecoverable.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Impairments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Long-lived assets that are held and used are reviewed for impairment whenever events or changes in circumstances indicate their carrying amounts may not be recoverable. Such reviews are performed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xml:space="preserve">. An impairment loss is indicated if the total future estimated undiscounted cash flows expected from an asset are less than its carrying amount. An impairment charge is measured as the excess of an asset’s carrying amount over its fair value with the difference recorded in operating costs and expenses in the consolidated statements of income. Fair values are determined by a variety of valuation methods, including appraisals, sales prices of similar assets and present value techniques. For further discussion of the Company’s long-lived asset impairments, refer to Note 9, </w:t>
      </w:r>
      <w:r>
        <w:rPr>
          <w:rFonts w:ascii="Times New Roman" w:cs="Times New Roman" w:eastAsia="Times New Roman" w:hAnsi="Times New Roman"/>
          <w:sz w:val="14"/>
          <w:szCs w:val="14"/>
          <w:i w:val="1"/>
          <w:iCs w:val="1"/>
          <w:color w:val="auto"/>
        </w:rPr>
        <w:t>Asset Impairments</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Investments accounted for by the equity method are reviewed for impairment in accordance with ASC 323, </w:t>
      </w:r>
      <w:r>
        <w:rPr>
          <w:rFonts w:ascii="Times New Roman" w:cs="Times New Roman" w:eastAsia="Times New Roman" w:hAnsi="Times New Roman"/>
          <w:sz w:val="14"/>
          <w:szCs w:val="14"/>
          <w:i w:val="1"/>
          <w:iCs w:val="1"/>
          <w:color w:val="auto"/>
        </w:rPr>
        <w:t>Investments-Equity Method and Joint Ventures</w:t>
      </w:r>
      <w:r>
        <w:rPr>
          <w:rFonts w:ascii="Times New Roman" w:cs="Times New Roman" w:eastAsia="Times New Roman" w:hAnsi="Times New Roman"/>
          <w:sz w:val="14"/>
          <w:szCs w:val="14"/>
          <w:color w:val="auto"/>
        </w:rPr>
        <w:t>, which requires that a loss in value of an investment that is an other-than-temporary decline should be recognized. The Company identifies and measures losses in the value of equity method investments based upon a comparison of fair value to carrying value.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Debt Issuance Costs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Debt issuance costs are capitalized and amortized as interest expense on a basis which approximates the effective interest method over the term of the related debt. Debt issuance costs related to the long-term debt are presented as a direct deduction from the carrying amount of the related debt. Debt issuance costs related to the senior secured revolving credit facility line of credit are recorded as a non-current asset on the consolidated balance sheet and are amortized over the term of the credit facility.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Intangible assets represent contractual rights held by the Company. The Company recognizes specifically identifiable intangible assets including power purchase agreements, leasehold rights, emission allowances, RECs and development rights when specific rights and contracts are acquired. These intangible assets are amortized primarily on a straight-line basis. For further discussion of the Company’s intangible assets, refer to Note 8, </w:t>
      </w:r>
      <w:r>
        <w:rPr>
          <w:rFonts w:ascii="Times New Roman" w:cs="Times New Roman" w:eastAsia="Times New Roman" w:hAnsi="Times New Roman"/>
          <w:sz w:val="14"/>
          <w:szCs w:val="14"/>
          <w:i w:val="1"/>
          <w:iCs w:val="1"/>
          <w:color w:val="auto"/>
        </w:rPr>
        <w:t>Intangible Assets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 from Contracts with Customers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Thermal Revenues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income.</w:t>
      </w:r>
    </w:p>
    <w:p>
      <w:pPr>
        <w:spacing w:after="0" w:line="9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0" w:name="page81"/>
    <w:bookmarkEnd w:id="80"/>
    <w:p>
      <w:pPr>
        <w:ind w:left="320"/>
        <w:spacing w:after="0"/>
        <w:rPr>
          <w:sz w:val="20"/>
          <w:szCs w:val="20"/>
          <w:color w:val="auto"/>
        </w:rPr>
      </w:pPr>
      <w:r>
        <w:rPr>
          <w:rFonts w:ascii="Times New Roman" w:cs="Times New Roman" w:eastAsia="Times New Roman" w:hAnsi="Times New Roman"/>
          <w:sz w:val="14"/>
          <w:szCs w:val="14"/>
          <w:i w:val="1"/>
          <w:iCs w:val="1"/>
          <w:color w:val="auto"/>
        </w:rPr>
        <w:t>Power Purchase Agreements, or PPAs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0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Certain of these PPAs have no minimum lease payments and all of the lease revenue under these PPAs is recorded as contingent rent on an actual basis when the electricity is delivered. The contingent lease revenue recognized in the years ended December 31, 2022, 2021 and 2020 was $850 million, $741 million and $589 million, respectively. See Note 17,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additional information related to the Company’s PPAs accounted for as leases.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Renewable Energy Credits, or RECs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for the year ended December 31, 2022, along with the reportable segment for each category: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6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8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5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80"/>
        </w:trPr>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5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8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5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58"/>
        </w:trPr>
        <w:tc>
          <w:tcPr>
            <w:tcW w:w="6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5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1,190</w:t>
            </w:r>
          </w:p>
        </w:tc>
      </w:tr>
      <w:tr>
        <w:trPr>
          <w:trHeight w:val="17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5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r>
      <w:tr>
        <w:trPr>
          <w:trHeight w:val="168"/>
        </w:trPr>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5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7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5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r>
      <w:tr>
        <w:trPr>
          <w:trHeight w:val="160"/>
        </w:trPr>
        <w:tc>
          <w:tcPr>
            <w:tcW w:w="63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3"/>
                <w:szCs w:val="13"/>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r>
      <w:tr>
        <w:trPr>
          <w:trHeight w:val="20"/>
        </w:trPr>
        <w:tc>
          <w:tcPr>
            <w:tcW w:w="6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200" w:hanging="131"/>
        <w:spacing w:after="0"/>
        <w:tabs>
          <w:tab w:leader="none" w:pos="200" w:val="left"/>
        </w:tabs>
        <w:numPr>
          <w:ilvl w:val="0"/>
          <w:numId w:val="3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 xml:space="preserve">See </w:t>
      </w:r>
      <w:r>
        <w:rPr>
          <w:rFonts w:ascii="Times New Roman" w:cs="Times New Roman" w:eastAsia="Times New Roman" w:hAnsi="Times New Roman"/>
          <w:sz w:val="11"/>
          <w:szCs w:val="11"/>
          <w:color w:val="auto"/>
        </w:rPr>
        <w:t>Note 17,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1"/>
          <w:szCs w:val="11"/>
          <w:i w:val="1"/>
          <w:iCs w:val="1"/>
          <w:color w:val="auto"/>
        </w:rPr>
        <w:t>Leases,</w:t>
      </w:r>
      <w:r>
        <w:rPr>
          <w:rFonts w:ascii="Times New Roman" w:cs="Times New Roman" w:eastAsia="Times New Roman" w:hAnsi="Times New Roman"/>
          <w:sz w:val="13"/>
          <w:szCs w:val="13"/>
          <w:color w:val="auto"/>
        </w:rPr>
        <w:t xml:space="preserve"> for the </w:t>
      </w:r>
      <w:r>
        <w:rPr>
          <w:rFonts w:ascii="Times New Roman" w:cs="Times New Roman" w:eastAsia="Times New Roman" w:hAnsi="Times New Roman"/>
          <w:sz w:val="11"/>
          <w:szCs w:val="11"/>
          <w:color w:val="auto"/>
        </w:rPr>
        <w:t>amounts of energy and capacity revenue that relate to leases and are accounted for under ASC 842.</w:t>
      </w:r>
    </w:p>
    <w:p>
      <w:pPr>
        <w:spacing w:after="0" w:line="200" w:lineRule="exact"/>
        <w:rPr>
          <w:rFonts w:ascii="Times New Roman" w:cs="Times New Roman" w:eastAsia="Times New Roman" w:hAnsi="Times New Roman"/>
          <w:sz w:val="17"/>
          <w:szCs w:val="17"/>
          <w:color w:val="auto"/>
          <w:vertAlign w:val="superscript"/>
        </w:rPr>
      </w:pPr>
    </w:p>
    <w:p>
      <w:pPr>
        <w:spacing w:after="0" w:line="348" w:lineRule="exact"/>
        <w:rPr>
          <w:rFonts w:ascii="Times New Roman" w:cs="Times New Roman" w:eastAsia="Times New Roman" w:hAnsi="Times New Roman"/>
          <w:sz w:val="17"/>
          <w:szCs w:val="17"/>
          <w:color w:val="auto"/>
          <w:vertAlign w:val="superscript"/>
        </w:rPr>
      </w:pPr>
    </w:p>
    <w:p>
      <w:pPr>
        <w:ind w:left="558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1" w:name="page82"/>
    <w:bookmarkEnd w:id="81"/>
    <w:p>
      <w:pPr>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for the year ended December 31, 2021, along with the reportable segment for each category: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6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8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56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915</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17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5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6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7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Mark-to-market for economic hedges</w:t>
            </w:r>
          </w:p>
        </w:tc>
        <w:tc>
          <w:tcPr>
            <w:tcW w:w="5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8"/>
        </w:trPr>
        <w:tc>
          <w:tcPr>
            <w:tcW w:w="6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5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1,286</w:t>
            </w:r>
          </w:p>
        </w:tc>
      </w:tr>
      <w:tr>
        <w:trPr>
          <w:trHeight w:val="17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16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Mark-to-market for economic hedges</w:t>
            </w:r>
          </w:p>
        </w:tc>
        <w:tc>
          <w:tcPr>
            <w:tcW w:w="56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7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5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w:t>
            </w:r>
          </w:p>
        </w:tc>
      </w:tr>
      <w:tr>
        <w:trPr>
          <w:trHeight w:val="160"/>
        </w:trPr>
        <w:tc>
          <w:tcPr>
            <w:tcW w:w="6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5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0" w:hanging="131"/>
        <w:spacing w:after="0"/>
        <w:tabs>
          <w:tab w:leader="none" w:pos="200" w:val="left"/>
        </w:tabs>
        <w:numPr>
          <w:ilvl w:val="0"/>
          <w:numId w:val="4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17,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the amounts of energy and capacity revenue that relate to leases and are accounted for under ASC 842.</w:t>
      </w:r>
    </w:p>
    <w:p>
      <w:pPr>
        <w:spacing w:after="0" w:line="10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for the year ended December 31, 2020, along with the reportable segment for each category: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1"/>
                <w:szCs w:val="11"/>
                <w:b w:val="1"/>
                <w:bCs w:val="1"/>
                <w:color w:val="auto"/>
              </w:rPr>
              <w:t>Year ended December 31, 2020</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63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80" w:type="dxa"/>
            <w:vAlign w:val="bottom"/>
          </w:tcPr>
          <w:p>
            <w:pPr>
              <w:spacing w:after="0"/>
              <w:rPr>
                <w:sz w:val="13"/>
                <w:szCs w:val="13"/>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08"/>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Energy revenue </w:t>
            </w:r>
            <w:r>
              <w:rPr>
                <w:rFonts w:ascii="Times New Roman" w:cs="Times New Roman" w:eastAsia="Times New Roman" w:hAnsi="Times New Roman"/>
                <w:sz w:val="16"/>
                <w:szCs w:val="16"/>
                <w:color w:val="auto"/>
                <w:vertAlign w:val="superscript"/>
              </w:rPr>
              <w:t>(a)</w:t>
            </w:r>
          </w:p>
        </w:tc>
        <w:tc>
          <w:tcPr>
            <w:tcW w:w="560" w:type="dxa"/>
            <w:vAlign w:val="bottom"/>
            <w:tcBorders>
              <w:top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Capacity revenue </w:t>
            </w:r>
            <w:r>
              <w:rPr>
                <w:rFonts w:ascii="Times New Roman" w:cs="Times New Roman" w:eastAsia="Times New Roman" w:hAnsi="Times New Roman"/>
                <w:sz w:val="16"/>
                <w:szCs w:val="16"/>
                <w:color w:val="auto"/>
                <w:vertAlign w:val="superscript"/>
              </w:rPr>
              <w:t>(a)</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r>
      <w:tr>
        <w:trPr>
          <w:trHeight w:val="17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revenues</w:t>
            </w:r>
          </w:p>
        </w:tc>
        <w:tc>
          <w:tcPr>
            <w:tcW w:w="5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8"/>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Contract amortization</w:t>
            </w:r>
          </w:p>
        </w:tc>
        <w:tc>
          <w:tcPr>
            <w:tcW w:w="5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63"/>
        </w:trPr>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operating revenues</w:t>
            </w:r>
          </w:p>
        </w:tc>
        <w:tc>
          <w:tcPr>
            <w:tcW w:w="5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r>
      <w:tr>
        <w:trPr>
          <w:trHeight w:val="168"/>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Contract amortization</w:t>
            </w:r>
          </w:p>
        </w:tc>
        <w:tc>
          <w:tcPr>
            <w:tcW w:w="5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Lease revenue</w:t>
            </w:r>
          </w:p>
        </w:tc>
        <w:tc>
          <w:tcPr>
            <w:tcW w:w="5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r>
      <w:tr>
        <w:trPr>
          <w:trHeight w:val="160"/>
        </w:trPr>
        <w:tc>
          <w:tcPr>
            <w:tcW w:w="6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revenue from contracts with customers</w:t>
            </w:r>
          </w:p>
        </w:tc>
        <w:tc>
          <w:tcPr>
            <w:tcW w:w="5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r>
      <w:tr>
        <w:trPr>
          <w:trHeight w:val="20"/>
        </w:trPr>
        <w:tc>
          <w:tcPr>
            <w:tcW w:w="6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0" w:hanging="131"/>
        <w:spacing w:after="0"/>
        <w:tabs>
          <w:tab w:leader="none" w:pos="20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 xml:space="preserve">See Note 17,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for the amounts of energy and capacity revenue that relate to leases and are accounted for under ASC 842.</w:t>
      </w:r>
    </w:p>
    <w:p>
      <w:pPr>
        <w:spacing w:after="0" w:line="104" w:lineRule="exact"/>
        <w:rPr>
          <w:rFonts w:ascii="Times New Roman" w:cs="Times New Roman" w:eastAsia="Times New Roman" w:hAnsi="Times New Roman"/>
          <w:sz w:val="17"/>
          <w:szCs w:val="17"/>
          <w:color w:val="auto"/>
          <w:vertAlign w:val="superscript"/>
        </w:rPr>
      </w:pPr>
    </w:p>
    <w:p>
      <w:pPr>
        <w:ind w:left="320"/>
        <w:spacing w:after="0"/>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i w:val="1"/>
          <w:iCs w:val="1"/>
          <w:color w:val="auto"/>
        </w:rPr>
        <w:t>Contract Amortization</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net amount of contract assets and liabilities included on the Company’s consolidated balance sheets as of December 31, 2022 and December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60" w:type="dxa"/>
            <w:vAlign w:val="bottom"/>
          </w:tcPr>
          <w:p>
            <w:pPr>
              <w:spacing w:after="0"/>
              <w:rPr>
                <w:sz w:val="13"/>
                <w:szCs w:val="13"/>
                <w:color w:val="auto"/>
              </w:rPr>
            </w:pPr>
          </w:p>
        </w:tc>
        <w:tc>
          <w:tcPr>
            <w:tcW w:w="1500" w:type="dxa"/>
            <w:vAlign w:val="bottom"/>
          </w:tcPr>
          <w:p>
            <w:pPr>
              <w:jc w:val="right"/>
              <w:ind w:right="358"/>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70"/>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 - Contracts with customers</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Accounts receivable, net - Leases</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w:t>
            </w:r>
          </w:p>
        </w:tc>
      </w:tr>
      <w:tr>
        <w:trPr>
          <w:trHeight w:val="188"/>
        </w:trPr>
        <w:tc>
          <w:tcPr>
            <w:tcW w:w="7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Total accounts receivable, net</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accounts for derivative financial instruments under ASC 815, </w:t>
      </w:r>
      <w:r>
        <w:rPr>
          <w:rFonts w:ascii="Times New Roman" w:cs="Times New Roman" w:eastAsia="Times New Roman" w:hAnsi="Times New Roman"/>
          <w:sz w:val="14"/>
          <w:szCs w:val="14"/>
          <w:i w:val="1"/>
          <w:iCs w:val="1"/>
          <w:color w:val="auto"/>
        </w:rPr>
        <w:t>Derivatives and Hedging</w:t>
      </w:r>
      <w:r>
        <w:rPr>
          <w:rFonts w:ascii="Times New Roman" w:cs="Times New Roman" w:eastAsia="Times New Roman" w:hAnsi="Times New Roman"/>
          <w:sz w:val="14"/>
          <w:szCs w:val="14"/>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8" w:lineRule="exact"/>
        <w:rPr>
          <w:sz w:val="20"/>
          <w:szCs w:val="20"/>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in earnings as an offset to the changes in the fair value of the related hedged assets, liabilities and firm commitments; 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and recorded as a component of accumulated OCI until the hedged transactions occur and are recognized in earnings.</w:t>
      </w:r>
    </w:p>
    <w:p>
      <w:pPr>
        <w:spacing w:after="0" w:line="136"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The Company’s primary derivative instruments are interest rate instruments used to mitigate variability in earnings due to fluctuations in interest rates and power sale contracts used to mitigate variability in earnings due to fluctuations in market prices. Certain derivative contracts contain provisions providing the counterparties a lien on specific assets as collateral. On an ongoing basis, the Company qualitatively assesses the effectiveness of its derivatives that are designated as hedges for accounting purposes in order to determine that each derivative continues to be highly effective in offsetting changes in cash flows of hedged items. If necessary, the Company will perform an analysis to measure the statistical correlation between the derivative and the associated hedged item to determine the effectiveness of such a contract designated as a hedge. The Company will discontinue hedge accounting if it is determined that the hedge is no longer effective. In this case, the gain or loss previously deferred in accumulated OCI would be frozen until the underlying hedged item is delivered unless the transaction being hedged is no longer probable of occurring in which case the amount in accumulated OCI would be immediately reclassified into earnings. If the derivative instrument is terminated, the effective portion of this derivative deferred in accumulated OCI will be frozen until the underlying hedged item is delivered.</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Financial instruments which potentially subject the Company to concentrations of credit risk consist primarily of accounts receivable — trade and derivative instruments, which are concentrated within entities engaged in the energy and financial industries. These industry concentrations may impact the overall exposure to credit risk, either positively or negatively, in that the customers may be similarly affected by changes in economic, industry or other conditions. In addition, many of the Company’s projects have only one customer. See Item 1A, Risk Factors, </w:t>
      </w:r>
      <w:r>
        <w:rPr>
          <w:rFonts w:ascii="Times New Roman" w:cs="Times New Roman" w:eastAsia="Times New Roman" w:hAnsi="Times New Roman"/>
          <w:sz w:val="14"/>
          <w:szCs w:val="14"/>
          <w:i w:val="1"/>
          <w:iCs w:val="1"/>
          <w:color w:val="auto"/>
        </w:rPr>
        <w:t>Risks Related to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Company’s Business, </w:t>
      </w:r>
      <w:r>
        <w:rPr>
          <w:rFonts w:ascii="Times New Roman" w:cs="Times New Roman" w:eastAsia="Times New Roman" w:hAnsi="Times New Roman"/>
          <w:sz w:val="14"/>
          <w:szCs w:val="14"/>
          <w:color w:val="auto"/>
        </w:rPr>
        <w:t>for a discussion on the Company’s dependence on major customers</w:t>
      </w:r>
      <w:r>
        <w:rPr>
          <w:rFonts w:ascii="Times New Roman" w:cs="Times New Roman" w:eastAsia="Times New Roman" w:hAnsi="Times New Roman"/>
          <w:sz w:val="14"/>
          <w:szCs w:val="14"/>
          <w:color w:val="1F497D"/>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See Note 6,</w:t>
      </w:r>
      <w:r>
        <w:rPr>
          <w:rFonts w:ascii="Times New Roman" w:cs="Times New Roman" w:eastAsia="Times New Roman" w:hAnsi="Times New Roman"/>
          <w:sz w:val="14"/>
          <w:szCs w:val="14"/>
          <w:i w:val="1"/>
          <w:iCs w:val="1"/>
          <w:color w:val="auto"/>
        </w:rPr>
        <w:t xml:space="preserve"> Fair Value of Financial Instruments, </w:t>
      </w:r>
      <w:r>
        <w:rPr>
          <w:rFonts w:ascii="Times New Roman" w:cs="Times New Roman" w:eastAsia="Times New Roman" w:hAnsi="Times New Roman"/>
          <w:sz w:val="14"/>
          <w:szCs w:val="14"/>
          <w:color w:val="auto"/>
        </w:rPr>
        <w:t>for a further discussion of derivative concentrations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Note 13,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for concentration of counterparties.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138"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 xml:space="preserve">The carrying amount of cash and cash equivalents, restricted cash, accounts receivable — trade, accounts payable — trade, account payable — affiliates and accrued expenses and other current liabilities approximate fair value because of the short-term maturity of these instruments. 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a further discussion of fair value of financial instruments.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Retirement Obligations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Asset retirement obligations, or AROs, are accounted for in accordance with ASC 410-20, </w:t>
      </w:r>
      <w:r>
        <w:rPr>
          <w:rFonts w:ascii="Times New Roman" w:cs="Times New Roman" w:eastAsia="Times New Roman" w:hAnsi="Times New Roman"/>
          <w:sz w:val="14"/>
          <w:szCs w:val="14"/>
          <w:i w:val="1"/>
          <w:iCs w:val="1"/>
          <w:color w:val="auto"/>
        </w:rPr>
        <w:t>Asset Retirement Obligations,</w:t>
      </w:r>
      <w:r>
        <w:rPr>
          <w:rFonts w:ascii="Times New Roman" w:cs="Times New Roman" w:eastAsia="Times New Roman" w:hAnsi="Times New Roman"/>
          <w:sz w:val="14"/>
          <w:szCs w:val="14"/>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3" w:name="page84"/>
    <w:bookmarkEnd w:id="83"/>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Upon initial recognition of a liability for an ARO, other than when an ARO is assumed in an acquisition of the related long-lived asset,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consolidated balance sheet.</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represents the balance of ARO obligations, along with the related activity for the year ended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74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0"/>
        </w:trPr>
        <w:tc>
          <w:tcPr>
            <w:tcW w:w="9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Liabilities incurred</w:t>
            </w:r>
          </w:p>
        </w:tc>
        <w:tc>
          <w:tcPr>
            <w:tcW w:w="7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9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Liabilities settled</w:t>
            </w:r>
          </w:p>
        </w:tc>
        <w:tc>
          <w:tcPr>
            <w:tcW w:w="7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9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Accretion expense</w:t>
            </w: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9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74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Guarantees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Accounted for by the Equity Method</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 xml:space="preserve">The Company has investments in various energy projects accounted for by the equity method, several of which are VIEs, where the Company is not a primary beneficiary, as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equity method of accounting is applied to these investments in affiliates because the ownership structure 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Sale-Leaseback Arrangements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party to sale-leaseback arrangements that provide for the sale of certain assets to a third-party and simultaneous leaseback to the Company. In accordance with ASC 840-40, </w:t>
      </w:r>
      <w:r>
        <w:rPr>
          <w:rFonts w:ascii="Times New Roman" w:cs="Times New Roman" w:eastAsia="Times New Roman" w:hAnsi="Times New Roman"/>
          <w:sz w:val="14"/>
          <w:szCs w:val="14"/>
          <w:i w:val="1"/>
          <w:iCs w:val="1"/>
          <w:color w:val="auto"/>
        </w:rPr>
        <w:t>Sale-Leaseback Transactions</w:t>
      </w:r>
      <w:r>
        <w:rPr>
          <w:rFonts w:ascii="Times New Roman" w:cs="Times New Roman" w:eastAsia="Times New Roman" w:hAnsi="Times New Roman"/>
          <w:sz w:val="14"/>
          <w:szCs w:val="14"/>
          <w:color w:val="auto"/>
        </w:rPr>
        <w:t>, if the seller-lessee retains, through the leaseback, substantially all of the benefits and risks incident to the ownership of the property sold, the sale-leaseback transaction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36" w:lineRule="exact"/>
        <w:rPr>
          <w:sz w:val="20"/>
          <w:szCs w:val="20"/>
          <w:color w:val="auto"/>
        </w:rPr>
      </w:pPr>
    </w:p>
    <w:p>
      <w:pPr>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income taxes using the liability method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or ASC 740, which requires that the Company use the asset and liability method of accounting for deferred income taxes and provide deferred income taxes for all significant temporary differences.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two categories of income tax expense or benefit — current and deferred, as follows:</w:t>
      </w:r>
    </w:p>
    <w:p>
      <w:pPr>
        <w:spacing w:after="0" w:line="136"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income tax expense or benefit consists solely of current taxes payable less applicable tax credits,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Deferred income tax expense or benefit is the change in the net deferred income tax asset or liability, excluding amounts charged or credited to accumulated other comprehensive income (loss).</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Company reports some of its revenues and expenses differently for financial statement purposes than for income tax return purposes, resulting in temporary and permanent differences between the Company’s financial statements and income tax returns. The tax effects of such temporary differences are recorded as either deferred income tax assets or deferred income tax liabilities in the Company's consolidated balance sheets. The Company measures its deferred income tax assets and deferred income tax liabilities using income tax rates that are currently in effect. The Company believes it is more likely than not that the results of future operations will generate sufficient taxable income which includes the future reversal of existing taxable temporary differences to realize deferred tax assets, net of valuation allowances. In arriving at this conclusion to utilize projections of future profit before tax in its estimate of future taxable income, the Company considered the profit before tax generated in recent years. A valuation allowance is recorded to reduce the net deferred tax assets to an amount that is more-likely-than-not to be realized.</w:t>
      </w:r>
    </w:p>
    <w:p>
      <w:pPr>
        <w:spacing w:after="0" w:line="10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accounts for uncertain tax positions in accordance with ASC 740, which applies to all tax positions related to income taxes. Under ASC 740, tax benefits are recognized when it is more-likely-than-not that a tax position will be sustained upon examination by the authorities. The benefit recognized from a position that has surpassed the more-likely-than-not threshold is the largest amount of benefit that is more than 50% likely to be realized upon settlement.</w:t>
      </w:r>
    </w:p>
    <w:p>
      <w:pPr>
        <w:spacing w:after="0" w:line="91"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 accordance with ASC 740 and as discussed further in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changes to existing net deferred tax assets, valuation allowances, or changes to uncertain tax benefits, are recorded to income tax expense.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Asset Acquisitions</w:t>
      </w:r>
    </w:p>
    <w:p>
      <w:pPr>
        <w:spacing w:after="0" w:line="13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The Company accounts for its acquisitions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xml:space="preserve"> or ASC 805. For third-party acquisitions, ASC 805 requires an acquirer to recognize and measure in its financial statements the identifiable assets acquired, the liabilities assumed and any noncontrolling interest in the acquiree at fair value at the acquisition date. No goodwill is recognized and excess purchase price or negative goodwill are allocated to the acquired assets on a relative fair value basis. For acquisitions that relate to entities under common control, the difference between the cash paid and historical value of the entities’ equity is recorded as a distribution/contribution from/to CEG with the offset to noncontrolling interest.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Equity Arrangements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Certain portions of the Company’s redeemable noncontrolling interest in subsidiaries and noncontrolling interest represent third-party interests in the net assets under certain tax equity arrangements, which are consolidated by the Company, that have been entered into to finance the cost of solar and wind facilities eligible for certain tax credits. The Company has determined that the provisions in the contractual agreements of these structures represent substantive profit sharing arrangements. Further, the Company has determined that the appropriate methodology for calculating the redeemable noncontrolling interest and noncontrolling interest that reflects the substantive profit sharing arrangements is a balance sheet approach utilizing the hypothetical liquidation at book value, or HLBV, method. Under the HLBV method, the amounts reported as redeemable noncontrolling interest and noncontrolling interest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redeemable noncontrolling interest and noncontrolling interest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 In addition, in certain circumstances, the Company and its partners in the tax equity arrangements agree that certain tax benefits are to be utilized outside of the tax equity arrangements, which may result in differences in the amount an investor would hypothetically receive at the initial balance sheet date calculated strictly in accordance with related contractual agreements. These differences are recognized in the consolidated statement of income using a systematic and rational method over the period during which the investor is expected to achieve its target return.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i w:val="1"/>
          <w:iCs w:val="1"/>
          <w:color w:val="auto"/>
        </w:rPr>
        <w:t>Redeemable Noncontrolling Interest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To the extent that a third party has the right to redeem their interests for cash or other assets, the Company has included the noncontrolling interest attributable to the third party as a component of temporary equity in the mezzanine section of the consolidated balance sheet. The following table reflects the changes in the Company’s redeemable noncontrolling interest balance for the year ended December 31, 2022:</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811"/>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7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distributions to redeemable noncontrolling interests</w:t>
            </w:r>
          </w:p>
        </w:tc>
        <w:tc>
          <w:tcPr>
            <w:tcW w:w="48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Comprehensive income attributable to redeemable noncontrolling interests</w:t>
            </w:r>
          </w:p>
        </w:tc>
        <w:tc>
          <w:tcPr>
            <w:tcW w:w="48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8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88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recording transactions and balances resulting from business operations, the Company uses estimates based on the best information available. Estimates are used for such items as plant depreciable lives, tax provisions, uncollectible accounts, AROs, acquisition accounting, fair value of financial instruments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prior year amounts have been reclassified for comparative purposes.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In March 2020, the FASB issued ASU No. 2020-4, </w:t>
      </w:r>
      <w:r>
        <w:rPr>
          <w:rFonts w:ascii="Times New Roman" w:cs="Times New Roman" w:eastAsia="Times New Roman" w:hAnsi="Times New Roman"/>
          <w:sz w:val="14"/>
          <w:szCs w:val="14"/>
          <w:i w:val="1"/>
          <w:iCs w:val="1"/>
          <w:color w:val="auto"/>
        </w:rPr>
        <w:t>Facilitation of the Effects of Reference Rate Reform on Financial Reporting</w:t>
      </w:r>
      <w:r>
        <w:rPr>
          <w:rFonts w:ascii="Times New Roman" w:cs="Times New Roman" w:eastAsia="Times New Roman" w:hAnsi="Times New Roman"/>
          <w:sz w:val="14"/>
          <w:szCs w:val="14"/>
          <w:color w:val="auto"/>
        </w:rPr>
        <w:t xml:space="preserve">.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In December 2022, the FASB issued ASU No. 2022-6, </w:t>
      </w:r>
      <w:r>
        <w:rPr>
          <w:rFonts w:ascii="Times New Roman" w:cs="Times New Roman" w:eastAsia="Times New Roman" w:hAnsi="Times New Roman"/>
          <w:sz w:val="14"/>
          <w:szCs w:val="14"/>
          <w:i w:val="1"/>
          <w:iCs w:val="1"/>
          <w:color w:val="auto"/>
        </w:rPr>
        <w:t>Deferral of the Sunset Date of Reference Rate Reform</w:t>
      </w:r>
      <w:r>
        <w:rPr>
          <w:rFonts w:ascii="Times New Roman" w:cs="Times New Roman" w:eastAsia="Times New Roman" w:hAnsi="Times New Roman"/>
          <w:sz w:val="14"/>
          <w:szCs w:val="14"/>
          <w:color w:val="auto"/>
        </w:rPr>
        <w:t>, to extend the end of the transition period to December 31, 2024. As of December 31, 2022, the Company intends to apply the amendments to all its eligible contract modifications, where applicable, no later than June 30, 2023, the LIBOR cessation date. Additionally, the Company has not elected any optional expedients provided in the standard.</w:t>
      </w:r>
    </w:p>
    <w:p>
      <w:pPr>
        <w:spacing w:after="0" w:line="9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Effective January 1, 2021, the Company adopted ASU No. 2019-12, </w:t>
      </w:r>
      <w:r>
        <w:rPr>
          <w:rFonts w:ascii="Times New Roman" w:cs="Times New Roman" w:eastAsia="Times New Roman" w:hAnsi="Times New Roman"/>
          <w:sz w:val="14"/>
          <w:szCs w:val="14"/>
          <w:i w:val="1"/>
          <w:iCs w:val="1"/>
          <w:color w:val="auto"/>
        </w:rPr>
        <w:t>Income Taxes (Topic 740): Simplifying the Accounting for Income Taxes</w:t>
      </w:r>
      <w:r>
        <w:rPr>
          <w:rFonts w:ascii="Times New Roman" w:cs="Times New Roman" w:eastAsia="Times New Roman" w:hAnsi="Times New Roman"/>
          <w:sz w:val="14"/>
          <w:szCs w:val="14"/>
          <w:color w:val="auto"/>
        </w:rPr>
        <w:t>. The amendments in this ASU simplify the accounting for income taxes by removing certain exceptions to the general principles in Topic 740, Income Taxes. The amendments also improve consistent application of and simplify GAAP for other areas of Topic 740 by clarifying and amending existing guidance. Adoption of the new standard did not have a material impact on the Company’s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Acquisitions and Dispositions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further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Company records the assets acquired and liabilities assumed at acquisition-date fair value, except in the case of acquisitions under common control by CEG, for which assets acquired and liabilities assumed are recorded at historical cost on the acquisition date, which in certain circumstances represent the acquired cost.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6" w:name="page87"/>
    <w:bookmarkEnd w:id="86"/>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fair value of property, plant and equipment for third-party acquisitions was determined primarily based on an income method using discounted cash flows and validated using a cost approach based on the replacement cost of the assets less economic depreciation. This methodology was utilized as the forecasted cash flows incorporate specific attributes of each asset including age, useful life, equipment condition and technology. The fair value of intangible assets was determined utilizing a variation of the income approach determined by discounting incremental cash flows associated with the contracts to present value. Primary assumptions utilized included estimates of generation, contractual prices, operating expenses and the weighted average cost of capital reflective of a market participant. These assumptions are considered to be a Level 3 measurement as defined in ASC 820, as they utilize inputs that are not observable in the market.</w:t>
      </w:r>
    </w:p>
    <w:p>
      <w:pPr>
        <w:spacing w:after="0" w:line="9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Daggett 3 Drop Down — </w:t>
      </w:r>
      <w:r>
        <w:rPr>
          <w:rFonts w:ascii="Times New Roman" w:cs="Times New Roman" w:eastAsia="Times New Roman" w:hAnsi="Times New Roman"/>
          <w:sz w:val="14"/>
          <w:szCs w:val="14"/>
          <w:color w:val="auto"/>
        </w:rPr>
        <w:t>On February 17, 2023, Daggett Solar Investment LLC, a subsidiary of the Company, acquired the Class A membership interests in Daggett Renewable Holdco LLC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Clearway Renew LLC, a subsidiary of CEG, for cash consideration of $21 million. Simultaneously, Daggett Renewable Holdco LLC acquired Daggett TargetCo LLC, the indirect owner of the Daggett 3 solar project, a 300 MW solar project with matching storage capacity that is currently under construction and located in San Bernardino, California. Daggett Renewable Holdco LLC is a partnership between the Company and a third-party investor. The third-party investor also paid cash consideration of $129 million, which was utilized to acquire the Class B membership interests in Daggett Renewable Holdco LLC. Daggett TargetCo LLC consolidates, as the direct owner of the primary beneficiary, a tax equity fund, Daggett TE Holdco LLC, which holds the Daggett 3 solar project. Daggett 3 has PPAs with investment-grade counterparties that have a 15-year weighted average contract duration that will commence when the project reaches commercial operations, which is expected to occur in the first half of 2023. The acquisition was funded with existing sources of liquidity.</w:t>
      </w:r>
    </w:p>
    <w:p>
      <w:pPr>
        <w:spacing w:after="0" w:line="10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Waiawa Drop Down — </w:t>
      </w:r>
      <w:r>
        <w:rPr>
          <w:rFonts w:ascii="Times New Roman" w:cs="Times New Roman" w:eastAsia="Times New Roman" w:hAnsi="Times New Roman"/>
          <w:sz w:val="14"/>
          <w:szCs w:val="14"/>
          <w:color w:val="auto"/>
        </w:rPr>
        <w:t>On October 3, 2022, the Company, through its indirect subsidiary, Lighthouse Renewable Holdco LLC, acquired Waiawa BL Borrower Holdco LLC, the indirect owner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of the Waiawa solar project, a 36 MW solar project with matching storage capacity located in Honolulu, Hawaii, from Clearway Renew LLC for cash consideration of $20 million. Lighthouse Renewable Holdco LLC is a partnership between the Company and a third-party investor. The third-party investor also contributed cash consideration of $12 million, which was utilized to acquire their portion of the acquired entity. Waiawa BL Borrower Holdco LLC consolidates, as the direct owner of the primary beneficiary, a tax equity fund, Waiawa TE Holdco LLC, which directly holds the Waiawa solar project,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Waiawa has a 20-year PPA with an investment-grade utility that commenced in January 2023. The Waiawa solar project is reflected in the Company’s Renewables segment and the acquisition was funded with existing sources of liquidity. The acquisition was determined to be an asset acquisition and the Company consolidates Waiawa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cash paid of $20 million and the historical cost of the Company’s net liabilities assumed of $1 million was recorded as an adjustment to CEG’s noncontrolling interest balance. In addition, the Company reflected $16 million of the Company’s purchase price, which was contributed back to the Company by CEG to pay down the acquired long-term debt, in the line item distributions to CEG, net of contributions, in the consolidated statement of stockholders’ equity.</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October 3,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3"/>
                <w:szCs w:val="13"/>
                <w:b w:val="1"/>
                <w:bCs w:val="1"/>
                <w:color w:val="auto"/>
              </w:rPr>
              <w:t>Waiawa</w:t>
            </w:r>
          </w:p>
        </w:tc>
      </w:tr>
      <w:tr>
        <w:trPr>
          <w:trHeight w:val="17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64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12"/>
        </w:trPr>
        <w:tc>
          <w:tcPr>
            <w:tcW w:w="8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80"/>
        </w:trPr>
        <w:tc>
          <w:tcPr>
            <w:tcW w:w="84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640" w:type="dxa"/>
            <w:vAlign w:val="bottom"/>
            <w:shd w:val="clear" w:color="auto" w:fill="CCEEFF"/>
          </w:tcPr>
          <w:p>
            <w:pPr>
              <w:spacing w:after="0"/>
              <w:rPr>
                <w:sz w:val="15"/>
                <w:szCs w:val="15"/>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6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4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8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left="60" w:firstLine="9"/>
        <w:spacing w:after="0" w:line="259" w:lineRule="auto"/>
        <w:tabs>
          <w:tab w:leader="none" w:pos="185" w:val="left"/>
        </w:tabs>
        <w:numPr>
          <w:ilvl w:val="0"/>
          <w:numId w:val="4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a $22 million construction loan, $26 million sponsor equity bridge loan and $55 million tax equity bridge loan, offset by $1 million in unamortized debt issuance costs. The sponsor equity bridge loan was repaid at acquisition date, along with $2 million in associated fees, utilizing $12 million from the cash equity investor, as well as $16 million of the Company's purchase price, which was contributed back to the Company by CEG. Also at acquisition date, the tax equity investor contributed $17 million into escrow, which is included in restricted cash on the Company's consolidated balance sheet at December 31, 2022. The tax equity investor will contribute an additional $41 million when the project reaches substantial completion, which will be utilized, along with the $17 million in escrow, to repay the $55 million tax equity bridge loan. The project is expected to reach substantial completion in the first half of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7" w:name="page88"/>
    <w:bookmarkEnd w:id="87"/>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Capistrano Wind Portfolio Acquisition — </w:t>
      </w:r>
      <w:r>
        <w:rPr>
          <w:rFonts w:ascii="Times New Roman" w:cs="Times New Roman" w:eastAsia="Times New Roman" w:hAnsi="Times New Roman"/>
          <w:sz w:val="14"/>
          <w:szCs w:val="14"/>
          <w:color w:val="auto"/>
        </w:rPr>
        <w:t>On August 22, 2022, the Company, through its wholly-owned indirect subsidiary, Capistrano Portfolio Holdco LLC, acquired the Capistrano Wind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Portfolio from Capistrano Wind Partners LLC, an indirect subsidiary of CEG, for a base purchase price of approximately $255 million, less working capital adjustments in the net amount of approximately $16 million, representing total net consideration of approximately $239 million. Concurrent with the acquisition, the Company also entered into a development agreement with Clearway Renew LLC, whereby Clearway Renew LLC paid $10 million to the Company at acquisition date for an exclusive right to develop, construct and repower the projects in the Capistrano Wind Portfolio, which was utilized to partially fund the acquisition of the Capistrano Wind Portfolio. The Capistrano Wind Portfolio consists of five wind projects located in Texas, Nebraska and Wyoming with a combined capacity of 413 MW that reached commercial operations between 2008 and 2012. The assets within the portfolio sell power under PPAs with investment-grade counterparties that have a weighted average remaining contract duration of approximately 9 years. The Capistrano Wind Portfolio operations are reflected in the Company’s Renewables segment and the acquisition was funded with existing sources of liquidity. The acquisition was determined to be an asset acquisition and the Company consolidates the Capistrano Wind Portfolio on a prospective basis in its financial statements. The assets and liabilities transferred to the Company relate to interests under common control and were transferred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which reflects GIP’s basis. The difference between the historical cost of the Company’s net assets acquired of $250 million, less the sum of the cash paid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$239 million and the $4 million in accumulated other comprehensive income transferred to the Company, was recorded as an adjustment to CEG’s noncontrolling interest balance.</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August 22,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Capistrano Wind Portfolio</w:t>
            </w:r>
          </w:p>
        </w:tc>
      </w:tr>
      <w:tr>
        <w:trPr>
          <w:trHeight w:val="173"/>
        </w:trPr>
        <w:tc>
          <w:tcPr>
            <w:tcW w:w="846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Other current and non-current assets </w:t>
            </w:r>
            <w:r>
              <w:rPr>
                <w:rFonts w:ascii="Times New Roman" w:cs="Times New Roman" w:eastAsia="Times New Roman" w:hAnsi="Times New Roman"/>
                <w:sz w:val="18"/>
                <w:szCs w:val="18"/>
                <w:color w:val="auto"/>
                <w:vertAlign w:val="superscript"/>
              </w:rPr>
              <w:t>(a)</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8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assets for power purchase agreements</w:t>
            </w:r>
          </w:p>
        </w:tc>
        <w:tc>
          <w:tcPr>
            <w:tcW w:w="38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Right-of-use-assets, net</w:t>
            </w:r>
          </w:p>
        </w:tc>
        <w:tc>
          <w:tcPr>
            <w:tcW w:w="3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380" w:type="dxa"/>
            <w:vAlign w:val="bottom"/>
            <w:shd w:val="clear" w:color="auto" w:fill="CCEEFF"/>
          </w:tcPr>
          <w:p>
            <w:pPr>
              <w:spacing w:after="0"/>
              <w:rPr>
                <w:sz w:val="14"/>
                <w:szCs w:val="14"/>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r>
      <w:tr>
        <w:trPr>
          <w:trHeight w:val="212"/>
        </w:trPr>
        <w:tc>
          <w:tcPr>
            <w:tcW w:w="8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w:t>
            </w:r>
          </w:p>
        </w:tc>
        <w:tc>
          <w:tcPr>
            <w:tcW w:w="380" w:type="dxa"/>
            <w:vAlign w:val="bottom"/>
            <w:shd w:val="clear" w:color="auto" w:fill="CCEEFF"/>
          </w:tcPr>
          <w:p>
            <w:pPr>
              <w:spacing w:after="0"/>
              <w:rPr>
                <w:sz w:val="15"/>
                <w:szCs w:val="15"/>
                <w:color w:val="auto"/>
              </w:rPr>
            </w:pP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38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380" w:type="dxa"/>
            <w:vAlign w:val="bottom"/>
            <w:tcBorders>
              <w:bottom w:val="single" w:sz="8" w:color="auto"/>
            </w:tcBorders>
            <w:shd w:val="clear" w:color="auto" w:fill="CCEEFF"/>
          </w:tcPr>
          <w:p>
            <w:pPr>
              <w:spacing w:after="0"/>
              <w:rPr>
                <w:sz w:val="15"/>
                <w:szCs w:val="15"/>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8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6"/>
        </w:trPr>
        <w:tc>
          <w:tcPr>
            <w:tcW w:w="8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cash of $12 million and restricted cash of $4 million.</w:t>
      </w:r>
    </w:p>
    <w:p>
      <w:pPr>
        <w:spacing w:after="0" w:line="80" w:lineRule="exact"/>
        <w:rPr>
          <w:sz w:val="20"/>
          <w:szCs w:val="20"/>
          <w:color w:val="auto"/>
        </w:rPr>
      </w:pPr>
    </w:p>
    <w:p>
      <w:pPr>
        <w:jc w:val="both"/>
        <w:ind w:left="60"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Mililani I Drop Down — </w:t>
      </w:r>
      <w:r>
        <w:rPr>
          <w:rFonts w:ascii="Times New Roman" w:cs="Times New Roman" w:eastAsia="Times New Roman" w:hAnsi="Times New Roman"/>
          <w:sz w:val="14"/>
          <w:szCs w:val="14"/>
          <w:color w:val="auto"/>
        </w:rPr>
        <w:t>On March 25, 2022, the Company, through its indirect subsidiary, Lighthouse Renewable Holdco LLC, acquired Mililani BL Borrower Holdco LLC, the indirect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owner of the Mililani I solar project, a 39 MW solar project with matching storage capacity located in Honolulu, Hawaii, from Clearway Renew LLC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Mililani I has a 20-year PPA with an investment-grade utility that commenced in July 2022.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cash paid of $22 million and the historical cost of the Company’s net liabilities assumed of $8 million was recorded as an adjustment to CEG’s noncontrolling interest balance. In addition, the Company reflected $15 million of the Company’s purchase price, which was contributed back to the Company by CEG to pay down the acquired long-term debt, in the line item distributions to CEG, net of contributions, in the consolidated statement of stockholders’ equity.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8" w:name="page89"/>
    <w:bookmarkEnd w:id="88"/>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25,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3"/>
                <w:szCs w:val="13"/>
                <w:b w:val="1"/>
                <w:bCs w:val="1"/>
                <w:color w:val="auto"/>
              </w:rPr>
              <w:t>Mililani I</w:t>
            </w:r>
          </w:p>
        </w:tc>
      </w:tr>
      <w:tr>
        <w:trPr>
          <w:trHeight w:val="17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Right-of-use-assets</w:t>
            </w:r>
          </w:p>
        </w:tc>
        <w:tc>
          <w:tcPr>
            <w:tcW w:w="62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62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12"/>
        </w:trPr>
        <w:tc>
          <w:tcPr>
            <w:tcW w:w="8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0"/>
        </w:trPr>
        <w:tc>
          <w:tcPr>
            <w:tcW w:w="84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62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6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2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8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left="60" w:firstLine="9"/>
        <w:spacing w:after="0" w:line="341" w:lineRule="auto"/>
        <w:tabs>
          <w:tab w:leader="none" w:pos="185" w:val="left"/>
        </w:tabs>
        <w:numPr>
          <w:ilvl w:val="0"/>
          <w:numId w:val="4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a $16 million construction loan, $27 million sponsor equity bridge loan and $60 million tax equity bridge loan, offset by $3 million in unamortized debt issuance costs. The sponsor equity bridge loan was repaid at acquisition date, along with $2 million in associated fees, utilizing $14 million from the cash equity investor, as well as $15 million of the Company’s purchase price, which was contributed back to the Company by CEG. Also at acquisition date, the tax equity investor contributed $18 million into escrow, which was included in restricted cash on the Company’s consolidated balance sheet. On December 7, 2022, when the project reached substantial completion, the tax equity investor contributed an additional $42 million and CEG contributed an additional $11 million, which was utilized, along with the $18 million in escrow, to repay the $60 million tax equity bridge loan, to fund $7 million in construction completion reserves and to pay $4 million in associated fees.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Black Rock Drop Down — </w:t>
      </w:r>
      <w:r>
        <w:rPr>
          <w:rFonts w:ascii="Times New Roman" w:cs="Times New Roman" w:eastAsia="Times New Roman" w:hAnsi="Times New Roman"/>
          <w:sz w:val="14"/>
          <w:szCs w:val="14"/>
          <w:color w:val="auto"/>
        </w:rPr>
        <w:t>On December 29, 2021, the Company, through its indirect subsidiary Lighthouse Renewable Holding Sub LLC, acquired the Class B membership interests in Black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Rock Wind Holding LLC from Clearway Renew LLC for $60 million in cash consideration, $37 million of which was paid on December 29, 2021 with the remaining $23 million paid in February 2022 after all remaining turbines were operational. Lighthouse Renewable Holding Sub LLC is a wholly-owned subsidiary of Lighthouse Renewable Holdco LLC, which is a partnership between the Company and a third-party investor. The third-party investor also contributed cash consideration utilized to acquire their portion of the Class B membership interests. The Class A membership interests in Black Rock Wind Holding LLC were acquired by another third-party investor in 2020, which sold their interest back to the Company on March 31, 2022. Black Rock Wind Holding LLC, through its wholly-owned subsidiary, Black Rock Class B Holdco LLC, is the primary beneficiary and consolidates its interests in a tax equity fund, Black Rock TE Holdco LLC, that holds the Black Rock wind project, a 115 MW utility scale wind project located in Mineral County and Grant County, West Virginia, which achieved commercial operations in December 2021,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A majority of the project’s output is backed by contracts with investment-grade counterparties with a 15-year weighted average contract life. The Black Rock operations are reflected in the Company’s Renewables segment and the acquisition was funded with existing sources of liquidity. The acquisition was determined to be an asset acquisition and not a business combination, therefore the Company consolidated the financial information for Black Rock on a prospective basis.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cash paid of $60 million and the historical cost of the Company’s acquired interests of $19 million was recorded as an adjustment to CEG’s noncontrolling interest balance. In addition, the Company reflected additional contributions paid by CEG and the portion of the Company’s purchase price utilized to repay long-term debt, totaling $133 million, as contributions from CEG in the statement of stockholders’ equity, and as an impact of the Black Rock Drop Down in noncontrolling interest.</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9" w:name="page90"/>
    <w:bookmarkEnd w:id="89"/>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29,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3"/>
                <w:szCs w:val="13"/>
                <w:b w:val="1"/>
                <w:bCs w:val="1"/>
                <w:color w:val="auto"/>
              </w:rPr>
              <w:t>Black Rock</w:t>
            </w:r>
          </w:p>
        </w:tc>
      </w:tr>
      <w:tr>
        <w:trPr>
          <w:trHeight w:val="173"/>
        </w:trPr>
        <w:tc>
          <w:tcPr>
            <w:tcW w:w="846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Current assets </w:t>
            </w:r>
            <w:r>
              <w:rPr>
                <w:rFonts w:ascii="Times New Roman" w:cs="Times New Roman" w:eastAsia="Times New Roman" w:hAnsi="Times New Roman"/>
                <w:sz w:val="18"/>
                <w:szCs w:val="18"/>
                <w:color w:val="auto"/>
                <w:vertAlign w:val="superscript"/>
              </w:rPr>
              <w:t>(a)</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Right-of-use-assets</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5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580" w:type="dxa"/>
            <w:vAlign w:val="bottom"/>
            <w:shd w:val="clear" w:color="auto" w:fill="CCEEFF"/>
          </w:tcPr>
          <w:p>
            <w:pPr>
              <w:spacing w:after="0"/>
              <w:rPr>
                <w:sz w:val="14"/>
                <w:szCs w:val="14"/>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212"/>
        </w:trPr>
        <w:tc>
          <w:tcPr>
            <w:tcW w:w="8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80"/>
        </w:trPr>
        <w:tc>
          <w:tcPr>
            <w:tcW w:w="84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58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8460" w:type="dxa"/>
            <w:vAlign w:val="bottom"/>
            <w:tcBorders>
              <w:bottom w:val="single" w:sz="8" w:color="CCEEFF"/>
            </w:tcBorders>
          </w:tcPr>
          <w:p>
            <w:pPr>
              <w:ind w:left="200"/>
              <w:spacing w:after="0" w:line="171" w:lineRule="exact"/>
              <w:rPr>
                <w:sz w:val="20"/>
                <w:szCs w:val="20"/>
                <w:color w:val="auto"/>
              </w:rPr>
            </w:pPr>
            <w:r>
              <w:rPr>
                <w:rFonts w:ascii="Times New Roman" w:cs="Times New Roman" w:eastAsia="Times New Roman" w:hAnsi="Times New Roman"/>
                <w:sz w:val="14"/>
                <w:szCs w:val="14"/>
                <w:color w:val="auto"/>
              </w:rPr>
              <w:t xml:space="preserve">Total liabilities assumed </w:t>
            </w:r>
            <w:r>
              <w:rPr>
                <w:rFonts w:ascii="Times New Roman" w:cs="Times New Roman" w:eastAsia="Times New Roman" w:hAnsi="Times New Roman"/>
                <w:sz w:val="18"/>
                <w:szCs w:val="18"/>
                <w:color w:val="auto"/>
                <w:vertAlign w:val="superscript"/>
              </w:rPr>
              <w:t>(c)</w:t>
            </w: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r>
      <w:tr>
        <w:trPr>
          <w:trHeight w:val="196"/>
        </w:trPr>
        <w:tc>
          <w:tcPr>
            <w:tcW w:w="8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51" w:lineRule="exact"/>
        <w:rPr>
          <w:sz w:val="20"/>
          <w:szCs w:val="20"/>
          <w:color w:val="auto"/>
        </w:rPr>
      </w:pPr>
    </w:p>
    <w:p>
      <w:pPr>
        <w:ind w:left="200" w:hanging="131"/>
        <w:spacing w:after="0"/>
        <w:tabs>
          <w:tab w:leader="none" w:pos="200" w:val="left"/>
        </w:tabs>
        <w:numPr>
          <w:ilvl w:val="0"/>
          <w:numId w:val="4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$35 million reserved for project completion costs included in restricted cash on the Company’s balance sheet at acquisition date, which is included within the $133 million contributed by CEG described above.</w:t>
      </w:r>
    </w:p>
    <w:p>
      <w:pPr>
        <w:spacing w:after="0" w:line="34" w:lineRule="exact"/>
        <w:rPr>
          <w:rFonts w:ascii="Times New Roman" w:cs="Times New Roman" w:eastAsia="Times New Roman" w:hAnsi="Times New Roman"/>
          <w:sz w:val="17"/>
          <w:szCs w:val="17"/>
          <w:color w:val="auto"/>
          <w:vertAlign w:val="superscript"/>
        </w:rPr>
      </w:pPr>
    </w:p>
    <w:p>
      <w:pPr>
        <w:jc w:val="both"/>
        <w:ind w:left="60" w:firstLine="9"/>
        <w:spacing w:after="0" w:line="261" w:lineRule="auto"/>
        <w:tabs>
          <w:tab w:leader="none" w:pos="185" w:val="left"/>
        </w:tabs>
        <w:numPr>
          <w:ilvl w:val="0"/>
          <w:numId w:val="4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Repaid at acquisition date utilizing $56 million contributed by the tax equity investor, $36 million from the cash equity investor and $61 million contributed by CEG, all recorded as contributions in noncontrolling interest, as well as $37 million of the Company’s acquisition price. Of the $190 million contributed, $186 million was utilized to pay down the acquired debt and $4 million was utilized to pay associated fees. The $61 million contributed by CEG and the Company’s initial acquisition price of $37 million are also included within the $133 million contributed by CEG described above.</w:t>
      </w:r>
    </w:p>
    <w:p>
      <w:pPr>
        <w:spacing w:after="0" w:line="156" w:lineRule="exact"/>
        <w:rPr>
          <w:rFonts w:ascii="Times New Roman" w:cs="Times New Roman" w:eastAsia="Times New Roman" w:hAnsi="Times New Roman"/>
          <w:sz w:val="14"/>
          <w:szCs w:val="14"/>
          <w:color w:val="auto"/>
          <w:vertAlign w:val="superscript"/>
        </w:rPr>
      </w:pPr>
    </w:p>
    <w:p>
      <w:pPr>
        <w:ind w:left="60" w:firstLine="9"/>
        <w:spacing w:after="0" w:line="228" w:lineRule="auto"/>
        <w:tabs>
          <w:tab w:leader="none" w:pos="192" w:val="left"/>
        </w:tabs>
        <w:numPr>
          <w:ilvl w:val="0"/>
          <w:numId w:val="4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Total liabilities assumed excludes amounts due to CEG as of the acquisition date for the remaining turbines that became operational in January 2022. The liabilities totaled $83 million, of which $59 million was received from the tax equity and cash equity investors and was held in escrow accounts as of the acquisition date.</w:t>
      </w:r>
    </w:p>
    <w:p>
      <w:pPr>
        <w:spacing w:after="0" w:line="109"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Mesquite Sky Drop Down — </w:t>
      </w:r>
      <w:r>
        <w:rPr>
          <w:rFonts w:ascii="Times New Roman" w:cs="Times New Roman" w:eastAsia="Times New Roman" w:hAnsi="Times New Roman"/>
          <w:sz w:val="14"/>
          <w:szCs w:val="14"/>
          <w:color w:val="auto"/>
        </w:rPr>
        <w:t>On December 17, 2021, the Company, through its indirect subsidiary Lighthouse Renewable Holdco 2 LLC, acquired the Class B membership interests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Mesquite Sky Holding LLC from Clearway Renew LLC for $61 million in cash consideration. Lighthouse Renewable Holdco 2 LLC is a partnership between the Company and a third-party investor. The third-party investor also contributed cash consideration utilized to acquire their portion of the Class B membership interests. The Class A membership interests of Mesquite Sky Holding LLC were acquired by another third-party investor in 2020, which sold their interest back to the Company on March 18, 2022. Mesquite Sky Holding LLC, through its wholly-owned subsidiary, Mesquite Sky Class B Holdco LLC, is the primary beneficiary and consolidates its interests in a tax equity fund, Mesquite Sky TE Holdco LLC, that holds the Mesquite Sky wind project, a 340 MW utility scale wind project located in Callahan County, Texas, which achieved commercial operations in December 2021, as further described in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Variable Interest Entities</w:t>
      </w:r>
      <w:r>
        <w:rPr>
          <w:rFonts w:ascii="Times New Roman" w:cs="Times New Roman" w:eastAsia="Times New Roman" w:hAnsi="Times New Roman"/>
          <w:sz w:val="14"/>
          <w:szCs w:val="14"/>
          <w:color w:val="auto"/>
        </w:rPr>
        <w:t>. A majority of the project’s output is backed by contracts with investment-grade counterparties with a 12-year weighted average contract life. The Mesquite Sky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are reflected in the Company’s Renewables segment and the acquisition was funded with existing sources of liquidity. The acquisition was determined to be an asset acquisition and not a business combination, therefore the Company consolidated the financial information for Mesquite Sky on a prospective basis.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cash paid of $61 million and the historical cost of the Company’s net liabilities assumed of $7 million was recorded as an adjustment to CEG’s noncontrolling interest balance. The difference between cash paid, interests acquired, and the balance in equity is capital reserved for project completion. In addition, the Company reflected additional contributions paid by CEG and the portion of the Company’s purchase price utilized to repay long-term debt, totaling $52 million, as contributions from CEG in the statement of stockholders’ equity, and as an impact of the Mesquite Sky drop down in noncontrolling interest.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17,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3"/>
                <w:szCs w:val="13"/>
                <w:b w:val="1"/>
                <w:bCs w:val="1"/>
                <w:color w:val="auto"/>
              </w:rPr>
              <w:t>Mesquite Sky</w:t>
            </w:r>
          </w:p>
        </w:tc>
      </w:tr>
      <w:tr>
        <w:trPr>
          <w:trHeight w:val="173"/>
        </w:trPr>
        <w:tc>
          <w:tcPr>
            <w:tcW w:w="8460" w:type="dxa"/>
            <w:vAlign w:val="bottom"/>
            <w:shd w:val="clear" w:color="auto" w:fill="CCEEFF"/>
          </w:tcPr>
          <w:p>
            <w:pPr>
              <w:ind w:left="120"/>
              <w:spacing w:after="0" w:line="173" w:lineRule="exact"/>
              <w:rPr>
                <w:sz w:val="20"/>
                <w:szCs w:val="20"/>
                <w:color w:val="auto"/>
              </w:rPr>
            </w:pPr>
            <w:r>
              <w:rPr>
                <w:rFonts w:ascii="Times New Roman" w:cs="Times New Roman" w:eastAsia="Times New Roman" w:hAnsi="Times New Roman"/>
                <w:sz w:val="14"/>
                <w:szCs w:val="14"/>
                <w:color w:val="auto"/>
              </w:rPr>
              <w:t xml:space="preserve">Current assets </w:t>
            </w:r>
            <w:r>
              <w:rPr>
                <w:rFonts w:ascii="Times New Roman" w:cs="Times New Roman" w:eastAsia="Times New Roman" w:hAnsi="Times New Roman"/>
                <w:sz w:val="18"/>
                <w:szCs w:val="18"/>
                <w:color w:val="auto"/>
                <w:vertAlign w:val="superscript"/>
              </w:rPr>
              <w:t>(a)</w:t>
            </w: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6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 use assets</w:t>
            </w:r>
          </w:p>
        </w:tc>
        <w:tc>
          <w:tcPr>
            <w:tcW w:w="56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560" w:type="dxa"/>
            <w:vAlign w:val="bottom"/>
            <w:shd w:val="clear" w:color="auto" w:fill="CCEEFF"/>
          </w:tcPr>
          <w:p>
            <w:pPr>
              <w:spacing w:after="0"/>
              <w:rPr>
                <w:sz w:val="14"/>
                <w:szCs w:val="14"/>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212"/>
        </w:trPr>
        <w:tc>
          <w:tcPr>
            <w:tcW w:w="8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80"/>
        </w:trPr>
        <w:tc>
          <w:tcPr>
            <w:tcW w:w="84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(b)</w:t>
            </w:r>
          </w:p>
        </w:tc>
        <w:tc>
          <w:tcPr>
            <w:tcW w:w="56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56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Derivative liabilities</w:t>
            </w:r>
          </w:p>
        </w:tc>
        <w:tc>
          <w:tcPr>
            <w:tcW w:w="56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5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71"/>
        </w:trPr>
        <w:tc>
          <w:tcPr>
            <w:tcW w:w="8460" w:type="dxa"/>
            <w:vAlign w:val="bottom"/>
            <w:shd w:val="clear" w:color="auto" w:fill="CCEEFF"/>
          </w:tcPr>
          <w:p>
            <w:pPr>
              <w:ind w:left="200"/>
              <w:spacing w:after="0" w:line="171" w:lineRule="exact"/>
              <w:rPr>
                <w:sz w:val="20"/>
                <w:szCs w:val="20"/>
                <w:color w:val="auto"/>
              </w:rPr>
            </w:pPr>
            <w:r>
              <w:rPr>
                <w:rFonts w:ascii="Times New Roman" w:cs="Times New Roman" w:eastAsia="Times New Roman" w:hAnsi="Times New Roman"/>
                <w:sz w:val="14"/>
                <w:szCs w:val="14"/>
                <w:color w:val="auto"/>
              </w:rPr>
              <w:t xml:space="preserve">Total liabilities assumed </w:t>
            </w:r>
            <w:r>
              <w:rPr>
                <w:rFonts w:ascii="Times New Roman" w:cs="Times New Roman" w:eastAsia="Times New Roman" w:hAnsi="Times New Roman"/>
                <w:sz w:val="18"/>
                <w:szCs w:val="18"/>
                <w:color w:val="auto"/>
                <w:vertAlign w:val="superscript"/>
              </w:rPr>
              <w:t>(c)</w:t>
            </w:r>
          </w:p>
        </w:tc>
        <w:tc>
          <w:tcPr>
            <w:tcW w:w="560" w:type="dxa"/>
            <w:vAlign w:val="bottom"/>
            <w:tcBorders>
              <w:bottom w:val="single" w:sz="8" w:color="auto"/>
            </w:tcBorders>
            <w:shd w:val="clear" w:color="auto" w:fill="CCEEFF"/>
          </w:tcPr>
          <w:p>
            <w:pPr>
              <w:spacing w:after="0"/>
              <w:rPr>
                <w:sz w:val="14"/>
                <w:szCs w:val="14"/>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8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180" w:hanging="111"/>
        <w:spacing w:after="0"/>
        <w:tabs>
          <w:tab w:leader="none" w:pos="180" w:val="left"/>
        </w:tabs>
        <w:numPr>
          <w:ilvl w:val="0"/>
          <w:numId w:val="4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$44 million reserved for project completion costs included in restricted cash on the Company’s balance sheet at acquisition date, which is included within the $52 million contributed by CEG described above.</w:t>
      </w:r>
    </w:p>
    <w:p>
      <w:pPr>
        <w:spacing w:after="0" w:line="56" w:lineRule="exact"/>
        <w:rPr>
          <w:rFonts w:ascii="Times New Roman" w:cs="Times New Roman" w:eastAsia="Times New Roman" w:hAnsi="Times New Roman"/>
          <w:sz w:val="15"/>
          <w:szCs w:val="15"/>
          <w:color w:val="auto"/>
          <w:vertAlign w:val="superscript"/>
        </w:rPr>
      </w:pPr>
    </w:p>
    <w:p>
      <w:pPr>
        <w:jc w:val="both"/>
        <w:ind w:left="60" w:firstLine="9"/>
        <w:spacing w:after="0" w:line="238" w:lineRule="auto"/>
        <w:tabs>
          <w:tab w:leader="none" w:pos="199" w:val="left"/>
        </w:tabs>
        <w:numPr>
          <w:ilvl w:val="0"/>
          <w:numId w:val="4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Repaid at acquisition date utilizing $241 million contributed by the tax equity investor and $107 million contributed by the cash equity investor, both recorded as contributions in noncontrolling interest, as well as the Company’s $61 million acquisition price. Of the $409 million contributed, $355 million was utilized to pay down the acquired debt and $1 million was utilized to pay associated fees. The remaining $53 million was distributed to CEG for the acquisition. The net of the Company’s $61 million acquisition price and the distribution to CEG of $53 million are included within the $52 million contributed by CEG described above.</w:t>
      </w:r>
    </w:p>
    <w:p>
      <w:pPr>
        <w:ind w:left="200" w:hanging="131"/>
        <w:spacing w:after="0" w:line="221" w:lineRule="auto"/>
        <w:tabs>
          <w:tab w:leader="none" w:pos="200" w:val="left"/>
        </w:tabs>
        <w:numPr>
          <w:ilvl w:val="0"/>
          <w:numId w:val="4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Total liabilities assumed excludes amounts due to CEG as of the acquisition date of $6 million, of which $5 million was received from the tax equity and cash equity investors and was held in escrow accounts as of the acquisition date.</w:t>
      </w:r>
    </w:p>
    <w:p>
      <w:pPr>
        <w:spacing w:after="0" w:line="11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Utah Solar Portfolio Acquisition </w:t>
      </w:r>
      <w:r>
        <w:rPr>
          <w:rFonts w:ascii="Times New Roman" w:cs="Times New Roman" w:eastAsia="Times New Roman" w:hAnsi="Times New Roman"/>
          <w:sz w:val="14"/>
          <w:szCs w:val="14"/>
          <w:color w:val="auto"/>
        </w:rPr>
        <w:t>— On December 1, 2021, the Company acquired the remaining 50% equity interest in the Utah Solar Portfolio from Dominion Solar Projects III, Inc.,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approximately $335 million before working capital and purchase price adjustments in the net amount of $5 million, representing total net consideration of $330 million. The Utah Solar Portfolio consists of seven utility-scale solar farms located in Utah, representing 530 MW of capacity. The assets within the portfolio sell power subject to 20-year PPAs with PacifiCorp that have approximately 15 years remaining under the agreements. Following the close of the transaction, the Company owns 100% of the membership interests in the Utah Solar Portfolio and consolidates the Utah Solar Portfolio. The Utah Solar Portfolio operations are included in the Company’s Renewables segment. The acquisition was determined to be an asset acquisition and the cash consideration of $330 million, net of restricted cash acquired of $8 million, represented a net cash outflow of $322 million, which was allocated to the fair value of the assets acquired and liabilities assumed on the acquisition date. The acquisition was funded with the borrowings under the Bridge Loan Agreement, as described in Note 10, </w:t>
      </w:r>
      <w:r>
        <w:rPr>
          <w:rFonts w:ascii="Times New Roman" w:cs="Times New Roman" w:eastAsia="Times New Roman" w:hAnsi="Times New Roman"/>
          <w:sz w:val="14"/>
          <w:szCs w:val="14"/>
          <w:i w:val="1"/>
          <w:iCs w:val="1"/>
          <w:color w:val="auto"/>
        </w:rPr>
        <w:t>Long-term Debt.</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December 1, 2021: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Utah Solar Portfolio</w:t>
            </w:r>
          </w:p>
        </w:tc>
        <w:tc>
          <w:tcPr>
            <w:tcW w:w="0" w:type="dxa"/>
            <w:vAlign w:val="bottom"/>
          </w:tcPr>
          <w:p>
            <w:pPr>
              <w:spacing w:after="0"/>
              <w:rPr>
                <w:sz w:val="1"/>
                <w:szCs w:val="1"/>
                <w:color w:val="auto"/>
              </w:rPr>
            </w:pPr>
          </w:p>
        </w:tc>
      </w:tr>
      <w:tr>
        <w:trPr>
          <w:trHeight w:val="173"/>
        </w:trPr>
        <w:tc>
          <w:tcPr>
            <w:tcW w:w="4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42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assets for power purchase agreement</w:t>
            </w:r>
          </w:p>
        </w:tc>
        <w:tc>
          <w:tcPr>
            <w:tcW w:w="4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intangible assets</w:t>
            </w:r>
          </w:p>
        </w:tc>
        <w:tc>
          <w:tcPr>
            <w:tcW w:w="4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 use assets</w:t>
            </w:r>
          </w:p>
        </w:tc>
        <w:tc>
          <w:tcPr>
            <w:tcW w:w="42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4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22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method investment removed</w:t>
            </w:r>
          </w:p>
        </w:tc>
        <w:tc>
          <w:tcPr>
            <w:tcW w:w="42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422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220" w:type="dxa"/>
            <w:vAlign w:val="bottom"/>
            <w:vMerge w:val="restart"/>
          </w:tcPr>
          <w:p>
            <w:pPr>
              <w:jc w:val="right"/>
              <w:ind w:right="2609"/>
              <w:spacing w:after="0"/>
              <w:rPr>
                <w:sz w:val="20"/>
                <w:szCs w:val="20"/>
                <w:color w:val="auto"/>
              </w:rPr>
            </w:pPr>
            <w:r>
              <w:rPr>
                <w:rFonts w:ascii="Times New Roman" w:cs="Times New Roman" w:eastAsia="Times New Roman" w:hAnsi="Times New Roman"/>
                <w:sz w:val="14"/>
                <w:szCs w:val="14"/>
                <w:color w:val="auto"/>
              </w:rPr>
              <w:t>91</w:t>
            </w:r>
          </w:p>
        </w:tc>
        <w:tc>
          <w:tcPr>
            <w:tcW w:w="4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418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80" w:type="dxa"/>
            <w:vAlign w:val="bottom"/>
            <w:tcBorders>
              <w:bottom w:val="single" w:sz="8" w:color="9A9A9A"/>
            </w:tcBorders>
          </w:tcPr>
          <w:p>
            <w:pPr>
              <w:spacing w:after="0"/>
              <w:rPr>
                <w:sz w:val="7"/>
                <w:szCs w:val="7"/>
                <w:color w:val="auto"/>
              </w:rPr>
            </w:pPr>
          </w:p>
        </w:tc>
        <w:tc>
          <w:tcPr>
            <w:tcW w:w="42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1" w:name="page92"/>
    <w:bookmarkEnd w:id="91"/>
    <w:p>
      <w:pPr>
        <w:jc w:val="both"/>
        <w:ind w:firstLine="318"/>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Mt. Storm Wind Acquisition — </w:t>
      </w:r>
      <w:r>
        <w:rPr>
          <w:rFonts w:ascii="Times New Roman" w:cs="Times New Roman" w:eastAsia="Times New Roman" w:hAnsi="Times New Roman"/>
          <w:sz w:val="14"/>
          <w:szCs w:val="14"/>
          <w:color w:val="auto"/>
        </w:rPr>
        <w:t>On April 23, 2021, the Company acquired 100% of the equity interests in NedPower Mount Storm LLC, or Mt. Storm, from Castleton Commodities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International for approximately $96 million before working capital and purchase price adjustments in the net amount of $4 million, representing a total net consideration of $100 million. Mt. Storm is a 264 MW wind project located in Grant County, West Virginia. Mt. Storm has a 10-year energy hedge with an investment-grade counterparty. The acquisition was determined to be an asset acquisition and the purchase price was allocated to the fair value of the assets acquired and liabilities assumed on the acquisition date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3"/>
                <w:szCs w:val="13"/>
                <w:b w:val="1"/>
                <w:bCs w:val="1"/>
                <w:color w:val="auto"/>
              </w:rPr>
              <w:t>Mt. Storm</w:t>
            </w:r>
          </w:p>
        </w:tc>
      </w:tr>
      <w:tr>
        <w:trPr>
          <w:trHeight w:val="173"/>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2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r>
      <w:tr>
        <w:trPr>
          <w:trHeight w:val="18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non-current assets</w:t>
            </w:r>
          </w:p>
        </w:tc>
        <w:tc>
          <w:tcPr>
            <w:tcW w:w="62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8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6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92"/>
        </w:trPr>
        <w:tc>
          <w:tcPr>
            <w:tcW w:w="84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80"/>
        </w:trPr>
        <w:tc>
          <w:tcPr>
            <w:tcW w:w="8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Derivative instruments</w:t>
            </w:r>
          </w:p>
        </w:tc>
        <w:tc>
          <w:tcPr>
            <w:tcW w:w="620" w:type="dxa"/>
            <w:vAlign w:val="bottom"/>
          </w:tcPr>
          <w:p>
            <w:pPr>
              <w:spacing w:after="0"/>
              <w:rPr>
                <w:sz w:val="15"/>
                <w:szCs w:val="15"/>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8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620" w:type="dxa"/>
            <w:vAlign w:val="bottom"/>
            <w:tcBorders>
              <w:bottom w:val="single" w:sz="8" w:color="auto"/>
            </w:tcBorders>
            <w:shd w:val="clear" w:color="auto" w:fill="CCEEFF"/>
          </w:tcPr>
          <w:p>
            <w:pPr>
              <w:spacing w:after="0"/>
              <w:rPr>
                <w:sz w:val="15"/>
                <w:szCs w:val="15"/>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8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8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Agua Caliente Acquisition — </w:t>
      </w:r>
      <w:r>
        <w:rPr>
          <w:rFonts w:ascii="Times New Roman" w:cs="Times New Roman" w:eastAsia="Times New Roman" w:hAnsi="Times New Roman"/>
          <w:sz w:val="14"/>
          <w:szCs w:val="14"/>
          <w:color w:val="auto"/>
        </w:rPr>
        <w:t>On February 3, 2021, the Company acquired an additional 35% equity interest in the Agua Caliente solar project from NRG for $202 million. Agua Caliente is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290 MW solar project located in Dateland, Arizona in which Clearway previously owned a 16% equity interest. The project has a 25-year PPA with PG&amp;E, with approximately 17 years remaining under the agreement. Following the close of the transaction, the Company owns a 51% equity interest in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acquired and liabilities assumed on the acquisition date. A third-party investor holds the remaining 49% equity interest in Agua Caliente, which is reflected in noncontrolling interest at fair value at the acquisition date.</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obtained in connection with the acquisition as of February 3,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3"/>
                <w:szCs w:val="13"/>
                <w:b w:val="1"/>
                <w:bCs w:val="1"/>
                <w:color w:val="auto"/>
              </w:rPr>
              <w:t>Agua Caliente</w:t>
            </w:r>
          </w:p>
        </w:tc>
        <w:tc>
          <w:tcPr>
            <w:tcW w:w="0" w:type="dxa"/>
            <w:vAlign w:val="bottom"/>
          </w:tcPr>
          <w:p>
            <w:pPr>
              <w:spacing w:after="0"/>
              <w:rPr>
                <w:sz w:val="1"/>
                <w:szCs w:val="1"/>
                <w:color w:val="auto"/>
              </w:rPr>
            </w:pPr>
          </w:p>
        </w:tc>
      </w:tr>
      <w:tr>
        <w:trPr>
          <w:trHeight w:val="173"/>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42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0"/>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4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 for power purchase agreement</w:t>
            </w:r>
          </w:p>
        </w:tc>
        <w:tc>
          <w:tcPr>
            <w:tcW w:w="4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assets</w:t>
            </w:r>
          </w:p>
        </w:tc>
        <w:tc>
          <w:tcPr>
            <w:tcW w:w="4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4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0" w:type="dxa"/>
            <w:vAlign w:val="bottom"/>
          </w:tcPr>
          <w:p>
            <w:pPr>
              <w:spacing w:after="0"/>
              <w:rPr>
                <w:sz w:val="1"/>
                <w:szCs w:val="1"/>
                <w:color w:val="auto"/>
              </w:rPr>
            </w:pPr>
          </w:p>
        </w:tc>
      </w:tr>
      <w:tr>
        <w:trPr>
          <w:trHeight w:val="212"/>
        </w:trPr>
        <w:tc>
          <w:tcPr>
            <w:tcW w:w="42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w:t>
            </w:r>
          </w:p>
        </w:tc>
        <w:tc>
          <w:tcPr>
            <w:tcW w:w="4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80"/>
        </w:trPr>
        <w:tc>
          <w:tcPr>
            <w:tcW w:w="4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4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4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424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0" w:type="dxa"/>
            <w:vAlign w:val="bottom"/>
          </w:tcPr>
          <w:p>
            <w:pPr>
              <w:spacing w:after="0"/>
              <w:rPr>
                <w:sz w:val="1"/>
                <w:szCs w:val="1"/>
                <w:color w:val="auto"/>
              </w:rPr>
            </w:pPr>
          </w:p>
        </w:tc>
      </w:tr>
      <w:tr>
        <w:trPr>
          <w:trHeight w:val="171"/>
        </w:trPr>
        <w:tc>
          <w:tcPr>
            <w:tcW w:w="42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4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180"/>
        </w:trPr>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method investment removed</w:t>
            </w:r>
          </w:p>
        </w:tc>
        <w:tc>
          <w:tcPr>
            <w:tcW w:w="424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1"/>
        </w:trPr>
        <w:tc>
          <w:tcPr>
            <w:tcW w:w="42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 less noncontrolling interest</w:t>
            </w:r>
          </w:p>
        </w:tc>
        <w:tc>
          <w:tcPr>
            <w:tcW w:w="424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240" w:type="dxa"/>
            <w:vAlign w:val="bottom"/>
            <w:vMerge w:val="restart"/>
          </w:tcPr>
          <w:p>
            <w:pPr>
              <w:jc w:val="right"/>
              <w:ind w:right="2669"/>
              <w:spacing w:after="0"/>
              <w:rPr>
                <w:sz w:val="20"/>
                <w:szCs w:val="20"/>
                <w:color w:val="auto"/>
              </w:rPr>
            </w:pPr>
            <w:r>
              <w:rPr>
                <w:rFonts w:ascii="Times New Roman" w:cs="Times New Roman" w:eastAsia="Times New Roman" w:hAnsi="Times New Roman"/>
                <w:sz w:val="14"/>
                <w:szCs w:val="14"/>
                <w:color w:val="auto"/>
              </w:rPr>
              <w:t>92</w:t>
            </w:r>
          </w:p>
        </w:tc>
        <w:tc>
          <w:tcPr>
            <w:tcW w:w="5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8"/>
        </w:trPr>
        <w:tc>
          <w:tcPr>
            <w:tcW w:w="42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92" w:name="page93"/>
    <w:bookmarkEnd w:id="92"/>
    <w:p>
      <w:pPr>
        <w:jc w:val="both"/>
        <w:ind w:firstLine="318"/>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Rattlesnake Drop Down — </w:t>
      </w:r>
      <w:r>
        <w:rPr>
          <w:rFonts w:ascii="Times New Roman" w:cs="Times New Roman" w:eastAsia="Times New Roman" w:hAnsi="Times New Roman"/>
          <w:sz w:val="14"/>
          <w:szCs w:val="14"/>
          <w:color w:val="auto"/>
        </w:rPr>
        <w:t>On January 12, 2021, the Company acquired CEG’s equity interest and a third-party investor’s minority interest in CWSP Rattlesnake Holding, LLC for $132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million in cash consideration. CWSP Rattlesnake Holding LLC indirectly consolidates the Rattlesnake wind project, a 160 MW wind facility with 144 MW of deliverable capacity in Adams County, Washington,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The project has a 20-year PPA with Avista Corporation, which began when the facility reached commercial operations in December 2020. The Rattlesnake operations are included in the Company’s Renewables segment. The acquisition was determined to be an asset acquisition and not a business combination, therefore, the Company consolidated the financial information for Rattlesnake on a prospective basis. The assets and liabilities transferred to the Company relate to interests under common control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difference between the cash paid of $132 million and the historical cost of the Company’s acquired interests of $14 million was recorded as an adjustment to CEG’s noncontrolling interest balance.</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January 12,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3"/>
                <w:szCs w:val="13"/>
                <w:b w:val="1"/>
                <w:bCs w:val="1"/>
                <w:color w:val="auto"/>
              </w:rPr>
              <w:t>Rattlesnake</w:t>
            </w:r>
          </w:p>
        </w:tc>
      </w:tr>
      <w:tr>
        <w:trPr>
          <w:trHeight w:val="17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assets</w:t>
            </w:r>
          </w:p>
        </w:tc>
        <w:tc>
          <w:tcPr>
            <w:tcW w:w="58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5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r>
      <w:tr>
        <w:trPr>
          <w:trHeight w:val="212"/>
        </w:trPr>
        <w:tc>
          <w:tcPr>
            <w:tcW w:w="8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180"/>
        </w:trPr>
        <w:tc>
          <w:tcPr>
            <w:tcW w:w="84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5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580" w:type="dxa"/>
            <w:vAlign w:val="bottom"/>
            <w:tcBorders>
              <w:bottom w:val="single" w:sz="8" w:color="auto"/>
            </w:tcBorders>
            <w:shd w:val="clear" w:color="auto" w:fill="CCEEFF"/>
          </w:tcPr>
          <w:p>
            <w:pPr>
              <w:spacing w:after="0"/>
              <w:rPr>
                <w:sz w:val="14"/>
                <w:szCs w:val="14"/>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assets acquired</w:t>
            </w: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
        </w:trPr>
        <w:tc>
          <w:tcPr>
            <w:tcW w:w="8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60" w:firstLine="9"/>
        <w:spacing w:after="0" w:line="212" w:lineRule="auto"/>
        <w:tabs>
          <w:tab w:leader="none" w:pos="195" w:val="left"/>
        </w:tabs>
        <w:numPr>
          <w:ilvl w:val="0"/>
          <w:numId w:val="4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Repaid at acquisition date utilizing $107 million contributed by tax equity investor and $103 million contributed by CEG, both recorded as contributions in noncontrolling interest. Of the $210 million contributed, $176 million was utilized to pay down the acquired debt, $29 million was utilized to fund project reserve accounts and $5 million was utilized to pay associated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Dispositions</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Kawailoa Sale </w:t>
      </w:r>
      <w:r>
        <w:rPr>
          <w:rFonts w:ascii="Times New Roman" w:cs="Times New Roman" w:eastAsia="Times New Roman" w:hAnsi="Times New Roman"/>
          <w:sz w:val="14"/>
          <w:szCs w:val="14"/>
          <w:color w:val="auto"/>
        </w:rPr>
        <w:t>— On August 1, 2022, the Company sold 100% of its Class A membership interests in the Kawailoa Partnership to Clearway Renew LLC for cash proceeds of $9 million, which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equals the Company’s initial investment. The Kawailoa Partnership is a partnership that consolidates, through its 51% controlling majority interest, a lower-level partnership that is 49% owned by a third-party investor, and which consolidates the Kawailoa solar project through its ownership of a controlling interest in the tax equity fund that holds the project, as further described in Note 5,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The assets and liabilities transferred to Clearway Renew LLC relate to interests under common control and were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transferred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This resulted in the Company removing $69 million from noncontrolling interest related to the Kawailoa Partnership at the time of sale. Noncontrolling interests prior to the sale include the interests of the third-party investor, tax equity investor and Clearway Renew LLC.</w:t>
      </w:r>
    </w:p>
    <w:p>
      <w:pPr>
        <w:spacing w:after="0" w:line="99"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Thermal Disposition </w:t>
      </w:r>
      <w:r>
        <w:rPr>
          <w:rFonts w:ascii="Times New Roman" w:cs="Times New Roman" w:eastAsia="Times New Roman" w:hAnsi="Times New Roman"/>
          <w:sz w:val="14"/>
          <w:szCs w:val="14"/>
          <w:color w:val="auto"/>
        </w:rPr>
        <w:t>— On May 1, 2022, the Company completed the sale of 100% of its interests in the Thermal Business to KKR for net proceeds of approximately $1.46 billion, inclusive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working capital adjustments, which excludes approximately $18 million in transaction expenses that were incurred in connection with the disposition. The Thermal Disposition resulted in a gain on sale of business of approximately $1.29 billion, which is net of the $18 million in transaction expenses referenced above. The proceeds from the sale were utilized to repay certain borrowings outstanding as further described in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with the remaining proceeds invested in short-term investments classified as cash and cash equivalents on the Company’s consolidated balance sheet as of September 30, 2022. Effective with the approval by the Board of Directors and signing of the agreement to sell the Thermal Business on October 22, 2021, the Company concluded that all entities that are included within the Thermal Business would be treated as held for sale on a prospective basis, thus the assets and liabilities were reported as separate held for sale line items on the Company’s consolidated balance sheet as of December 31, 2021. As of December 31, 2021, property, plant and equipment represented 78% and intangible assets represented 9% of assets classified as held for sale while long-term debt represented 85% of liabilities classified as held for sale. The Company’s Thermal segment is comprised solely of the Thermal Business's results of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major classes of property, plant, and equipment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020" w:type="dxa"/>
            <w:vAlign w:val="bottom"/>
          </w:tcPr>
          <w:p>
            <w:pPr>
              <w:spacing w:after="0"/>
              <w:rPr>
                <w:sz w:val="13"/>
                <w:szCs w:val="13"/>
                <w:color w:val="auto"/>
              </w:rPr>
            </w:pPr>
          </w:p>
        </w:tc>
        <w:tc>
          <w:tcPr>
            <w:tcW w:w="1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rPr>
              <w:t>Depreciable Lives</w:t>
            </w:r>
          </w:p>
        </w:tc>
      </w:tr>
      <w:tr>
        <w:trPr>
          <w:trHeight w:val="154"/>
        </w:trPr>
        <w:tc>
          <w:tcPr>
            <w:tcW w:w="50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80" w:type="dxa"/>
            <w:vAlign w:val="bottom"/>
            <w:gridSpan w:val="3"/>
          </w:tcPr>
          <w:p>
            <w:pPr>
              <w:jc w:val="right"/>
              <w:ind w:right="131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8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Facilities and equipment</w:t>
            </w:r>
          </w:p>
        </w:tc>
        <w:tc>
          <w:tcPr>
            <w:tcW w:w="164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9,992</w:t>
            </w: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9,747</w:t>
            </w:r>
          </w:p>
        </w:tc>
        <w:tc>
          <w:tcPr>
            <w:tcW w:w="80" w:type="dxa"/>
            <w:vAlign w:val="bottom"/>
            <w:shd w:val="clear" w:color="auto" w:fill="CCEEFF"/>
          </w:tcPr>
          <w:p>
            <w:pPr>
              <w:spacing w:after="0"/>
              <w:rPr>
                <w:sz w:val="16"/>
                <w:szCs w:val="16"/>
                <w:color w:val="auto"/>
              </w:rPr>
            </w:pPr>
          </w:p>
        </w:tc>
        <w:tc>
          <w:tcPr>
            <w:tcW w:w="1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3 - 40 Years</w:t>
            </w:r>
          </w:p>
        </w:tc>
      </w:tr>
      <w:tr>
        <w:trPr>
          <w:trHeight w:val="18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1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0"/>
        </w:trPr>
        <w:tc>
          <w:tcPr>
            <w:tcW w:w="5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Construction in progress </w:t>
            </w:r>
            <w:r>
              <w:rPr>
                <w:rFonts w:ascii="Times New Roman" w:cs="Times New Roman" w:eastAsia="Times New Roman" w:hAnsi="Times New Roman"/>
                <w:sz w:val="18"/>
                <w:szCs w:val="18"/>
                <w:color w:val="auto"/>
                <w:vertAlign w:val="superscript"/>
              </w:rPr>
              <w:t>(a)</w:t>
            </w:r>
          </w:p>
        </w:tc>
        <w:tc>
          <w:tcPr>
            <w:tcW w:w="1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16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10,445</w:t>
            </w: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10,151</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16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(3,024)</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171"/>
        </w:trPr>
        <w:tc>
          <w:tcPr>
            <w:tcW w:w="5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1640" w:type="dxa"/>
            <w:vAlign w:val="bottom"/>
            <w:tcBorders>
              <w:bottom w:val="single" w:sz="8" w:color="auto"/>
            </w:tcBorders>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7,421</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right"/>
              <w:ind w:right="14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
        </w:trPr>
        <w:tc>
          <w:tcPr>
            <w:tcW w:w="50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76" w:lineRule="exact"/>
        <w:rPr>
          <w:sz w:val="20"/>
          <w:szCs w:val="20"/>
          <w:color w:val="auto"/>
        </w:rPr>
      </w:pPr>
    </w:p>
    <w:p>
      <w:pPr>
        <w:ind w:left="200" w:hanging="131"/>
        <w:spacing w:after="0"/>
        <w:tabs>
          <w:tab w:leader="none" w:pos="200" w:val="left"/>
        </w:tabs>
        <w:numPr>
          <w:ilvl w:val="0"/>
          <w:numId w:val="4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As of December 31, 2022 and 2021, construction in progress includes $17 million and $15 million, respectively, of capital expenditures that relate to prepaid long-term service agreements in the Conventional segment.</w:t>
      </w:r>
    </w:p>
    <w:p>
      <w:pPr>
        <w:spacing w:after="0" w:line="10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Depreciation expense related to property, plant and equipment during the years ended December 31, 2022, 2021 and 2020 was $502 million, $499 million and $420 million, respectively. The Company accelerated depreciation of the Pinnacle wind project in connection with the repowering project, which resulted in additional depreciation expense in the amount of $34 million in 2021.</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 recorded long-lived asset impairments during each of the years ended December 31, 2022 and December 31, 2021, as further described in Note 9, </w:t>
      </w:r>
      <w:r>
        <w:rPr>
          <w:rFonts w:ascii="Times New Roman" w:cs="Times New Roman" w:eastAsia="Times New Roman" w:hAnsi="Times New Roman"/>
          <w:sz w:val="14"/>
          <w:szCs w:val="14"/>
          <w:i w:val="1"/>
          <w:iCs w:val="1"/>
          <w:color w:val="auto"/>
        </w:rPr>
        <w:t>Asset Impairments.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Investments Accounted for by the Equity Method and Variable Interest Entities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Method Investments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maximum exposure to loss as of December 31, 2022 is limited to its equity investment in the unconsolidated entities, as further summarized in the table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480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1"/>
                <w:szCs w:val="11"/>
                <w:b w:val="1"/>
                <w:bCs w:val="1"/>
                <w:color w:val="auto"/>
              </w:rPr>
              <w:t>Economic Interest</w:t>
            </w:r>
          </w:p>
        </w:tc>
        <w:tc>
          <w:tcPr>
            <w:tcW w:w="4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Investment Balance</w:t>
            </w:r>
          </w:p>
        </w:tc>
      </w:tr>
      <w:tr>
        <w:trPr>
          <w:trHeight w:val="154"/>
        </w:trPr>
        <w:tc>
          <w:tcPr>
            <w:tcW w:w="406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0" w:type="dxa"/>
            <w:vAlign w:val="bottom"/>
          </w:tcPr>
          <w:p>
            <w:pPr>
              <w:jc w:val="right"/>
              <w:ind w:right="83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86"/>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Avenal</w:t>
            </w:r>
          </w:p>
        </w:tc>
        <w:tc>
          <w:tcPr>
            <w:tcW w:w="4800" w:type="dxa"/>
            <w:vAlign w:val="bottom"/>
            <w:shd w:val="clear" w:color="auto" w:fill="CCEEFF"/>
          </w:tcPr>
          <w:p>
            <w:pPr>
              <w:jc w:val="center"/>
              <w:ind w:left="2112"/>
              <w:spacing w:after="0"/>
              <w:rPr>
                <w:sz w:val="20"/>
                <w:szCs w:val="20"/>
                <w:color w:val="auto"/>
              </w:rPr>
            </w:pPr>
            <w:r>
              <w:rPr>
                <w:rFonts w:ascii="Times New Roman" w:cs="Times New Roman" w:eastAsia="Times New Roman" w:hAnsi="Times New Roman"/>
                <w:sz w:val="14"/>
                <w:szCs w:val="14"/>
                <w:color w:val="auto"/>
              </w:rPr>
              <w:t>50%</w:t>
            </w: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40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Desert Sunlight</w:t>
            </w:r>
          </w:p>
        </w:tc>
        <w:tc>
          <w:tcPr>
            <w:tcW w:w="4800" w:type="dxa"/>
            <w:vAlign w:val="bottom"/>
          </w:tcPr>
          <w:p>
            <w:pPr>
              <w:jc w:val="center"/>
              <w:ind w:left="2112"/>
              <w:spacing w:after="0"/>
              <w:rPr>
                <w:sz w:val="20"/>
                <w:szCs w:val="20"/>
                <w:color w:val="auto"/>
              </w:rPr>
            </w:pPr>
            <w:r>
              <w:rPr>
                <w:rFonts w:ascii="Times New Roman" w:cs="Times New Roman" w:eastAsia="Times New Roman" w:hAnsi="Times New Roman"/>
                <w:sz w:val="14"/>
                <w:szCs w:val="14"/>
                <w:color w:val="auto"/>
              </w:rPr>
              <w:t>25%</w:t>
            </w:r>
          </w:p>
        </w:tc>
        <w:tc>
          <w:tcPr>
            <w:tcW w:w="4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18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Elkhorn Ridge</w:t>
            </w:r>
          </w:p>
        </w:tc>
        <w:tc>
          <w:tcPr>
            <w:tcW w:w="4800" w:type="dxa"/>
            <w:vAlign w:val="bottom"/>
            <w:shd w:val="clear" w:color="auto" w:fill="CCEEFF"/>
          </w:tcPr>
          <w:p>
            <w:pPr>
              <w:jc w:val="center"/>
              <w:ind w:left="2132"/>
              <w:spacing w:after="0"/>
              <w:rPr>
                <w:sz w:val="20"/>
                <w:szCs w:val="20"/>
                <w:color w:val="auto"/>
              </w:rPr>
            </w:pPr>
            <w:r>
              <w:rPr>
                <w:rFonts w:ascii="Times New Roman" w:cs="Times New Roman" w:eastAsia="Times New Roman" w:hAnsi="Times New Roman"/>
                <w:sz w:val="14"/>
                <w:szCs w:val="14"/>
                <w:color w:val="auto"/>
                <w:w w:val="99"/>
              </w:rPr>
              <w:t>66.7%</w:t>
            </w: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40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(a)</w:t>
            </w:r>
          </w:p>
        </w:tc>
        <w:tc>
          <w:tcPr>
            <w:tcW w:w="4800" w:type="dxa"/>
            <w:vAlign w:val="bottom"/>
          </w:tcPr>
          <w:p>
            <w:pPr>
              <w:jc w:val="center"/>
              <w:ind w:left="2112"/>
              <w:spacing w:after="0"/>
              <w:rPr>
                <w:sz w:val="20"/>
                <w:szCs w:val="20"/>
                <w:color w:val="auto"/>
              </w:rPr>
            </w:pPr>
            <w:r>
              <w:rPr>
                <w:rFonts w:ascii="Times New Roman" w:cs="Times New Roman" w:eastAsia="Times New Roman" w:hAnsi="Times New Roman"/>
                <w:sz w:val="14"/>
                <w:szCs w:val="14"/>
                <w:color w:val="auto"/>
              </w:rPr>
              <w:t>50%</w:t>
            </w:r>
          </w:p>
        </w:tc>
        <w:tc>
          <w:tcPr>
            <w:tcW w:w="4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8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Juan Mesa</w:t>
            </w:r>
          </w:p>
        </w:tc>
        <w:tc>
          <w:tcPr>
            <w:tcW w:w="4800" w:type="dxa"/>
            <w:vAlign w:val="bottom"/>
            <w:shd w:val="clear" w:color="auto" w:fill="CCEEFF"/>
          </w:tcPr>
          <w:p>
            <w:pPr>
              <w:jc w:val="center"/>
              <w:ind w:left="2112"/>
              <w:spacing w:after="0"/>
              <w:rPr>
                <w:sz w:val="20"/>
                <w:szCs w:val="20"/>
                <w:color w:val="auto"/>
              </w:rPr>
            </w:pPr>
            <w:r>
              <w:rPr>
                <w:rFonts w:ascii="Times New Roman" w:cs="Times New Roman" w:eastAsia="Times New Roman" w:hAnsi="Times New Roman"/>
                <w:sz w:val="14"/>
                <w:szCs w:val="14"/>
                <w:color w:val="auto"/>
              </w:rPr>
              <w:t>75%</w:t>
            </w:r>
          </w:p>
        </w:tc>
        <w:tc>
          <w:tcPr>
            <w:tcW w:w="42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40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20"/>
        </w:trPr>
        <w:tc>
          <w:tcPr>
            <w:tcW w:w="4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200" w:hanging="131"/>
        <w:spacing w:after="0"/>
        <w:tabs>
          <w:tab w:leader="none" w:pos="200" w:val="left"/>
        </w:tabs>
        <w:numPr>
          <w:ilvl w:val="0"/>
          <w:numId w:val="5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GenConn is a variable interest entity.</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2022 and 2021, the Company had $19 million and $14 million, respectively, of undistributed earnings from its equity method investments.</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acquired its interest in Desert Sunlight on June 30, 2015, for $285 million, which resulted in a difference between the purchase price and the basis of the acquired assets and liabilities of $181 million. The difference is attributable to the fair value of the property, plant and equipment and power purchase agreements. The Company is amortizing the related basis differences to equity in earnings of unconsolidated subsidiaries over the related useful life of the underlying assets acquired. As of December 31, 2022, the carrying value of the basis difference is $129 million.</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pro-rata share of non-recourse debt held by unconsolidated affiliates was $325 million as of December 31,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94" w:name="page95"/>
    <w:bookmarkEnd w:id="94"/>
    <w:p>
      <w:pPr>
        <w:ind w:left="320"/>
        <w:spacing w:after="0"/>
        <w:rPr>
          <w:sz w:val="20"/>
          <w:szCs w:val="20"/>
          <w:color w:val="auto"/>
        </w:rPr>
      </w:pPr>
      <w:r>
        <w:rPr>
          <w:rFonts w:ascii="Times New Roman" w:cs="Times New Roman" w:eastAsia="Times New Roman" w:hAnsi="Times New Roman"/>
          <w:sz w:val="14"/>
          <w:szCs w:val="14"/>
          <w:color w:val="auto"/>
        </w:rPr>
        <w:t>The following tables present summarized financial information for the Company’s equity method investments: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4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67"/>
        </w:trPr>
        <w:tc>
          <w:tcPr>
            <w:tcW w:w="6440" w:type="dxa"/>
            <w:vAlign w:val="bottom"/>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0"/>
        </w:trPr>
        <w:tc>
          <w:tcPr>
            <w:tcW w:w="644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Income Statement Data:</w:t>
            </w: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GenConn</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55</w:t>
            </w: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22</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13</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10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203</w:t>
            </w: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205</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137</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146</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114</w:t>
            </w: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112</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0"/>
        </w:trPr>
        <w:tc>
          <w:tcPr>
            <w:tcW w:w="64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9"/>
                <w:szCs w:val="19"/>
                <w:b w:val="1"/>
                <w:bCs w:val="1"/>
                <w:color w:val="auto"/>
                <w:vertAlign w:val="subscript"/>
              </w:rPr>
              <w:t>Other</w:t>
            </w:r>
            <w:r>
              <w:rPr>
                <w:rFonts w:ascii="Times New Roman" w:cs="Times New Roman" w:eastAsia="Times New Roman" w:hAnsi="Times New Roman"/>
                <w:sz w:val="7"/>
                <w:szCs w:val="7"/>
                <w:b w:val="1"/>
                <w:bCs w:val="1"/>
                <w:color w:val="auto"/>
              </w:rPr>
              <w:t xml:space="preserve"> (a) (b)</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100" w:type="dxa"/>
            <w:vAlign w:val="bottom"/>
          </w:tcPr>
          <w:p>
            <w:pPr>
              <w:spacing w:after="0"/>
              <w:rPr>
                <w:sz w:val="15"/>
                <w:szCs w:val="15"/>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52</w:t>
            </w: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49</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16</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r>
      <w:tr>
        <w:trPr>
          <w:trHeight w:val="172"/>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tcPr>
          <w:p>
            <w:pPr>
              <w:spacing w:after="0"/>
              <w:rPr>
                <w:sz w:val="14"/>
                <w:szCs w:val="14"/>
                <w:color w:val="auto"/>
              </w:rPr>
            </w:pPr>
          </w:p>
        </w:tc>
        <w:tc>
          <w:tcPr>
            <w:tcW w:w="5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4"/>
                <w:szCs w:val="14"/>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13</w:t>
            </w:r>
          </w:p>
        </w:tc>
        <w:tc>
          <w:tcPr>
            <w:tcW w:w="6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8"/>
        </w:trPr>
        <w:tc>
          <w:tcPr>
            <w:tcW w:w="6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20" w:type="dxa"/>
            <w:vAlign w:val="bottom"/>
            <w:tcBorders>
              <w:bottom w:val="single" w:sz="8" w:color="auto"/>
            </w:tcBorders>
          </w:tcPr>
          <w:p>
            <w:pPr>
              <w:spacing w:after="0"/>
              <w:rPr>
                <w:sz w:val="13"/>
                <w:szCs w:val="13"/>
                <w:color w:val="auto"/>
              </w:rPr>
            </w:pPr>
          </w:p>
        </w:tc>
      </w:tr>
      <w:tr>
        <w:trPr>
          <w:trHeight w:val="150"/>
        </w:trPr>
        <w:tc>
          <w:tcPr>
            <w:tcW w:w="6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7"/>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Data:</w:t>
            </w: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2"/>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tcPr>
          <w:p>
            <w:pPr>
              <w:spacing w:after="0"/>
              <w:rPr>
                <w:sz w:val="13"/>
                <w:szCs w:val="13"/>
                <w:color w:val="auto"/>
              </w:rPr>
            </w:pPr>
          </w:p>
        </w:tc>
      </w:tr>
      <w:tr>
        <w:trPr>
          <w:trHeight w:val="17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GenConn</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39</w:t>
            </w: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312</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16</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170</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69"/>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Desert Sunlight</w:t>
            </w: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79</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1,175</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61</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824</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w:t>
            </w:r>
          </w:p>
        </w:tc>
      </w:tr>
      <w:tr>
        <w:trPr>
          <w:trHeight w:val="170"/>
        </w:trPr>
        <w:tc>
          <w:tcPr>
            <w:tcW w:w="64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b w:val="1"/>
                <w:bCs w:val="1"/>
                <w:color w:val="auto"/>
              </w:rPr>
              <w:t xml:space="preserve">Other </w:t>
            </w:r>
            <w:r>
              <w:rPr>
                <w:rFonts w:ascii="Times New Roman" w:cs="Times New Roman" w:eastAsia="Times New Roman" w:hAnsi="Times New Roman"/>
                <w:sz w:val="16"/>
                <w:szCs w:val="16"/>
                <w:b w:val="1"/>
                <w:bCs w:val="1"/>
                <w:color w:val="auto"/>
                <w:vertAlign w:val="superscript"/>
              </w:rPr>
              <w:t>(a)</w:t>
            </w:r>
          </w:p>
        </w:tc>
        <w:tc>
          <w:tcPr>
            <w:tcW w:w="1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22</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157</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80"/>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12</w:t>
            </w: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8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color w:val="auto"/>
              </w:rPr>
              <w:t>91</w:t>
            </w: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29711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971165" cy="6985"/>
                    </a:xfrm>
                    <a:prstGeom prst="rect">
                      <a:avLst/>
                    </a:prstGeom>
                    <a:noFill/>
                  </pic:spPr>
                </pic:pic>
              </a:graphicData>
            </a:graphic>
          </wp:anchor>
        </w:drawing>
      </w:r>
    </w:p>
    <w:p>
      <w:pPr>
        <w:spacing w:after="0" w:line="175" w:lineRule="exact"/>
        <w:rPr>
          <w:sz w:val="20"/>
          <w:szCs w:val="20"/>
          <w:color w:val="auto"/>
        </w:rPr>
      </w:pPr>
    </w:p>
    <w:p>
      <w:pPr>
        <w:ind w:left="60" w:firstLine="9"/>
        <w:spacing w:after="0" w:line="237" w:lineRule="auto"/>
        <w:tabs>
          <w:tab w:leader="none" w:pos="180" w:val="left"/>
        </w:tabs>
        <w:numPr>
          <w:ilvl w:val="0"/>
          <w:numId w:val="5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Avenal, Elkhorn Ridge, San Juan Mesa, DGPV Holdco 1, DGPV Holdco 2 and DGPV Holdco 3. DGPV Holdco 1, DGPV Holdco 2 and DGPV Holdco 3 were consolidated by the Company during 2020 and are therefore only included in the summarized income statement data for the year ended December 31, 2020.</w:t>
      </w:r>
    </w:p>
    <w:p>
      <w:pPr>
        <w:spacing w:after="0" w:line="34" w:lineRule="exact"/>
        <w:rPr>
          <w:rFonts w:ascii="Times New Roman" w:cs="Times New Roman" w:eastAsia="Times New Roman" w:hAnsi="Times New Roman"/>
          <w:sz w:val="15"/>
          <w:szCs w:val="15"/>
          <w:color w:val="auto"/>
          <w:vertAlign w:val="superscript"/>
        </w:rPr>
      </w:pPr>
    </w:p>
    <w:p>
      <w:pPr>
        <w:jc w:val="both"/>
        <w:ind w:left="60" w:firstLine="9"/>
        <w:spacing w:after="0" w:line="443" w:lineRule="auto"/>
        <w:tabs>
          <w:tab w:leader="none" w:pos="190" w:val="left"/>
        </w:tabs>
        <w:numPr>
          <w:ilvl w:val="0"/>
          <w:numId w:val="5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On February 3, 2021, the Company acquired an additional 35% equity interest in Agua Caliente and removed its equity investment in Agua Caliente and, on December 1, 2021, the Company acquired the remaining 50% equity investment in the Utah Solar Portfolio and removed its equity investment in the Utah Solar Portfolio. As a result, both Agua Caliente and the Utah Solar Portfolio are excluded from the summarized income statement data for the years ended December 31, 2022 and December 31, 2021.</w:t>
      </w:r>
    </w:p>
    <w:p>
      <w:pPr>
        <w:spacing w:after="0"/>
        <w:rPr>
          <w:sz w:val="20"/>
          <w:szCs w:val="20"/>
          <w:color w:val="auto"/>
        </w:rPr>
      </w:pPr>
      <w:r>
        <w:rPr>
          <w:rFonts w:ascii="Times New Roman" w:cs="Times New Roman" w:eastAsia="Times New Roman" w:hAnsi="Times New Roman"/>
          <w:sz w:val="14"/>
          <w:szCs w:val="14"/>
          <w:b w:val="1"/>
          <w:bCs w:val="1"/>
          <w:color w:val="auto"/>
        </w:rPr>
        <w:t>Variable Interest Entities, or VIEs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These arrangements are primarily related to tax equity arrangements entered into with third parties in order to monetize certain tax credits associated with wind and solar facilities. The Company also has a controlling financial interest in certain partnership arrangements with third-party investors, which also have been identified as VIEs. Under the Company’s arrangements that have been identified as VIEs, the third-party investors are allocated earnings, tax attributes and distributable cash in accordance with the respective limited liability company agreements. Many of these arrangements also provide a mechanism to facilitate achievement of the investor’s specified return by providing incremental cash distributions to the investor at a specified date if the specified return has not yet been achieved.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5" w:name="page96"/>
    <w:bookmarkEnd w:id="95"/>
    <w:p>
      <w:pPr>
        <w:ind w:left="320"/>
        <w:spacing w:after="0"/>
        <w:rPr>
          <w:sz w:val="20"/>
          <w:szCs w:val="20"/>
          <w:color w:val="auto"/>
        </w:rPr>
      </w:pPr>
      <w:r>
        <w:rPr>
          <w:rFonts w:ascii="Times New Roman" w:cs="Times New Roman" w:eastAsia="Times New Roman" w:hAnsi="Times New Roman"/>
          <w:sz w:val="14"/>
          <w:szCs w:val="14"/>
          <w:color w:val="auto"/>
        </w:rPr>
        <w:t>The following is a summary of significant activity during 2022 related to the Company’s consolidated VIEs:</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Lighthouse Renewable Holdco LLC — </w:t>
      </w:r>
      <w:r>
        <w:rPr>
          <w:rFonts w:ascii="Times New Roman" w:cs="Times New Roman" w:eastAsia="Times New Roman" w:hAnsi="Times New Roman"/>
          <w:sz w:val="14"/>
          <w:szCs w:val="14"/>
          <w:color w:val="auto"/>
        </w:rPr>
        <w:t>The Company, through its indirect, wholly-owned subsidiary, Lighthouse Renewable Class A LLC, holds the Class A membership interests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Lighthouse Renewable Holdco LLC, while a third-party investor holds the Class B membership interests. The Company consolidates Lighthouse Renewable Holdco LLC, which is a VIE, as the Company is the primary beneficiary, through its role as managing member.</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Lighthouse Renewable Holdco LLC indirectly holds the Class B membership interests in several tax equity funds, including Mesquite Star Tax Equity Holdco LLC, Black Rock TE Holdco LLC, Mililani TE Holdco LLC and Waiawa TE Holdco LLC, as further described below.</w:t>
      </w:r>
    </w:p>
    <w:p>
      <w:pPr>
        <w:spacing w:after="0" w:line="80"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March 25, 2022, Lighthouse Renewable Holdco LLC acquired Mililani BL Borrower Holdco LLC, the indirect owner of the Class B membership interests of a tax equity fund, Mililani TE Holdco LLC, that holds the Mililani I solar project. Mililani BL Borrower Holdco LLC consolidates Mililani TE Holdco LLC, which is a VIE, as it is the primary beneficiary through its role as managing member. The Class A membership interests are held by a tax equity investor and are reflected as noncontrolling interest on the Company’s consolidated balance sheet. The third-party investor in Lighthouse Renewable Holdco LLC also acquired and contributed an interest in Mililani BL Borrower Holdco LLC to Lighthouse Renewable Holdco LLC. The Company recorded the related noncontrolling interest at historical carrying amount, with the offset to additional paid-in capital.</w:t>
      </w:r>
    </w:p>
    <w:p>
      <w:pPr>
        <w:spacing w:after="0" w:line="97"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As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October 3, 2022, Lighthouse Renewable Holdco LLC acquired Waiawa BL Borrower Holdco LLC, the indirect owner of the Class B membership interests of a tax equity fund, Waiawa TE Holdco LLC, that holds the Waiawa solar project. Waiawa BL Borrower Holdco LLC consolidates Waiawa TE Holdco LLC, which is a VIE, as it is the primary beneficiary through its role as managing member. The Class A membership interests are held by a tax equity investor and are reflected as noncontrolling interest on the Company’s consolidated balance sheet. The third-party investor in Lighthouse Renewable Holdco LLC also acquired and contributed an interest in Waiawa BL Borrower Holdco LLC to Lighthouse Renewable Holdco LLC. The Company recorded the related noncontrolling interest at historical carrying amount, with the offset to additional paid-in capital.</w:t>
      </w:r>
    </w:p>
    <w:p>
      <w:pPr>
        <w:spacing w:after="0" w:line="97"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Kawailoa Partnership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described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Note 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August 1, 2022, the Company sold 100% of its Class A membership interests in Kawailoa Solar Partnership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LLC, or the Kawailoa Partnership, to Clearway Renew LLC. Prior to the sale, the Kawailoa Partnership owned 51% of the Kawailoa solar project, with the remaining 49% owned by a third-party investor. The Kawailoa Partnership consolidated the Kawailoa solar project through its ownership of the Class B membership interests and role as managing member in Kawailoa Solar Holdings LLC, a tax equity fund, which owns the Kawailoa solar project. The Class A membership interests in Kawailoa Solar Holdings LLC are held by a tax equity investor and were reflected as noncontrolling interest on the Company’s consolidated balance sheet. The Company, as the Class A member, was the primary beneficiary through its role as managing member and consolidated the Kawailoa Partnership.</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December 31,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Langford TE Partnership</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120" w:type="dxa"/>
            <w:vAlign w:val="bottom"/>
          </w:tcPr>
          <w:p>
            <w:pPr>
              <w:spacing w:after="0"/>
              <w:rPr>
                <w:sz w:val="10"/>
                <w:szCs w:val="10"/>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0"/>
                <w:szCs w:val="10"/>
                <w:b w:val="1"/>
                <w:bCs w:val="1"/>
                <w:color w:val="auto"/>
              </w:rPr>
              <w:t>Lighthouse Renewable</w:t>
            </w:r>
          </w:p>
        </w:tc>
        <w:tc>
          <w:tcPr>
            <w:tcW w:w="0" w:type="dxa"/>
            <w:vAlign w:val="bottom"/>
          </w:tcPr>
          <w:p>
            <w:pPr>
              <w:spacing w:after="0"/>
              <w:rPr>
                <w:sz w:val="1"/>
                <w:szCs w:val="1"/>
                <w:color w:val="auto"/>
              </w:rPr>
            </w:pPr>
          </w:p>
        </w:tc>
      </w:tr>
      <w:tr>
        <w:trPr>
          <w:trHeight w:val="149"/>
        </w:trPr>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Alta TE Holdco</w:t>
            </w:r>
          </w:p>
        </w:tc>
        <w:tc>
          <w:tcPr>
            <w:tcW w:w="80" w:type="dxa"/>
            <w:vAlign w:val="bottom"/>
          </w:tcPr>
          <w:p>
            <w:pPr>
              <w:spacing w:after="0"/>
              <w:rPr>
                <w:sz w:val="12"/>
                <w:szCs w:val="12"/>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Buckthorn Holdings, LLC</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 xml:space="preserve">DGPV Funds </w:t>
            </w:r>
            <w:r>
              <w:rPr>
                <w:rFonts w:ascii="Times New Roman" w:cs="Times New Roman" w:eastAsia="Times New Roman" w:hAnsi="Times New Roman"/>
                <w:sz w:val="12"/>
                <w:szCs w:val="12"/>
                <w:b w:val="1"/>
                <w:bCs w:val="1"/>
                <w:color w:val="auto"/>
                <w:vertAlign w:val="superscript"/>
              </w:rPr>
              <w:t>(a)</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7"/>
              </w:rPr>
              <w:t>LLC</w:t>
            </w:r>
          </w:p>
        </w:tc>
        <w:tc>
          <w:tcPr>
            <w:tcW w:w="12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4"/>
              </w:rPr>
              <w:t xml:space="preserve">Holdco LLC </w:t>
            </w:r>
            <w:r>
              <w:rPr>
                <w:rFonts w:ascii="Times New Roman" w:cs="Times New Roman" w:eastAsia="Times New Roman" w:hAnsi="Times New Roman"/>
                <w:sz w:val="12"/>
                <w:szCs w:val="12"/>
                <w:b w:val="1"/>
                <w:bCs w:val="1"/>
                <w:color w:val="auto"/>
                <w:w w:val="94"/>
                <w:vertAlign w:val="superscript"/>
              </w:rPr>
              <w:t>(b)</w:t>
            </w:r>
          </w:p>
        </w:tc>
        <w:tc>
          <w:tcPr>
            <w:tcW w:w="120" w:type="dxa"/>
            <w:vAlign w:val="bottom"/>
          </w:tcPr>
          <w:p>
            <w:pPr>
              <w:spacing w:after="0"/>
              <w:rPr>
                <w:sz w:val="12"/>
                <w:szCs w:val="12"/>
                <w:color w:val="auto"/>
              </w:rPr>
            </w:pPr>
          </w:p>
        </w:tc>
        <w:tc>
          <w:tcPr>
            <w:tcW w:w="1160" w:type="dxa"/>
            <w:vAlign w:val="bottom"/>
          </w:tcPr>
          <w:p>
            <w:pPr>
              <w:jc w:val="right"/>
              <w:ind w:right="234"/>
              <w:spacing w:after="0"/>
              <w:rPr>
                <w:sz w:val="20"/>
                <w:szCs w:val="20"/>
                <w:color w:val="auto"/>
              </w:rPr>
            </w:pPr>
            <w:r>
              <w:rPr>
                <w:rFonts w:ascii="Times New Roman" w:cs="Times New Roman" w:eastAsia="Times New Roman" w:hAnsi="Times New Roman"/>
                <w:sz w:val="10"/>
                <w:szCs w:val="10"/>
                <w:b w:val="1"/>
                <w:bCs w:val="1"/>
                <w:color w:val="auto"/>
              </w:rPr>
              <w:t>Holdco 2 LLC</w:t>
            </w:r>
            <w:r>
              <w:rPr>
                <w:rFonts w:ascii="Times New Roman" w:cs="Times New Roman" w:eastAsia="Times New Roman" w:hAnsi="Times New Roman"/>
                <w:sz w:val="12"/>
                <w:szCs w:val="12"/>
                <w:b w:val="1"/>
                <w:bCs w:val="1"/>
                <w:color w:val="auto"/>
                <w:vertAlign w:val="superscript"/>
              </w:rPr>
              <w:t>(c)</w:t>
            </w:r>
          </w:p>
        </w:tc>
        <w:tc>
          <w:tcPr>
            <w:tcW w:w="0" w:type="dxa"/>
            <w:vAlign w:val="bottom"/>
          </w:tcPr>
          <w:p>
            <w:pPr>
              <w:spacing w:after="0"/>
              <w:rPr>
                <w:sz w:val="1"/>
                <w:szCs w:val="1"/>
                <w:color w:val="auto"/>
              </w:rPr>
            </w:pPr>
          </w:p>
        </w:tc>
      </w:tr>
      <w:tr>
        <w:trPr>
          <w:trHeight w:val="171"/>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71"/>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71"/>
        </w:trPr>
        <w:tc>
          <w:tcPr>
            <w:tcW w:w="31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assets less noncontrolling interests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200" w:hanging="131"/>
        <w:spacing w:after="0"/>
        <w:tabs>
          <w:tab w:leader="none" w:pos="200" w:val="left"/>
        </w:tabs>
        <w:numPr>
          <w:ilvl w:val="0"/>
          <w:numId w:val="5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DGPV Funds is comprised of Clearway &amp; EFS Distributed Solar LLC, DGPV Fund 4 LLC, Golden Puma Fund LLC, Renew Solar CS4 Fund LLC and Chestnut Fund LLC, which are all tax equity funds.</w:t>
      </w:r>
    </w:p>
    <w:p>
      <w:pPr>
        <w:spacing w:after="0" w:line="56" w:lineRule="exact"/>
        <w:rPr>
          <w:rFonts w:ascii="Times New Roman" w:cs="Times New Roman" w:eastAsia="Times New Roman" w:hAnsi="Times New Roman"/>
          <w:sz w:val="17"/>
          <w:szCs w:val="17"/>
          <w:color w:val="auto"/>
          <w:vertAlign w:val="superscript"/>
        </w:rPr>
      </w:pPr>
    </w:p>
    <w:p>
      <w:pPr>
        <w:ind w:left="220" w:hanging="151"/>
        <w:spacing w:after="0" w:line="187" w:lineRule="auto"/>
        <w:tabs>
          <w:tab w:leader="none" w:pos="220" w:val="left"/>
        </w:tabs>
        <w:numPr>
          <w:ilvl w:val="0"/>
          <w:numId w:val="5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LLC consolidates Mesquite Star Tax Equity Holdco LLC, Black Rock TE Holdco LLC, Mililani TE Holdco LLC and Waiawa TE Holdco LLC, which are consolidated VIEs.</w:t>
      </w:r>
    </w:p>
    <w:p>
      <w:pPr>
        <w:spacing w:after="0" w:line="67" w:lineRule="exact"/>
        <w:rPr>
          <w:rFonts w:ascii="Times New Roman" w:cs="Times New Roman" w:eastAsia="Times New Roman" w:hAnsi="Times New Roman"/>
          <w:sz w:val="15"/>
          <w:szCs w:val="15"/>
          <w:color w:val="auto"/>
          <w:vertAlign w:val="superscript"/>
        </w:rPr>
      </w:pPr>
    </w:p>
    <w:p>
      <w:pPr>
        <w:ind w:left="200" w:hanging="131"/>
        <w:spacing w:after="0" w:line="187" w:lineRule="auto"/>
        <w:tabs>
          <w:tab w:leader="none" w:pos="200" w:val="left"/>
        </w:tabs>
        <w:numPr>
          <w:ilvl w:val="0"/>
          <w:numId w:val="5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Lighthouse Renewable Holdco 2 LLC consolidates Mesquite Sky TE Holdco LLC, which is a consolidated VIE.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1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Pinnacle Repowering TE</w:t>
            </w: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Oahu Solar LLC</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Holdco</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4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12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Wildorado TE Holdco</w:t>
            </w:r>
          </w:p>
        </w:tc>
        <w:tc>
          <w:tcPr>
            <w:tcW w:w="280" w:type="dxa"/>
            <w:vAlign w:val="bottom"/>
          </w:tcPr>
          <w:p>
            <w:pPr>
              <w:spacing w:after="0"/>
              <w:rPr>
                <w:sz w:val="12"/>
                <w:szCs w:val="12"/>
                <w:color w:val="auto"/>
              </w:rPr>
            </w:pPr>
          </w:p>
        </w:tc>
        <w:tc>
          <w:tcPr>
            <w:tcW w:w="102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2"/>
                <w:szCs w:val="12"/>
                <w:b w:val="1"/>
                <w:bCs w:val="1"/>
                <w:color w:val="auto"/>
                <w:vertAlign w:val="superscript"/>
              </w:rPr>
              <w:t>(a)</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3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1"/>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3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assets less noncontrolling interests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200" w:hanging="131"/>
        <w:spacing w:after="0"/>
        <w:tabs>
          <w:tab w:leader="none" w:pos="200" w:val="left"/>
        </w:tabs>
        <w:numPr>
          <w:ilvl w:val="0"/>
          <w:numId w:val="5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Other is comprised of Elbow Creek TE Holdco and Spring Canyon TE Holdco projects.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94"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payable — trade, accounts payable — affiliates and accrued expenses and other current liabilities, the carrying amounts approximates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amounts and estimated fair values of the Company’s recorded financial instruments not carried at fair market value or that do not approximate fair value are as follows:</w:t>
      </w:r>
    </w:p>
    <w:p>
      <w:pPr>
        <w:spacing w:after="0" w:line="78" w:lineRule="exact"/>
        <w:rPr>
          <w:sz w:val="20"/>
          <w:szCs w:val="20"/>
          <w:color w:val="auto"/>
        </w:rPr>
      </w:pPr>
    </w:p>
    <w:tbl>
      <w:tblPr>
        <w:tblLayout w:type="fixed"/>
        <w:tblInd w:w="6160" w:type="dxa"/>
        <w:tblCellMar>
          <w:top w:w="0" w:type="dxa"/>
          <w:left w:w="0" w:type="dxa"/>
          <w:bottom w:w="0" w:type="dxa"/>
          <w:right w:w="0" w:type="dxa"/>
        </w:tblCellMar>
      </w:tblPr>
      <w:tr>
        <w:trPr>
          <w:trHeight w:val="158"/>
        </w:trPr>
        <w:tc>
          <w:tcPr>
            <w:tcW w:w="22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r>
      <w:tr>
        <w:trPr>
          <w:trHeight w:val="154"/>
        </w:trPr>
        <w:tc>
          <w:tcPr>
            <w:tcW w:w="1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5"/>
        </w:trPr>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60" w:type="dxa"/>
            <w:vAlign w:val="bottom"/>
          </w:tcPr>
          <w:p>
            <w:pPr>
              <w:spacing w:after="0"/>
              <w:rPr>
                <w:sz w:val="12"/>
                <w:szCs w:val="12"/>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1143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5" w:lineRule="exact"/>
        <w:rPr>
          <w:sz w:val="20"/>
          <w:szCs w:val="20"/>
          <w:color w:val="auto"/>
        </w:rPr>
      </w:pPr>
    </w:p>
    <w:p>
      <w:pPr>
        <w:ind w:left="120"/>
        <w:spacing w:after="0"/>
        <w:tabs>
          <w:tab w:leader="none" w:pos="6160" w:val="left"/>
          <w:tab w:leader="none" w:pos="6980" w:val="left"/>
          <w:tab w:leader="none" w:pos="7480" w:val="left"/>
          <w:tab w:leader="none" w:pos="8300" w:val="left"/>
          <w:tab w:leader="none" w:pos="8780" w:val="left"/>
          <w:tab w:leader="none" w:pos="9600" w:val="left"/>
          <w:tab w:leader="none" w:pos="10080" w:val="left"/>
          <w:tab w:leader="none" w:pos="10880" w:val="left"/>
        </w:tabs>
        <w:rPr>
          <w:sz w:val="20"/>
          <w:szCs w:val="20"/>
          <w:color w:val="auto"/>
        </w:rPr>
      </w:pPr>
      <w:r>
        <w:rPr>
          <w:rFonts w:ascii="Times New Roman" w:cs="Times New Roman" w:eastAsia="Times New Roman" w:hAnsi="Times New Roman"/>
          <w:sz w:val="14"/>
          <w:szCs w:val="14"/>
          <w:color w:val="auto"/>
        </w:rPr>
        <w:t xml:space="preserve">Long-term debt, including current portion </w:t>
      </w:r>
      <w:r>
        <w:rPr>
          <w:rFonts w:ascii="Times New Roman" w:cs="Times New Roman" w:eastAsia="Times New Roman" w:hAnsi="Times New Roman"/>
          <w:sz w:val="18"/>
          <w:szCs w:val="18"/>
          <w:color w:val="auto"/>
          <w:vertAlign w:val="superscript"/>
        </w:rPr>
        <w:t>(a)</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6,874</w:t>
        <w:tab/>
        <w:t>$</w:t>
      </w:r>
      <w:r>
        <w:rPr>
          <w:sz w:val="20"/>
          <w:szCs w:val="20"/>
          <w:color w:val="auto"/>
        </w:rPr>
        <w:tab/>
      </w:r>
      <w:r>
        <w:rPr>
          <w:rFonts w:ascii="Times New Roman" w:cs="Times New Roman" w:eastAsia="Times New Roman" w:hAnsi="Times New Roman"/>
          <w:sz w:val="14"/>
          <w:szCs w:val="14"/>
          <w:color w:val="auto"/>
        </w:rPr>
        <w:t>6,288</w:t>
        <w:tab/>
        <w:t>$</w:t>
      </w:r>
      <w:r>
        <w:rPr>
          <w:sz w:val="20"/>
          <w:szCs w:val="20"/>
          <w:color w:val="auto"/>
        </w:rPr>
        <w:tab/>
      </w:r>
      <w:r>
        <w:rPr>
          <w:rFonts w:ascii="Times New Roman" w:cs="Times New Roman" w:eastAsia="Times New Roman" w:hAnsi="Times New Roman"/>
          <w:sz w:val="14"/>
          <w:szCs w:val="14"/>
          <w:color w:val="auto"/>
        </w:rPr>
        <w:t>7,782</w:t>
        <w:tab/>
        <w:t>$</w:t>
      </w:r>
      <w:r>
        <w:rPr>
          <w:sz w:val="20"/>
          <w:szCs w:val="20"/>
          <w:color w:val="auto"/>
        </w:rPr>
        <w:tab/>
      </w:r>
      <w:r>
        <w:rPr>
          <w:rFonts w:ascii="Times New Roman" w:cs="Times New Roman" w:eastAsia="Times New Roman" w:hAnsi="Times New Roman"/>
          <w:sz w:val="14"/>
          <w:szCs w:val="14"/>
          <w:color w:val="auto"/>
        </w:rPr>
        <w:t>7,997</w:t>
      </w:r>
    </w:p>
    <w:p>
      <w:pPr>
        <w:spacing w:after="0" w:line="39" w:lineRule="exact"/>
        <w:rPr>
          <w:sz w:val="20"/>
          <w:szCs w:val="20"/>
          <w:color w:val="auto"/>
        </w:rPr>
      </w:pPr>
    </w:p>
    <w:p>
      <w:pPr>
        <w:ind w:left="200" w:hanging="131"/>
        <w:spacing w:after="0"/>
        <w:tabs>
          <w:tab w:leader="none" w:pos="200" w:val="left"/>
        </w:tabs>
        <w:numPr>
          <w:ilvl w:val="0"/>
          <w:numId w:val="5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Excludes net debt issuance costs, which are recorded as a reduction to long-term debt on the Company’s consolidated balance sheets.</w:t>
      </w:r>
    </w:p>
    <w:p>
      <w:pPr>
        <w:spacing w:after="0" w:line="11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2022 and 2021: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4"/>
          </w:tcPr>
          <w:p>
            <w:pPr>
              <w:ind w:left="580"/>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r>
      <w:tr>
        <w:trPr>
          <w:trHeight w:val="154"/>
        </w:trPr>
        <w:tc>
          <w:tcPr>
            <w:tcW w:w="6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shd w:val="clear" w:color="auto" w:fill="CCEEFF"/>
              </w:rPr>
              <w:t>1,834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4,454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2,159</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w:t>
            </w: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sheets.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02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2022</w:t>
            </w:r>
          </w:p>
        </w:tc>
        <w:tc>
          <w:tcPr>
            <w:tcW w:w="1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1380" w:type="dxa"/>
            <w:vAlign w:val="bottom"/>
            <w:tcBorders>
              <w:bottom w:val="single" w:sz="8" w:color="auto"/>
            </w:tcBorders>
          </w:tcPr>
          <w:p>
            <w:pPr>
              <w:spacing w:after="0"/>
              <w:rPr>
                <w:sz w:val="13"/>
                <w:szCs w:val="13"/>
                <w:color w:val="auto"/>
              </w:rPr>
            </w:pPr>
          </w:p>
        </w:tc>
      </w:tr>
      <w:tr>
        <w:trPr>
          <w:trHeight w:val="159"/>
        </w:trPr>
        <w:tc>
          <w:tcPr>
            <w:tcW w:w="3020" w:type="dxa"/>
            <w:vAlign w:val="bottom"/>
          </w:tcPr>
          <w:p>
            <w:pPr>
              <w:spacing w:after="0"/>
              <w:rPr>
                <w:sz w:val="13"/>
                <w:szCs w:val="13"/>
                <w:color w:val="auto"/>
              </w:rPr>
            </w:pPr>
          </w:p>
        </w:tc>
        <w:tc>
          <w:tcPr>
            <w:tcW w:w="13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533"/>
              <w:spacing w:after="0" w:line="159" w:lineRule="exact"/>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(a)</w:t>
            </w:r>
          </w:p>
        </w:tc>
        <w:tc>
          <w:tcPr>
            <w:tcW w:w="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center"/>
              <w:ind w:right="374"/>
              <w:spacing w:after="0"/>
              <w:rPr>
                <w:sz w:val="20"/>
                <w:szCs w:val="20"/>
                <w:color w:val="auto"/>
              </w:rPr>
            </w:pPr>
            <w:r>
              <w:rPr>
                <w:rFonts w:ascii="Times New Roman" w:cs="Times New Roman" w:eastAsia="Times New Roman" w:hAnsi="Times New Roman"/>
                <w:sz w:val="11"/>
                <w:szCs w:val="11"/>
                <w:b w:val="1"/>
                <w:bCs w:val="1"/>
                <w:color w:val="auto"/>
                <w:w w:val="99"/>
              </w:rPr>
              <w:t>Fair Value</w:t>
            </w: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13"/>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(a)</w:t>
            </w:r>
          </w:p>
        </w:tc>
      </w:tr>
      <w:tr>
        <w:trPr>
          <w:trHeight w:val="16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 xml:space="preserve">Level 2 </w:t>
            </w:r>
            <w:r>
              <w:rPr>
                <w:rFonts w:ascii="Times New Roman" w:cs="Times New Roman" w:eastAsia="Times New Roman" w:hAnsi="Times New Roman"/>
                <w:sz w:val="14"/>
                <w:szCs w:val="14"/>
                <w:b w:val="1"/>
                <w:bCs w:val="1"/>
                <w:color w:val="auto"/>
                <w:vertAlign w:val="superscript"/>
              </w:rPr>
              <w:t>(b)</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8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20" w:type="dxa"/>
            <w:vAlign w:val="bottom"/>
          </w:tcPr>
          <w:p>
            <w:pPr>
              <w:spacing w:after="0"/>
              <w:rPr>
                <w:sz w:val="13"/>
                <w:szCs w:val="13"/>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20" w:type="dxa"/>
            <w:vAlign w:val="bottom"/>
          </w:tcPr>
          <w:p>
            <w:pPr>
              <w:spacing w:after="0"/>
              <w:rPr>
                <w:sz w:val="13"/>
                <w:szCs w:val="13"/>
                <w:color w:val="auto"/>
              </w:rPr>
            </w:pPr>
          </w:p>
        </w:tc>
        <w:tc>
          <w:tcPr>
            <w:tcW w:w="1380" w:type="dxa"/>
            <w:vAlign w:val="bottom"/>
          </w:tcPr>
          <w:p>
            <w:pPr>
              <w:jc w:val="right"/>
              <w:ind w:right="753"/>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60"/>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3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80"/>
        </w:trPr>
        <w:tc>
          <w:tcPr>
            <w:tcW w:w="3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rate contracts</w:t>
            </w:r>
          </w:p>
        </w:tc>
        <w:tc>
          <w:tcPr>
            <w:tcW w:w="1360" w:type="dxa"/>
            <w:vAlign w:val="bottom"/>
          </w:tcPr>
          <w:p>
            <w:pPr>
              <w:jc w:val="right"/>
              <w:ind w:right="119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0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4"/>
                <w:szCs w:val="14"/>
                <w:color w:val="auto"/>
              </w:rPr>
              <w:t xml:space="preserve">Other financial instruments </w:t>
            </w:r>
            <w:r>
              <w:rPr>
                <w:rFonts w:ascii="Times New Roman" w:cs="Times New Roman" w:eastAsia="Times New Roman" w:hAnsi="Times New Roman"/>
                <w:sz w:val="18"/>
                <w:szCs w:val="18"/>
                <w:color w:val="auto"/>
                <w:vertAlign w:val="superscript"/>
              </w:rPr>
              <w:t>(c)</w:t>
            </w:r>
          </w:p>
        </w:tc>
        <w:tc>
          <w:tcPr>
            <w:tcW w:w="13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shd w:val="clear" w:color="auto" w:fill="CCEEFF"/>
              </w:rPr>
              <w:t>17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6"/>
        </w:trPr>
        <w:tc>
          <w:tcPr>
            <w:tcW w:w="30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360" w:type="dxa"/>
            <w:vAlign w:val="bottom"/>
            <w:tcBorders>
              <w:top w:val="single" w:sz="8" w:color="auto"/>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2"/>
        </w:trPr>
        <w:tc>
          <w:tcPr>
            <w:tcW w:w="30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80"/>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Commodity contracts</w:t>
            </w:r>
          </w:p>
        </w:tc>
        <w:tc>
          <w:tcPr>
            <w:tcW w:w="1360" w:type="dxa"/>
            <w:vAlign w:val="bottom"/>
          </w:tcPr>
          <w:p>
            <w:pPr>
              <w:jc w:val="right"/>
              <w:ind w:right="1194"/>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13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30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360" w:type="dxa"/>
            <w:vAlign w:val="bottom"/>
            <w:tcBorders>
              <w:top w:val="single" w:sz="8" w:color="auto"/>
              <w:bottom w:val="single" w:sz="8" w:color="auto"/>
            </w:tcBorders>
          </w:tcPr>
          <w:p>
            <w:pPr>
              <w:jc w:val="right"/>
              <w:ind w:right="119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30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0" w:hanging="131"/>
        <w:spacing w:after="0"/>
        <w:tabs>
          <w:tab w:leader="none" w:pos="200"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There were no derivative assets classified as Level 1 or Level 3 and no liabilities classified as Level 1 as of December 31, 2022 and December 31, 2021.</w:t>
      </w:r>
    </w:p>
    <w:p>
      <w:pPr>
        <w:spacing w:after="0" w:line="39" w:lineRule="exact"/>
        <w:rPr>
          <w:rFonts w:ascii="Times New Roman" w:cs="Times New Roman" w:eastAsia="Times New Roman" w:hAnsi="Times New Roman"/>
          <w:sz w:val="17"/>
          <w:szCs w:val="17"/>
          <w:color w:val="auto"/>
          <w:vertAlign w:val="superscript"/>
        </w:rPr>
      </w:pPr>
    </w:p>
    <w:p>
      <w:pPr>
        <w:ind w:left="60" w:firstLine="9"/>
        <w:spacing w:after="0"/>
        <w:tabs>
          <w:tab w:leader="none" w:pos="190" w:val="left"/>
        </w:tabs>
        <w:numPr>
          <w:ilvl w:val="0"/>
          <w:numId w:val="5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Company’s interest rate swaps are measured at fair value using an income approach, which use readily observable inputs, such as forward interest rates (e.g., LIBOR and SOFR) and contractual terms to estimate fair value.</w:t>
      </w:r>
    </w:p>
    <w:p>
      <w:pPr>
        <w:spacing w:after="0" w:line="133" w:lineRule="exact"/>
        <w:rPr>
          <w:rFonts w:ascii="Times New Roman" w:cs="Times New Roman" w:eastAsia="Times New Roman" w:hAnsi="Times New Roman"/>
          <w:sz w:val="15"/>
          <w:szCs w:val="15"/>
          <w:color w:val="auto"/>
          <w:vertAlign w:val="superscript"/>
        </w:rPr>
      </w:pPr>
    </w:p>
    <w:p>
      <w:pPr>
        <w:ind w:left="200" w:hanging="131"/>
        <w:spacing w:after="0"/>
        <w:tabs>
          <w:tab w:leader="none" w:pos="200" w:val="left"/>
        </w:tabs>
        <w:numPr>
          <w:ilvl w:val="0"/>
          <w:numId w:val="5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Includes SREC contract.</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360" w:type="dxa"/>
            <w:vAlign w:val="bottom"/>
            <w:tcBorders>
              <w:bottom w:val="single" w:sz="8" w:color="auto"/>
            </w:tcBorders>
          </w:tcPr>
          <w:p>
            <w:pPr>
              <w:spacing w:after="0"/>
              <w:rPr>
                <w:sz w:val="13"/>
                <w:szCs w:val="13"/>
                <w:color w:val="auto"/>
              </w:rPr>
            </w:pPr>
          </w:p>
        </w:tc>
      </w:tr>
      <w:tr>
        <w:trPr>
          <w:trHeight w:val="150"/>
        </w:trPr>
        <w:tc>
          <w:tcPr>
            <w:tcW w:w="67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7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5"/>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 Inputs (Level 3)</w:t>
            </w:r>
          </w:p>
        </w:tc>
      </w:tr>
      <w:tr>
        <w:trPr>
          <w:trHeight w:val="171"/>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shd w:val="clear" w:color="auto" w:fill="CCEEFF"/>
              </w:rPr>
              <w:t>$</w:t>
            </w:r>
          </w:p>
        </w:tc>
        <w:tc>
          <w:tcPr>
            <w:tcW w:w="170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2"/>
                <w:shd w:val="clear" w:color="auto" w:fill="CCEEFF"/>
              </w:rPr>
              <w:t>(154)</w:t>
            </w:r>
          </w:p>
        </w:tc>
        <w:tc>
          <w:tcPr>
            <w:tcW w:w="840" w:type="dxa"/>
            <w:vAlign w:val="bottom"/>
            <w:gridSpan w:val="2"/>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8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Contracts acquired</w:t>
            </w:r>
          </w:p>
        </w:tc>
        <w:tc>
          <w:tcPr>
            <w:tcW w:w="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Additions due to loss of NPNS exception</w:t>
            </w:r>
          </w:p>
        </w:tc>
        <w:tc>
          <w:tcPr>
            <w:tcW w:w="8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losses for the period included in earnings</w:t>
            </w:r>
          </w:p>
        </w:tc>
        <w:tc>
          <w:tcPr>
            <w:tcW w:w="8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71"/>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06"/>
        </w:trPr>
        <w:tc>
          <w:tcPr>
            <w:tcW w:w="6860" w:type="dxa"/>
            <w:vAlign w:val="bottom"/>
            <w:gridSpan w:val="2"/>
            <w:shd w:val="clear" w:color="auto" w:fill="CCEEFF"/>
          </w:tcPr>
          <w:p>
            <w:pPr>
              <w:ind w:left="100"/>
              <w:spacing w:after="0" w:line="106" w:lineRule="exact"/>
              <w:rPr>
                <w:sz w:val="20"/>
                <w:szCs w:val="20"/>
                <w:color w:val="auto"/>
              </w:rPr>
            </w:pPr>
            <w:r>
              <w:rPr>
                <w:rFonts w:ascii="Times New Roman" w:cs="Times New Roman" w:eastAsia="Times New Roman" w:hAnsi="Times New Roman"/>
                <w:sz w:val="12"/>
                <w:szCs w:val="12"/>
                <w:color w:val="auto"/>
              </w:rPr>
              <w:t>Change in unrealized losses included in earnings for derivatives and other financial instruments held as of December</w:t>
            </w:r>
          </w:p>
        </w:tc>
        <w:tc>
          <w:tcPr>
            <w:tcW w:w="8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r>
      <w:tr>
        <w:trPr>
          <w:trHeight w:val="184"/>
        </w:trPr>
        <w:tc>
          <w:tcPr>
            <w:tcW w:w="6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December 31, 2022, contracts valued with prices provided by models and other valuation techniques make up 100% of derivative liabilities and 100% of other financial instruments.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98" w:name="page99"/>
    <w:bookmarkEnd w:id="98"/>
    <w:p>
      <w:pPr>
        <w:ind w:left="320"/>
        <w:spacing w:after="0"/>
        <w:rPr>
          <w:sz w:val="20"/>
          <w:szCs w:val="20"/>
          <w:color w:val="auto"/>
        </w:rPr>
      </w:pPr>
      <w:r>
        <w:rPr>
          <w:rFonts w:ascii="Times New Roman" w:cs="Times New Roman" w:eastAsia="Times New Roman" w:hAnsi="Times New Roman"/>
          <w:sz w:val="14"/>
          <w:szCs w:val="14"/>
          <w:color w:val="auto"/>
        </w:rPr>
        <w:t>The following table quantifies the significant unobservable inputs used in developing the fair value of the Company’s Level 3 positions as of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141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6"/>
              </w:rPr>
              <w:t>Input/Range</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00" w:type="dxa"/>
            <w:vAlign w:val="bottom"/>
          </w:tcPr>
          <w:p>
            <w:pPr>
              <w:spacing w:after="0"/>
              <w:rPr>
                <w:sz w:val="10"/>
                <w:szCs w:val="10"/>
                <w:color w:val="auto"/>
              </w:rPr>
            </w:pPr>
          </w:p>
        </w:tc>
        <w:tc>
          <w:tcPr>
            <w:tcW w:w="144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5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300" w:type="dxa"/>
            <w:vAlign w:val="bottom"/>
          </w:tcPr>
          <w:p>
            <w:pPr>
              <w:spacing w:after="0"/>
              <w:rPr>
                <w:sz w:val="10"/>
                <w:szCs w:val="10"/>
                <w:color w:val="auto"/>
              </w:rPr>
            </w:pPr>
          </w:p>
        </w:tc>
        <w:tc>
          <w:tcPr>
            <w:tcW w:w="102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Low</w:t>
            </w:r>
          </w:p>
        </w:tc>
        <w:tc>
          <w:tcPr>
            <w:tcW w:w="180" w:type="dxa"/>
            <w:vAlign w:val="bottom"/>
          </w:tcPr>
          <w:p>
            <w:pPr>
              <w:spacing w:after="0"/>
              <w:rPr>
                <w:sz w:val="10"/>
                <w:szCs w:val="10"/>
                <w:color w:val="auto"/>
              </w:rPr>
            </w:pPr>
          </w:p>
        </w:tc>
        <w:tc>
          <w:tcPr>
            <w:tcW w:w="1120" w:type="dxa"/>
            <w:vAlign w:val="bottom"/>
            <w:vMerge w:val="restart"/>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4"/>
              </w:rPr>
              <w:t>High</w:t>
            </w:r>
          </w:p>
        </w:tc>
        <w:tc>
          <w:tcPr>
            <w:tcW w:w="100" w:type="dxa"/>
            <w:vAlign w:val="bottom"/>
          </w:tcPr>
          <w:p>
            <w:pPr>
              <w:spacing w:after="0"/>
              <w:rPr>
                <w:sz w:val="10"/>
                <w:szCs w:val="10"/>
                <w:color w:val="auto"/>
              </w:rPr>
            </w:pPr>
          </w:p>
        </w:tc>
        <w:tc>
          <w:tcPr>
            <w:tcW w:w="12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9"/>
              </w:rPr>
              <w:t>Weighted Average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Input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Commodity Contracts</w:t>
            </w: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40" w:type="dxa"/>
            <w:vAlign w:val="bottom"/>
            <w:vMerge w:val="continue"/>
            <w:shd w:val="clear" w:color="auto" w:fill="CCEEFF"/>
          </w:tcPr>
          <w:p>
            <w:pPr>
              <w:spacing w:after="0"/>
              <w:rPr>
                <w:sz w:val="13"/>
                <w:szCs w:val="13"/>
                <w:color w:val="auto"/>
              </w:rPr>
            </w:pP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(353)</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9"/>
              </w:rPr>
              <w:t>Discounted Cash Flow</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shd w:val="clear" w:color="auto" w:fill="CCEEFF"/>
              </w:rPr>
              <w:t>$</w:t>
            </w:r>
          </w:p>
        </w:tc>
        <w:tc>
          <w:tcPr>
            <w:tcW w:w="10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shd w:val="clear" w:color="auto" w:fill="CCEEFF"/>
              </w:rPr>
              <w:t>21.25</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100.66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CEEFF"/>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41.09</w:t>
            </w: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Forecast annual generation</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740" w:type="dxa"/>
            <w:vAlign w:val="bottom"/>
          </w:tcPr>
          <w:p>
            <w:pPr>
              <w:spacing w:after="0"/>
              <w:rPr>
                <w:sz w:val="11"/>
                <w:szCs w:val="1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4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3"/>
                <w:szCs w:val="13"/>
                <w:color w:val="auto"/>
              </w:rPr>
              <w:t>— Discounted Cash Flow</w:t>
            </w:r>
          </w:p>
        </w:tc>
        <w:tc>
          <w:tcPr>
            <w:tcW w:w="15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levels of certain DG solar</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58,539 MWh</w:t>
            </w:r>
          </w:p>
        </w:tc>
        <w:tc>
          <w:tcPr>
            <w:tcW w:w="18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117,078 MWh</w:t>
            </w:r>
          </w:p>
        </w:tc>
        <w:tc>
          <w:tcPr>
            <w:tcW w:w="10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112,897 MWh</w:t>
            </w:r>
          </w:p>
        </w:tc>
        <w:tc>
          <w:tcPr>
            <w:tcW w:w="0" w:type="dxa"/>
            <w:vAlign w:val="bottom"/>
          </w:tcPr>
          <w:p>
            <w:pPr>
              <w:spacing w:after="0"/>
              <w:rPr>
                <w:sz w:val="1"/>
                <w:szCs w:val="1"/>
                <w:color w:val="auto"/>
              </w:rPr>
            </w:pPr>
          </w:p>
        </w:tc>
      </w:tr>
      <w:tr>
        <w:trPr>
          <w:trHeight w:val="165"/>
        </w:trPr>
        <w:tc>
          <w:tcPr>
            <w:tcW w:w="224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the impact on the fair value measurements to increases/(decreases) in significant unobservable inputs as of December 31,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3"/>
                <w:szCs w:val="13"/>
                <w:b w:val="1"/>
                <w:bCs w:val="1"/>
                <w:color w:val="auto"/>
              </w:rPr>
              <w:t>Significant Observable Input</w:t>
            </w:r>
          </w:p>
        </w:tc>
        <w:tc>
          <w:tcPr>
            <w:tcW w:w="232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8"/>
              </w:rPr>
              <w:t>Position</w:t>
            </w:r>
          </w:p>
        </w:tc>
        <w:tc>
          <w:tcPr>
            <w:tcW w:w="222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7"/>
              </w:rPr>
              <w:t>Change In Input</w:t>
            </w:r>
          </w:p>
        </w:tc>
        <w:tc>
          <w:tcPr>
            <w:tcW w:w="2620" w:type="dxa"/>
            <w:vAlign w:val="bottom"/>
            <w:tcBorders>
              <w:bottom w:val="single" w:sz="8" w:color="auto"/>
            </w:tcBorders>
          </w:tcPr>
          <w:p>
            <w:pPr>
              <w:jc w:val="center"/>
              <w:ind w:left="136"/>
              <w:spacing w:after="0"/>
              <w:rPr>
                <w:sz w:val="20"/>
                <w:szCs w:val="20"/>
                <w:color w:val="auto"/>
              </w:rPr>
            </w:pPr>
            <w:r>
              <w:rPr>
                <w:rFonts w:ascii="Times New Roman" w:cs="Times New Roman" w:eastAsia="Times New Roman" w:hAnsi="Times New Roman"/>
                <w:sz w:val="13"/>
                <w:szCs w:val="13"/>
                <w:b w:val="1"/>
                <w:bCs w:val="1"/>
                <w:color w:val="auto"/>
                <w:w w:val="97"/>
              </w:rPr>
              <w:t>Impact on Fair Value Measurement</w:t>
            </w:r>
          </w:p>
        </w:tc>
      </w:tr>
      <w:tr>
        <w:trPr>
          <w:trHeight w:val="163"/>
        </w:trPr>
        <w:tc>
          <w:tcPr>
            <w:tcW w:w="41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rPr>
              <w:t>Forward Market Price Power</w:t>
            </w:r>
          </w:p>
        </w:tc>
        <w:tc>
          <w:tcPr>
            <w:tcW w:w="232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3"/>
                <w:szCs w:val="13"/>
                <w:color w:val="auto"/>
              </w:rPr>
              <w:t>Buy</w:t>
            </w:r>
          </w:p>
        </w:tc>
        <w:tc>
          <w:tcPr>
            <w:tcW w:w="22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6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9"/>
              </w:rPr>
              <w:t>Higher/(Lower)</w:t>
            </w:r>
          </w:p>
        </w:tc>
      </w:tr>
      <w:tr>
        <w:trPr>
          <w:trHeight w:val="168"/>
        </w:trPr>
        <w:tc>
          <w:tcPr>
            <w:tcW w:w="4120" w:type="dxa"/>
            <w:vAlign w:val="bottom"/>
          </w:tcPr>
          <w:p>
            <w:pPr>
              <w:jc w:val="right"/>
              <w:ind w:right="1076"/>
              <w:spacing w:after="0"/>
              <w:rPr>
                <w:sz w:val="20"/>
                <w:szCs w:val="20"/>
                <w:color w:val="auto"/>
              </w:rPr>
            </w:pPr>
            <w:r>
              <w:rPr>
                <w:rFonts w:ascii="Times New Roman" w:cs="Times New Roman" w:eastAsia="Times New Roman" w:hAnsi="Times New Roman"/>
                <w:sz w:val="13"/>
                <w:szCs w:val="13"/>
                <w:color w:val="auto"/>
              </w:rPr>
              <w:t>Forward Market Price Power</w:t>
            </w:r>
          </w:p>
        </w:tc>
        <w:tc>
          <w:tcPr>
            <w:tcW w:w="232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w w:val="88"/>
              </w:rPr>
              <w:t>Sell</w:t>
            </w:r>
          </w:p>
        </w:tc>
        <w:tc>
          <w:tcPr>
            <w:tcW w:w="222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62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w w:val="99"/>
              </w:rPr>
              <w:t>Lower/(Higher)</w:t>
            </w:r>
          </w:p>
        </w:tc>
      </w:tr>
      <w:tr>
        <w:trPr>
          <w:trHeight w:val="172"/>
        </w:trPr>
        <w:tc>
          <w:tcPr>
            <w:tcW w:w="4120" w:type="dxa"/>
            <w:vAlign w:val="bottom"/>
            <w:shd w:val="clear" w:color="auto" w:fill="CCEEFF"/>
          </w:tcPr>
          <w:p>
            <w:pPr>
              <w:jc w:val="right"/>
              <w:ind w:right="1156"/>
              <w:spacing w:after="0"/>
              <w:rPr>
                <w:sz w:val="20"/>
                <w:szCs w:val="20"/>
                <w:color w:val="auto"/>
              </w:rPr>
            </w:pPr>
            <w:r>
              <w:rPr>
                <w:rFonts w:ascii="Times New Roman" w:cs="Times New Roman" w:eastAsia="Times New Roman" w:hAnsi="Times New Roman"/>
                <w:sz w:val="13"/>
                <w:szCs w:val="13"/>
                <w:color w:val="auto"/>
              </w:rPr>
              <w:t>Forecast Generation Levels</w:t>
            </w:r>
          </w:p>
        </w:tc>
        <w:tc>
          <w:tcPr>
            <w:tcW w:w="232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3"/>
                <w:szCs w:val="13"/>
                <w:color w:val="auto"/>
                <w:w w:val="88"/>
              </w:rPr>
              <w:t>Sell</w:t>
            </w:r>
          </w:p>
        </w:tc>
        <w:tc>
          <w:tcPr>
            <w:tcW w:w="222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3"/>
                <w:szCs w:val="13"/>
                <w:color w:val="auto"/>
                <w:w w:val="98"/>
              </w:rPr>
              <w:t>Increase/(Decrease)</w:t>
            </w:r>
          </w:p>
        </w:tc>
        <w:tc>
          <w:tcPr>
            <w:tcW w:w="2620" w:type="dxa"/>
            <w:vAlign w:val="bottom"/>
            <w:shd w:val="clear" w:color="auto" w:fill="CCEEFF"/>
          </w:tcPr>
          <w:p>
            <w:pPr>
              <w:jc w:val="center"/>
              <w:ind w:left="136"/>
              <w:spacing w:after="0"/>
              <w:rPr>
                <w:sz w:val="20"/>
                <w:szCs w:val="20"/>
                <w:color w:val="auto"/>
              </w:rPr>
            </w:pPr>
            <w:r>
              <w:rPr>
                <w:rFonts w:ascii="Times New Roman" w:cs="Times New Roman" w:eastAsia="Times New Roman" w:hAnsi="Times New Roman"/>
                <w:sz w:val="13"/>
                <w:szCs w:val="13"/>
                <w:color w:val="auto"/>
                <w:w w:val="99"/>
              </w:rPr>
              <w:t>Higher/(Lower)</w:t>
            </w:r>
          </w:p>
        </w:tc>
      </w:tr>
    </w:tbl>
    <w:p>
      <w:pPr>
        <w:spacing w:after="0" w:line="9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2022, the non-performance reserve was a $40 million gain recorded primarily to total operating revenues in the consolidated statement of income. It is possible that future market prices could vary from those used in recording assets and liabilities and such variations could be material.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Note 7 — Accounting for Derivative Instruments and Hedging Activities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change in fair value of the derivatives to accumulated OCI/OCL, until the hedged transactions occur and are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December 31, 2022,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 Related Commodities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December 31, 2022, the Company had energy-related derivative instruments extending through 2033. At December 31, 2022, these contracts were not designated as cash flow or fair value hedges.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Volumetric Underlying Derivative Transactions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 as of December 31, 2022 and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Total Volume</w:t>
            </w:r>
          </w:p>
        </w:tc>
        <w:tc>
          <w:tcPr>
            <w:tcW w:w="146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17"/>
        </w:trPr>
        <w:tc>
          <w:tcPr>
            <w:tcW w:w="20" w:type="dxa"/>
            <w:vAlign w:val="bottom"/>
          </w:tcPr>
          <w:p>
            <w:pPr>
              <w:spacing w:after="0"/>
              <w:rPr>
                <w:sz w:val="10"/>
                <w:szCs w:val="10"/>
                <w:color w:val="auto"/>
              </w:rPr>
            </w:pPr>
          </w:p>
        </w:tc>
        <w:tc>
          <w:tcPr>
            <w:tcW w:w="13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61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1400" w:type="dxa"/>
            <w:vAlign w:val="bottom"/>
          </w:tcPr>
          <w:p>
            <w:pPr>
              <w:spacing w:after="0"/>
              <w:rPr>
                <w:sz w:val="10"/>
                <w:szCs w:val="10"/>
                <w:color w:val="auto"/>
              </w:rPr>
            </w:pPr>
          </w:p>
        </w:tc>
        <w:tc>
          <w:tcPr>
            <w:tcW w:w="88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6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w:t>
            </w: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MMBtu</w:t>
            </w:r>
          </w:p>
        </w:tc>
        <w:tc>
          <w:tcPr>
            <w:tcW w:w="14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2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w:t>
            </w:r>
          </w:p>
        </w:tc>
        <w:tc>
          <w:tcPr>
            <w:tcW w:w="6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MWh</w:t>
            </w:r>
          </w:p>
        </w:tc>
        <w:tc>
          <w:tcPr>
            <w:tcW w:w="14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Dollars</w:t>
            </w:r>
          </w:p>
        </w:tc>
        <w:tc>
          <w:tcPr>
            <w:tcW w:w="1400" w:type="dxa"/>
            <w:vAlign w:val="bottom"/>
            <w:shd w:val="clear" w:color="auto" w:fill="CCEEFF"/>
          </w:tcPr>
          <w:p>
            <w:pPr>
              <w:jc w:val="right"/>
              <w:ind w:right="125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1,084</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4"/>
          </w:tcPr>
          <w:p>
            <w:pPr>
              <w:ind w:left="780"/>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140" w:type="dxa"/>
            <w:vAlign w:val="bottom"/>
          </w:tcPr>
          <w:p>
            <w:pPr>
              <w:spacing w:after="0"/>
              <w:rPr>
                <w:sz w:val="13"/>
                <w:szCs w:val="13"/>
                <w:color w:val="auto"/>
              </w:rPr>
            </w:pPr>
          </w:p>
        </w:tc>
        <w:tc>
          <w:tcPr>
            <w:tcW w:w="2560" w:type="dxa"/>
            <w:vAlign w:val="bottom"/>
            <w:gridSpan w:val="4"/>
          </w:tcPr>
          <w:p>
            <w:pPr>
              <w:jc w:val="right"/>
              <w:ind w:right="771"/>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c>
          <w:tcPr>
            <w:tcW w:w="0" w:type="dxa"/>
            <w:vAlign w:val="bottom"/>
          </w:tcPr>
          <w:p>
            <w:pPr>
              <w:spacing w:after="0"/>
              <w:rPr>
                <w:sz w:val="1"/>
                <w:szCs w:val="1"/>
                <w:color w:val="auto"/>
              </w:rPr>
            </w:pPr>
          </w:p>
        </w:tc>
      </w:tr>
      <w:tr>
        <w:trPr>
          <w:trHeight w:val="150"/>
        </w:trPr>
        <w:tc>
          <w:tcPr>
            <w:tcW w:w="4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2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2022</w:t>
            </w: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0" w:type="dxa"/>
            <w:vAlign w:val="bottom"/>
          </w:tcPr>
          <w:p>
            <w:pPr>
              <w:spacing w:after="0"/>
              <w:rPr>
                <w:sz w:val="1"/>
                <w:szCs w:val="1"/>
                <w:color w:val="auto"/>
              </w:rPr>
            </w:pPr>
          </w:p>
        </w:tc>
      </w:tr>
      <w:tr>
        <w:trPr>
          <w:trHeight w:val="150"/>
        </w:trPr>
        <w:tc>
          <w:tcPr>
            <w:tcW w:w="4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2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4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45</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Commodity contracts current</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Commodity contracts long-term</w:t>
            </w: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4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64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4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4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2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00" w:name="page101"/>
    <w:bookmarkEnd w:id="100"/>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December 31, 2022 and 2021, the amount of outstanding collateral paid or received was immaterial.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140" w:type="dxa"/>
            <w:vAlign w:val="bottom"/>
            <w:tcBorders>
              <w:bottom w:val="single" w:sz="8" w:color="auto"/>
            </w:tcBorders>
            <w:gridSpan w:val="5"/>
          </w:tcPr>
          <w:p>
            <w:pPr>
              <w:jc w:val="center"/>
              <w:ind w:left="1593"/>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7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commodity contracts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71"/>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96"/>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335"/>
        </w:trPr>
        <w:tc>
          <w:tcPr>
            <w:tcW w:w="4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5"/>
          </w:tcPr>
          <w:p>
            <w:pPr>
              <w:jc w:val="center"/>
              <w:ind w:left="1593"/>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7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16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0" w:type="dxa"/>
            <w:vAlign w:val="bottom"/>
            <w:gridSpan w:val="2"/>
            <w:shd w:val="clear" w:color="auto" w:fill="CCEEFF"/>
          </w:tcPr>
          <w:p>
            <w:pPr>
              <w:jc w:val="center"/>
              <w:ind w:right="1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7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commodity contracts</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6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1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1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1"/>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1"/>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OCI (OCL) balance attributable to interest rate swaps designated as cash flow hedge derivatives, net of tax:</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40" w:type="dxa"/>
            <w:vAlign w:val="bottom"/>
          </w:tcPr>
          <w:p>
            <w:pPr>
              <w:spacing w:after="0"/>
              <w:rPr>
                <w:sz w:val="13"/>
                <w:szCs w:val="13"/>
                <w:color w:val="auto"/>
              </w:rPr>
            </w:pPr>
          </w:p>
        </w:tc>
        <w:tc>
          <w:tcPr>
            <w:tcW w:w="7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2022</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2020</w:t>
            </w:r>
          </w:p>
        </w:tc>
        <w:tc>
          <w:tcPr>
            <w:tcW w:w="0" w:type="dxa"/>
            <w:vAlign w:val="bottom"/>
          </w:tcPr>
          <w:p>
            <w:pPr>
              <w:spacing w:after="0"/>
              <w:rPr>
                <w:sz w:val="1"/>
                <w:szCs w:val="1"/>
                <w:color w:val="auto"/>
              </w:rPr>
            </w:pPr>
          </w:p>
        </w:tc>
      </w:tr>
      <w:tr>
        <w:trPr>
          <w:trHeight w:val="150"/>
        </w:trPr>
        <w:tc>
          <w:tcPr>
            <w:tcW w:w="77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(OCL) beginning balance</w:t>
            </w:r>
          </w:p>
        </w:tc>
        <w:tc>
          <w:tcPr>
            <w:tcW w:w="76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Reclassified from accumulated OCI/OCL to income due to realization of previously deferred amounts</w:t>
            </w:r>
          </w:p>
        </w:tc>
        <w:tc>
          <w:tcPr>
            <w:tcW w:w="7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0"/>
        </w:trPr>
        <w:tc>
          <w:tcPr>
            <w:tcW w:w="77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 xml:space="preserve">Capistrano Wind Portfolio Acquisition </w:t>
            </w:r>
            <w:r>
              <w:rPr>
                <w:rFonts w:ascii="Times New Roman" w:cs="Times New Roman" w:eastAsia="Times New Roman" w:hAnsi="Times New Roman"/>
                <w:sz w:val="18"/>
                <w:szCs w:val="18"/>
                <w:color w:val="auto"/>
                <w:vertAlign w:val="superscript"/>
              </w:rPr>
              <w:t>(a)</w:t>
            </w:r>
          </w:p>
        </w:tc>
        <w:tc>
          <w:tcPr>
            <w:tcW w:w="76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7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(OCL) ending balance, net of income tax expense (benefit) of $3, $(2) and $(5), respectively</w:t>
            </w:r>
          </w:p>
        </w:tc>
        <w:tc>
          <w:tcPr>
            <w:tcW w:w="76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OCI (OCL) attributable to noncontrolling interests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40" w:type="dxa"/>
            <w:vAlign w:val="bottom"/>
            <w:tcBorders>
              <w:bottom w:val="single" w:sz="8" w:color="CCEEFF"/>
            </w:tcBorders>
            <w:vMerge w:val="continue"/>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OCI (OCL) attributable to Clearway Energy, Inc.</w:t>
            </w:r>
          </w:p>
        </w:tc>
        <w:tc>
          <w:tcPr>
            <w:tcW w:w="76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Income expected to be realized from OCI during the next 12 months, net of income tax expense of $1</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740" w:type="dxa"/>
            <w:vAlign w:val="bottom"/>
            <w:vMerge w:val="continue"/>
          </w:tcPr>
          <w:p>
            <w:pPr>
              <w:spacing w:after="0"/>
              <w:rPr>
                <w:sz w:val="12"/>
                <w:szCs w:val="12"/>
                <w:color w:val="auto"/>
              </w:rPr>
            </w:pPr>
          </w:p>
        </w:tc>
        <w:tc>
          <w:tcPr>
            <w:tcW w:w="760" w:type="dxa"/>
            <w:vAlign w:val="bottom"/>
          </w:tcPr>
          <w:p>
            <w:pPr>
              <w:jc w:val="right"/>
              <w:ind w:right="613"/>
              <w:spacing w:after="0" w:line="147"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720" w:hanging="142"/>
        <w:spacing w:after="0"/>
        <w:tabs>
          <w:tab w:leader="none" w:pos="720" w:val="left"/>
        </w:tabs>
        <w:numPr>
          <w:ilvl w:val="0"/>
          <w:numId w:val="5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Represents $4 million attributable to Clearway Energy, Inc. and $3 million attributable to noncontrolling interests.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OCI/OCL into income are recorded to interest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Income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Mark-to-market gains/(losses) related to the Company’s derivatives are recorded in the consolidated statements of income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774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0"/>
        </w:trPr>
        <w:tc>
          <w:tcPr>
            <w:tcW w:w="77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6"/>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72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53</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Commodity Contracts (Operating revenue) </w:t>
            </w:r>
            <w:r>
              <w:rPr>
                <w:rFonts w:ascii="Times New Roman" w:cs="Times New Roman" w:eastAsia="Times New Roman" w:hAnsi="Times New Roman"/>
                <w:sz w:val="18"/>
                <w:szCs w:val="18"/>
                <w:color w:val="auto"/>
                <w:vertAlign w:val="superscript"/>
              </w:rPr>
              <w:t>(a)</w:t>
            </w:r>
          </w:p>
        </w:tc>
        <w:tc>
          <w:tcPr>
            <w:tcW w:w="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6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242424"/>
              </w:rPr>
              <w:t>(83)</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37" w:lineRule="exact"/>
        <w:rPr>
          <w:sz w:val="20"/>
          <w:szCs w:val="20"/>
          <w:color w:val="auto"/>
        </w:rPr>
      </w:pPr>
    </w:p>
    <w:p>
      <w:pPr>
        <w:ind w:left="60" w:firstLine="9"/>
        <w:spacing w:after="0" w:line="228" w:lineRule="auto"/>
        <w:tabs>
          <w:tab w:leader="none" w:pos="185" w:val="left"/>
        </w:tabs>
        <w:numPr>
          <w:ilvl w:val="0"/>
          <w:numId w:val="5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Relates to long-term commodity contracts at Elbow Creek, Mesquite Star, Mt. Storm, Langford and Mesquite Sky. During the year ended December 31, 2022, the commodity contract for Langford, which previously met the NPNS exception, no longer qualified for NPNS treatment and, accordingly, is accounted for as a derivative and marked to fair value through operating revenues.</w:t>
      </w:r>
    </w:p>
    <w:p>
      <w:pPr>
        <w:spacing w:after="0" w:line="120"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4"/>
          <w:szCs w:val="14"/>
          <w:color w:val="auto"/>
        </w:rPr>
        <w:t xml:space="preserve">Prior to the Thermal Disposition, which is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a portion of the Company’s derivative commodity contracts were related to its Thermal Business for the purchase of fuel/electricity commodities based on the forecasted usage of the thermal district energy centers. Realized gains and losses on these contracts were reflected in the fuel costs that were permitted to be billed to customers through the related customer contracts or tariffs and, accordingly, no gains or losses were reflected in the consolidated statements of income for these contracts through the period that the Company owned the Thermal Business.</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6,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Intangible Assets</w:t>
      </w:r>
    </w:p>
    <w:p>
      <w:pPr>
        <w:spacing w:after="0" w:line="136" w:lineRule="exact"/>
        <w:rPr>
          <w:sz w:val="20"/>
          <w:szCs w:val="20"/>
          <w:color w:val="auto"/>
        </w:rPr>
      </w:pPr>
    </w:p>
    <w:p>
      <w:pPr>
        <w:jc w:val="both"/>
        <w:ind w:firstLine="318"/>
        <w:spacing w:after="0" w:line="284" w:lineRule="auto"/>
        <w:rPr>
          <w:sz w:val="20"/>
          <w:szCs w:val="20"/>
          <w:color w:val="auto"/>
        </w:rPr>
      </w:pPr>
      <w:r>
        <w:rPr>
          <w:rFonts w:ascii="Times New Roman" w:cs="Times New Roman" w:eastAsia="Times New Roman" w:hAnsi="Times New Roman"/>
          <w:sz w:val="14"/>
          <w:szCs w:val="14"/>
          <w:i w:val="1"/>
          <w:iCs w:val="1"/>
          <w:color w:val="auto"/>
        </w:rPr>
        <w:t xml:space="preserve">Intangible Assets </w:t>
      </w:r>
      <w:r>
        <w:rPr>
          <w:rFonts w:ascii="Times New Roman" w:cs="Times New Roman" w:eastAsia="Times New Roman" w:hAnsi="Times New Roman"/>
          <w:sz w:val="14"/>
          <w:szCs w:val="14"/>
          <w:color w:val="auto"/>
        </w:rPr>
        <w:t>— The Company’s intangible assets as of December 31, 2022 and 2021 primarily reflect intangible assets established from its business acquisitions and are comprised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w:t>
      </w:r>
    </w:p>
    <w:p>
      <w:pPr>
        <w:spacing w:after="0" w:line="1" w:lineRule="exact"/>
        <w:rPr>
          <w:sz w:val="20"/>
          <w:szCs w:val="20"/>
          <w:color w:val="auto"/>
        </w:rPr>
      </w:pPr>
    </w:p>
    <w:p>
      <w:pPr>
        <w:ind w:left="520" w:hanging="260"/>
        <w:spacing w:after="0" w:line="284" w:lineRule="auto"/>
        <w:tabs>
          <w:tab w:leader="none" w:pos="516" w:val="left"/>
        </w:tabs>
        <w:numPr>
          <w:ilvl w:val="0"/>
          <w:numId w:val="5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PPAs </w:t>
      </w:r>
      <w:r>
        <w:rPr>
          <w:rFonts w:ascii="Times New Roman" w:cs="Times New Roman" w:eastAsia="Times New Roman" w:hAnsi="Times New Roman"/>
          <w:sz w:val="14"/>
          <w:szCs w:val="14"/>
          <w:color w:val="auto"/>
        </w:rPr>
        <w:t>— Established predominantly with the acquisitions of the Alta Wind Portfolio, Walnut Creek, Tapestry, Laredo Ridge, Carlsbad Energy Center, Agua Caliente, the Utah Solar Portfolio,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Capistrano Wind Portfolio. These represent the fair value of the PPAs acquired. These are amortized on a straight-line basis, over the term of the PPA.</w:t>
      </w:r>
    </w:p>
    <w:p>
      <w:pPr>
        <w:ind w:left="520" w:hanging="260"/>
        <w:spacing w:after="0" w:line="284"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Leasehold Rights </w:t>
      </w:r>
      <w:r>
        <w:rPr>
          <w:rFonts w:ascii="Times New Roman" w:cs="Times New Roman" w:eastAsia="Times New Roman" w:hAnsi="Times New Roman"/>
          <w:sz w:val="14"/>
          <w:szCs w:val="14"/>
          <w:color w:val="auto"/>
        </w:rPr>
        <w:t>— Established with the acquisition of the Alta Wind Portfolio, this represents the fair value of contractual rights to receive royalty payments equal to a percentage of PPA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from certain projects. These are amortized as a reduction to operating revenue on a straight-line basis over the term of the PPAs.</w:t>
      </w:r>
    </w:p>
    <w:p>
      <w:pPr>
        <w:ind w:left="520" w:hanging="260"/>
        <w:spacing w:after="0" w:line="284"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Customer relationships </w:t>
      </w:r>
      <w:r>
        <w:rPr>
          <w:rFonts w:ascii="Times New Roman" w:cs="Times New Roman" w:eastAsia="Times New Roman" w:hAnsi="Times New Roman"/>
          <w:sz w:val="14"/>
          <w:szCs w:val="14"/>
          <w:color w:val="auto"/>
        </w:rPr>
        <w:t>— Established with the acquisition of Energy Center Omaha and Energy Center Phoenix, these intangibles were included in the Thermal Business and were classified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held for sale at December 31, 2021. The Thermal Business was sold on May 1, 2022.</w:t>
      </w:r>
    </w:p>
    <w:p>
      <w:pPr>
        <w:ind w:left="520" w:hanging="260"/>
        <w:spacing w:after="0" w:line="265"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Customer contracts </w:t>
      </w:r>
      <w:r>
        <w:rPr>
          <w:rFonts w:ascii="Times New Roman" w:cs="Times New Roman" w:eastAsia="Times New Roman" w:hAnsi="Times New Roman"/>
          <w:sz w:val="14"/>
          <w:szCs w:val="14"/>
          <w:color w:val="auto"/>
        </w:rPr>
        <w:t>— Established with the acquisition of Energy Center Phoenix, these intangibles were included in the Thermal Business and were classified as held for sale at December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31, 2021. The Thermal Business was sold on May 1, 2022.</w:t>
      </w:r>
    </w:p>
    <w:p>
      <w:pPr>
        <w:jc w:val="both"/>
        <w:ind w:left="520" w:hanging="260"/>
        <w:spacing w:after="0" w:line="230"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Emission Allowances </w:t>
      </w:r>
      <w:r>
        <w:rPr>
          <w:rFonts w:ascii="Times New Roman" w:cs="Times New Roman" w:eastAsia="Times New Roman" w:hAnsi="Times New Roman"/>
          <w:sz w:val="14"/>
          <w:szCs w:val="14"/>
          <w:color w:val="auto"/>
        </w:rPr>
        <w:t>— These intangibles primarily consist of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emission allowances established with the El Segundo, Walnut Creek and Carlsbad Energy Center acquisitions.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These emission allowances are held-for-use and are amortized to cost of operations, with NO</w:t>
      </w:r>
      <w:r>
        <w:rPr>
          <w:rFonts w:ascii="Times New Roman" w:cs="Times New Roman" w:eastAsia="Times New Roman" w:hAnsi="Times New Roman"/>
          <w:sz w:val="11"/>
          <w:szCs w:val="11"/>
          <w:color w:val="auto"/>
        </w:rPr>
        <w:t>x</w:t>
      </w:r>
      <w:r>
        <w:rPr>
          <w:rFonts w:ascii="Times New Roman" w:cs="Times New Roman" w:eastAsia="Times New Roman" w:hAnsi="Times New Roman"/>
          <w:sz w:val="14"/>
          <w:szCs w:val="14"/>
          <w:color w:val="auto"/>
        </w:rPr>
        <w:t xml:space="preserve"> allowances amortized on a straight-line basis and SO</w:t>
      </w:r>
      <w:r>
        <w:rPr>
          <w:rFonts w:ascii="Times New Roman" w:cs="Times New Roman" w:eastAsia="Times New Roman" w:hAnsi="Times New Roman"/>
          <w:sz w:val="18"/>
          <w:szCs w:val="18"/>
          <w:color w:val="auto"/>
          <w:vertAlign w:val="subscript"/>
        </w:rPr>
        <w:t>2</w:t>
      </w:r>
      <w:r>
        <w:rPr>
          <w:rFonts w:ascii="Times New Roman" w:cs="Times New Roman" w:eastAsia="Times New Roman" w:hAnsi="Times New Roman"/>
          <w:sz w:val="14"/>
          <w:szCs w:val="14"/>
          <w:color w:val="auto"/>
        </w:rPr>
        <w:t xml:space="preserve"> allowances amortized based on units of production.</w:t>
      </w:r>
    </w:p>
    <w:p>
      <w:pPr>
        <w:spacing w:after="0" w:line="28"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 Consists of a) the acquisition date fair value of the contractual rights to a ground lease for South Trent and to utilize certain interconnection facilities for Blythe as well as land rights acquired in connection with the acquisition of Elbow Creek and Langford Wind; b) development rights related to certain solar business acquisitions; c) RECs acquired in connection with the acquisition of the Utah Solar Portfolio; and d) favorable land leases acquired in connection with the acquisition of the Utah Star Portfolio.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4"/>
          <w:szCs w:val="14"/>
          <w:color w:val="auto"/>
        </w:rPr>
        <w:t>The following tables summarize the components of intangible assets subject to amortization: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300" w:type="dxa"/>
            <w:vAlign w:val="bottom"/>
          </w:tcPr>
          <w:p>
            <w:pPr>
              <w:spacing w:after="0"/>
              <w:rPr>
                <w:sz w:val="11"/>
                <w:szCs w:val="11"/>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PPAs</w:t>
            </w:r>
          </w:p>
        </w:tc>
        <w:tc>
          <w:tcPr>
            <w:tcW w:w="16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Emission Allowances</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Other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4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8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2022</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center"/>
              <w:ind w:left="85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0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 xml:space="preserve">Acquisitions </w:t>
            </w:r>
            <w:r>
              <w:rPr>
                <w:rFonts w:ascii="Times New Roman" w:cs="Times New Roman" w:eastAsia="Times New Roman" w:hAnsi="Times New Roman"/>
                <w:sz w:val="16"/>
                <w:szCs w:val="16"/>
                <w:color w:val="auto"/>
                <w:vertAlign w:val="superscript"/>
              </w:rPr>
              <w:t>(a)</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left="7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left="7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31, 2022</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3,321</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center"/>
              <w:ind w:left="837"/>
              <w:spacing w:after="0"/>
              <w:rPr>
                <w:sz w:val="20"/>
                <w:szCs w:val="20"/>
                <w:color w:val="auto"/>
              </w:rPr>
            </w:pPr>
            <w:r>
              <w:rPr>
                <w:rFonts w:ascii="Times New Roman" w:cs="Times New Roman" w:eastAsia="Times New Roman" w:hAnsi="Times New Roman"/>
                <w:sz w:val="13"/>
                <w:szCs w:val="13"/>
                <w:color w:val="auto"/>
                <w:w w:val="92"/>
              </w:rPr>
              <w:t>(34)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center"/>
              <w:ind w:left="857"/>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vertAlign w:val="superscript"/>
        </w:rPr>
        <w:t>(</w:t>
      </w: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The weighted average life of acquired intangibles was 10 years for PPAs.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240" w:type="dxa"/>
            <w:vAlign w:val="bottom"/>
          </w:tcPr>
          <w:p>
            <w:pPr>
              <w:spacing w:after="0"/>
              <w:rPr>
                <w:sz w:val="11"/>
                <w:szCs w:val="11"/>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PPAs</w:t>
            </w:r>
          </w:p>
        </w:tc>
        <w:tc>
          <w:tcPr>
            <w:tcW w:w="8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Leasehold Rights</w:t>
            </w:r>
          </w:p>
        </w:tc>
        <w:tc>
          <w:tcPr>
            <w:tcW w:w="13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Customer Relationships</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Customer Contracts</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Emission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Other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4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840" w:type="dxa"/>
            <w:vAlign w:val="bottom"/>
          </w:tcPr>
          <w:p>
            <w:pPr>
              <w:jc w:val="right"/>
              <w:spacing w:after="0" w:line="95" w:lineRule="exact"/>
              <w:rPr>
                <w:sz w:val="20"/>
                <w:szCs w:val="20"/>
                <w:color w:val="auto"/>
              </w:rPr>
            </w:pPr>
            <w:r>
              <w:rPr>
                <w:rFonts w:ascii="Times New Roman" w:cs="Times New Roman" w:eastAsia="Times New Roman" w:hAnsi="Times New Roman"/>
                <w:sz w:val="10"/>
                <w:szCs w:val="10"/>
                <w:b w:val="1"/>
                <w:bCs w:val="1"/>
                <w:color w:val="auto"/>
              </w:rPr>
              <w:t>Allowances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January 1, 2021</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center"/>
              <w:ind w:left="31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480" w:type="dxa"/>
            <w:vAlign w:val="bottom"/>
            <w:gridSpan w:val="2"/>
          </w:tcPr>
          <w:p>
            <w:pPr>
              <w:spacing w:after="0" w:line="170" w:lineRule="exact"/>
              <w:rPr>
                <w:sz w:val="20"/>
                <w:szCs w:val="20"/>
                <w:color w:val="auto"/>
              </w:rPr>
            </w:pPr>
            <w:r>
              <w:rPr>
                <w:rFonts w:ascii="Times New Roman" w:cs="Times New Roman" w:eastAsia="Times New Roman" w:hAnsi="Times New Roman"/>
                <w:sz w:val="13"/>
                <w:szCs w:val="13"/>
                <w:color w:val="auto"/>
              </w:rPr>
              <w:t xml:space="preserve">Acquisitions </w:t>
            </w:r>
            <w:r>
              <w:rPr>
                <w:rFonts w:ascii="Times New Roman" w:cs="Times New Roman" w:eastAsia="Times New Roman" w:hAnsi="Times New Roman"/>
                <w:sz w:val="16"/>
                <w:szCs w:val="16"/>
                <w:color w:val="auto"/>
                <w:vertAlign w:val="superscript"/>
              </w:rPr>
              <w:t>(a)</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5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00" w:type="dxa"/>
            <w:vAlign w:val="bottom"/>
            <w:gridSpan w:val="2"/>
          </w:tcPr>
          <w:p>
            <w:pPr>
              <w:jc w:val="center"/>
              <w:ind w:left="21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480" w:type="dxa"/>
            <w:vAlign w:val="bottom"/>
            <w:gridSpan w:val="2"/>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 xml:space="preserve">Reclassified to held for sale </w:t>
            </w:r>
            <w:r>
              <w:rPr>
                <w:rFonts w:ascii="Times New Roman" w:cs="Times New Roman" w:eastAsia="Times New Roman" w:hAnsi="Times New Roman"/>
                <w:sz w:val="16"/>
                <w:szCs w:val="16"/>
                <w:color w:val="auto"/>
                <w:vertAlign w:val="superscript"/>
              </w:rPr>
              <w:t>(b)</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55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jc w:val="center"/>
              <w:ind w:left="296"/>
              <w:spacing w:after="0"/>
              <w:rPr>
                <w:sz w:val="20"/>
                <w:szCs w:val="20"/>
                <w:color w:val="auto"/>
              </w:rPr>
            </w:pPr>
            <w:r>
              <w:rPr>
                <w:rFonts w:ascii="Times New Roman" w:cs="Times New Roman" w:eastAsia="Times New Roman" w:hAnsi="Times New Roman"/>
                <w:sz w:val="13"/>
                <w:szCs w:val="13"/>
                <w:color w:val="auto"/>
                <w:w w:val="92"/>
              </w:rPr>
              <w:t>(15)</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December 31, 2021</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2,985</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left="657"/>
              <w:spacing w:after="0"/>
              <w:rPr>
                <w:sz w:val="20"/>
                <w:szCs w:val="20"/>
                <w:color w:val="auto"/>
              </w:rPr>
            </w:pPr>
            <w:r>
              <w:rPr>
                <w:rFonts w:ascii="Times New Roman" w:cs="Times New Roman" w:eastAsia="Times New Roman" w:hAnsi="Times New Roman"/>
                <w:sz w:val="13"/>
                <w:szCs w:val="13"/>
                <w:color w:val="auto"/>
                <w:w w:val="91"/>
              </w:rPr>
              <w:t>86</w:t>
            </w:r>
          </w:p>
        </w:tc>
        <w:tc>
          <w:tcPr>
            <w:tcW w:w="1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amortization</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center"/>
              <w:ind w:left="21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center"/>
              <w:ind w:left="657"/>
              <w:spacing w:after="0"/>
              <w:rPr>
                <w:sz w:val="20"/>
                <w:szCs w:val="20"/>
                <w:color w:val="auto"/>
              </w:rPr>
            </w:pPr>
            <w:r>
              <w:rPr>
                <w:rFonts w:ascii="Times New Roman" w:cs="Times New Roman" w:eastAsia="Times New Roman" w:hAnsi="Times New Roman"/>
                <w:sz w:val="13"/>
                <w:szCs w:val="13"/>
                <w:color w:val="auto"/>
                <w:w w:val="91"/>
              </w:rPr>
              <w:t>56</w:t>
            </w: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701"/>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200" w:hanging="131"/>
        <w:spacing w:after="0"/>
        <w:tabs>
          <w:tab w:leader="none" w:pos="200" w:val="left"/>
        </w:tabs>
        <w:numPr>
          <w:ilvl w:val="0"/>
          <w:numId w:val="6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weighted average life of acquired intangibles was 17 years for PPAs, 15 years for RECs and 15 years for favorable leases.</w:t>
      </w:r>
    </w:p>
    <w:p>
      <w:pPr>
        <w:spacing w:after="0" w:line="34" w:lineRule="exact"/>
        <w:rPr>
          <w:rFonts w:ascii="Times New Roman" w:cs="Times New Roman" w:eastAsia="Times New Roman" w:hAnsi="Times New Roman"/>
          <w:sz w:val="17"/>
          <w:szCs w:val="17"/>
          <w:color w:val="auto"/>
          <w:vertAlign w:val="superscript"/>
        </w:rPr>
      </w:pPr>
    </w:p>
    <w:p>
      <w:pPr>
        <w:ind w:left="200" w:hanging="131"/>
        <w:spacing w:after="0" w:line="187" w:lineRule="auto"/>
        <w:tabs>
          <w:tab w:leader="none" w:pos="200" w:val="left"/>
        </w:tabs>
        <w:numPr>
          <w:ilvl w:val="0"/>
          <w:numId w:val="6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Thermal Business intangible assets were classified as held for sale at December 31, 2021, and the Thermal Business was subsequently sold on May 1, 2022.</w:t>
      </w:r>
    </w:p>
    <w:p>
      <w:pPr>
        <w:spacing w:after="0" w:line="111"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recorded amortization expense of $174 million during the year ended December 31, 2022, $143 million for the year ended December 31, 2021 and $91 million for the year ended December 31, 2020. Of these amounts, $168 million for the year ended December 31, 2022, $135 million for the year ended December 31, 2021 and $88 million for the year ended December 31, 2020, were related to the amortization of intangible assets for power purchase agreements and were recorded to contract amortization expense, which reduced operating revenues in the consolidated statements of income. The Company estimates the future amortization expense for its intangibles for the next five years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63"/>
        </w:trPr>
        <w:tc>
          <w:tcPr>
            <w:tcW w:w="9100" w:type="dxa"/>
            <w:vAlign w:val="bottom"/>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2023</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r>
      <w:tr>
        <w:trPr>
          <w:trHeight w:val="172"/>
        </w:trPr>
        <w:tc>
          <w:tcPr>
            <w:tcW w:w="9100" w:type="dxa"/>
            <w:vAlign w:val="bottom"/>
            <w:shd w:val="clear" w:color="auto" w:fill="CCEEFF"/>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2024</w:t>
            </w: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68"/>
        </w:trPr>
        <w:tc>
          <w:tcPr>
            <w:tcW w:w="9100" w:type="dxa"/>
            <w:vAlign w:val="bottom"/>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2025</w:t>
            </w:r>
          </w:p>
        </w:tc>
        <w:tc>
          <w:tcPr>
            <w:tcW w:w="4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72"/>
        </w:trPr>
        <w:tc>
          <w:tcPr>
            <w:tcW w:w="9100" w:type="dxa"/>
            <w:vAlign w:val="bottom"/>
            <w:shd w:val="clear" w:color="auto" w:fill="CCEEFF"/>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2026</w:t>
            </w:r>
          </w:p>
        </w:tc>
        <w:tc>
          <w:tcPr>
            <w:tcW w:w="420" w:type="dxa"/>
            <w:vAlign w:val="bottom"/>
            <w:shd w:val="clear" w:color="auto" w:fill="CCEEFF"/>
          </w:tcPr>
          <w:p>
            <w:pPr>
              <w:spacing w:after="0"/>
              <w:rPr>
                <w:sz w:val="14"/>
                <w:szCs w:val="1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65"/>
        </w:trPr>
        <w:tc>
          <w:tcPr>
            <w:tcW w:w="9100" w:type="dxa"/>
            <w:vAlign w:val="bottom"/>
          </w:tcPr>
          <w:p>
            <w:pPr>
              <w:jc w:val="right"/>
              <w:ind w:right="8756"/>
              <w:spacing w:after="0"/>
              <w:rPr>
                <w:sz w:val="20"/>
                <w:szCs w:val="20"/>
                <w:color w:val="auto"/>
              </w:rPr>
            </w:pPr>
            <w:r>
              <w:rPr>
                <w:rFonts w:ascii="Times New Roman" w:cs="Times New Roman" w:eastAsia="Times New Roman" w:hAnsi="Times New Roman"/>
                <w:sz w:val="13"/>
                <w:szCs w:val="13"/>
                <w:color w:val="auto"/>
                <w:w w:val="99"/>
              </w:rPr>
              <w:t>2027</w:t>
            </w:r>
          </w:p>
        </w:tc>
        <w:tc>
          <w:tcPr>
            <w:tcW w:w="42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Asset Impairments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Impairment Losses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During the fourth quarter of 2022, in preparation and review of its annual budget, the Company updated its long-term estimates of operating and capital expenditures and revised its assessment of long-term merchant power prices, which was primarily informed by present conditions and did not contemplate future policy changes, which could impact renewable energy power prices. The impairment analysis reviews certain qualitative factors as well as the results of long-term operating expectations and its carrying value to determine if impairment indicators are present. The impairment analysis indicated that the projected future cash flows for certain projects within the Renewables segment no longer supported the recoverability of the carrying value of the related long-lived assets. As such, the Company recorded an impairment loss of $16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i w:val="1"/>
          <w:iCs w:val="1"/>
          <w:color w:val="auto"/>
        </w:rPr>
        <w:t>2021 Impairment Losses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impairment analysis indicated that the projected future cash flows for several wind projects within the Renewables segment no longer supported the recoverability of the carrying value of the related long-lived assets. As such, the Company recorded an impairment loss of $6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2020 Impairment Losses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impairment analysis indicated that the projected future cash flows for several wind projects within the Renewables segment no longer supported the recoverability of the carrying value of the related long-lived assets. As such, the Company recorded an impairment loss of $24 million, which primarily related to property, plant, and equipment to reflect the assets at fair market value. The fair value of the facilities was determined using an income approach by applying a discounted cash flow methodology to the updated long-term budgets for each respective plant. The income approach included key inputs such as forecasted merchant power prices, operations and maintenance expense, and discount rates. The resulting fair value is a Level 3 fair value measurement.</w:t>
      </w:r>
    </w:p>
    <w:p>
      <w:pPr>
        <w:spacing w:after="0" w:line="9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Additionally, during the fourth quarter of 2020, as the Company updated its estimated cash flows in connection with the preparation and review of the Company’s annual budget, the Company determined that there was a significant decrease in the estimated future cash flows for its equity method investment in San Juan Mesa, a facility in the Renewables segment located in Elida, New Mexico. The decrease in the forecasted cash flows which was primarily driven by a decline in forecasted revenue in future merchant periods, was significant enough to be considered an indication of a decline in value of the investment that was not temporary. The Company concluded there was an other-than-temporary impairment of its investment and recorded an impairment loss of $8 million to reflect the investment at fair market value. The resulting fair value is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borrowings, including short-term and long-term portions consisted of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2"/>
                <w:szCs w:val="12"/>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Interest rate % </w:t>
            </w:r>
            <w:r>
              <w:rPr>
                <w:rFonts w:ascii="Times New Roman" w:cs="Times New Roman" w:eastAsia="Times New Roman" w:hAnsi="Times New Roman"/>
                <w:sz w:val="16"/>
                <w:szCs w:val="16"/>
                <w:b w:val="1"/>
                <w:bCs w:val="1"/>
                <w:color w:val="auto"/>
                <w:vertAlign w:val="superscript"/>
              </w:rPr>
              <w:t>(a)(b)</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Letters of Credit Outstanding</w:t>
            </w:r>
          </w:p>
        </w:tc>
        <w:tc>
          <w:tcPr>
            <w:tcW w:w="0" w:type="dxa"/>
            <w:vAlign w:val="bottom"/>
          </w:tcPr>
          <w:p>
            <w:pPr>
              <w:spacing w:after="0"/>
              <w:rPr>
                <w:sz w:val="1"/>
                <w:szCs w:val="1"/>
                <w:color w:val="auto"/>
              </w:rPr>
            </w:pPr>
          </w:p>
        </w:tc>
      </w:tr>
      <w:tr>
        <w:trPr>
          <w:trHeight w:val="170"/>
        </w:trPr>
        <w:tc>
          <w:tcPr>
            <w:tcW w:w="5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at December 31, 2022</w:t>
            </w:r>
          </w:p>
        </w:tc>
        <w:tc>
          <w:tcPr>
            <w:tcW w:w="0" w:type="dxa"/>
            <w:vAlign w:val="bottom"/>
          </w:tcPr>
          <w:p>
            <w:pPr>
              <w:spacing w:after="0"/>
              <w:rPr>
                <w:sz w:val="1"/>
                <w:szCs w:val="1"/>
                <w:color w:val="auto"/>
              </w:rPr>
            </w:pPr>
          </w:p>
        </w:tc>
      </w:tr>
      <w:tr>
        <w:trPr>
          <w:trHeight w:val="145"/>
        </w:trPr>
        <w:tc>
          <w:tcPr>
            <w:tcW w:w="5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4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Clearway Energy LLC and Clearway Energy Operating LLC Revolving Credit Facility, due 2023 </w:t>
            </w:r>
            <w:r>
              <w:rPr>
                <w:rFonts w:ascii="Times New Roman" w:cs="Times New Roman" w:eastAsia="Times New Roman" w:hAnsi="Times New Roman"/>
                <w:sz w:val="16"/>
                <w:szCs w:val="16"/>
                <w:color w:val="auto"/>
                <w:vertAlign w:val="superscript"/>
              </w:rPr>
              <w:t>(c)</w:t>
            </w:r>
          </w:p>
        </w:tc>
        <w:tc>
          <w:tcPr>
            <w:tcW w:w="1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Bridge Loan, due 2022</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S+1.250</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Non-recourse project-level debt:</w:t>
            </w: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2.395-3.633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45</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L+2.625</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5.696-7.015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23</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Borrego, due 2024 and 2038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Various</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L+1.750</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21</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Capistrano Wind Portfolio, due 2029 and 2031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L+2.000</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36</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L+1.750</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63</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Holdco, LLC, due 2038</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5</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2.339-3.775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12</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30</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 Segundo Energy Center, due 2023</w:t>
            </w:r>
          </w:p>
        </w:tc>
        <w:tc>
          <w:tcPr>
            <w:tcW w:w="1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L+1.875-2.500</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80</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Kawailoa Solar Portfolio LLC, due 2026</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L+1.375</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Laredo Ridge, due 2028</w:t>
            </w:r>
          </w:p>
        </w:tc>
        <w:tc>
          <w:tcPr>
            <w:tcW w:w="1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L+2.125</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Marsh Landing, due 2023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L+2.375</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45</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Mililani I, due 2027</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L+1.500</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6</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NIMH Solar, due 2024</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L+2.000</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L+1.375</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9</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 LLC, due 2027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L+1.750</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17</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Tapestry Wind LLC, due 2031</w:t>
            </w:r>
          </w:p>
        </w:tc>
        <w:tc>
          <w:tcPr>
            <w:tcW w:w="10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L+1.375</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9</w:t>
            </w:r>
          </w:p>
        </w:tc>
        <w:tc>
          <w:tcPr>
            <w:tcW w:w="0" w:type="dxa"/>
            <w:vAlign w:val="bottom"/>
          </w:tcPr>
          <w:p>
            <w:pPr>
              <w:spacing w:after="0"/>
              <w:rPr>
                <w:sz w:val="1"/>
                <w:szCs w:val="1"/>
                <w:color w:val="auto"/>
              </w:rPr>
            </w:pPr>
          </w:p>
        </w:tc>
      </w:tr>
      <w:tr>
        <w:trPr>
          <w:trHeight w:val="170"/>
        </w:trPr>
        <w:tc>
          <w:tcPr>
            <w:tcW w:w="54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Viento Funding II, LLC, due 2023 and 2029 </w:t>
            </w:r>
            <w:r>
              <w:rPr>
                <w:rFonts w:ascii="Times New Roman" w:cs="Times New Roman" w:eastAsia="Times New Roman" w:hAnsi="Times New Roman"/>
                <w:sz w:val="16"/>
                <w:szCs w:val="16"/>
                <w:color w:val="auto"/>
                <w:vertAlign w:val="superscript"/>
              </w:rPr>
              <w:t>(d)</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S+1.475</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26</w:t>
            </w:r>
          </w:p>
        </w:tc>
        <w:tc>
          <w:tcPr>
            <w:tcW w:w="0" w:type="dxa"/>
            <w:vAlign w:val="bottom"/>
          </w:tcPr>
          <w:p>
            <w:pPr>
              <w:spacing w:after="0"/>
              <w:rPr>
                <w:sz w:val="1"/>
                <w:szCs w:val="1"/>
                <w:color w:val="auto"/>
              </w:rPr>
            </w:pPr>
          </w:p>
        </w:tc>
      </w:tr>
      <w:tr>
        <w:trPr>
          <w:trHeight w:val="17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Waiawa, due 2023 and 2028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L+1.000-1.250</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Walnut Creek, due 2023</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L+1.875</w:t>
            </w: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74</w:t>
            </w: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WCEP Holdings, LLC, due 2023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L+3.000</w:t>
            </w: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68"/>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gridSpan w:val="2"/>
          </w:tcPr>
          <w:p>
            <w:pPr>
              <w:ind w:left="900"/>
              <w:spacing w:after="0"/>
              <w:rPr>
                <w:sz w:val="20"/>
                <w:szCs w:val="20"/>
                <w:color w:val="auto"/>
              </w:rPr>
            </w:pPr>
            <w:r>
              <w:rPr>
                <w:rFonts w:ascii="Times New Roman" w:cs="Times New Roman" w:eastAsia="Times New Roman" w:hAnsi="Times New Roman"/>
                <w:sz w:val="13"/>
                <w:szCs w:val="13"/>
                <w:color w:val="auto"/>
              </w:rPr>
              <w:t>Various</w:t>
            </w:r>
          </w:p>
        </w:tc>
        <w:tc>
          <w:tcPr>
            <w:tcW w:w="1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242424"/>
              </w:rPr>
              <w:t>200</w:t>
            </w:r>
          </w:p>
        </w:tc>
        <w:tc>
          <w:tcPr>
            <w:tcW w:w="0" w:type="dxa"/>
            <w:vAlign w:val="bottom"/>
          </w:tcPr>
          <w:p>
            <w:pPr>
              <w:spacing w:after="0"/>
              <w:rPr>
                <w:sz w:val="1"/>
                <w:szCs w:val="1"/>
                <w:color w:val="auto"/>
              </w:rPr>
            </w:pPr>
          </w:p>
        </w:tc>
      </w:tr>
      <w:tr>
        <w:trPr>
          <w:trHeight w:val="163"/>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Subtotal non-recourse project-level debt</w:t>
            </w: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5,073</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4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debt</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7,778</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(e)</w:t>
            </w: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4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long-term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6,491</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6,939</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hanging="111"/>
        <w:spacing w:after="0"/>
        <w:tabs>
          <w:tab w:leader="none" w:pos="180" w:val="left"/>
        </w:tabs>
        <w:numPr>
          <w:ilvl w:val="0"/>
          <w:numId w:val="6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As of December 31, 2022, L+ equals 3 month LIBOR plus x%, except Marsh Landing, due 2023, Waiawa, due 2023, and Walnut Creek, due 2023, where L+ equals 1 month LIBOR plus x%.</w:t>
      </w:r>
    </w:p>
    <w:p>
      <w:pPr>
        <w:spacing w:after="0" w:line="24" w:lineRule="exact"/>
        <w:rPr>
          <w:rFonts w:ascii="Times New Roman" w:cs="Times New Roman" w:eastAsia="Times New Roman" w:hAnsi="Times New Roman"/>
          <w:sz w:val="15"/>
          <w:szCs w:val="15"/>
          <w:color w:val="auto"/>
          <w:vertAlign w:val="superscript"/>
        </w:rPr>
      </w:pPr>
    </w:p>
    <w:p>
      <w:pPr>
        <w:ind w:left="180" w:hanging="111"/>
        <w:spacing w:after="0" w:line="200" w:lineRule="auto"/>
        <w:tabs>
          <w:tab w:leader="none" w:pos="180" w:val="left"/>
        </w:tabs>
        <w:numPr>
          <w:ilvl w:val="0"/>
          <w:numId w:val="6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 equals SOFR, plus x%</w:t>
      </w:r>
    </w:p>
    <w:p>
      <w:pPr>
        <w:spacing w:after="0" w:line="35" w:lineRule="exact"/>
        <w:rPr>
          <w:rFonts w:ascii="Times New Roman" w:cs="Times New Roman" w:eastAsia="Times New Roman" w:hAnsi="Times New Roman"/>
          <w:sz w:val="14"/>
          <w:szCs w:val="14"/>
          <w:color w:val="auto"/>
          <w:vertAlign w:val="superscript"/>
        </w:rPr>
      </w:pPr>
    </w:p>
    <w:p>
      <w:pPr>
        <w:ind w:left="180" w:hanging="111"/>
        <w:spacing w:after="0" w:line="187" w:lineRule="auto"/>
        <w:tabs>
          <w:tab w:leader="none" w:pos="180" w:val="left"/>
        </w:tabs>
        <w:numPr>
          <w:ilvl w:val="0"/>
          <w:numId w:val="6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Applicable rate is determined by the borrower leverage ratio, as defined in the credit agreement</w:t>
      </w:r>
    </w:p>
    <w:p>
      <w:pPr>
        <w:spacing w:after="0" w:line="24" w:lineRule="exact"/>
        <w:rPr>
          <w:rFonts w:ascii="Times New Roman" w:cs="Times New Roman" w:eastAsia="Times New Roman" w:hAnsi="Times New Roman"/>
          <w:sz w:val="15"/>
          <w:szCs w:val="15"/>
          <w:color w:val="auto"/>
          <w:vertAlign w:val="superscript"/>
        </w:rPr>
      </w:pPr>
    </w:p>
    <w:p>
      <w:pPr>
        <w:ind w:left="60" w:right="100" w:firstLine="9"/>
        <w:spacing w:after="0" w:line="257" w:lineRule="auto"/>
        <w:tabs>
          <w:tab w:leader="none" w:pos="174" w:val="left"/>
        </w:tabs>
        <w:numPr>
          <w:ilvl w:val="0"/>
          <w:numId w:val="61"/>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Laredo Ridge, due 2028; Tapestry Wind LLC, due 2031; and Viento Funding II, LLC, due 2023 project-level debt were repaid on March 16, 2022 totaling $186 million and was replaced with $190 million in new project-level debt under Viento Funding II, LLC that was obtained on March 16, 2022 and is due in 2029, as discussed further below.</w:t>
      </w:r>
    </w:p>
    <w:p>
      <w:pPr>
        <w:spacing w:after="0" w:line="1" w:lineRule="exact"/>
        <w:rPr>
          <w:rFonts w:ascii="Times New Roman" w:cs="Times New Roman" w:eastAsia="Times New Roman" w:hAnsi="Times New Roman"/>
          <w:sz w:val="13"/>
          <w:szCs w:val="13"/>
          <w:color w:val="auto"/>
          <w:vertAlign w:val="superscript"/>
        </w:rPr>
      </w:pPr>
    </w:p>
    <w:p>
      <w:pPr>
        <w:ind w:left="180" w:hanging="111"/>
        <w:spacing w:after="0"/>
        <w:tabs>
          <w:tab w:leader="none" w:pos="180" w:val="left"/>
        </w:tabs>
        <w:numPr>
          <w:ilvl w:val="0"/>
          <w:numId w:val="6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Premiums relate to the 2028 Senior Notes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5" w:name="page106"/>
    <w:bookmarkEnd w:id="105"/>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Under the project-level financing arrangements, each project is permitted to pay distributions out of available cash as long as certain conditions are satisfied, including that no default under the applicable arrangements has occurred and that each project is otherwise in compliance with all relevant conditions under the financing agreements, including meeting required financial ratios, where applicable. The Company’s project-level financing arrangements are non-recourse to the Company, thus, each project pledges its underlying assets as collateral, and if a project is in default of its financing arrangement, then the related lender could demand repayment of the project or enforce their security interests with respect to the pledged collateral.</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2022, the Company was in compliance with all of the required principal, interest, sinking fund and redemption covenants.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Bridge Loan Agreement</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On November 30, 2021, Clearway Energy Operating LLC entered into a senior secured bridge credit agreement, or the Bridge Loan Agreement. The Bridge Loan Agreement provided for a senior secured term loan facility in an aggregate principal amount of $335 million. The borrowings under the term loan facility were used to acquire the Utah Solar Portfolio on December 1, 2021, as further described in Note 3, </w:t>
      </w:r>
      <w:r>
        <w:rPr>
          <w:rFonts w:ascii="Times New Roman" w:cs="Times New Roman" w:eastAsia="Times New Roman" w:hAnsi="Times New Roman"/>
          <w:sz w:val="14"/>
          <w:szCs w:val="14"/>
          <w:i w:val="1"/>
          <w:iCs w:val="1"/>
          <w:color w:val="auto"/>
        </w:rPr>
        <w:t>Acquisitions and Dispositions.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On May 3, 2022, the Company repaid the $335 million in outstanding borrowings under the Bridge Loan Agreement utilizing proceeds received from the Thermal Disposition, as further described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On November 30, 2021, Clearway Energy Operating LLC entered into the Sixth Amendment to Amended and Restated Credit Agreement, which amended the Company’s revolving credit facility to provide for an increase of the maximum permitted Borrower Leverage Ratio (as defined in the credit agreement governing the Company’s revolving credit facility) to 6.00 to 1.00 from November 30, 2021 through May 2, 2022. The Sixth Amendment also (i) permits the incurrence of the term loan facility under the Bridge Loan Agreement, (ii) permits the incurrence of hedging obligations, subject to certain conditions, and provides for a $40 million basket for cash collateral which may be provided to secure hedging obligations (iii) permits the prepayment of unsecured, junior or subordinated indebtedness at any time following May 3, 2022, subject to certain conditions, including that, after giving effect to such payment, the Borrower Leverage Ratio would not be greater than 5.50 to 1.00 and the Borrower Interest Coverage Ratio (as defined in the credit agreement governing the Company’s revolving credit facility) would not be less than 1.75 to 1.00 and (iv) implements certain other technical modifications.</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As of December 31, 2022, the Company had no outstanding borrowings under the revolving credit facility and $125 million in letters of credit outstanding. During the year ended December 31, 2022, the Company borrowed $80 million under the revolving credit facility and repaid $325 million, $305 million of which was repaid on May 3, 2022, utilizing the proceeds received from the Thermal Disposition. </w:t>
      </w:r>
      <w:r>
        <w:rPr>
          <w:rFonts w:ascii="Times New Roman" w:cs="Times New Roman" w:eastAsia="Times New Roman" w:hAnsi="Times New Roman"/>
          <w:sz w:val="14"/>
          <w:szCs w:val="14"/>
          <w:color w:val="231F20"/>
        </w:rPr>
        <w:t>The facility will continue to be used for general corporate purposes including financing of future acquisitions and posting letters of credit.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2032 Senior Notes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October 1, 2021, Clearway Energy Operating LLC completed the sale of $350 million of senior unsecured notes due 2032, or the 2032 Senior Notes. The 2032 Senior Notes bear interest at 3.750% and mature on January 15, 2032. Interest on the 2032 Senior Notes is payable semi-annually on January 15 and July 15 of each year. The 2032 Senior Notes are unsecured obligations of Clearway Energy Operating LLC and are guaranteed by Clearway Energy LLC and by certain of Clearway Energy Operating LLC’s wholly-owned current and future subsidiaries. The net proceeds from the 2032 Senior Notes were used, together with existing corporate liquidity, to repurchase the 2026 Senior Notes, as described below.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Senior Notes Tender Offer and Redemption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October 2021, the Company repurchased and redeemed an aggregate principal amount of $350 million of the 2026 Senior Notes, through the cash tender offer announced on September 24, 2021 and the redemption of the remaining principal amount of $227 million on October 25, 2021. The 2026 Senior Notes repurchased and redeemed in October 2021 were effectuated at a premium of approximately 103% for total consideration of $359 million and, as a result, the Company recorded a loss on extinguishment in the amount of $9 million. The Company recorded an additional $3 million loss on extinguishment to write off the remaining unamortized deferred financing fees related to the 2026 Senior Notes.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i w:val="1"/>
          <w:iCs w:val="1"/>
          <w:color w:val="auto"/>
        </w:rPr>
        <w:t>2031 Senior Notes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The 2031 Senior Notes are unsecured obligations of Clearway Energy Operating LLC and are guaranteed by Clearway Energy LLC and by certain of Clearway Energy Operating LLC’s wholly-owned current and future subsidiaries. The net proceeds from the 2031 Senior Notes were used to repurchase the 2025 Senior Notes, as described below, as well as to repay amounts outstanding under the Company’s revolving credit facility and for general corporate purposes.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Senior Notes Tender Offer and Redemption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March 2021, the Company repurchased and redeemed an aggregate principal amount of $600 million of the 2025 Senior Notes, through the cash tender offer announced on March 2, 2021 and the redemption of the remaining principal amount of $183 million on March 17, 2021.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Project-level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El Segundo Energy Center</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December 15, 2022, the Company repaid the outstanding project-level debt of El Segundo Energy Center in the amount of approximately $130 million, utilizing cash on hand. The project-level debt had an original maturity of August 2023.</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Waiawa</w:t>
      </w:r>
    </w:p>
    <w:p>
      <w:pPr>
        <w:spacing w:after="0" w:line="136" w:lineRule="exact"/>
        <w:rPr>
          <w:sz w:val="20"/>
          <w:szCs w:val="20"/>
          <w:color w:val="auto"/>
        </w:rPr>
      </w:pPr>
    </w:p>
    <w:p>
      <w:pPr>
        <w:jc w:val="both"/>
        <w:ind w:firstLine="318"/>
        <w:spacing w:after="0" w:line="260" w:lineRule="auto"/>
        <w:rPr>
          <w:sz w:val="20"/>
          <w:szCs w:val="20"/>
          <w:color w:val="auto"/>
        </w:rPr>
      </w:pPr>
      <w:r>
        <w:rPr>
          <w:rFonts w:ascii="Times New Roman" w:cs="Times New Roman" w:eastAsia="Times New Roman" w:hAnsi="Times New Roman"/>
          <w:sz w:val="14"/>
          <w:szCs w:val="14"/>
          <w:color w:val="auto"/>
        </w:rPr>
        <w:t xml:space="preserve">On October 3, 2022, as part of the acquisition of Waiawa,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project’s financing agreement, which included a $22 million construction loan that converts to a term loan upon the project reaching substantial completion, a $55 million tax equity bridge loan and a $26 million sponsor equity bridge loan. The sponsor equity bridge loan was repaid at acquisition date, along with $2 million in associated fees, utilizing $12 million from the cash equity investor, as well as $16 million of the Company’s purchase price, which was contributed back by CEG. The tax equity bridge loan will be repaid with the final proceeds from the tax equity investor that will be received upon Waiawa reaching substantial completion, which is expected to occur in the first half of 2023. Subsequent to the Waiawa acquisition, the Company borrowed an additional $20 million in construction loans. As of December 31, 2022, the Company had $42 million in outstanding construction loans in addition to the $55 million tax equity bridge loan referenced above.</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Capistrano Wind Portfolio</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On August 22, 2022, as part of the acquisition of the Capistrano Wind Portfolio,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non-recourse project-level debt totaling $164 million held by the Broken Bow, Cedro Hill and Crofton Bluffs wind projects, which is net of $2 million in previously deferred unamortized debt issuance costs. The non-recourse project-level debt bears interest at a rate of LIBOR plus an applicable margin, which is currently 2.00% per annum, and maturities range from September 30, 2029 to July 14, 2031.</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Mililani I</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On March 25, 2022, as part of the acquisition of Mililani I,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project’s financing agreement, which included a $16 million construction loan that converts to a term loan upon the project reaching substantial completion, a $60 million tax equity bridge loan and a $27 million sponsor equity bridge loan. The sponsor equity bridge loan was repaid at acquisition date, along with $2 million in associated fees, utilizing $14 million from the cash equity investor, as well as $15 million of the Company’s purchase price, which was contributed back by CEG. On December 7, 2022, when the project reached substantial completion, the tax equity investor contributed an additional $42 million and CEG contributed an additional $11 million, which was utilized, along with the $18 million in escrow, to repay the $60 million tax equity bridge loan, to fund $7 million in construction completion reserves and to pay $4 million in associated fees. Subsequent to the Mililani I acquisition, the Company had borrowed an additional $32 million in construction loans that was converted to a term loan in the amount of $48 million. As of December 31, 2022, the Company had a $47 million term loan outstanding, as $1 million was paid in December 2022.</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7" w:name="page108"/>
    <w:bookmarkEnd w:id="107"/>
    <w:p>
      <w:pPr>
        <w:ind w:left="320"/>
        <w:spacing w:after="0"/>
        <w:rPr>
          <w:sz w:val="20"/>
          <w:szCs w:val="20"/>
          <w:color w:val="auto"/>
        </w:rPr>
      </w:pPr>
      <w:r>
        <w:rPr>
          <w:rFonts w:ascii="Times New Roman" w:cs="Times New Roman" w:eastAsia="Times New Roman" w:hAnsi="Times New Roman"/>
          <w:sz w:val="14"/>
          <w:szCs w:val="14"/>
          <w:i w:val="1"/>
          <w:iCs w:val="1"/>
          <w:color w:val="auto"/>
        </w:rPr>
        <w:t>Viento Funding II, LLC</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 spread of 0.10% and an applicable margin, which is 1.375%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Agua Caliente Solar LLC</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As part of the acquisition of Agua Caliente Borrower 1 LLC and the consolidation of Agua Caliente,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consolidated non-recourse debt of $716 million related to Agua Caliente Solar, LLC on February 3, 2021. The debt consists of a credit agreement with the Federal Financing Bank and accrues interest at fixed rates between 2.395% and 3.633%, which matures in 2037.</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Pinnacle Repowering Partnership HoldCo LLC</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 On December 15, 2021, the Company repaid the outstanding principal amount of $117 million.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8" w:name="page109"/>
    <w:bookmarkEnd w:id="108"/>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Interest Rate Swaps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Project Financings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Many of the Company’s project subsidiaries entered into interest rate swaps, intended to hedge the risks associated with interest rates on non-recourse project level debt. These swaps amortize in proportion to their respective loans and are floating for a fixed rate where the project subsidiary pays its counterparty the equivalent of a fixed interest payment on a predetermined notional amount and will receive quarterly the equivalent of a floating interest payment based on the same notional amount. All interest rate swap payments by the project subsidiary and its counterparty are made quarterly and the LIBOR or SOFR is determined in advance of each interest period.</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swaps, some of which are forward starting as indicated, related to the Company’s project level debt as of December 31,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Fixed Interest</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Notional Amount at</w:t>
            </w:r>
          </w:p>
        </w:tc>
        <w:tc>
          <w:tcPr>
            <w:tcW w:w="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4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 of Principal</w:t>
            </w:r>
          </w:p>
        </w:tc>
        <w:tc>
          <w:tcPr>
            <w:tcW w:w="1000" w:type="dxa"/>
            <w:vAlign w:val="bottom"/>
            <w:gridSpan w:val="2"/>
            <w:vMerge w:val="continue"/>
          </w:tcPr>
          <w:p>
            <w:pPr>
              <w:spacing w:after="0"/>
              <w:rPr>
                <w:sz w:val="11"/>
                <w:szCs w:val="11"/>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Floating Interest Rate</w:t>
            </w:r>
          </w:p>
        </w:tc>
        <w:tc>
          <w:tcPr>
            <w:tcW w:w="160" w:type="dxa"/>
            <w:vAlign w:val="bottom"/>
          </w:tcPr>
          <w:p>
            <w:pPr>
              <w:spacing w:after="0"/>
              <w:rPr>
                <w:sz w:val="11"/>
                <w:szCs w:val="11"/>
                <w:color w:val="auto"/>
              </w:rPr>
            </w:pPr>
          </w:p>
        </w:tc>
        <w:tc>
          <w:tcPr>
            <w:tcW w:w="1520" w:type="dxa"/>
            <w:vAlign w:val="bottom"/>
          </w:tcPr>
          <w:p>
            <w:pPr>
              <w:jc w:val="center"/>
              <w:ind w:right="116"/>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 2022 (In</w:t>
            </w:r>
          </w:p>
        </w:tc>
        <w:tc>
          <w:tcPr>
            <w:tcW w:w="80" w:type="dxa"/>
            <w:vAlign w:val="bottom"/>
          </w:tcPr>
          <w:p>
            <w:pPr>
              <w:spacing w:after="0"/>
              <w:rPr>
                <w:sz w:val="11"/>
                <w:szCs w:val="11"/>
                <w:color w:val="auto"/>
              </w:rPr>
            </w:pPr>
          </w:p>
        </w:tc>
        <w:tc>
          <w:tcPr>
            <w:tcW w:w="1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Effective Date</w:t>
            </w:r>
          </w:p>
        </w:tc>
        <w:tc>
          <w:tcPr>
            <w:tcW w:w="1720" w:type="dxa"/>
            <w:vAlign w:val="bottom"/>
            <w:vMerge w:val="restart"/>
          </w:tcPr>
          <w:p>
            <w:pPr>
              <w:ind w:left="48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millions)</w:t>
            </w:r>
          </w:p>
        </w:tc>
        <w:tc>
          <w:tcPr>
            <w:tcW w:w="8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Avra Valley</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2.333 %</w:t>
            </w:r>
          </w:p>
        </w:tc>
        <w:tc>
          <w:tcPr>
            <w:tcW w:w="100" w:type="dxa"/>
            <w:vAlign w:val="bottom"/>
            <w:tcBorders>
              <w:top w:val="single" w:sz="8" w:color="CCEEFF"/>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30, 2012</w:t>
            </w: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30, 2030</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Asset Management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2.470 %</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May 22, 2013</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May 15, 2031</w:t>
            </w: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Borrego</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0.476 %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30, 2020</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2024</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Buckthorn Solar</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February 28, 2018</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31, 2041</w:t>
            </w: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30, 2027</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Capistrano Wind Portfolio</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Kansas South</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2.368 %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28, 2013</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2030</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Marsh Landing</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June 28, 2013</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June 30, 2023</w:t>
            </w: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Mililani I</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2.041 %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30, 2022</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30, 2042</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NIMH Solar</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September 30, 2020</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Oahu Solar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Various</w:t>
            </w: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30, 2019</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31, 2040</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Rosie Class B</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1.446 %</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31, 2020</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 Trent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3.847 %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14, 2019</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30, 2028</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Viento Funding II</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2.530 %</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3-Month SOFR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Various</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Various</w:t>
            </w: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Waiawa</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2022</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31, 2042</w:t>
            </w:r>
          </w:p>
        </w:tc>
        <w:tc>
          <w:tcPr>
            <w:tcW w:w="0" w:type="dxa"/>
            <w:vAlign w:val="bottom"/>
          </w:tcPr>
          <w:p>
            <w:pPr>
              <w:spacing w:after="0"/>
              <w:rPr>
                <w:sz w:val="1"/>
                <w:szCs w:val="1"/>
                <w:color w:val="auto"/>
              </w:rPr>
            </w:pPr>
          </w:p>
        </w:tc>
      </w:tr>
      <w:tr>
        <w:trPr>
          <w:trHeight w:val="168"/>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Walnut Creek</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3.543 %</w:t>
            </w:r>
          </w:p>
        </w:tc>
        <w:tc>
          <w:tcPr>
            <w:tcW w:w="100" w:type="dxa"/>
            <w:vAlign w:val="bottom"/>
          </w:tcPr>
          <w:p>
            <w:pPr>
              <w:spacing w:after="0"/>
              <w:rPr>
                <w:sz w:val="14"/>
                <w:szCs w:val="14"/>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June 28, 2013</w:t>
            </w:r>
          </w:p>
        </w:tc>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May 31, 2023</w:t>
            </w:r>
          </w:p>
        </w:tc>
        <w:tc>
          <w:tcPr>
            <w:tcW w:w="0" w:type="dxa"/>
            <w:vAlign w:val="bottom"/>
          </w:tcPr>
          <w:p>
            <w:pPr>
              <w:spacing w:after="0"/>
              <w:rPr>
                <w:sz w:val="1"/>
                <w:szCs w:val="1"/>
                <w:color w:val="auto"/>
              </w:rPr>
            </w:pPr>
          </w:p>
        </w:tc>
      </w:tr>
      <w:tr>
        <w:trPr>
          <w:trHeight w:val="17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WCEP Holdings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4.003 %</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3-Month LIBOR</w:t>
            </w:r>
          </w:p>
        </w:tc>
        <w:tc>
          <w:tcPr>
            <w:tcW w:w="1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28, 2013</w:t>
            </w: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May 31, 2023</w:t>
            </w:r>
          </w:p>
        </w:tc>
        <w:tc>
          <w:tcPr>
            <w:tcW w:w="0" w:type="dxa"/>
            <w:vAlign w:val="bottom"/>
          </w:tcPr>
          <w:p>
            <w:pPr>
              <w:spacing w:after="0"/>
              <w:rPr>
                <w:sz w:val="1"/>
                <w:szCs w:val="1"/>
                <w:color w:val="auto"/>
              </w:rPr>
            </w:pPr>
          </w:p>
        </w:tc>
      </w:tr>
      <w:tr>
        <w:trPr>
          <w:trHeight w:val="163"/>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Annual Maturities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Annual payments based on the maturities of the Company’s debt, for the years ending after December 31, 2022, are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(In millions)</w:t>
            </w:r>
          </w:p>
        </w:tc>
      </w:tr>
      <w:tr>
        <w:trPr>
          <w:trHeight w:val="163"/>
        </w:trPr>
        <w:tc>
          <w:tcPr>
            <w:tcW w:w="918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color w:val="auto"/>
              </w:rPr>
              <w:t xml:space="preserve">2023 </w:t>
            </w:r>
            <w:r>
              <w:rPr>
                <w:rFonts w:ascii="Times New Roman" w:cs="Times New Roman" w:eastAsia="Times New Roman" w:hAnsi="Times New Roman"/>
                <w:sz w:val="16"/>
                <w:szCs w:val="16"/>
                <w:color w:val="auto"/>
                <w:vertAlign w:val="superscript"/>
              </w:rPr>
              <w:t>(a)</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r>
      <w:tr>
        <w:trPr>
          <w:trHeight w:val="168"/>
        </w:trPr>
        <w:tc>
          <w:tcPr>
            <w:tcW w:w="9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3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w:t>
            </w:r>
          </w:p>
        </w:tc>
      </w:tr>
      <w:tr>
        <w:trPr>
          <w:trHeight w:val="17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3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382</w:t>
            </w:r>
          </w:p>
        </w:tc>
      </w:tr>
      <w:tr>
        <w:trPr>
          <w:trHeight w:val="168"/>
        </w:trPr>
        <w:tc>
          <w:tcPr>
            <w:tcW w:w="9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r>
      <w:tr>
        <w:trPr>
          <w:trHeight w:val="172"/>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8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r>
      <w:tr>
        <w:trPr>
          <w:trHeight w:val="168"/>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4,899</w:t>
            </w:r>
          </w:p>
        </w:tc>
      </w:tr>
      <w:tr>
        <w:trPr>
          <w:trHeight w:val="18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6,870</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60" w:firstLine="9"/>
        <w:spacing w:after="0"/>
        <w:tabs>
          <w:tab w:leader="none" w:pos="185" w:val="left"/>
        </w:tabs>
        <w:numPr>
          <w:ilvl w:val="0"/>
          <w:numId w:val="6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At December 31, 2022, amount includes $97 million recorded in long-term debt on the Company’s consolidated balance sheet that is due in 2023 and is either being funded through long-term equity contributions or is converting to long-term debt.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Note 11 — Earnings Per Share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reconciliation of the Company’s basic and diluted earnings per share is shown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 xml:space="preserve">(In millions, except per share data) </w:t>
            </w:r>
            <w:r>
              <w:rPr>
                <w:rFonts w:ascii="Times New Roman" w:cs="Times New Roman" w:eastAsia="Times New Roman" w:hAnsi="Times New Roman"/>
                <w:sz w:val="18"/>
                <w:szCs w:val="18"/>
                <w:b w:val="1"/>
                <w:bCs w:val="1"/>
                <w:color w:val="auto"/>
                <w:vertAlign w:val="superscript"/>
              </w:rPr>
              <w:t>(a)</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454"/>
              <w:spacing w:after="0"/>
              <w:rPr>
                <w:sz w:val="20"/>
                <w:szCs w:val="20"/>
                <w:color w:val="auto"/>
              </w:rPr>
            </w:pPr>
            <w:r>
              <w:rPr>
                <w:rFonts w:ascii="Times New Roman" w:cs="Times New Roman" w:eastAsia="Times New Roman" w:hAnsi="Times New Roman"/>
                <w:sz w:val="11"/>
                <w:szCs w:val="11"/>
                <w:b w:val="1"/>
                <w:bCs w:val="1"/>
                <w:color w:val="auto"/>
              </w:rPr>
              <w:t>2021</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2020</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00" w:type="dxa"/>
            <w:vAlign w:val="bottom"/>
            <w:gridSpan w:val="2"/>
            <w:vMerge w:val="continue"/>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100" w:type="dxa"/>
            <w:vAlign w:val="bottom"/>
          </w:tcPr>
          <w:p>
            <w:pPr>
              <w:spacing w:after="0"/>
              <w:rPr>
                <w:sz w:val="10"/>
                <w:szCs w:val="10"/>
                <w:color w:val="auto"/>
              </w:rPr>
            </w:pPr>
          </w:p>
        </w:tc>
        <w:tc>
          <w:tcPr>
            <w:tcW w:w="100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80" w:type="dxa"/>
            <w:vAlign w:val="bottom"/>
          </w:tcPr>
          <w:p>
            <w:pPr>
              <w:spacing w:after="0"/>
              <w:rPr>
                <w:sz w:val="10"/>
                <w:szCs w:val="10"/>
                <w:color w:val="auto"/>
              </w:rPr>
            </w:pPr>
          </w:p>
        </w:tc>
        <w:tc>
          <w:tcPr>
            <w:tcW w:w="1020" w:type="dxa"/>
            <w:vAlign w:val="bottom"/>
            <w:gridSpan w:val="3"/>
          </w:tcPr>
          <w:p>
            <w:pPr>
              <w:ind w:left="40"/>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A</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Common Class C</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CEEFF"/>
          </w:tcPr>
          <w:p>
            <w:pPr>
              <w:spacing w:after="0"/>
              <w:rPr>
                <w:sz w:val="10"/>
                <w:szCs w:val="10"/>
                <w:color w:val="auto"/>
              </w:rPr>
            </w:pPr>
          </w:p>
        </w:tc>
        <w:tc>
          <w:tcPr>
            <w:tcW w:w="5200" w:type="dxa"/>
            <w:vAlign w:val="bottom"/>
            <w:gridSpan w:val="2"/>
            <w:shd w:val="clear" w:color="auto" w:fill="CCEEFF"/>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Basic and diluted income per share attributable to Clearway Energy, Inc. common</w:t>
            </w: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2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Clearway Energy, Inc.</w:t>
            </w: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5"/>
                <w:szCs w:val="15"/>
                <w:color w:val="auto"/>
              </w:rPr>
            </w:pPr>
          </w:p>
        </w:tc>
        <w:tc>
          <w:tcPr>
            <w:tcW w:w="34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15"/>
                <w:szCs w:val="15"/>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60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5"/>
                <w:szCs w:val="15"/>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Weighted average number of common shares outstanding — basic</w:t>
            </w:r>
          </w:p>
        </w:tc>
        <w:tc>
          <w:tcPr>
            <w:tcW w:w="3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2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Weighted average number of common shares outstanding — diluted</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 per weighted average common share — basic and diluted</w:t>
            </w: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13881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05" w:lineRule="exact"/>
        <w:rPr>
          <w:sz w:val="20"/>
          <w:szCs w:val="20"/>
          <w:color w:val="auto"/>
        </w:rPr>
      </w:pPr>
    </w:p>
    <w:p>
      <w:pPr>
        <w:ind w:left="200" w:hanging="131"/>
        <w:spacing w:after="0"/>
        <w:tabs>
          <w:tab w:leader="none" w:pos="200" w:val="left"/>
        </w:tabs>
        <w:numPr>
          <w:ilvl w:val="0"/>
          <w:numId w:val="6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Net income attributable to Clearway Energy, Inc. and basic and diluted earnings per share might not recalculate due to presenting amounts in millions rather than whole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Stockholders’ Equity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At-the-Market Equity Offering Program, or the ATM Program</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Company’s ATM Program, the Company may offer and sell shares of its Class C common stock from time to time up to an aggregate sales price of $150 million through an at-the-market equity offering program, or the ATM Program. During the years ended December 31, 2022 and 2021, the Company did not sell any Class C common stock shares under the ATM Program. During the year ended December 31, 2020, the Company sold approximately 2.7 million Class C common stock shares under the ATM Program for gross proceeds of approximately $63 million and fees related to the sales totaled less than $1 million. As of December 31, 2022, approximately $126 million of Class C common stock remains available for issuance under the ATM Program.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to Class A and Class C common stockholders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dividends paid on the Company’s Class A and Class C common stock during the year ended December 31,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2022</w:t>
            </w:r>
          </w:p>
        </w:tc>
        <w:tc>
          <w:tcPr>
            <w:tcW w:w="140" w:type="dxa"/>
            <w:vAlign w:val="bottom"/>
          </w:tcPr>
          <w:p>
            <w:pPr>
              <w:spacing w:after="0"/>
              <w:rPr>
                <w:sz w:val="13"/>
                <w:szCs w:val="13"/>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Third Quarter 2022</w:t>
            </w:r>
          </w:p>
        </w:tc>
        <w:tc>
          <w:tcPr>
            <w:tcW w:w="12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Second Quarter 2022</w:t>
            </w:r>
          </w:p>
        </w:tc>
        <w:tc>
          <w:tcPr>
            <w:tcW w:w="140" w:type="dxa"/>
            <w:vAlign w:val="bottom"/>
          </w:tcPr>
          <w:p>
            <w:pPr>
              <w:spacing w:after="0"/>
              <w:rPr>
                <w:sz w:val="13"/>
                <w:szCs w:val="13"/>
                <w:color w:val="auto"/>
              </w:rPr>
            </w:pPr>
          </w:p>
        </w:tc>
        <w:tc>
          <w:tcPr>
            <w:tcW w:w="12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A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6"/>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per Class C share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1"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Dividends on the Class A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On February 15, 2023, the Company declared a quarterly dividend on its Class A and Class C common stock of $0.3745 per share payable on March 15, 2023, to stockholders of record as of March 1, 2023.</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also authorized 10,000,000 shares of preferred stock, par value $0.01 per share. None of the shares of preferred stock have been issued.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 to CEG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to CEG during the year ended December 31, 2022 on Clearway Energy LLC’s Class B and D units: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Fourth Quarter 2022</w:t>
            </w:r>
          </w:p>
        </w:tc>
        <w:tc>
          <w:tcPr>
            <w:tcW w:w="14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Third Quarter 2022</w:t>
            </w:r>
          </w:p>
        </w:tc>
        <w:tc>
          <w:tcPr>
            <w:tcW w:w="140" w:type="dxa"/>
            <w:vAlign w:val="bottom"/>
          </w:tcPr>
          <w:p>
            <w:pPr>
              <w:spacing w:after="0"/>
              <w:rPr>
                <w:sz w:val="13"/>
                <w:szCs w:val="13"/>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Second Quarter 2022</w:t>
            </w:r>
          </w:p>
        </w:tc>
        <w:tc>
          <w:tcPr>
            <w:tcW w:w="160" w:type="dxa"/>
            <w:vAlign w:val="bottom"/>
          </w:tcPr>
          <w:p>
            <w:pPr>
              <w:spacing w:after="0"/>
              <w:rPr>
                <w:sz w:val="13"/>
                <w:szCs w:val="13"/>
                <w:color w:val="auto"/>
              </w:rPr>
            </w:pP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B unit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r>
        <w:trPr>
          <w:trHeight w:val="186"/>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per Class D unit</w:t>
            </w: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1" w:lineRule="exact"/>
        <w:rPr>
          <w:sz w:val="20"/>
          <w:szCs w:val="20"/>
          <w:color w:val="auto"/>
        </w:rPr>
      </w:pPr>
    </w:p>
    <w:p>
      <w:pPr>
        <w:jc w:val="both"/>
        <w:ind w:right="60" w:firstLine="318"/>
        <w:spacing w:after="0" w:line="280" w:lineRule="auto"/>
        <w:rPr>
          <w:sz w:val="20"/>
          <w:szCs w:val="20"/>
          <w:color w:val="auto"/>
        </w:rPr>
      </w:pPr>
      <w:r>
        <w:rPr>
          <w:rFonts w:ascii="Times New Roman" w:cs="Times New Roman" w:eastAsia="Times New Roman" w:hAnsi="Times New Roman"/>
          <w:sz w:val="14"/>
          <w:szCs w:val="14"/>
          <w:color w:val="auto"/>
        </w:rPr>
        <w:t>In addition to the quarterly distributions paid to CEG, Clearway Energy LLC distributed an additional $8 million to CEG during the third quarter of 2022, which represented CEG’s pro-rata share of a distribution that was paid in order for the Company to make certain tax payments associated with the sale of the Thermal Business. The Company’s share of the distribution was $11 million.</w:t>
      </w:r>
    </w:p>
    <w:p>
      <w:pPr>
        <w:spacing w:after="0" w:line="261" w:lineRule="exact"/>
        <w:rPr>
          <w:sz w:val="20"/>
          <w:szCs w:val="20"/>
          <w:color w:val="auto"/>
        </w:rPr>
      </w:pPr>
    </w:p>
    <w:p>
      <w:pPr>
        <w:jc w:val="both"/>
        <w:ind w:right="60" w:firstLine="318"/>
        <w:spacing w:after="0" w:line="287" w:lineRule="auto"/>
        <w:rPr>
          <w:sz w:val="20"/>
          <w:szCs w:val="20"/>
          <w:color w:val="auto"/>
        </w:rPr>
      </w:pPr>
      <w:r>
        <w:rPr>
          <w:rFonts w:ascii="Times New Roman" w:cs="Times New Roman" w:eastAsia="Times New Roman" w:hAnsi="Times New Roman"/>
          <w:sz w:val="14"/>
          <w:szCs w:val="14"/>
          <w:color w:val="auto"/>
        </w:rPr>
        <w:t>The portion of the distributions paid by Clearway Energy LLC to CEG is recorded as a reduction to the Company’s noncontrolling interest balance. The portion of the distributions paid by Clearway Energy LLC to the Company was utilized to fund the dividends to the Class A and Class C common stockholders described above.</w:t>
      </w:r>
    </w:p>
    <w:p>
      <w:pPr>
        <w:spacing w:after="0" w:line="82" w:lineRule="exact"/>
        <w:rPr>
          <w:sz w:val="20"/>
          <w:szCs w:val="20"/>
          <w:color w:val="auto"/>
        </w:rPr>
      </w:pPr>
    </w:p>
    <w:p>
      <w:pPr>
        <w:ind w:right="1520" w:firstLine="318"/>
        <w:spacing w:after="0" w:line="442" w:lineRule="auto"/>
        <w:rPr>
          <w:sz w:val="20"/>
          <w:szCs w:val="20"/>
          <w:color w:val="auto"/>
        </w:rPr>
      </w:pPr>
      <w:r>
        <w:rPr>
          <w:rFonts w:ascii="Times New Roman" w:cs="Times New Roman" w:eastAsia="Times New Roman" w:hAnsi="Times New Roman"/>
          <w:sz w:val="14"/>
          <w:szCs w:val="14"/>
          <w:color w:val="auto"/>
        </w:rPr>
        <w:t xml:space="preserve">On February 15, 2023, Clearway Energy LLC declared a quarterly distribution on its Class B and Class D units of $0.3745 per unit payable to CEG on March 15, 2023. </w:t>
      </w:r>
      <w:r>
        <w:rPr>
          <w:rFonts w:ascii="Times New Roman" w:cs="Times New Roman" w:eastAsia="Times New Roman" w:hAnsi="Times New Roman"/>
          <w:sz w:val="14"/>
          <w:szCs w:val="14"/>
          <w:b w:val="1"/>
          <w:bCs w:val="1"/>
          <w:color w:val="auto"/>
        </w:rPr>
        <w:t>Note 13 — Segment Reporting</w:t>
      </w:r>
    </w:p>
    <w:p>
      <w:pPr>
        <w:spacing w:after="0" w:line="1" w:lineRule="exact"/>
        <w:rPr>
          <w:sz w:val="20"/>
          <w:szCs w:val="20"/>
          <w:color w:val="auto"/>
        </w:rPr>
      </w:pPr>
    </w:p>
    <w:p>
      <w:pPr>
        <w:jc w:val="both"/>
        <w:ind w:right="60"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Company’s segment structure reflects how management currently operates and allocates resources. The Company’s businesses are segregated based on conventional power generation, renewable businesses, which consist of solar and wind, and the Thermal Business, which was sold on May 1, 2022,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generated more than 10% of its revenues from the following customers for the years ended December 31, 2022, 2021 and 2020:</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3380" w:type="dxa"/>
            <w:vAlign w:val="bottom"/>
          </w:tcPr>
          <w:p>
            <w:pPr>
              <w:spacing w:after="0"/>
              <w:rPr>
                <w:sz w:val="13"/>
                <w:szCs w:val="13"/>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1120"/>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100"/>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57"/>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Customer</w:t>
            </w:r>
          </w:p>
        </w:tc>
        <w:tc>
          <w:tcPr>
            <w:tcW w:w="156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Conventional</w:t>
            </w: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Pr>
          <w:p>
            <w:pPr>
              <w:spacing w:after="0"/>
              <w:rPr>
                <w:sz w:val="13"/>
                <w:szCs w:val="13"/>
                <w:color w:val="auto"/>
              </w:rPr>
            </w:pPr>
          </w:p>
        </w:tc>
        <w:tc>
          <w:tcPr>
            <w:tcW w:w="1040" w:type="dxa"/>
            <w:vAlign w:val="bottom"/>
          </w:tcPr>
          <w:p>
            <w:pPr>
              <w:jc w:val="center"/>
              <w:ind w:left="119"/>
              <w:spacing w:after="0"/>
              <w:rPr>
                <w:sz w:val="20"/>
                <w:szCs w:val="20"/>
                <w:color w:val="auto"/>
              </w:rPr>
            </w:pPr>
            <w:r>
              <w:rPr>
                <w:rFonts w:ascii="Times New Roman" w:cs="Times New Roman" w:eastAsia="Times New Roman" w:hAnsi="Times New Roman"/>
                <w:sz w:val="11"/>
                <w:szCs w:val="11"/>
                <w:b w:val="1"/>
                <w:bCs w:val="1"/>
                <w:color w:val="auto"/>
              </w:rPr>
              <w:t>Conventional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0" w:type="dxa"/>
            <w:vAlign w:val="bottom"/>
          </w:tcPr>
          <w:p>
            <w:pPr>
              <w:spacing w:after="0"/>
              <w:rPr>
                <w:sz w:val="13"/>
                <w:szCs w:val="13"/>
                <w:color w:val="auto"/>
              </w:rPr>
            </w:pPr>
          </w:p>
        </w:tc>
        <w:tc>
          <w:tcPr>
            <w:tcW w:w="1060" w:type="dxa"/>
            <w:vAlign w:val="bottom"/>
          </w:tcPr>
          <w:p>
            <w:pPr>
              <w:jc w:val="center"/>
              <w:ind w:left="119"/>
              <w:spacing w:after="0"/>
              <w:rPr>
                <w:sz w:val="20"/>
                <w:szCs w:val="20"/>
                <w:color w:val="auto"/>
              </w:rPr>
            </w:pPr>
            <w:r>
              <w:rPr>
                <w:rFonts w:ascii="Times New Roman" w:cs="Times New Roman" w:eastAsia="Times New Roman" w:hAnsi="Times New Roman"/>
                <w:sz w:val="11"/>
                <w:szCs w:val="11"/>
                <w:b w:val="1"/>
                <w:bCs w:val="1"/>
                <w:color w:val="auto"/>
              </w:rPr>
              <w:t>Conventional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Renewables</w:t>
            </w:r>
          </w:p>
        </w:tc>
      </w:tr>
      <w:tr>
        <w:trPr>
          <w:trHeight w:val="16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SCE</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center"/>
              <w:ind w:right="139"/>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3"/>
                <w:szCs w:val="13"/>
                <w:color w:val="auto"/>
                <w:w w:val="92"/>
              </w:rPr>
              <w:t>17%</w:t>
            </w: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3"/>
                <w:szCs w:val="13"/>
                <w:color w:val="auto"/>
              </w:rPr>
              <w:t>18%</w:t>
            </w: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16%</w:t>
            </w:r>
          </w:p>
        </w:tc>
      </w:tr>
      <w:tr>
        <w:trPr>
          <w:trHeight w:val="165"/>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PG&amp;E</w:t>
            </w: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040" w:type="dxa"/>
            <w:vAlign w:val="bottom"/>
          </w:tcPr>
          <w:p>
            <w:pPr>
              <w:jc w:val="center"/>
              <w:ind w:left="119"/>
              <w:spacing w:after="0"/>
              <w:rPr>
                <w:sz w:val="20"/>
                <w:szCs w:val="20"/>
                <w:color w:val="auto"/>
              </w:rPr>
            </w:pPr>
            <w:r>
              <w:rPr>
                <w:rFonts w:ascii="Times New Roman" w:cs="Times New Roman" w:eastAsia="Times New Roman" w:hAnsi="Times New Roman"/>
                <w:sz w:val="13"/>
                <w:szCs w:val="13"/>
                <w:color w:val="auto"/>
                <w:w w:val="92"/>
              </w:rPr>
              <w:t>10%</w:t>
            </w:r>
          </w:p>
        </w:tc>
        <w:tc>
          <w:tcPr>
            <w:tcW w:w="1520" w:type="dxa"/>
            <w:vAlign w:val="bottom"/>
            <w:gridSpan w:val="3"/>
          </w:tcPr>
          <w:p>
            <w:pPr>
              <w:jc w:val="center"/>
              <w:ind w:left="22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060" w:type="dxa"/>
            <w:vAlign w:val="bottom"/>
          </w:tcPr>
          <w:p>
            <w:pPr>
              <w:jc w:val="center"/>
              <w:ind w:left="119"/>
              <w:spacing w:after="0"/>
              <w:rPr>
                <w:sz w:val="20"/>
                <w:szCs w:val="20"/>
                <w:color w:val="auto"/>
              </w:rPr>
            </w:pPr>
            <w:r>
              <w:rPr>
                <w:rFonts w:ascii="Times New Roman" w:cs="Times New Roman" w:eastAsia="Times New Roman" w:hAnsi="Times New Roman"/>
                <w:sz w:val="13"/>
                <w:szCs w:val="13"/>
                <w:color w:val="auto"/>
              </w:rPr>
              <w:t>10%</w:t>
            </w:r>
          </w:p>
        </w:tc>
        <w:tc>
          <w:tcPr>
            <w:tcW w:w="1500" w:type="dxa"/>
            <w:vAlign w:val="bottom"/>
            <w:gridSpan w:val="3"/>
          </w:tcPr>
          <w:p>
            <w:pPr>
              <w:jc w:val="right"/>
              <w:ind w:right="460"/>
              <w:spacing w:after="0"/>
              <w:rPr>
                <w:sz w:val="20"/>
                <w:szCs w:val="20"/>
                <w:color w:val="auto"/>
              </w:rPr>
            </w:pPr>
            <w:r>
              <w:rPr>
                <w:rFonts w:ascii="Times New Roman" w:cs="Times New Roman" w:eastAsia="Times New Roman" w:hAnsi="Times New Roman"/>
                <w:sz w:val="13"/>
                <w:szCs w:val="13"/>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300" w:top="727" w:right="25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58"/>
        </w:trPr>
        <w:tc>
          <w:tcPr>
            <w:tcW w:w="54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9"/>
                <w:szCs w:val="9"/>
                <w:color w:val="auto"/>
              </w:rPr>
            </w:pPr>
          </w:p>
        </w:tc>
        <w:tc>
          <w:tcPr>
            <w:tcW w:w="960" w:type="dxa"/>
            <w:vAlign w:val="bottom"/>
          </w:tcPr>
          <w:p>
            <w:pPr>
              <w:jc w:val="right"/>
              <w:ind w:right="177"/>
              <w:spacing w:after="0" w:line="108"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260" w:type="dxa"/>
            <w:vAlign w:val="bottom"/>
          </w:tcPr>
          <w:p>
            <w:pPr>
              <w:spacing w:after="0"/>
              <w:rPr>
                <w:sz w:val="9"/>
                <w:szCs w:val="9"/>
                <w:color w:val="auto"/>
              </w:rPr>
            </w:pPr>
          </w:p>
        </w:tc>
        <w:tc>
          <w:tcPr>
            <w:tcW w:w="840" w:type="dxa"/>
            <w:vAlign w:val="bottom"/>
            <w:vMerge w:val="restart"/>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5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37"/>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0" w:type="dxa"/>
            <w:vAlign w:val="bottom"/>
          </w:tcPr>
          <w:p>
            <w:pPr>
              <w:spacing w:after="0"/>
              <w:rPr>
                <w:sz w:val="1"/>
                <w:szCs w:val="1"/>
                <w:color w:val="auto"/>
              </w:rPr>
            </w:pPr>
          </w:p>
        </w:tc>
      </w:tr>
      <w:tr>
        <w:trPr>
          <w:trHeight w:val="168"/>
        </w:trPr>
        <w:tc>
          <w:tcPr>
            <w:tcW w:w="5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Cost of operations, exclusive of depreciation, amortization and accretion shown separately below</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0" w:type="dxa"/>
            <w:vAlign w:val="bottom"/>
          </w:tcPr>
          <w:p>
            <w:pPr>
              <w:spacing w:after="0"/>
              <w:rPr>
                <w:sz w:val="1"/>
                <w:szCs w:val="1"/>
                <w:color w:val="auto"/>
              </w:rPr>
            </w:pPr>
          </w:p>
        </w:tc>
      </w:tr>
      <w:tr>
        <w:trPr>
          <w:trHeight w:val="168"/>
        </w:trPr>
        <w:tc>
          <w:tcPr>
            <w:tcW w:w="5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8"/>
        </w:trPr>
        <w:tc>
          <w:tcPr>
            <w:tcW w:w="5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Development costs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operating costs and expenses</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1,012</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sale of business</w:t>
            </w: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w:t>
            </w:r>
          </w:p>
        </w:tc>
        <w:tc>
          <w:tcPr>
            <w:tcW w:w="0" w:type="dxa"/>
            <w:vAlign w:val="bottom"/>
          </w:tcPr>
          <w:p>
            <w:pPr>
              <w:spacing w:after="0"/>
              <w:rPr>
                <w:sz w:val="1"/>
                <w:szCs w:val="1"/>
                <w:color w:val="auto"/>
              </w:rPr>
            </w:pPr>
          </w:p>
        </w:tc>
      </w:tr>
      <w:tr>
        <w:trPr>
          <w:trHeight w:val="15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1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8"/>
        </w:trPr>
        <w:tc>
          <w:tcPr>
            <w:tcW w:w="5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6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0" w:type="dxa"/>
            <w:vAlign w:val="bottom"/>
          </w:tcPr>
          <w:p>
            <w:pPr>
              <w:spacing w:after="0"/>
              <w:rPr>
                <w:sz w:val="1"/>
                <w:szCs w:val="1"/>
                <w:color w:val="auto"/>
              </w:rPr>
            </w:pPr>
          </w:p>
        </w:tc>
      </w:tr>
      <w:tr>
        <w:trPr>
          <w:trHeight w:val="168"/>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6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0" w:type="dxa"/>
            <w:vAlign w:val="bottom"/>
          </w:tcPr>
          <w:p>
            <w:pPr>
              <w:spacing w:after="0"/>
              <w:rPr>
                <w:sz w:val="1"/>
                <w:szCs w:val="1"/>
                <w:color w:val="auto"/>
              </w:rPr>
            </w:pPr>
          </w:p>
        </w:tc>
      </w:tr>
      <w:tr>
        <w:trPr>
          <w:trHeight w:val="160"/>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Attributable to Clearway Energy, Inc.</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0" w:type="dxa"/>
            <w:vAlign w:val="bottom"/>
          </w:tcPr>
          <w:p>
            <w:pPr>
              <w:spacing w:after="0"/>
              <w:rPr>
                <w:sz w:val="1"/>
                <w:szCs w:val="1"/>
                <w:color w:val="auto"/>
              </w:rPr>
            </w:pPr>
          </w:p>
        </w:tc>
      </w:tr>
      <w:tr>
        <w:trPr>
          <w:trHeight w:val="172"/>
        </w:trPr>
        <w:tc>
          <w:tcPr>
            <w:tcW w:w="54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 (c)</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7"/>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2,251</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9,515</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88900</wp:posOffset>
            </wp:positionV>
            <wp:extent cx="13881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9" w:lineRule="exact"/>
        <w:rPr>
          <w:sz w:val="20"/>
          <w:szCs w:val="20"/>
          <w:color w:val="auto"/>
        </w:rPr>
      </w:pPr>
    </w:p>
    <w:p>
      <w:pPr>
        <w:ind w:left="140" w:hanging="131"/>
        <w:spacing w:after="0"/>
        <w:tabs>
          <w:tab w:leader="none" w:pos="140"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Includes eliminations</w:t>
      </w:r>
    </w:p>
    <w:p>
      <w:pPr>
        <w:spacing w:after="0" w:line="34" w:lineRule="exact"/>
        <w:rPr>
          <w:rFonts w:ascii="Times New Roman" w:cs="Times New Roman" w:eastAsia="Times New Roman" w:hAnsi="Times New Roman"/>
          <w:sz w:val="17"/>
          <w:szCs w:val="17"/>
          <w:color w:val="auto"/>
          <w:vertAlign w:val="superscript"/>
        </w:rPr>
      </w:pPr>
    </w:p>
    <w:p>
      <w:pPr>
        <w:ind w:left="140" w:hanging="131"/>
        <w:spacing w:after="0" w:line="187" w:lineRule="auto"/>
        <w:tabs>
          <w:tab w:leader="none" w:pos="140" w:val="left"/>
        </w:tabs>
        <w:numPr>
          <w:ilvl w:val="0"/>
          <w:numId w:val="6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Includes accruals</w:t>
      </w:r>
    </w:p>
    <w:p>
      <w:pPr>
        <w:spacing w:after="0" w:line="24" w:lineRule="exact"/>
        <w:rPr>
          <w:rFonts w:ascii="Times New Roman" w:cs="Times New Roman" w:eastAsia="Times New Roman" w:hAnsi="Times New Roman"/>
          <w:sz w:val="15"/>
          <w:szCs w:val="15"/>
          <w:color w:val="auto"/>
          <w:vertAlign w:val="superscript"/>
        </w:rPr>
      </w:pPr>
    </w:p>
    <w:p>
      <w:pPr>
        <w:ind w:left="140" w:hanging="131"/>
        <w:spacing w:after="0" w:line="187" w:lineRule="auto"/>
        <w:tabs>
          <w:tab w:leader="none" w:pos="140" w:val="left"/>
        </w:tabs>
        <w:numPr>
          <w:ilvl w:val="0"/>
          <w:numId w:val="6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0"/>
          <w:szCs w:val="10"/>
          <w:color w:val="auto"/>
        </w:rPr>
        <w:t>Thermal capital expenditures, including accruals, prior to the sale of the Thermal Business on May 1, 2022.</w:t>
      </w:r>
    </w:p>
    <w:p>
      <w:pPr>
        <w:spacing w:after="0" w:line="200" w:lineRule="exact"/>
        <w:rPr>
          <w:sz w:val="20"/>
          <w:szCs w:val="20"/>
          <w:color w:val="auto"/>
        </w:rPr>
      </w:pPr>
    </w:p>
    <w:p>
      <w:pPr>
        <w:spacing w:after="0" w:line="35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60" w:top="757" w:right="2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58"/>
        </w:trPr>
        <w:tc>
          <w:tcPr>
            <w:tcW w:w="22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6"/>
          </w:tcPr>
          <w:p>
            <w:pPr>
              <w:jc w:val="center"/>
              <w:ind w:left="717"/>
              <w:spacing w:after="0"/>
              <w:rPr>
                <w:sz w:val="20"/>
                <w:szCs w:val="20"/>
                <w:color w:val="auto"/>
              </w:rPr>
            </w:pPr>
            <w:r>
              <w:rPr>
                <w:rFonts w:ascii="Times New Roman" w:cs="Times New Roman" w:eastAsia="Times New Roman" w:hAnsi="Times New Roman"/>
                <w:sz w:val="11"/>
                <w:szCs w:val="11"/>
                <w:b w:val="1"/>
                <w:bCs w:val="1"/>
                <w:color w:val="auto"/>
              </w:rPr>
              <w:t>Year ended December 31, 2021</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9"/>
                <w:szCs w:val="9"/>
                <w:color w:val="auto"/>
              </w:rPr>
            </w:pPr>
          </w:p>
        </w:tc>
        <w:tc>
          <w:tcPr>
            <w:tcW w:w="11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18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0" w:type="dxa"/>
            <w:vAlign w:val="bottom"/>
          </w:tcPr>
          <w:p>
            <w:pPr>
              <w:spacing w:after="0"/>
              <w:rPr>
                <w:sz w:val="9"/>
                <w:szCs w:val="9"/>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8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260" w:type="dxa"/>
            <w:vAlign w:val="bottom"/>
          </w:tcPr>
          <w:p>
            <w:pPr>
              <w:spacing w:after="0"/>
              <w:rPr>
                <w:sz w:val="9"/>
                <w:szCs w:val="9"/>
                <w:color w:val="auto"/>
              </w:rPr>
            </w:pPr>
          </w:p>
        </w:tc>
        <w:tc>
          <w:tcPr>
            <w:tcW w:w="900" w:type="dxa"/>
            <w:vAlign w:val="bottom"/>
            <w:vMerge w:val="restart"/>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5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8"/>
              </w:rPr>
              <w:t>Cost of operations, exclusive of depreciation, amortization and accretion shown separately below</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Development costs</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Equity in earnings of unconsolidated affiliates</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8"/>
        </w:trPr>
        <w:tc>
          <w:tcPr>
            <w:tcW w:w="51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0" w:type="dxa"/>
            <w:vAlign w:val="bottom"/>
          </w:tcPr>
          <w:p>
            <w:pPr>
              <w:spacing w:after="0"/>
              <w:rPr>
                <w:sz w:val="1"/>
                <w:szCs w:val="1"/>
                <w:color w:val="auto"/>
              </w:rPr>
            </w:pPr>
          </w:p>
        </w:tc>
      </w:tr>
      <w:tr>
        <w:trPr>
          <w:trHeight w:val="16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Income tax expense</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3"/>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Inc.</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120" w:type="dxa"/>
            <w:vAlign w:val="bottom"/>
            <w:gridSpan w:val="2"/>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rPr>
              <w:t xml:space="preserve">Capital expenditures </w:t>
            </w:r>
            <w:r>
              <w:rPr>
                <w:rFonts w:ascii="Times New Roman" w:cs="Times New Roman" w:eastAsia="Times New Roman" w:hAnsi="Times New Roman"/>
                <w:sz w:val="16"/>
                <w:szCs w:val="16"/>
                <w:color w:val="auto"/>
                <w:vertAlign w:val="superscript"/>
              </w:rPr>
              <w:t>(b)</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67"/>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w:t>
            </w:r>
          </w:p>
        </w:tc>
        <w:tc>
          <w:tcPr>
            <w:tcW w:w="100" w:type="dxa"/>
            <w:vAlign w:val="bottom"/>
          </w:tcPr>
          <w:p>
            <w:pPr>
              <w:spacing w:after="0"/>
              <w:rPr>
                <w:sz w:val="14"/>
                <w:szCs w:val="14"/>
                <w:color w:val="auto"/>
              </w:rPr>
            </w:pPr>
          </w:p>
        </w:tc>
        <w:tc>
          <w:tcPr>
            <w:tcW w:w="1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9,603</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12,813</w:t>
            </w:r>
          </w:p>
        </w:tc>
        <w:tc>
          <w:tcPr>
            <w:tcW w:w="0" w:type="dxa"/>
            <w:vAlign w:val="bottom"/>
          </w:tcPr>
          <w:p>
            <w:pPr>
              <w:spacing w:after="0"/>
              <w:rPr>
                <w:sz w:val="1"/>
                <w:szCs w:val="1"/>
                <w:color w:val="auto"/>
              </w:rPr>
            </w:pPr>
          </w:p>
        </w:tc>
      </w:tr>
      <w:tr>
        <w:trPr>
          <w:trHeight w:val="140"/>
        </w:trPr>
        <w:tc>
          <w:tcPr>
            <w:tcW w:w="2200" w:type="dxa"/>
            <w:vAlign w:val="bottom"/>
            <w:tcBorders>
              <w:bottom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2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vertAlign w:val="superscript"/>
              </w:rPr>
              <w:t>(b)</w:t>
            </w:r>
            <w:r>
              <w:rPr>
                <w:rFonts w:ascii="Times New Roman" w:cs="Times New Roman" w:eastAsia="Times New Roman" w:hAnsi="Times New Roman"/>
                <w:sz w:val="11"/>
                <w:szCs w:val="11"/>
                <w:color w:val="auto"/>
              </w:rPr>
              <w:t xml:space="preserve"> Includes accruals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6"/>
          </w:tcPr>
          <w:p>
            <w:pPr>
              <w:jc w:val="center"/>
              <w:ind w:left="717"/>
              <w:spacing w:after="0"/>
              <w:rPr>
                <w:sz w:val="20"/>
                <w:szCs w:val="20"/>
                <w:color w:val="auto"/>
              </w:rPr>
            </w:pPr>
            <w:r>
              <w:rPr>
                <w:rFonts w:ascii="Times New Roman" w:cs="Times New Roman" w:eastAsia="Times New Roman" w:hAnsi="Times New Roman"/>
                <w:sz w:val="11"/>
                <w:szCs w:val="11"/>
                <w:b w:val="1"/>
                <w:bCs w:val="1"/>
                <w:color w:val="auto"/>
              </w:rPr>
              <w:t>Year ended December 31, 2020</w:t>
            </w: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9"/>
                <w:szCs w:val="9"/>
                <w:color w:val="auto"/>
              </w:rPr>
            </w:pPr>
          </w:p>
        </w:tc>
        <w:tc>
          <w:tcPr>
            <w:tcW w:w="1100" w:type="dxa"/>
            <w:vAlign w:val="bottom"/>
            <w:gridSpan w:val="2"/>
          </w:tcPr>
          <w:p>
            <w:pPr>
              <w:jc w:val="center"/>
              <w:ind w:right="280"/>
              <w:spacing w:after="0" w:line="106"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18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200" w:type="dxa"/>
            <w:vAlign w:val="bottom"/>
          </w:tcPr>
          <w:p>
            <w:pPr>
              <w:spacing w:after="0"/>
              <w:rPr>
                <w:sz w:val="9"/>
                <w:szCs w:val="9"/>
                <w:color w:val="auto"/>
              </w:rPr>
            </w:pPr>
          </w:p>
        </w:tc>
        <w:tc>
          <w:tcPr>
            <w:tcW w:w="10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180" w:type="dxa"/>
            <w:vAlign w:val="bottom"/>
          </w:tcPr>
          <w:p>
            <w:pPr>
              <w:spacing w:after="0"/>
              <w:rPr>
                <w:sz w:val="9"/>
                <w:szCs w:val="9"/>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b w:val="1"/>
                <w:bCs w:val="1"/>
                <w:color w:val="auto"/>
                <w:vertAlign w:val="superscript"/>
              </w:rPr>
              <w:t>(a)</w:t>
            </w:r>
          </w:p>
        </w:tc>
        <w:tc>
          <w:tcPr>
            <w:tcW w:w="260" w:type="dxa"/>
            <w:vAlign w:val="bottom"/>
          </w:tcPr>
          <w:p>
            <w:pPr>
              <w:spacing w:after="0"/>
              <w:rPr>
                <w:sz w:val="9"/>
                <w:szCs w:val="9"/>
                <w:color w:val="auto"/>
              </w:rPr>
            </w:pPr>
          </w:p>
        </w:tc>
        <w:tc>
          <w:tcPr>
            <w:tcW w:w="900" w:type="dxa"/>
            <w:vAlign w:val="bottom"/>
            <w:vMerge w:val="restart"/>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9"/>
        </w:trPr>
        <w:tc>
          <w:tcPr>
            <w:tcW w:w="51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revenues</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8"/>
              </w:rPr>
              <w:t>Cost of operations, exclusive of depreciation, amortization and accretion shown separately below</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amortization and accretion</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Impairment losses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Development costs</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 in earnings (losses) of unconsolidated affiliates</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Impairment loss on investment</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 of unconsolidated affiliates</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68"/>
        </w:trPr>
        <w:tc>
          <w:tcPr>
            <w:tcW w:w="51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0" w:type="dxa"/>
            <w:vAlign w:val="bottom"/>
          </w:tcPr>
          <w:p>
            <w:pPr>
              <w:spacing w:after="0"/>
              <w:rPr>
                <w:sz w:val="1"/>
                <w:szCs w:val="1"/>
                <w:color w:val="auto"/>
              </w:rPr>
            </w:pPr>
          </w:p>
        </w:tc>
      </w:tr>
      <w:tr>
        <w:trPr>
          <w:trHeight w:val="163"/>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8"/>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18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(Loss) Attributable to Clearway Energy, Inc.</w:t>
            </w: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881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1"/>
          <w:szCs w:val="11"/>
          <w:color w:val="auto"/>
        </w:rPr>
        <w:t xml:space="preserve"> Includes eliminations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color w:val="auto"/>
        </w:rPr>
        <w:t>Note 14 — 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Tax Rate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income tax provision consisted of the following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1"/>
        </w:trPr>
        <w:tc>
          <w:tcPr>
            <w:tcW w:w="6460" w:type="dxa"/>
            <w:vAlign w:val="bottom"/>
          </w:tcPr>
          <w:p>
            <w:pPr>
              <w:spacing w:after="0"/>
              <w:rPr>
                <w:sz w:val="14"/>
                <w:szCs w:val="14"/>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2020</w:t>
            </w:r>
          </w:p>
        </w:tc>
      </w:tr>
      <w:tr>
        <w:trPr>
          <w:trHeight w:val="146"/>
        </w:trPr>
        <w:tc>
          <w:tcPr>
            <w:tcW w:w="6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7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w:t>
            </w:r>
          </w:p>
        </w:tc>
        <w:tc>
          <w:tcPr>
            <w:tcW w:w="10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8"/>
        </w:trPr>
        <w:tc>
          <w:tcPr>
            <w:tcW w:w="6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 current</w:t>
            </w:r>
          </w:p>
        </w:tc>
        <w:tc>
          <w:tcPr>
            <w:tcW w:w="10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Federal</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6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State</w:t>
            </w: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 deferred</w:t>
            </w:r>
          </w:p>
        </w:tc>
        <w:tc>
          <w:tcPr>
            <w:tcW w:w="10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3"/>
        </w:trPr>
        <w:tc>
          <w:tcPr>
            <w:tcW w:w="64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income tax expense</w:t>
            </w:r>
          </w:p>
        </w:tc>
        <w:tc>
          <w:tcPr>
            <w:tcW w:w="108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20"/>
        </w:trPr>
        <w:tc>
          <w:tcPr>
            <w:tcW w:w="6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reconciliation of the U.S. federal statutory rate of 21% to the Company’s effective rate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10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percentages)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1,282</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58"/>
        </w:trPr>
        <w:tc>
          <w:tcPr>
            <w:tcW w:w="6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at 21%</w:t>
            </w:r>
          </w:p>
        </w:tc>
        <w:tc>
          <w:tcPr>
            <w:tcW w:w="1040" w:type="dxa"/>
            <w:vAlign w:val="bottom"/>
          </w:tcPr>
          <w:p>
            <w:pPr>
              <w:spacing w:after="0"/>
              <w:rPr>
                <w:sz w:val="13"/>
                <w:szCs w:val="13"/>
                <w:color w:val="auto"/>
              </w:rPr>
            </w:pPr>
          </w:p>
        </w:tc>
        <w:tc>
          <w:tcPr>
            <w:tcW w:w="5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 taxes, net of federal benefit</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6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Impact of non-taxable partnership (losses) earnings</w:t>
            </w:r>
          </w:p>
        </w:tc>
        <w:tc>
          <w:tcPr>
            <w:tcW w:w="1040" w:type="dxa"/>
            <w:vAlign w:val="bottom"/>
          </w:tcPr>
          <w:p>
            <w:pPr>
              <w:spacing w:after="0"/>
              <w:rPr>
                <w:sz w:val="14"/>
                <w:szCs w:val="14"/>
                <w:color w:val="auto"/>
              </w:rPr>
            </w:pP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10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Production tax credits, including prior year true-up</w:t>
            </w:r>
          </w:p>
        </w:tc>
        <w:tc>
          <w:tcPr>
            <w:tcW w:w="1040" w:type="dxa"/>
            <w:vAlign w:val="bottom"/>
          </w:tcPr>
          <w:p>
            <w:pPr>
              <w:spacing w:after="0"/>
              <w:rPr>
                <w:sz w:val="14"/>
                <w:szCs w:val="14"/>
                <w:color w:val="auto"/>
              </w:rPr>
            </w:pP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Rate change</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6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Partnership state basis</w:t>
            </w:r>
          </w:p>
        </w:tc>
        <w:tc>
          <w:tcPr>
            <w:tcW w:w="104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8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 taxes assessed at subsidiaries</w:t>
            </w:r>
          </w:p>
        </w:tc>
        <w:tc>
          <w:tcPr>
            <w:tcW w:w="10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0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88"/>
        </w:trPr>
        <w:tc>
          <w:tcPr>
            <w:tcW w:w="6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 expense</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Effective income tax rate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24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17.3 %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2022, the overall effective tax rate was different than the statutory rate of 21% primarily due to the allocation of taxable earnings and losses, including the gain on the sale of the Thermal Business, based on the partners’ interest in Clearway Energy LLC, which includes the effects of applying the HLBV method of accounting for book purposes for certain partnerships.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2021 and 2020, the overall effective tax rate was different than the statutory rate of 21% primarily due to the taxable earnings and losses allocated to partners’ interest in Clearway Energy LLC, which includes the effects of applying the HLBV method of accounting for book purposes of certain partnerships.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tax purposes, Clearway Energy LLC is treated as a partnership; therefore, the Company and CEG each record their respective share of taxable income or loss.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4" w:name="page115"/>
    <w:bookmarkEnd w:id="114"/>
    <w:p>
      <w:pPr>
        <w:ind w:left="320"/>
        <w:spacing w:after="0"/>
        <w:rPr>
          <w:sz w:val="20"/>
          <w:szCs w:val="20"/>
          <w:color w:val="auto"/>
        </w:rPr>
      </w:pPr>
      <w:r>
        <w:rPr>
          <w:rFonts w:ascii="Times New Roman" w:cs="Times New Roman" w:eastAsia="Times New Roman" w:hAnsi="Times New Roman"/>
          <w:sz w:val="14"/>
          <w:szCs w:val="14"/>
          <w:color w:val="auto"/>
        </w:rPr>
        <w:t>The temporary differences, which gave rise to the Company’s deferred tax balances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8080" w:type="dxa"/>
            <w:vAlign w:val="bottom"/>
          </w:tcPr>
          <w:p>
            <w:pPr>
              <w:spacing w:after="0"/>
              <w:rPr>
                <w:sz w:val="13"/>
                <w:szCs w:val="13"/>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50"/>
        </w:trPr>
        <w:tc>
          <w:tcPr>
            <w:tcW w:w="8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gridSpan w:val="3"/>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0" w:type="dxa"/>
            <w:vAlign w:val="bottom"/>
          </w:tcPr>
          <w:p>
            <w:pPr>
              <w:spacing w:after="0"/>
              <w:rPr>
                <w:sz w:val="13"/>
                <w:szCs w:val="13"/>
                <w:color w:val="auto"/>
              </w:rPr>
            </w:pPr>
          </w:p>
        </w:tc>
      </w:tr>
      <w:tr>
        <w:trPr>
          <w:trHeight w:val="17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8"/>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Investment in projects</w:t>
            </w:r>
          </w:p>
        </w:tc>
        <w:tc>
          <w:tcPr>
            <w:tcW w:w="100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r>
      <w:tr>
        <w:trPr>
          <w:trHeight w:val="163"/>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liabilities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r>
      <w:tr>
        <w:trPr>
          <w:trHeight w:val="158"/>
        </w:trPr>
        <w:tc>
          <w:tcPr>
            <w:tcW w:w="8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2"/>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disallowance carryforward - Investment in Projects</w:t>
            </w:r>
          </w:p>
        </w:tc>
        <w:tc>
          <w:tcPr>
            <w:tcW w:w="10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Production tax credits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Investment tax credits</w:t>
            </w: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8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Federal net operating loss carryforwards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r>
      <w:tr>
        <w:trPr>
          <w:trHeight w:val="172"/>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State net operating loss carryforwards</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8"/>
        </w:trPr>
        <w:tc>
          <w:tcPr>
            <w:tcW w:w="80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assets</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72"/>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Valuation allowance</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deferred tax assets, net of valuation allowance</w:t>
            </w: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w:t>
            </w:r>
          </w:p>
        </w:tc>
      </w:tr>
      <w:tr>
        <w:trPr>
          <w:trHeight w:val="18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noncurrent tax (liability) asset</w:t>
            </w:r>
          </w:p>
        </w:tc>
        <w:tc>
          <w:tcPr>
            <w:tcW w:w="100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and Payable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2022, the Company has no current or long-term tax receivable or payable to be recorded.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Assets and Valuation Allowance</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Net deferred tax balance </w:t>
      </w:r>
      <w:r>
        <w:rPr>
          <w:rFonts w:ascii="Times New Roman" w:cs="Times New Roman" w:eastAsia="Times New Roman" w:hAnsi="Times New Roman"/>
          <w:sz w:val="14"/>
          <w:szCs w:val="14"/>
          <w:color w:val="auto"/>
        </w:rPr>
        <w:t>— As of December 31, 2022 and 2021, the Company recorded a net deferred tax liability of $119 million and a deferred tax asset of $82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believes it is more likely than not that the results of future operations will generate sufficient taxable income, which includes the future reversal of existing taxable temporary differences to realize deferred tax assets. The Company considered the profit before tax generated in recent years as well as projections of future earnings and estimates of taxable income in arriving at this conclusion. The Company believes that $1 million of existing state NOLs, based on forecasted future earnings and estimated taxable income, will expire unutilized, resulting in the recording of a valuation allowance.</w:t>
      </w:r>
    </w:p>
    <w:p>
      <w:pPr>
        <w:spacing w:after="0" w:line="9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NOL and Tax Credit carryforwards </w:t>
      </w:r>
      <w:r>
        <w:rPr>
          <w:rFonts w:ascii="Times New Roman" w:cs="Times New Roman" w:eastAsia="Times New Roman" w:hAnsi="Times New Roman"/>
          <w:sz w:val="14"/>
          <w:szCs w:val="14"/>
          <w:color w:val="auto"/>
        </w:rPr>
        <w:t>— As of December 31, 2022, the Company had tax-effected domestic NOL carryforwards for federal income tax purposes of $100 million with $18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scheduled to expire in 2037 if unutilized. Additionally, the Company has a cumulative tax-effected state NOL carryforward of $4 million, which will expire between 2023 and 2040 if unutilized. In addition, the Company has PTC and ITC carryforward balances totaling $18 million, which will expire between 2034 and 2042 if unutilized.</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has not identified any material uncertain tax positions to be reported as of December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Related Party Transactions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$71 million, $56 million and $37 million for the years ended December 31, 2022, 2021 and 2020, respectively. There was a balance of $14 million and $9 million due to RENOM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$16 million, $14 million and $10 million for the years ended December 31, 2022, 2021 and 2020, respectively. There was a balance of $3 million and $2 million due to CEG as of December 31, 2022 and 2021,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Agreements</w:t>
      </w:r>
    </w:p>
    <w:p>
      <w:pPr>
        <w:spacing w:after="0" w:line="138"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4"/>
          <w:szCs w:val="14"/>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$5 million, $4 million and $2 million under these agreements for the years ended December 31, 2022, 2021 and 2020, respectively.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Gas and Transportation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entered into contractual arrangements to procure power, fuel and associated transportation services for the Thermal Business. For the years ended December 31, 2022, 2021 and 2020, the Company purchased $20 million, $40 million, and $32 million, respectively, under such arrangements.</w:t>
      </w:r>
    </w:p>
    <w:p>
      <w:pPr>
        <w:spacing w:after="0" w:line="80"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Contingencies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material legal proceeding is described below. The Company believes that it has a valid defense to this legal proceeding and intends to defend it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 below or reasonably estimate the scope or amount of any associated costs and potential liabilities. As additional information becomes available, management adjusts its assessment and estimate of the contingency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legal proceeding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Buckthorn Solar Litigation</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w:t>
      </w:r>
    </w:p>
    <w:p>
      <w:pPr>
        <w:spacing w:after="0" w:line="2" w:lineRule="exact"/>
        <w:rPr>
          <w:sz w:val="20"/>
          <w:szCs w:val="20"/>
          <w:color w:val="auto"/>
        </w:rPr>
      </w:pPr>
    </w:p>
    <w:p>
      <w:pPr>
        <w:ind w:firstLine="5"/>
        <w:spacing w:after="0" w:line="266" w:lineRule="auto"/>
        <w:tabs>
          <w:tab w:leader="none" w:pos="209"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relief to which it is entitled at law or in equity. The case is currently in discovery and is expected to proceed to trial in June 2023.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color w:val="auto"/>
        </w:rPr>
        <w:t>Note 17 — Leases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Leases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evaluates each arrangement at inception to determine if it contains a lease. Substantially all of the Company’s leases are operating leases.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Lessee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records its operating lease liabilities at the present value of the lease payments over the lease term at lease commencement date. Lease payments include fixed payment amounts as well as variable rate payments based on an index initially measured at lease commencement date. Variable payments, including payments based on future performance and based on index changes, are recorded when the expense is probable.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Company’s leases consist of land leases for numerous operating asset locations, real estate leases and equipment leases. The terms and conditions for these leases vary by the type of underlying asset.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6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Lease expense for the years ended December 31, 2022, 2021 and 2020 was comprised of the following:</w:t>
            </w: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44"/>
        </w:trPr>
        <w:tc>
          <w:tcPr>
            <w:tcW w:w="5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40" w:type="dxa"/>
            <w:vAlign w:val="bottom"/>
          </w:tcPr>
          <w:p>
            <w:pPr>
              <w:spacing w:after="0"/>
              <w:rPr>
                <w:sz w:val="21"/>
                <w:szCs w:val="21"/>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40" w:type="dxa"/>
            <w:vAlign w:val="bottom"/>
          </w:tcPr>
          <w:p>
            <w:pPr>
              <w:spacing w:after="0"/>
              <w:rPr>
                <w:sz w:val="21"/>
                <w:szCs w:val="21"/>
                <w:color w:val="auto"/>
              </w:rPr>
            </w:pPr>
          </w:p>
        </w:tc>
        <w:tc>
          <w:tcPr>
            <w:tcW w:w="16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171"/>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cost - Fixed</w:t>
            </w: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0"/>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Operating lease cost - Variable</w:t>
            </w: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6"/>
        </w:trPr>
        <w:tc>
          <w:tcPr>
            <w:tcW w:w="52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Operating lease information as of December 31, 2022 and 2021 was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term and rate)</w:t>
            </w:r>
          </w:p>
        </w:tc>
        <w:tc>
          <w:tcPr>
            <w:tcW w:w="320" w:type="dxa"/>
            <w:vAlign w:val="bottom"/>
          </w:tcPr>
          <w:p>
            <w:pPr>
              <w:spacing w:after="0"/>
              <w:rPr>
                <w:sz w:val="16"/>
                <w:szCs w:val="16"/>
                <w:color w:val="auto"/>
              </w:rPr>
            </w:pPr>
          </w:p>
        </w:tc>
        <w:tc>
          <w:tcPr>
            <w:tcW w:w="2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320" w:type="dxa"/>
            <w:vAlign w:val="bottom"/>
          </w:tcPr>
          <w:p>
            <w:pPr>
              <w:spacing w:after="0"/>
              <w:rPr>
                <w:sz w:val="16"/>
                <w:szCs w:val="16"/>
                <w:color w:val="auto"/>
              </w:rPr>
            </w:pPr>
          </w:p>
        </w:tc>
        <w:tc>
          <w:tcPr>
            <w:tcW w:w="194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71"/>
        </w:trPr>
        <w:tc>
          <w:tcPr>
            <w:tcW w:w="6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 - operating leases, net</w:t>
            </w: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550</w:t>
            </w:r>
          </w:p>
        </w:tc>
      </w:tr>
      <w:tr>
        <w:trPr>
          <w:trHeight w:val="107"/>
        </w:trPr>
        <w:tc>
          <w:tcPr>
            <w:tcW w:w="6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tcPr>
          <w:p>
            <w:pPr>
              <w:spacing w:after="0"/>
              <w:rPr>
                <w:sz w:val="9"/>
                <w:szCs w:val="9"/>
                <w:color w:val="auto"/>
              </w:rPr>
            </w:pPr>
          </w:p>
        </w:tc>
      </w:tr>
      <w:tr>
        <w:trPr>
          <w:trHeight w:val="180"/>
        </w:trPr>
        <w:tc>
          <w:tcPr>
            <w:tcW w:w="66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Short-term lease liability - operating leases </w:t>
            </w:r>
            <w:r>
              <w:rPr>
                <w:rFonts w:ascii="Times New Roman" w:cs="Times New Roman" w:eastAsia="Times New Roman" w:hAnsi="Times New Roman"/>
                <w:sz w:val="18"/>
                <w:szCs w:val="18"/>
                <w:color w:val="auto"/>
                <w:vertAlign w:val="superscript"/>
              </w:rPr>
              <w:t>(a)</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Long-term lease liability - operating leases</w:t>
            </w: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561</w:t>
            </w:r>
          </w:p>
        </w:tc>
      </w:tr>
      <w:tr>
        <w:trPr>
          <w:trHeight w:val="196"/>
        </w:trPr>
        <w:tc>
          <w:tcPr>
            <w:tcW w:w="66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569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6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r>
      <w:tr>
        <w:trPr>
          <w:trHeight w:val="180"/>
        </w:trPr>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0"/>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27"/>
        </w:trPr>
        <w:tc>
          <w:tcPr>
            <w:tcW w:w="6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84"/>
        </w:trPr>
        <w:tc>
          <w:tcPr>
            <w:tcW w:w="6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78740</wp:posOffset>
            </wp:positionV>
            <wp:extent cx="138811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23" w:lineRule="exact"/>
        <w:rPr>
          <w:sz w:val="20"/>
          <w:szCs w:val="20"/>
          <w:color w:val="auto"/>
        </w:rPr>
      </w:pPr>
    </w:p>
    <w:p>
      <w:pPr>
        <w:ind w:left="200" w:hanging="131"/>
        <w:spacing w:after="0"/>
        <w:tabs>
          <w:tab w:leader="none" w:pos="200"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Short-term lease liability balances are included within the accrued expenses and other current liabilities line item of the consolidated balance sheets as of December 31, 2022 and 2021.</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Minimum future rental payments of operating lease liabilities as of December 31, 2022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Borders>
              <w:bottom w:val="single" w:sz="8" w:color="CCEEFF"/>
            </w:tcBorders>
          </w:tcPr>
          <w:p>
            <w:pPr>
              <w:spacing w:after="0"/>
              <w:rPr>
                <w:sz w:val="16"/>
                <w:szCs w:val="16"/>
                <w:color w:val="auto"/>
              </w:rPr>
            </w:pPr>
          </w:p>
        </w:tc>
        <w:tc>
          <w:tcPr>
            <w:tcW w:w="5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2023</w:t>
            </w:r>
          </w:p>
        </w:tc>
        <w:tc>
          <w:tcPr>
            <w:tcW w:w="51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5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2025</w:t>
            </w:r>
          </w:p>
        </w:tc>
        <w:tc>
          <w:tcPr>
            <w:tcW w:w="5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3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5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8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2027</w:t>
            </w:r>
          </w:p>
        </w:tc>
        <w:tc>
          <w:tcPr>
            <w:tcW w:w="5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Thereafter</w:t>
            </w:r>
          </w:p>
        </w:tc>
        <w:tc>
          <w:tcPr>
            <w:tcW w:w="5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71"/>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payments</w:t>
            </w:r>
          </w:p>
        </w:tc>
        <w:tc>
          <w:tcPr>
            <w:tcW w:w="5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0" w:type="dxa"/>
            <w:vAlign w:val="bottom"/>
          </w:tcPr>
          <w:p>
            <w:pPr>
              <w:spacing w:after="0"/>
              <w:rPr>
                <w:sz w:val="1"/>
                <w:szCs w:val="1"/>
                <w:color w:val="auto"/>
              </w:rPr>
            </w:pPr>
          </w:p>
        </w:tc>
      </w:tr>
      <w:tr>
        <w:trPr>
          <w:trHeight w:val="180"/>
        </w:trPr>
        <w:tc>
          <w:tcPr>
            <w:tcW w:w="3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Less imputed interest</w:t>
            </w:r>
          </w:p>
        </w:tc>
        <w:tc>
          <w:tcPr>
            <w:tcW w:w="5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lease liability - operating leases</w:t>
            </w:r>
          </w:p>
        </w:tc>
        <w:tc>
          <w:tcPr>
            <w:tcW w:w="5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bottom w:val="single" w:sz="8" w:color="CCEEFF"/>
            </w:tcBorders>
            <w:vMerge w:val="restart"/>
          </w:tcPr>
          <w:p>
            <w:pPr>
              <w:jc w:val="right"/>
              <w:ind w:right="3269"/>
              <w:spacing w:after="0"/>
              <w:rPr>
                <w:sz w:val="20"/>
                <w:szCs w:val="20"/>
                <w:color w:val="auto"/>
              </w:rPr>
            </w:pPr>
            <w:r>
              <w:rPr>
                <w:rFonts w:ascii="Times New Roman" w:cs="Times New Roman" w:eastAsia="Times New Roman" w:hAnsi="Times New Roman"/>
                <w:sz w:val="14"/>
                <w:szCs w:val="14"/>
                <w:color w:val="auto"/>
              </w:rPr>
              <w:t>117</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6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60" w:type="dxa"/>
            <w:vAlign w:val="bottom"/>
            <w:tcBorders>
              <w:bottom w:val="single" w:sz="8" w:color="9A9A9A"/>
            </w:tcBorders>
          </w:tcPr>
          <w:p>
            <w:pPr>
              <w:spacing w:after="0"/>
              <w:rPr>
                <w:sz w:val="7"/>
                <w:szCs w:val="7"/>
                <w:color w:val="auto"/>
              </w:rPr>
            </w:pPr>
          </w:p>
        </w:tc>
        <w:tc>
          <w:tcPr>
            <w:tcW w:w="51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17" w:name="page118"/>
    <w:bookmarkEnd w:id="117"/>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Mililani I Lease Agreement</w:t>
      </w:r>
    </w:p>
    <w:p>
      <w:pPr>
        <w:spacing w:after="0" w:line="12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Mililani I project is party to a land lease agreement with a wholly-owned subsidiary of CEG. The project is leasing the land for a period of 36 years. The Company has a lease liability of $20 million as of December 31, 2022 and a corresponding right-of-use asset of $19 million related to the lease as of December 31, 2022.</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Oahu Solar Lease Agreements</w:t>
      </w:r>
    </w:p>
    <w:p>
      <w:pPr>
        <w:spacing w:after="0" w:line="12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Oahu Solar projects are party to various land lease agreements with a wholly-owned subsidiary of CEG. The projects are leasing the land for a period of 35 years, with the ability to renew the lease for two additional five-year periods. The Company has a lease liability of $20 million as of both December 31, 2022 and 2021 and a corresponding right-of-use asset related to the lease of $17 million and $18 million as of December 31, 2022 and 2021, respectively.</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Rosamond Central Lease Agreement</w:t>
      </w:r>
    </w:p>
    <w:p>
      <w:pPr>
        <w:spacing w:after="0" w:line="12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Rosamond Central project is party to a land lease agreement with a wholly-owned subsidiary of CEG. The project is leasing the land for a period of 35 years, with the ability to renew the lease for two additional five-year periods. The Company has a lease liability of $12 million as of both December 31, 2022 and 2021 and a corresponding right-of-use asset of $11 million related to the lease as of both December 31, 2022 and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Lessor</w:t>
      </w:r>
    </w:p>
    <w:p>
      <w:pPr>
        <w:spacing w:after="0" w:line="12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w:t>
      </w:r>
      <w:r>
        <w:rPr>
          <w:rFonts w:ascii="Times New Roman" w:cs="Times New Roman" w:eastAsia="Times New Roman" w:hAnsi="Times New Roman"/>
          <w:sz w:val="14"/>
          <w:szCs w:val="14"/>
          <w:i w:val="1"/>
          <w:iCs w:val="1"/>
          <w:color w:val="auto"/>
        </w:rPr>
        <w:t>Properties</w:t>
      </w:r>
      <w:r>
        <w:rPr>
          <w:rFonts w:ascii="Times New Roman" w:cs="Times New Roman" w:eastAsia="Times New Roman" w:hAnsi="Times New Roman"/>
          <w:sz w:val="14"/>
          <w:szCs w:val="14"/>
          <w:color w:val="auto"/>
        </w:rPr>
        <w:t xml:space="preserve"> of this Form 10-K. Many of the leases have renewal options at the end of the lease term. Termination may be allowed under specific circumstances in the lease arrangements, such as under an event of default. All of the Company’s active leases are operating leases. Certain of these leases have both lease and non-lease components, and the Company allocates the transaction price to the components based on standalone selling prices.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amounts of energy and capacity revenue are related to the Company’s 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Conventional Generation</w:t>
            </w: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2"/>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Energy revenue</w:t>
            </w:r>
          </w:p>
        </w:tc>
        <w:tc>
          <w:tcPr>
            <w:tcW w:w="1640" w:type="dxa"/>
            <w:vAlign w:val="bottom"/>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r>
      <w:tr>
        <w:trPr>
          <w:trHeight w:val="168"/>
        </w:trPr>
        <w:tc>
          <w:tcPr>
            <w:tcW w:w="4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Capacity revenue</w:t>
            </w:r>
          </w:p>
        </w:tc>
        <w:tc>
          <w:tcPr>
            <w:tcW w:w="1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435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r>
      <w:tr>
        <w:trPr>
          <w:trHeight w:val="188"/>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revenue</w:t>
            </w:r>
          </w:p>
        </w:tc>
        <w:tc>
          <w:tcPr>
            <w:tcW w:w="1640" w:type="dxa"/>
            <w:vAlign w:val="bottom"/>
            <w:tcBorders>
              <w:top w:val="single" w:sz="8" w:color="auto"/>
              <w:bottom w:val="single" w:sz="8" w:color="auto"/>
            </w:tcBorders>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Conventional Generation</w:t>
            </w: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2"/>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Energy revenue</w:t>
            </w:r>
          </w:p>
        </w:tc>
        <w:tc>
          <w:tcPr>
            <w:tcW w:w="1640" w:type="dxa"/>
            <w:vAlign w:val="bottom"/>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w:t>
            </w:r>
          </w:p>
        </w:tc>
      </w:tr>
      <w:tr>
        <w:trPr>
          <w:trHeight w:val="168"/>
        </w:trPr>
        <w:tc>
          <w:tcPr>
            <w:tcW w:w="4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Capacity revenue</w:t>
            </w:r>
          </w:p>
        </w:tc>
        <w:tc>
          <w:tcPr>
            <w:tcW w:w="1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455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w:t>
            </w:r>
          </w:p>
        </w:tc>
      </w:tr>
      <w:tr>
        <w:trPr>
          <w:trHeight w:val="188"/>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revenue</w:t>
            </w:r>
          </w:p>
        </w:tc>
        <w:tc>
          <w:tcPr>
            <w:tcW w:w="1640" w:type="dxa"/>
            <w:vAlign w:val="bottom"/>
            <w:tcBorders>
              <w:top w:val="single" w:sz="8" w:color="auto"/>
              <w:bottom w:val="single" w:sz="8" w:color="auto"/>
            </w:tcBorders>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464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80" w:type="dxa"/>
            <w:vAlign w:val="bottom"/>
          </w:tcPr>
          <w:p>
            <w:pPr>
              <w:spacing w:after="0"/>
              <w:rPr>
                <w:sz w:val="15"/>
                <w:szCs w:val="15"/>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Conventional Generation</w:t>
            </w:r>
          </w:p>
        </w:tc>
        <w:tc>
          <w:tcPr>
            <w:tcW w:w="2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Renewables</w:t>
            </w:r>
          </w:p>
        </w:tc>
        <w:tc>
          <w:tcPr>
            <w:tcW w:w="80" w:type="dxa"/>
            <w:vAlign w:val="bottom"/>
            <w:tcBorders>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Thermal</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2"/>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Energy revenue</w:t>
            </w:r>
          </w:p>
        </w:tc>
        <w:tc>
          <w:tcPr>
            <w:tcW w:w="1640" w:type="dxa"/>
            <w:vAlign w:val="bottom"/>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w:t>
            </w:r>
          </w:p>
        </w:tc>
      </w:tr>
      <w:tr>
        <w:trPr>
          <w:trHeight w:val="168"/>
        </w:trPr>
        <w:tc>
          <w:tcPr>
            <w:tcW w:w="45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Capacity revenue</w:t>
            </w:r>
          </w:p>
        </w:tc>
        <w:tc>
          <w:tcPr>
            <w:tcW w:w="1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451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w:t>
            </w:r>
          </w:p>
        </w:tc>
      </w:tr>
      <w:tr>
        <w:trPr>
          <w:trHeight w:val="188"/>
        </w:trPr>
        <w:tc>
          <w:tcPr>
            <w:tcW w:w="4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revenue</w:t>
            </w:r>
          </w:p>
        </w:tc>
        <w:tc>
          <w:tcPr>
            <w:tcW w:w="1640" w:type="dxa"/>
            <w:vAlign w:val="bottom"/>
            <w:tcBorders>
              <w:top w:val="single" w:sz="8" w:color="auto"/>
              <w:bottom w:val="single" w:sz="8" w:color="auto"/>
            </w:tcBorders>
            <w:shd w:val="clear" w:color="auto" w:fill="CCEEFF"/>
          </w:tcPr>
          <w:p>
            <w:pPr>
              <w:jc w:val="right"/>
              <w:ind w:right="149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461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8" w:name="page119"/>
    <w:bookmarkEnd w:id="118"/>
    <w:p>
      <w:pPr>
        <w:ind w:left="320"/>
        <w:spacing w:after="0"/>
        <w:rPr>
          <w:sz w:val="20"/>
          <w:szCs w:val="20"/>
          <w:color w:val="auto"/>
        </w:rPr>
      </w:pPr>
      <w:r>
        <w:rPr>
          <w:rFonts w:ascii="Times New Roman" w:cs="Times New Roman" w:eastAsia="Times New Roman" w:hAnsi="Times New Roman"/>
          <w:sz w:val="14"/>
          <w:szCs w:val="14"/>
          <w:color w:val="auto"/>
        </w:rPr>
        <w:t>Minimum future rent payments for the remaining periods related to the Conventional segment operating leases as of December 31, 2022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80"/>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4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24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4"/>
                <w:szCs w:val="14"/>
                <w:color w:val="auto"/>
              </w:rPr>
              <w:t>Property, plant and equipment, net related to the Company’s operating leases were as follows:</w:t>
            </w:r>
          </w:p>
        </w:tc>
        <w:tc>
          <w:tcPr>
            <w:tcW w:w="2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20"/>
                <w:szCs w:val="20"/>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December 31, 2021</w:t>
            </w:r>
          </w:p>
        </w:tc>
        <w:tc>
          <w:tcPr>
            <w:tcW w:w="0" w:type="dxa"/>
            <w:vAlign w:val="bottom"/>
          </w:tcPr>
          <w:p>
            <w:pPr>
              <w:spacing w:after="0"/>
              <w:rPr>
                <w:sz w:val="1"/>
                <w:szCs w:val="1"/>
                <w:color w:val="auto"/>
              </w:rPr>
            </w:pPr>
          </w:p>
        </w:tc>
      </w:tr>
      <w:tr>
        <w:trPr>
          <w:trHeight w:val="17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8,630</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8,981</w:t>
            </w:r>
          </w:p>
        </w:tc>
        <w:tc>
          <w:tcPr>
            <w:tcW w:w="0" w:type="dxa"/>
            <w:vAlign w:val="bottom"/>
          </w:tcPr>
          <w:p>
            <w:pPr>
              <w:spacing w:after="0"/>
              <w:rPr>
                <w:sz w:val="1"/>
                <w:szCs w:val="1"/>
                <w:color w:val="auto"/>
              </w:rPr>
            </w:pPr>
          </w:p>
        </w:tc>
      </w:tr>
      <w:tr>
        <w:trPr>
          <w:trHeight w:val="18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left="1071"/>
              <w:spacing w:after="0"/>
              <w:rPr>
                <w:sz w:val="20"/>
                <w:szCs w:val="20"/>
                <w:color w:val="auto"/>
              </w:rPr>
            </w:pPr>
            <w:r>
              <w:rPr>
                <w:rFonts w:ascii="Times New Roman" w:cs="Times New Roman" w:eastAsia="Times New Roman" w:hAnsi="Times New Roman"/>
                <w:sz w:val="14"/>
                <w:szCs w:val="14"/>
                <w:color w:val="auto"/>
              </w:rPr>
              <w:t>(2,855)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0" w:type="dxa"/>
            <w:vAlign w:val="bottom"/>
          </w:tcPr>
          <w:p>
            <w:pPr>
              <w:spacing w:after="0"/>
              <w:rPr>
                <w:sz w:val="1"/>
                <w:szCs w:val="1"/>
                <w:color w:val="auto"/>
              </w:rPr>
            </w:pPr>
          </w:p>
        </w:tc>
      </w:tr>
      <w:tr>
        <w:trPr>
          <w:trHeight w:val="196"/>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center"/>
              <w:ind w:left="1091"/>
              <w:spacing w:after="0"/>
              <w:rPr>
                <w:sz w:val="20"/>
                <w:szCs w:val="20"/>
                <w:color w:val="auto"/>
              </w:rPr>
            </w:pPr>
            <w:r>
              <w:rPr>
                <w:rFonts w:ascii="Times New Roman" w:cs="Times New Roman" w:eastAsia="Times New Roman" w:hAnsi="Times New Roman"/>
                <w:sz w:val="14"/>
                <w:szCs w:val="14"/>
                <w:color w:val="auto"/>
              </w:rPr>
              <w:t>5,775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6,154</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6"/>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Schedule I</w:t>
            </w:r>
          </w:p>
        </w:tc>
      </w:tr>
      <w:tr>
        <w:trPr>
          <w:trHeight w:val="233"/>
        </w:trPr>
        <w:tc>
          <w:tcPr>
            <w:tcW w:w="7140" w:type="dxa"/>
            <w:vAlign w:val="bottom"/>
          </w:tcPr>
          <w:p>
            <w:pPr>
              <w:jc w:val="center"/>
              <w:ind w:left="4070"/>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4"/>
        </w:trPr>
        <w:tc>
          <w:tcPr>
            <w:tcW w:w="7140" w:type="dxa"/>
            <w:vAlign w:val="bottom"/>
          </w:tcPr>
          <w:p>
            <w:pPr>
              <w:jc w:val="center"/>
              <w:ind w:left="4090"/>
              <w:spacing w:after="0"/>
              <w:rPr>
                <w:sz w:val="20"/>
                <w:szCs w:val="20"/>
                <w:color w:val="auto"/>
              </w:rPr>
            </w:pPr>
            <w:r>
              <w:rPr>
                <w:rFonts w:ascii="Times New Roman" w:cs="Times New Roman" w:eastAsia="Times New Roman" w:hAnsi="Times New Roman"/>
                <w:sz w:val="14"/>
                <w:szCs w:val="14"/>
                <w:b w:val="1"/>
                <w:bCs w:val="1"/>
                <w:color w:val="auto"/>
              </w:rPr>
              <w:t>Condensed Financial Information of Registrant</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4"/>
        </w:trPr>
        <w:tc>
          <w:tcPr>
            <w:tcW w:w="7140" w:type="dxa"/>
            <w:vAlign w:val="bottom"/>
          </w:tcPr>
          <w:p>
            <w:pPr>
              <w:jc w:val="center"/>
              <w:ind w:left="4070"/>
              <w:spacing w:after="0"/>
              <w:rPr>
                <w:sz w:val="20"/>
                <w:szCs w:val="20"/>
                <w:color w:val="auto"/>
              </w:rPr>
            </w:pPr>
            <w:r>
              <w:rPr>
                <w:rFonts w:ascii="Times New Roman" w:cs="Times New Roman" w:eastAsia="Times New Roman" w:hAnsi="Times New Roman"/>
                <w:sz w:val="14"/>
                <w:szCs w:val="14"/>
                <w:b w:val="1"/>
                <w:bCs w:val="1"/>
                <w:color w:val="auto"/>
              </w:rPr>
              <w:t>Condensed Statements of Income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5"/>
        </w:trPr>
        <w:tc>
          <w:tcPr>
            <w:tcW w:w="7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145"/>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2022</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2020</w:t>
            </w:r>
          </w:p>
        </w:tc>
      </w:tr>
      <w:tr>
        <w:trPr>
          <w:trHeight w:val="176"/>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1"/>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Equity in earnings (losses) of consolidated subsidiaries</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1"/>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3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80"/>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Net income (loss) attributable to noncontrolling interests and redeemable interests</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171"/>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Attributable to Clearway Energy, Inc.</w:t>
            </w: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tc>
        <w:tc>
          <w:tcPr>
            <w:tcW w:w="0" w:type="dxa"/>
            <w:vAlign w:val="bottom"/>
          </w:tcPr>
          <w:p>
            <w:pPr>
              <w:spacing w:after="0"/>
              <w:rPr>
                <w:sz w:val="1"/>
                <w:szCs w:val="1"/>
                <w:color w:val="auto"/>
              </w:rPr>
            </w:pPr>
          </w:p>
        </w:tc>
      </w:tr>
      <w:tr>
        <w:trPr>
          <w:trHeight w:val="244"/>
        </w:trPr>
        <w:tc>
          <w:tcPr>
            <w:tcW w:w="8400" w:type="dxa"/>
            <w:vAlign w:val="bottom"/>
          </w:tcPr>
          <w:p>
            <w:pPr>
              <w:ind w:left="4680"/>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00" w:type="dxa"/>
            <w:vAlign w:val="bottom"/>
          </w:tcPr>
          <w:p>
            <w:pPr>
              <w:ind w:left="4820"/>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15"/>
                <w:szCs w:val="15"/>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8"/>
        </w:trPr>
        <w:tc>
          <w:tcPr>
            <w:tcW w:w="8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64"/>
        </w:trPr>
        <w:tc>
          <w:tcPr>
            <w:tcW w:w="8400" w:type="dxa"/>
            <w:vAlign w:val="bottom"/>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receivable — affiliates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Note receivable — Clearway Energy Operating LLC</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in consolidated subsidiaries</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71"/>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0" w:type="dxa"/>
            <w:vAlign w:val="bottom"/>
            <w:shd w:val="clear" w:color="auto" w:fill="CCEEFF"/>
          </w:tcPr>
          <w:p>
            <w:pPr>
              <w:ind w:left="266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8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Preferred stock, $0.01 par value; 10,000,000 shares authorized; none issued</w:t>
            </w:r>
          </w:p>
        </w:tc>
        <w:tc>
          <w:tcPr>
            <w:tcW w:w="2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4"/>
        </w:trPr>
        <w:tc>
          <w:tcPr>
            <w:tcW w:w="840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Class A, Class B, Class C and Class D common stock, $0.01 par value; 3,000,000,000 shares authorized (Class A 500,000,000, Class B</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500,000,000, Class C 1,000,000,000, Class D 1,000,000,000); 201,972,813 shares issued and outstanding (Class A 34,613,853, Class B</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42,738,750, Class C 82,283,460 Class D 42,336,750) at December 31, 2022 and 201,856,166 shares issued and outstanding (Class A 34,599,645,</w:t>
            </w:r>
          </w:p>
        </w:tc>
        <w:tc>
          <w:tcPr>
            <w:tcW w:w="220" w:type="dxa"/>
            <w:vAlign w:val="bottom"/>
            <w:shd w:val="clear" w:color="auto" w:fill="CCEEFF"/>
          </w:tcPr>
          <w:p>
            <w:pPr>
              <w:spacing w:after="0"/>
              <w:rPr>
                <w:sz w:val="11"/>
                <w:szCs w:val="11"/>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B 42,738,750, Class C 81,779,021, Class D 42,738,750) at December 31, 2021</w:t>
            </w:r>
          </w:p>
        </w:tc>
        <w:tc>
          <w:tcPr>
            <w:tcW w:w="2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80"/>
        </w:trPr>
        <w:tc>
          <w:tcPr>
            <w:tcW w:w="8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Noncontrolling interest</w:t>
            </w:r>
          </w:p>
        </w:tc>
        <w:tc>
          <w:tcPr>
            <w:tcW w:w="2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0" w:type="dxa"/>
            <w:vAlign w:val="bottom"/>
          </w:tcPr>
          <w:p>
            <w:pPr>
              <w:spacing w:after="0"/>
              <w:rPr>
                <w:sz w:val="1"/>
                <w:szCs w:val="1"/>
                <w:color w:val="auto"/>
              </w:rPr>
            </w:pPr>
          </w:p>
        </w:tc>
      </w:tr>
      <w:tr>
        <w:trPr>
          <w:trHeight w:val="171"/>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3,300</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7" w:right="31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6"/>
        </w:trPr>
        <w:tc>
          <w:tcPr>
            <w:tcW w:w="4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w w:val="95"/>
              </w:rPr>
              <w:t>Schedule I</w:t>
            </w:r>
          </w:p>
        </w:tc>
      </w:tr>
      <w:tr>
        <w:trPr>
          <w:trHeight w:val="233"/>
        </w:trPr>
        <w:tc>
          <w:tcPr>
            <w:tcW w:w="4380" w:type="dxa"/>
            <w:vAlign w:val="bottom"/>
          </w:tcPr>
          <w:p>
            <w:pPr>
              <w:spacing w:after="0"/>
              <w:rPr>
                <w:sz w:val="20"/>
                <w:szCs w:val="20"/>
                <w:color w:val="auto"/>
              </w:rPr>
            </w:pPr>
          </w:p>
        </w:tc>
        <w:tc>
          <w:tcPr>
            <w:tcW w:w="3620" w:type="dxa"/>
            <w:vAlign w:val="bottom"/>
            <w:gridSpan w:val="2"/>
          </w:tcPr>
          <w:p>
            <w:pPr>
              <w:jc w:val="right"/>
              <w:ind w:right="1376"/>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4380" w:type="dxa"/>
            <w:vAlign w:val="bottom"/>
          </w:tcPr>
          <w:p>
            <w:pPr>
              <w:spacing w:after="0"/>
              <w:rPr>
                <w:sz w:val="21"/>
                <w:szCs w:val="21"/>
                <w:color w:val="auto"/>
              </w:rPr>
            </w:pPr>
          </w:p>
        </w:tc>
        <w:tc>
          <w:tcPr>
            <w:tcW w:w="3620" w:type="dxa"/>
            <w:vAlign w:val="bottom"/>
            <w:gridSpan w:val="2"/>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6"/>
        </w:trPr>
        <w:tc>
          <w:tcPr>
            <w:tcW w:w="43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54"/>
        </w:trPr>
        <w:tc>
          <w:tcPr>
            <w:tcW w:w="4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2022</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2020</w:t>
            </w:r>
          </w:p>
        </w:tc>
        <w:tc>
          <w:tcPr>
            <w:tcW w:w="20" w:type="dxa"/>
            <w:vAlign w:val="bottom"/>
          </w:tcPr>
          <w:p>
            <w:pPr>
              <w:spacing w:after="0"/>
              <w:rPr>
                <w:sz w:val="13"/>
                <w:szCs w:val="13"/>
                <w:color w:val="auto"/>
              </w:rPr>
            </w:pPr>
          </w:p>
        </w:tc>
      </w:tr>
      <w:tr>
        <w:trPr>
          <w:trHeight w:val="150"/>
        </w:trPr>
        <w:tc>
          <w:tcPr>
            <w:tcW w:w="4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3620" w:type="dxa"/>
            <w:vAlign w:val="bottom"/>
            <w:gridSpan w:val="2"/>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Investments in consolidated affiliates</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Pr>
          <w:p>
            <w:pPr>
              <w:spacing w:after="0"/>
              <w:rPr>
                <w:sz w:val="15"/>
                <w:szCs w:val="15"/>
                <w:color w:val="auto"/>
              </w:rPr>
            </w:pPr>
          </w:p>
        </w:tc>
      </w:tr>
      <w:tr>
        <w:trPr>
          <w:trHeight w:val="180"/>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advances for notes receivable — affiliate</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received from notes receivable — affiliate</w:t>
            </w:r>
          </w:p>
        </w:tc>
        <w:tc>
          <w:tcPr>
            <w:tcW w:w="276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5"/>
                <w:szCs w:val="15"/>
                <w:color w:val="auto"/>
              </w:rPr>
            </w:pPr>
          </w:p>
        </w:tc>
      </w:tr>
      <w:tr>
        <w:trPr>
          <w:trHeight w:val="17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2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for long-term debt</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issuance of common stock</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5"/>
                <w:szCs w:val="15"/>
                <w:color w:val="auto"/>
              </w:rPr>
            </w:pPr>
          </w:p>
        </w:tc>
      </w:tr>
      <w:tr>
        <w:trPr>
          <w:trHeight w:val="180"/>
        </w:trPr>
        <w:tc>
          <w:tcPr>
            <w:tcW w:w="4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received from Clearway Energy LLC for tax-related distributions</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received from Clearway Energy LLC for the payment of dividends</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tcPr>
          <w:p>
            <w:pPr>
              <w:spacing w:after="0"/>
              <w:rPr>
                <w:sz w:val="15"/>
                <w:szCs w:val="15"/>
                <w:color w:val="auto"/>
              </w:rPr>
            </w:pPr>
          </w:p>
        </w:tc>
      </w:tr>
      <w:tr>
        <w:trPr>
          <w:trHeight w:val="180"/>
        </w:trPr>
        <w:tc>
          <w:tcPr>
            <w:tcW w:w="4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Payment of dividends</w:t>
            </w:r>
          </w:p>
        </w:tc>
        <w:tc>
          <w:tcPr>
            <w:tcW w:w="27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0" w:type="dxa"/>
            <w:vAlign w:val="bottom"/>
          </w:tcPr>
          <w:p>
            <w:pPr>
              <w:spacing w:after="0"/>
              <w:rPr>
                <w:sz w:val="15"/>
                <w:szCs w:val="15"/>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27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0" w:type="dxa"/>
            <w:vAlign w:val="bottom"/>
          </w:tcPr>
          <w:p>
            <w:pPr>
              <w:spacing w:after="0"/>
              <w:rPr>
                <w:sz w:val="14"/>
                <w:szCs w:val="14"/>
                <w:color w:val="auto"/>
              </w:rPr>
            </w:pPr>
          </w:p>
        </w:tc>
      </w:tr>
      <w:tr>
        <w:trPr>
          <w:trHeight w:val="180"/>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and Cash Equivalents</w:t>
            </w:r>
          </w:p>
        </w:tc>
        <w:tc>
          <w:tcPr>
            <w:tcW w:w="2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r>
      <w:tr>
        <w:trPr>
          <w:trHeight w:val="18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27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5"/>
                <w:szCs w:val="15"/>
                <w:color w:val="auto"/>
              </w:rPr>
            </w:pPr>
          </w:p>
        </w:tc>
      </w:tr>
      <w:tr>
        <w:trPr>
          <w:trHeight w:val="171"/>
        </w:trPr>
        <w:tc>
          <w:tcPr>
            <w:tcW w:w="4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27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r>
      <w:tr>
        <w:trPr>
          <w:trHeight w:val="20"/>
        </w:trPr>
        <w:tc>
          <w:tcPr>
            <w:tcW w:w="4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Inc. (Parent)</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Background and Basis of Presentation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Clearway Energy, Inc., together with its consolidated subsidiaries, or the Company, is a publicly-traded energy infrastructure investor with a focus on investments in clean energy and owner of modern, sustainable and long-term contracted assets across North America. The Company is sponsored by GIP and TotalEnergies through the portfolio company, Clearway Energy Group LLC, or CEG, which became equally owned by GIP and TotalEnergies as of September 12, 2022, when TotalEnergies acquired, through its investment in an intermediate holding company, 50% of GIP’s interest in CEG. GIP is an independent infrastructure fund manager that makes equity and debt investments in infrastructure assets and businesses. TotalEnergies is a global multi-energy company.</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over 5,500 net MW of installed wind and solar generation projects. The Company’s over 8,000 net MW of assets includes approximately 2,500 net MW of environmentally-sound, highly efficient natural gas-fired generation facilities. Through this environmentally-sound, diversified and primarily contracted portfolio, the Company endeavors to provide its investors with stable and growing dividend income. </w:t>
      </w:r>
      <w:r>
        <w:rPr>
          <w:rFonts w:ascii="Times New Roman" w:cs="Times New Roman" w:eastAsia="Times New Roman" w:hAnsi="Times New Roman"/>
          <w:sz w:val="14"/>
          <w:szCs w:val="14"/>
          <w:color w:val="231F20"/>
        </w:rPr>
        <w:t>The majority</w:t>
      </w:r>
      <w:r>
        <w:rPr>
          <w:rFonts w:ascii="Times New Roman" w:cs="Times New Roman" w:eastAsia="Times New Roman" w:hAnsi="Times New Roman"/>
          <w:sz w:val="14"/>
          <w:szCs w:val="14"/>
          <w:color w:val="auto"/>
        </w:rPr>
        <w:t xml:space="preserve"> of the Company’s revenues are derived under long-term contractual arrangements for the output or capacity from these assets.</w:t>
      </w:r>
    </w:p>
    <w:p>
      <w:pPr>
        <w:spacing w:after="0" w:line="9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From time to time, CEG may also hold shares of the Company’s Class A and/or Class C common stock.</w:t>
      </w:r>
    </w:p>
    <w:p>
      <w:pPr>
        <w:spacing w:after="0" w:line="93" w:lineRule="exact"/>
        <w:rPr>
          <w:sz w:val="20"/>
          <w:szCs w:val="20"/>
          <w:color w:val="auto"/>
        </w:rPr>
      </w:pPr>
    </w:p>
    <w:p>
      <w:pPr>
        <w:ind w:right="320" w:firstLine="318"/>
        <w:spacing w:after="0" w:line="442" w:lineRule="auto"/>
        <w:rPr>
          <w:sz w:val="20"/>
          <w:szCs w:val="20"/>
          <w:color w:val="auto"/>
        </w:rPr>
      </w:pPr>
      <w:r>
        <w:rPr>
          <w:rFonts w:ascii="Times New Roman" w:cs="Times New Roman" w:eastAsia="Times New Roman" w:hAnsi="Times New Roman"/>
          <w:sz w:val="14"/>
          <w:szCs w:val="14"/>
          <w:color w:val="auto"/>
        </w:rPr>
        <w:t xml:space="preserve">As of December 31, 2022, the Company owned 57.88% of the economic interests of Clearway Energy LLC, with CEG owning 42.12% of the economic interests of Clearway Energy LLC. </w:t>
      </w:r>
      <w:r>
        <w:rPr>
          <w:rFonts w:ascii="Times New Roman" w:cs="Times New Roman" w:eastAsia="Times New Roman" w:hAnsi="Times New Roman"/>
          <w:sz w:val="14"/>
          <w:szCs w:val="14"/>
          <w:b w:val="1"/>
          <w:bCs w:val="1"/>
          <w:i w:val="1"/>
          <w:iCs w:val="1"/>
          <w:color w:val="auto"/>
        </w:rPr>
        <w:t>Basis of Presentation</w:t>
      </w:r>
    </w:p>
    <w:p>
      <w:pPr>
        <w:spacing w:after="0" w:line="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condensed parent-only company financial statements have been prepared in accordance with Rule 12-04 of Regulation S-X, as the restricted net assets of Clearway Energy, Inc.’s subsidiaries exceed 25% of the consolidated net assets of Clearway Energy, Inc. The parent’s 100% investment in its subsidiaries has been recorded using the equity basis of accounting in the accompanying condensed parent-only financial statements. These statements should be read in conjunction with the consolidated financial statements and notes thereto of Clearway Energy, Inc.</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For a discussion of Clearway Energy, Inc.’s financing arrangements, see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Company’s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Commitments, Contingencies and Guarantees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See Note 14,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and Note 16,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the Company’s consolidated financial statements for a detailed discussion of Clearway Energy, Inc.’s commitments and contingencies.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Dividends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distributions paid to Clearway Energy, Inc. by its subsidiary, Clearway Energy LLC, were $167 million, $155 million and $121 million for the years ended December 31, 2022, 2021, and 2020,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4"/>
          <w:szCs w:val="14"/>
          <w:b w:val="1"/>
          <w:bCs w:val="1"/>
          <w:color w:val="auto"/>
        </w:rPr>
        <w:t>SCHEDULE II. VALUATION AND QUALIFYING ACCOUNTS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 2022, 2021, and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00" w:type="dxa"/>
            <w:vAlign w:val="bottom"/>
          </w:tcPr>
          <w:p>
            <w:pPr>
              <w:spacing w:after="0"/>
              <w:rPr>
                <w:sz w:val="11"/>
                <w:szCs w:val="11"/>
                <w:color w:val="auto"/>
              </w:rPr>
            </w:pPr>
          </w:p>
        </w:tc>
        <w:tc>
          <w:tcPr>
            <w:tcW w:w="900" w:type="dxa"/>
            <w:vAlign w:val="bottom"/>
          </w:tcPr>
          <w:p>
            <w:pPr>
              <w:jc w:val="center"/>
              <w:ind w:left="162"/>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Charged to</w:t>
            </w:r>
          </w:p>
        </w:tc>
        <w:tc>
          <w:tcPr>
            <w:tcW w:w="148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Charged to</w:t>
            </w:r>
          </w:p>
        </w:tc>
        <w:tc>
          <w:tcPr>
            <w:tcW w:w="1060" w:type="dxa"/>
            <w:vAlign w:val="bottom"/>
            <w:vMerge w:val="restart"/>
          </w:tcPr>
          <w:p>
            <w:pPr>
              <w:jc w:val="right"/>
              <w:ind w:right="299"/>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0" w:type="dxa"/>
            <w:vAlign w:val="bottom"/>
          </w:tcPr>
          <w:p>
            <w:pPr>
              <w:spacing w:after="0"/>
              <w:rPr>
                <w:sz w:val="1"/>
                <w:szCs w:val="1"/>
                <w:color w:val="auto"/>
              </w:rPr>
            </w:pPr>
          </w:p>
        </w:tc>
      </w:tr>
      <w:tr>
        <w:trPr>
          <w:trHeight w:val="115"/>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jc w:val="center"/>
              <w:ind w:left="162"/>
              <w:spacing w:after="0" w:line="115" w:lineRule="exact"/>
              <w:rPr>
                <w:sz w:val="20"/>
                <w:szCs w:val="20"/>
                <w:color w:val="auto"/>
              </w:rPr>
            </w:pPr>
            <w:r>
              <w:rPr>
                <w:rFonts w:ascii="Times New Roman" w:cs="Times New Roman" w:eastAsia="Times New Roman" w:hAnsi="Times New Roman"/>
                <w:sz w:val="11"/>
                <w:szCs w:val="11"/>
                <w:b w:val="1"/>
                <w:bCs w:val="1"/>
                <w:color w:val="auto"/>
              </w:rPr>
              <w:t>Beginning of</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3"/>
          </w:tcPr>
          <w:p>
            <w:pPr>
              <w:jc w:val="center"/>
              <w:ind w:right="460"/>
              <w:spacing w:after="0" w:line="115" w:lineRule="exact"/>
              <w:rPr>
                <w:sz w:val="20"/>
                <w:szCs w:val="20"/>
                <w:color w:val="auto"/>
              </w:rPr>
            </w:pPr>
            <w:r>
              <w:rPr>
                <w:rFonts w:ascii="Times New Roman" w:cs="Times New Roman" w:eastAsia="Times New Roman" w:hAnsi="Times New Roman"/>
                <w:sz w:val="11"/>
                <w:szCs w:val="11"/>
                <w:b w:val="1"/>
                <w:bCs w:val="1"/>
                <w:color w:val="auto"/>
              </w:rPr>
              <w:t>Costs and</w:t>
            </w:r>
          </w:p>
        </w:tc>
        <w:tc>
          <w:tcPr>
            <w:tcW w:w="148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100" w:type="dxa"/>
            <w:vAlign w:val="bottom"/>
            <w:vMerge w:val="continue"/>
          </w:tcPr>
          <w:p>
            <w:pPr>
              <w:spacing w:after="0"/>
              <w:rPr>
                <w:sz w:val="13"/>
                <w:szCs w:val="13"/>
                <w:color w:val="auto"/>
              </w:rPr>
            </w:pPr>
          </w:p>
        </w:tc>
        <w:tc>
          <w:tcPr>
            <w:tcW w:w="900" w:type="dxa"/>
            <w:vAlign w:val="bottom"/>
          </w:tcPr>
          <w:p>
            <w:pPr>
              <w:jc w:val="center"/>
              <w:ind w:left="162"/>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48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Other Accounts</w:t>
            </w: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End of Period</w:t>
            </w:r>
          </w:p>
        </w:tc>
        <w:tc>
          <w:tcPr>
            <w:tcW w:w="0" w:type="dxa"/>
            <w:vAlign w:val="bottom"/>
          </w:tcPr>
          <w:p>
            <w:pPr>
              <w:spacing w:after="0"/>
              <w:rPr>
                <w:sz w:val="1"/>
                <w:szCs w:val="1"/>
                <w:color w:val="auto"/>
              </w:rPr>
            </w:pPr>
          </w:p>
        </w:tc>
      </w:tr>
      <w:tr>
        <w:trPr>
          <w:trHeight w:val="165"/>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 valuation allowance, deducted from deferred tax assets</w:t>
            </w: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Ended December 31, 2022</w:t>
            </w:r>
          </w:p>
        </w:tc>
        <w:tc>
          <w:tcPr>
            <w:tcW w:w="900" w:type="dxa"/>
            <w:vAlign w:val="bottom"/>
          </w:tcPr>
          <w:p>
            <w:pPr>
              <w:jc w:val="right"/>
              <w:ind w:right="762"/>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   $</w:t>
            </w:r>
          </w:p>
        </w:tc>
        <w:tc>
          <w:tcPr>
            <w:tcW w:w="1480" w:type="dxa"/>
            <w:vAlign w:val="bottom"/>
            <w:gridSpan w:val="3"/>
          </w:tcPr>
          <w:p>
            <w:pPr>
              <w:ind w:left="1020"/>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Year Ended December 31, 2021</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5"/>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Ended December 31, 2020</w:t>
            </w:r>
          </w:p>
        </w:tc>
        <w:tc>
          <w:tcPr>
            <w:tcW w:w="90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ind w:left="76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3"/>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17"/>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87"/>
        </w:trPr>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800" w:type="dxa"/>
            <w:vAlign w:val="bottom"/>
            <w:gridSpan w:val="26"/>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2.3</w:t>
            </w:r>
          </w:p>
        </w:tc>
        <w:tc>
          <w:tcPr>
            <w:tcW w:w="5800" w:type="dxa"/>
            <w:vAlign w:val="bottom"/>
            <w:gridSpan w:val="26"/>
          </w:tcPr>
          <w:p>
            <w:pPr>
              <w:spacing w:after="0" w:line="143" w:lineRule="exact"/>
              <w:rPr>
                <w:rFonts w:ascii="Times New Roman" w:cs="Times New Roman" w:eastAsia="Times New Roman" w:hAnsi="Times New Roman"/>
                <w:sz w:val="13"/>
                <w:szCs w:val="13"/>
                <w:color w:val="0000FF"/>
              </w:rPr>
            </w:pPr>
            <w:hyperlink r:id="rId183">
              <w:r>
                <w:rPr>
                  <w:rFonts w:ascii="Times New Roman" w:cs="Times New Roman" w:eastAsia="Times New Roman" w:hAnsi="Times New Roman"/>
                  <w:sz w:val="13"/>
                  <w:szCs w:val="13"/>
                  <w:color w:val="0000FF"/>
                </w:rPr>
                <w:t>Purchase and Sale Agreement, dated as of November 19, 2020, by and between NRG Solar Sunrise LLC and</w:t>
              </w:r>
            </w:hyperlink>
          </w:p>
        </w:tc>
      </w:tr>
      <w:tr>
        <w:trPr>
          <w:trHeight w:val="107"/>
        </w:trPr>
        <w:tc>
          <w:tcPr>
            <w:tcW w:w="1000" w:type="dxa"/>
            <w:vAlign w:val="bottom"/>
          </w:tcPr>
          <w:p>
            <w:pPr>
              <w:spacing w:after="0"/>
              <w:rPr>
                <w:sz w:val="9"/>
                <w:szCs w:val="9"/>
                <w:color w:val="auto"/>
              </w:rPr>
            </w:pPr>
          </w:p>
        </w:tc>
        <w:tc>
          <w:tcPr>
            <w:tcW w:w="556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183">
              <w:r>
                <w:rPr>
                  <w:rFonts w:ascii="Times New Roman" w:cs="Times New Roman" w:eastAsia="Times New Roman" w:hAnsi="Times New Roman"/>
                  <w:sz w:val="12"/>
                  <w:szCs w:val="12"/>
                  <w:color w:val="0000FF"/>
                </w:rPr>
                <w:t>Clearway AC Solar Holdings LLC.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Amended and Restated Certificate of Incorporation of Clearway Energy, Inc.</w:t>
              </w:r>
            </w:hyperlink>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85">
              <w:r>
                <w:rPr>
                  <w:rFonts w:ascii="Times New Roman" w:cs="Times New Roman" w:eastAsia="Times New Roman" w:hAnsi="Times New Roman"/>
                  <w:sz w:val="13"/>
                  <w:szCs w:val="13"/>
                  <w:color w:val="0000FF"/>
                </w:rPr>
                <w:t>Fourth Amended and Restated Bylaws of Clearway Energy, Inc., dated August 31, 2018.</w:t>
              </w:r>
            </w:hyperlink>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86">
              <w:r>
                <w:rPr>
                  <w:rFonts w:ascii="Times New Roman" w:cs="Times New Roman" w:eastAsia="Times New Roman" w:hAnsi="Times New Roman"/>
                  <w:sz w:val="13"/>
                  <w:szCs w:val="13"/>
                  <w:color w:val="0000FF"/>
                </w:rPr>
                <w:t>Fourth Amended and Restated Limited Liability Company Agreement of NRG Yield LLC, dated as of August</w:t>
              </w:r>
            </w:hyperlink>
          </w:p>
        </w:tc>
      </w:tr>
      <w:tr>
        <w:trPr>
          <w:trHeight w:val="107"/>
        </w:trPr>
        <w:tc>
          <w:tcPr>
            <w:tcW w:w="1000" w:type="dxa"/>
            <w:vAlign w:val="bottom"/>
          </w:tcPr>
          <w:p>
            <w:pPr>
              <w:spacing w:after="0"/>
              <w:rPr>
                <w:sz w:val="9"/>
                <w:szCs w:val="9"/>
                <w:color w:val="auto"/>
              </w:rPr>
            </w:pPr>
          </w:p>
        </w:tc>
        <w:tc>
          <w:tcPr>
            <w:tcW w:w="562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186">
              <w:r>
                <w:rPr>
                  <w:rFonts w:ascii="Times New Roman" w:cs="Times New Roman" w:eastAsia="Times New Roman" w:hAnsi="Times New Roman"/>
                  <w:sz w:val="12"/>
                  <w:szCs w:val="12"/>
                  <w:color w:val="0000FF"/>
                </w:rPr>
                <w:t>31, 2018, by and between NRG Yield, Inc. and Zephyr Renewables LLC.</w:t>
              </w:r>
            </w:hyperlink>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w:t>
            </w:r>
          </w:p>
        </w:tc>
        <w:tc>
          <w:tcPr>
            <w:tcW w:w="238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3"/>
                <w:szCs w:val="13"/>
                <w:color w:val="0000FF"/>
                <w:w w:val="97"/>
              </w:rPr>
            </w:pPr>
            <w:hyperlink r:id="rId187">
              <w:r>
                <w:rPr>
                  <w:rFonts w:ascii="Times New Roman" w:cs="Times New Roman" w:eastAsia="Times New Roman" w:hAnsi="Times New Roman"/>
                  <w:sz w:val="13"/>
                  <w:szCs w:val="13"/>
                  <w:color w:val="0000FF"/>
                  <w:w w:val="97"/>
                </w:rPr>
                <w:t>Specimen Class A Common Stock Certificate.</w:t>
              </w:r>
            </w:hyperlink>
          </w:p>
        </w:tc>
        <w:tc>
          <w:tcPr>
            <w:tcW w:w="1360" w:type="dxa"/>
            <w:vAlign w:val="bottom"/>
            <w:tcBorders>
              <w:top w:val="single" w:sz="8" w:color="0000FF"/>
            </w:tcBorders>
            <w:gridSpan w:val="3"/>
          </w:tcPr>
          <w:p>
            <w:pPr>
              <w:spacing w:after="0"/>
              <w:rPr>
                <w:sz w:val="24"/>
                <w:szCs w:val="24"/>
                <w:color w:val="auto"/>
              </w:rPr>
            </w:pPr>
          </w:p>
        </w:tc>
        <w:tc>
          <w:tcPr>
            <w:tcW w:w="2060" w:type="dxa"/>
            <w:vAlign w:val="bottom"/>
            <w:gridSpan w:val="18"/>
          </w:tcPr>
          <w:p>
            <w:pPr>
              <w:spacing w:after="0"/>
              <w:rPr>
                <w:sz w:val="24"/>
                <w:szCs w:val="24"/>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4.3</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88">
              <w:r>
                <w:rPr>
                  <w:rFonts w:ascii="Times New Roman" w:cs="Times New Roman" w:eastAsia="Times New Roman" w:hAnsi="Times New Roman"/>
                  <w:sz w:val="13"/>
                  <w:szCs w:val="13"/>
                  <w:color w:val="0000FF"/>
                </w:rPr>
                <w:t>Specimen Class C Common Stock Certificate.</w:t>
              </w:r>
            </w:hyperlink>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4.4</w:t>
            </w:r>
          </w:p>
        </w:tc>
        <w:tc>
          <w:tcPr>
            <w:tcW w:w="5800" w:type="dxa"/>
            <w:vAlign w:val="bottom"/>
            <w:gridSpan w:val="26"/>
          </w:tcPr>
          <w:p>
            <w:pPr>
              <w:spacing w:after="0"/>
              <w:rPr>
                <w:rFonts w:ascii="Times New Roman" w:cs="Times New Roman" w:eastAsia="Times New Roman" w:hAnsi="Times New Roman"/>
                <w:sz w:val="13"/>
                <w:szCs w:val="13"/>
                <w:color w:val="0000FF"/>
                <w:w w:val="98"/>
              </w:rPr>
            </w:pPr>
            <w:hyperlink r:id="rId189">
              <w:r>
                <w:rPr>
                  <w:rFonts w:ascii="Times New Roman" w:cs="Times New Roman" w:eastAsia="Times New Roman" w:hAnsi="Times New Roman"/>
                  <w:sz w:val="13"/>
                  <w:szCs w:val="13"/>
                  <w:color w:val="0000FF"/>
                  <w:w w:val="98"/>
                </w:rPr>
                <w:t>Indenture, dated December 11, 2019,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76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189">
              <w:r>
                <w:rPr>
                  <w:rFonts w:ascii="Times New Roman" w:cs="Times New Roman" w:eastAsia="Times New Roman" w:hAnsi="Times New Roman"/>
                  <w:sz w:val="12"/>
                  <w:szCs w:val="12"/>
                  <w:color w:val="0000FF"/>
                </w:rPr>
                <w:t>Delaware Trust Company, as trustee.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4.5</w:t>
            </w:r>
          </w:p>
        </w:tc>
        <w:tc>
          <w:tcPr>
            <w:tcW w:w="208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r:id="rId189">
              <w:r>
                <w:rPr>
                  <w:rFonts w:ascii="Times New Roman" w:cs="Times New Roman" w:eastAsia="Times New Roman" w:hAnsi="Times New Roman"/>
                  <w:sz w:val="13"/>
                  <w:szCs w:val="13"/>
                  <w:color w:val="0000FF"/>
                  <w:w w:val="97"/>
                </w:rPr>
                <w:t>Form of 4.750% Senior Notes due 2028.</w:t>
              </w:r>
            </w:hyperlink>
          </w:p>
        </w:tc>
        <w:tc>
          <w:tcPr>
            <w:tcW w:w="3720" w:type="dxa"/>
            <w:vAlign w:val="bottom"/>
            <w:gridSpan w:val="23"/>
          </w:tcPr>
          <w:p>
            <w:pPr>
              <w:spacing w:after="0"/>
              <w:rPr>
                <w:sz w:val="24"/>
                <w:szCs w:val="24"/>
                <w:color w:val="auto"/>
              </w:rPr>
            </w:pPr>
          </w:p>
        </w:tc>
      </w:tr>
      <w:tr>
        <w:trPr>
          <w:trHeight w:val="41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4.6</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90">
              <w:r>
                <w:rPr>
                  <w:rFonts w:ascii="Times New Roman" w:cs="Times New Roman" w:eastAsia="Times New Roman" w:hAnsi="Times New Roman"/>
                  <w:sz w:val="13"/>
                  <w:szCs w:val="13"/>
                  <w:color w:val="0000FF"/>
                </w:rPr>
                <w:t>First Supplemental Indenture, dated as of January 6,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190">
              <w:r>
                <w:rPr>
                  <w:rFonts w:ascii="Times New Roman" w:cs="Times New Roman" w:eastAsia="Times New Roman" w:hAnsi="Times New Roman"/>
                  <w:sz w:val="12"/>
                  <w:szCs w:val="12"/>
                  <w:color w:val="0000FF"/>
                </w:rPr>
                <w:t>guarantors named therein and Delaware Trust Company.</w:t>
              </w:r>
            </w:hyperlink>
          </w:p>
        </w:tc>
        <w:tc>
          <w:tcPr>
            <w:tcW w:w="2400" w:type="dxa"/>
            <w:vAlign w:val="bottom"/>
            <w:tcBorders>
              <w:top w:val="single" w:sz="8" w:color="0000FF"/>
            </w:tcBorders>
            <w:gridSpan w:val="6"/>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4.7</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91">
              <w:r>
                <w:rPr>
                  <w:rFonts w:ascii="Times New Roman" w:cs="Times New Roman" w:eastAsia="Times New Roman" w:hAnsi="Times New Roman"/>
                  <w:sz w:val="13"/>
                  <w:szCs w:val="13"/>
                  <w:color w:val="0000FF"/>
                </w:rPr>
                <w:t>Second Supplemental Indenture, dated as of February 26,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191">
              <w:r>
                <w:rPr>
                  <w:rFonts w:ascii="Times New Roman" w:cs="Times New Roman" w:eastAsia="Times New Roman" w:hAnsi="Times New Roman"/>
                  <w:sz w:val="12"/>
                  <w:szCs w:val="12"/>
                  <w:color w:val="0000FF"/>
                </w:rPr>
                <w:t>guarantors named therein and Delaware Trust Company.</w:t>
              </w:r>
            </w:hyperlink>
          </w:p>
        </w:tc>
        <w:tc>
          <w:tcPr>
            <w:tcW w:w="268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4.8</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92">
              <w:r>
                <w:rPr>
                  <w:rFonts w:ascii="Times New Roman" w:cs="Times New Roman" w:eastAsia="Times New Roman" w:hAnsi="Times New Roman"/>
                  <w:sz w:val="13"/>
                  <w:szCs w:val="13"/>
                  <w:color w:val="0000FF"/>
                </w:rPr>
                <w:t>Third Supplemental Indenture, dated as of July 17,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192">
              <w:r>
                <w:rPr>
                  <w:rFonts w:ascii="Times New Roman" w:cs="Times New Roman" w:eastAsia="Times New Roman" w:hAnsi="Times New Roman"/>
                  <w:sz w:val="12"/>
                  <w:szCs w:val="12"/>
                  <w:color w:val="0000FF"/>
                </w:rPr>
                <w:t>guarantors named therein and Delaware Trust Company.</w:t>
              </w:r>
            </w:hyperlink>
          </w:p>
        </w:tc>
        <w:tc>
          <w:tcPr>
            <w:tcW w:w="234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4.9</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93">
              <w:r>
                <w:rPr>
                  <w:rFonts w:ascii="Times New Roman" w:cs="Times New Roman" w:eastAsia="Times New Roman" w:hAnsi="Times New Roman"/>
                  <w:sz w:val="13"/>
                  <w:szCs w:val="13"/>
                  <w:color w:val="0000FF"/>
                </w:rPr>
                <w:t>Fourth Supplemental Indenture, dated as of August 17, 2020, among Clearway Energy Operating LLC, the</w:t>
              </w:r>
            </w:hyperlink>
          </w:p>
        </w:tc>
      </w:tr>
      <w:tr>
        <w:trPr>
          <w:trHeight w:val="107"/>
        </w:trPr>
        <w:tc>
          <w:tcPr>
            <w:tcW w:w="1000" w:type="dxa"/>
            <w:vAlign w:val="bottom"/>
          </w:tcPr>
          <w:p>
            <w:pPr>
              <w:spacing w:after="0"/>
              <w:rPr>
                <w:sz w:val="9"/>
                <w:szCs w:val="9"/>
                <w:color w:val="auto"/>
              </w:rPr>
            </w:pPr>
          </w:p>
        </w:tc>
        <w:tc>
          <w:tcPr>
            <w:tcW w:w="546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193">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4.10</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94">
              <w:r>
                <w:rPr>
                  <w:rFonts w:ascii="Times New Roman" w:cs="Times New Roman" w:eastAsia="Times New Roman" w:hAnsi="Times New Roman"/>
                  <w:sz w:val="13"/>
                  <w:szCs w:val="13"/>
                  <w:color w:val="0000FF"/>
                </w:rPr>
                <w:t>Fifth Supplemental Indenture, dated as of November 18,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194">
              <w:r>
                <w:rPr>
                  <w:rFonts w:ascii="Times New Roman" w:cs="Times New Roman" w:eastAsia="Times New Roman" w:hAnsi="Times New Roman"/>
                  <w:sz w:val="12"/>
                  <w:szCs w:val="12"/>
                  <w:color w:val="0000FF"/>
                </w:rPr>
                <w:t>guarantors named therein and Delaware Trust Company.</w:t>
              </w:r>
            </w:hyperlink>
          </w:p>
        </w:tc>
        <w:tc>
          <w:tcPr>
            <w:tcW w:w="2640" w:type="dxa"/>
            <w:vAlign w:val="bottom"/>
            <w:tcBorders>
              <w:top w:val="single" w:sz="8" w:color="0000FF"/>
            </w:tcBorders>
            <w:gridSpan w:val="11"/>
          </w:tcPr>
          <w:p>
            <w:pPr>
              <w:spacing w:after="0"/>
              <w:rPr>
                <w:sz w:val="9"/>
                <w:szCs w:val="9"/>
                <w:color w:val="auto"/>
              </w:rPr>
            </w:pPr>
          </w:p>
        </w:tc>
        <w:tc>
          <w:tcPr>
            <w:tcW w:w="60" w:type="dxa"/>
            <w:vAlign w:val="bottom"/>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4.11</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95">
              <w:r>
                <w:rPr>
                  <w:rFonts w:ascii="Times New Roman" w:cs="Times New Roman" w:eastAsia="Times New Roman" w:hAnsi="Times New Roman"/>
                  <w:sz w:val="13"/>
                  <w:szCs w:val="13"/>
                  <w:color w:val="0000FF"/>
                </w:rPr>
                <w:t>Sixth Supplemental Indenture, dated as of December 1,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195">
              <w:r>
                <w:rPr>
                  <w:rFonts w:ascii="Times New Roman" w:cs="Times New Roman" w:eastAsia="Times New Roman" w:hAnsi="Times New Roman"/>
                  <w:sz w:val="12"/>
                  <w:szCs w:val="12"/>
                  <w:color w:val="0000FF"/>
                </w:rPr>
                <w:t>guarantors named therein and Delaware Trust Company.</w:t>
              </w:r>
            </w:hyperlink>
          </w:p>
        </w:tc>
        <w:tc>
          <w:tcPr>
            <w:tcW w:w="258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4.12</w:t>
            </w:r>
          </w:p>
        </w:tc>
        <w:tc>
          <w:tcPr>
            <w:tcW w:w="5800" w:type="dxa"/>
            <w:vAlign w:val="bottom"/>
            <w:gridSpan w:val="26"/>
          </w:tcPr>
          <w:p>
            <w:pPr>
              <w:spacing w:after="0"/>
              <w:rPr>
                <w:rFonts w:ascii="Times New Roman" w:cs="Times New Roman" w:eastAsia="Times New Roman" w:hAnsi="Times New Roman"/>
                <w:sz w:val="13"/>
                <w:szCs w:val="13"/>
                <w:color w:val="0000FF"/>
                <w:w w:val="99"/>
              </w:rPr>
            </w:pPr>
            <w:hyperlink r:id="rId196">
              <w:r>
                <w:rPr>
                  <w:rFonts w:ascii="Times New Roman" w:cs="Times New Roman" w:eastAsia="Times New Roman" w:hAnsi="Times New Roman"/>
                  <w:sz w:val="13"/>
                  <w:szCs w:val="13"/>
                  <w:color w:val="0000FF"/>
                  <w:w w:val="99"/>
                </w:rPr>
                <w:t>Seventh Supplemental Indenture, dated as of December 23, 2020, among Clearway Energy Operating LLC, the</w:t>
              </w:r>
            </w:hyperlink>
          </w:p>
        </w:tc>
      </w:tr>
      <w:tr>
        <w:trPr>
          <w:trHeight w:val="107"/>
        </w:trPr>
        <w:tc>
          <w:tcPr>
            <w:tcW w:w="1000" w:type="dxa"/>
            <w:vAlign w:val="bottom"/>
          </w:tcPr>
          <w:p>
            <w:pPr>
              <w:spacing w:after="0"/>
              <w:rPr>
                <w:sz w:val="9"/>
                <w:szCs w:val="9"/>
                <w:color w:val="auto"/>
              </w:rPr>
            </w:pPr>
          </w:p>
        </w:tc>
        <w:tc>
          <w:tcPr>
            <w:tcW w:w="2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196">
              <w:r>
                <w:rPr>
                  <w:rFonts w:ascii="Times New Roman" w:cs="Times New Roman" w:eastAsia="Times New Roman" w:hAnsi="Times New Roman"/>
                  <w:sz w:val="12"/>
                  <w:szCs w:val="12"/>
                  <w:color w:val="0000FF"/>
                </w:rPr>
                <w:t>guarantors named therein and Delaware Trust Company.</w:t>
              </w:r>
            </w:hyperlink>
          </w:p>
        </w:tc>
        <w:tc>
          <w:tcPr>
            <w:tcW w:w="2780" w:type="dxa"/>
            <w:vAlign w:val="bottom"/>
            <w:tcBorders>
              <w:top w:val="single" w:sz="8" w:color="0000FF"/>
            </w:tcBorders>
            <w:gridSpan w:val="16"/>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4.13</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97">
              <w:r>
                <w:rPr>
                  <w:rFonts w:ascii="Times New Roman" w:cs="Times New Roman" w:eastAsia="Times New Roman" w:hAnsi="Times New Roman"/>
                  <w:sz w:val="13"/>
                  <w:szCs w:val="13"/>
                  <w:color w:val="0000FF"/>
                </w:rPr>
                <w:t>Eighth Supplemental Indenture, dated as of February 3, 2021, among Clearway Energy Operating LLC, the</w:t>
              </w:r>
            </w:hyperlink>
          </w:p>
        </w:tc>
      </w:tr>
      <w:tr>
        <w:trPr>
          <w:trHeight w:val="118"/>
        </w:trPr>
        <w:tc>
          <w:tcPr>
            <w:tcW w:w="1000" w:type="dxa"/>
            <w:vAlign w:val="bottom"/>
          </w:tcPr>
          <w:p>
            <w:pPr>
              <w:spacing w:after="0"/>
              <w:rPr>
                <w:sz w:val="10"/>
                <w:szCs w:val="10"/>
                <w:color w:val="auto"/>
              </w:rPr>
            </w:pPr>
          </w:p>
        </w:tc>
        <w:tc>
          <w:tcPr>
            <w:tcW w:w="290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w w:val="97"/>
              </w:rPr>
            </w:pPr>
            <w:hyperlink r:id="rId197">
              <w:r>
                <w:rPr>
                  <w:rFonts w:ascii="Times New Roman" w:cs="Times New Roman" w:eastAsia="Times New Roman" w:hAnsi="Times New Roman"/>
                  <w:sz w:val="13"/>
                  <w:szCs w:val="13"/>
                  <w:color w:val="0000FF"/>
                  <w:w w:val="97"/>
                </w:rPr>
                <w:t>guarantors named therein and Delaware Trust Company.</w:t>
              </w:r>
            </w:hyperlink>
          </w:p>
        </w:tc>
        <w:tc>
          <w:tcPr>
            <w:tcW w:w="260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1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r>
      <w:tr>
        <w:trPr>
          <w:trHeight w:val="16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4.14</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198">
              <w:r>
                <w:rPr>
                  <w:rFonts w:ascii="Times New Roman" w:cs="Times New Roman" w:eastAsia="Times New Roman" w:hAnsi="Times New Roman"/>
                  <w:sz w:val="13"/>
                  <w:szCs w:val="13"/>
                  <w:color w:val="0000FF"/>
                </w:rPr>
                <w:t>Indenture, dated March 9, 2021,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52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198">
              <w:r>
                <w:rPr>
                  <w:rFonts w:ascii="Times New Roman" w:cs="Times New Roman" w:eastAsia="Times New Roman" w:hAnsi="Times New Roman"/>
                  <w:sz w:val="12"/>
                  <w:szCs w:val="12"/>
                  <w:color w:val="0000FF"/>
                </w:rPr>
                <w:t>Delaware Trust Company, as trustee.</w:t>
              </w:r>
            </w:hyperlink>
          </w:p>
        </w:tc>
        <w:tc>
          <w:tcPr>
            <w:tcW w:w="80" w:type="dxa"/>
            <w:vAlign w:val="bottom"/>
            <w:gridSpan w:val="4"/>
          </w:tcPr>
          <w:p>
            <w:pPr>
              <w:spacing w:after="0"/>
              <w:rPr>
                <w:sz w:val="9"/>
                <w:szCs w:val="9"/>
                <w:color w:val="auto"/>
              </w:rPr>
            </w:pPr>
          </w:p>
        </w:tc>
        <w:tc>
          <w:tcPr>
            <w:tcW w:w="18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900" w:type="dxa"/>
            <w:vAlign w:val="bottom"/>
            <w:gridSpan w:val="8"/>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4.15</w:t>
            </w:r>
          </w:p>
        </w:tc>
        <w:tc>
          <w:tcPr>
            <w:tcW w:w="208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r:id="rId199">
              <w:r>
                <w:rPr>
                  <w:rFonts w:ascii="Times New Roman" w:cs="Times New Roman" w:eastAsia="Times New Roman" w:hAnsi="Times New Roman"/>
                  <w:sz w:val="13"/>
                  <w:szCs w:val="13"/>
                  <w:color w:val="0000FF"/>
                  <w:w w:val="97"/>
                </w:rPr>
                <w:t>Form of 3.750% Senior Notes due 2031.</w:t>
              </w:r>
            </w:hyperlink>
          </w:p>
        </w:tc>
        <w:tc>
          <w:tcPr>
            <w:tcW w:w="3720" w:type="dxa"/>
            <w:vAlign w:val="bottom"/>
            <w:gridSpan w:val="23"/>
          </w:tcPr>
          <w:p>
            <w:pPr>
              <w:spacing w:after="0"/>
              <w:rPr>
                <w:sz w:val="13"/>
                <w:szCs w:val="13"/>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4.16</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200">
              <w:r>
                <w:rPr>
                  <w:rFonts w:ascii="Times New Roman" w:cs="Times New Roman" w:eastAsia="Times New Roman" w:hAnsi="Times New Roman"/>
                  <w:sz w:val="13"/>
                  <w:szCs w:val="13"/>
                  <w:color w:val="0000FF"/>
                </w:rPr>
                <w:t>Ninth Supplemental Indenture, dated as of May 14, 2021, among Clearway Energy Operating LLC, the</w:t>
              </w:r>
            </w:hyperlink>
          </w:p>
        </w:tc>
      </w:tr>
      <w:tr>
        <w:trPr>
          <w:trHeight w:val="107"/>
        </w:trPr>
        <w:tc>
          <w:tcPr>
            <w:tcW w:w="1000" w:type="dxa"/>
            <w:vAlign w:val="bottom"/>
          </w:tcPr>
          <w:p>
            <w:pPr>
              <w:spacing w:after="0"/>
              <w:rPr>
                <w:sz w:val="9"/>
                <w:szCs w:val="9"/>
                <w:color w:val="auto"/>
              </w:rPr>
            </w:pPr>
          </w:p>
        </w:tc>
        <w:tc>
          <w:tcPr>
            <w:tcW w:w="526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00">
              <w:r>
                <w:rPr>
                  <w:rFonts w:ascii="Times New Roman" w:cs="Times New Roman" w:eastAsia="Times New Roman" w:hAnsi="Times New Roman"/>
                  <w:sz w:val="12"/>
                  <w:szCs w:val="12"/>
                  <w:color w:val="0000FF"/>
                </w:rPr>
                <w:t>guarantors named therein and Delaware Trust Company.</w:t>
              </w:r>
            </w:hyperlink>
          </w:p>
        </w:tc>
        <w:tc>
          <w:tcPr>
            <w:tcW w:w="340" w:type="dxa"/>
            <w:vAlign w:val="bottom"/>
            <w:gridSpan w:val="9"/>
          </w:tcPr>
          <w:p>
            <w:pPr>
              <w:spacing w:after="0"/>
              <w:rPr>
                <w:sz w:val="9"/>
                <w:szCs w:val="9"/>
                <w:color w:val="auto"/>
              </w:rPr>
            </w:pPr>
          </w:p>
        </w:tc>
        <w:tc>
          <w:tcPr>
            <w:tcW w:w="180" w:type="dxa"/>
            <w:vAlign w:val="bottom"/>
            <w:gridSpan w:val="4"/>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720" w:type="dxa"/>
            <w:vAlign w:val="bottom"/>
            <w:gridSpan w:val="1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4.17</w:t>
            </w:r>
          </w:p>
        </w:tc>
        <w:tc>
          <w:tcPr>
            <w:tcW w:w="5800" w:type="dxa"/>
            <w:vAlign w:val="bottom"/>
            <w:gridSpan w:val="26"/>
          </w:tcPr>
          <w:p>
            <w:pPr>
              <w:spacing w:after="0"/>
              <w:rPr>
                <w:rFonts w:ascii="Times New Roman" w:cs="Times New Roman" w:eastAsia="Times New Roman" w:hAnsi="Times New Roman"/>
                <w:sz w:val="13"/>
                <w:szCs w:val="13"/>
                <w:color w:val="0000FF"/>
                <w:w w:val="98"/>
              </w:rPr>
            </w:pPr>
            <w:hyperlink r:id="rId201">
              <w:r>
                <w:rPr>
                  <w:rFonts w:ascii="Times New Roman" w:cs="Times New Roman" w:eastAsia="Times New Roman" w:hAnsi="Times New Roman"/>
                  <w:sz w:val="13"/>
                  <w:szCs w:val="13"/>
                  <w:color w:val="0000FF"/>
                  <w:w w:val="98"/>
                </w:rPr>
                <w:t>First Supplemental Indenture, dated as of May 14, 2021, among Clearway Energy Operating LLC, the guarantors</w:t>
              </w:r>
            </w:hyperlink>
          </w:p>
        </w:tc>
      </w:tr>
      <w:tr>
        <w:trPr>
          <w:trHeight w:val="107"/>
        </w:trPr>
        <w:tc>
          <w:tcPr>
            <w:tcW w:w="1000" w:type="dxa"/>
            <w:vAlign w:val="bottom"/>
          </w:tcPr>
          <w:p>
            <w:pPr>
              <w:spacing w:after="0"/>
              <w:rPr>
                <w:sz w:val="9"/>
                <w:szCs w:val="9"/>
                <w:color w:val="auto"/>
              </w:rPr>
            </w:pPr>
          </w:p>
        </w:tc>
        <w:tc>
          <w:tcPr>
            <w:tcW w:w="236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01">
              <w:r>
                <w:rPr>
                  <w:rFonts w:ascii="Times New Roman" w:cs="Times New Roman" w:eastAsia="Times New Roman" w:hAnsi="Times New Roman"/>
                  <w:sz w:val="12"/>
                  <w:szCs w:val="12"/>
                  <w:color w:val="0000FF"/>
                </w:rPr>
                <w:t>named therein and Delaware Trust Company.</w:t>
              </w:r>
            </w:hyperlink>
          </w:p>
        </w:tc>
        <w:tc>
          <w:tcPr>
            <w:tcW w:w="342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4.18</w:t>
            </w:r>
          </w:p>
        </w:tc>
        <w:tc>
          <w:tcPr>
            <w:tcW w:w="5800" w:type="dxa"/>
            <w:vAlign w:val="bottom"/>
            <w:gridSpan w:val="26"/>
          </w:tcPr>
          <w:p>
            <w:pPr>
              <w:spacing w:after="0"/>
              <w:rPr>
                <w:rFonts w:ascii="Times New Roman" w:cs="Times New Roman" w:eastAsia="Times New Roman" w:hAnsi="Times New Roman"/>
                <w:sz w:val="13"/>
                <w:szCs w:val="13"/>
                <w:color w:val="0000FF"/>
              </w:rPr>
            </w:pPr>
            <w:hyperlink r:id="rId202">
              <w:r>
                <w:rPr>
                  <w:rFonts w:ascii="Times New Roman" w:cs="Times New Roman" w:eastAsia="Times New Roman" w:hAnsi="Times New Roman"/>
                  <w:sz w:val="13"/>
                  <w:szCs w:val="13"/>
                  <w:color w:val="0000FF"/>
                </w:rPr>
                <w:t>Indenture, dated October 1, 2021, among Clearway Energy Operating LLC, the guarantors named therein and</w:t>
              </w:r>
            </w:hyperlink>
          </w:p>
        </w:tc>
      </w:tr>
      <w:tr>
        <w:trPr>
          <w:trHeight w:val="107"/>
        </w:trPr>
        <w:tc>
          <w:tcPr>
            <w:tcW w:w="1000" w:type="dxa"/>
            <w:vAlign w:val="bottom"/>
          </w:tcPr>
          <w:p>
            <w:pPr>
              <w:spacing w:after="0"/>
              <w:rPr>
                <w:sz w:val="9"/>
                <w:szCs w:val="9"/>
                <w:color w:val="auto"/>
              </w:rPr>
            </w:pPr>
          </w:p>
        </w:tc>
        <w:tc>
          <w:tcPr>
            <w:tcW w:w="560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02">
              <w:r>
                <w:rPr>
                  <w:rFonts w:ascii="Times New Roman" w:cs="Times New Roman" w:eastAsia="Times New Roman" w:hAnsi="Times New Roman"/>
                  <w:sz w:val="12"/>
                  <w:szCs w:val="12"/>
                  <w:color w:val="0000FF"/>
                </w:rPr>
                <w:t>Delaware Trust Company, as trustee.</w:t>
              </w:r>
            </w:hyperlink>
          </w:p>
        </w:tc>
        <w:tc>
          <w:tcPr>
            <w:tcW w:w="200" w:type="dxa"/>
            <w:vAlign w:val="bottom"/>
            <w:gridSpan w:val="5"/>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Method of Filing</w:t>
      </w:r>
    </w:p>
    <w:p>
      <w:pPr>
        <w:spacing w:after="0" w:line="97"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2.1 to the Company’s Current Report on Form 8-K, filed on November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3.1 to the Company’s Current Report on Form 10-Q filed on May 4,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3.2 to the Company’s Current Report on Form 8-K filed on September 5, 2018.</w:t>
      </w:r>
    </w:p>
    <w:p>
      <w:pPr>
        <w:spacing w:after="0" w:line="79"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the Company’s Current Report on Form 8-K filed on September 5, 2018.</w:t>
      </w:r>
    </w:p>
    <w:p>
      <w:pPr>
        <w:spacing w:after="0" w:line="14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4.13 to the Company’s Annual Report on Form 10-K filed on February 28, 2019.</w:t>
      </w:r>
    </w:p>
    <w:p>
      <w:pPr>
        <w:spacing w:after="0" w:line="14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4.14 to the Company’s Annual Report on Form 10-K filed on February 28,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December 12,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December 12, 2019.</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January 8,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March 3,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July 21,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August 20,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November 19,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4,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December 29, 2020.</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5, 2021.</w:t>
      </w:r>
    </w:p>
    <w:p>
      <w:pPr>
        <w:spacing w:after="0" w:line="2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March 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May 19, 2021.</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October 1, 2021.</w:t>
      </w:r>
    </w:p>
    <w:p>
      <w:pPr>
        <w:spacing w:after="0" w:line="200" w:lineRule="exact"/>
        <w:rPr>
          <w:sz w:val="20"/>
          <w:szCs w:val="20"/>
          <w:color w:val="auto"/>
        </w:rPr>
      </w:pPr>
    </w:p>
    <w:p>
      <w:pPr>
        <w:sectPr>
          <w:pgSz w:w="11900" w:h="16838" w:orient="portrait"/>
          <w:cols w:equalWidth="0" w:num="2">
            <w:col w:w="6780" w:space="120"/>
            <w:col w:w="4280"/>
          </w:cols>
          <w:pgMar w:left="340" w:top="727" w:right="379" w:bottom="1440" w:gutter="0" w:footer="0" w:header="0"/>
        </w:sect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40" w:top="727" w:right="37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4.19</w:t>
            </w:r>
          </w:p>
        </w:tc>
        <w:tc>
          <w:tcPr>
            <w:tcW w:w="2080" w:type="dxa"/>
            <w:vAlign w:val="bottom"/>
            <w:tcBorders>
              <w:bottom w:val="single" w:sz="8" w:color="0000FF"/>
            </w:tcBorders>
            <w:gridSpan w:val="4"/>
          </w:tcPr>
          <w:p>
            <w:pPr>
              <w:spacing w:after="0"/>
              <w:rPr>
                <w:rFonts w:ascii="Times New Roman" w:cs="Times New Roman" w:eastAsia="Times New Roman" w:hAnsi="Times New Roman"/>
                <w:sz w:val="13"/>
                <w:szCs w:val="13"/>
                <w:color w:val="0000FF"/>
                <w:w w:val="97"/>
              </w:rPr>
            </w:pPr>
            <w:hyperlink r:id="rId202">
              <w:r>
                <w:rPr>
                  <w:rFonts w:ascii="Times New Roman" w:cs="Times New Roman" w:eastAsia="Times New Roman" w:hAnsi="Times New Roman"/>
                  <w:sz w:val="13"/>
                  <w:szCs w:val="13"/>
                  <w:color w:val="0000FF"/>
                  <w:w w:val="97"/>
                </w:rPr>
                <w:t>Form of 3.750% Senior Notes due 2032.</w:t>
              </w:r>
            </w:hyperlink>
          </w:p>
        </w:tc>
        <w:tc>
          <w:tcPr>
            <w:tcW w:w="3720" w:type="dxa"/>
            <w:vAlign w:val="bottom"/>
            <w:gridSpan w:val="25"/>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4.20</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04">
              <w:r>
                <w:rPr>
                  <w:rFonts w:ascii="Times New Roman" w:cs="Times New Roman" w:eastAsia="Times New Roman" w:hAnsi="Times New Roman"/>
                  <w:sz w:val="13"/>
                  <w:szCs w:val="13"/>
                  <w:color w:val="0000FF"/>
                </w:rPr>
                <w:t>Tenth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04">
              <w:r>
                <w:rPr>
                  <w:rFonts w:ascii="Times New Roman" w:cs="Times New Roman" w:eastAsia="Times New Roman" w:hAnsi="Times New Roman"/>
                  <w:sz w:val="12"/>
                  <w:szCs w:val="12"/>
                  <w:color w:val="0000FF"/>
                </w:rPr>
                <w:t>guarantors named therein and Delaware Trust Company.</w:t>
              </w:r>
            </w:hyperlink>
          </w:p>
        </w:tc>
        <w:tc>
          <w:tcPr>
            <w:tcW w:w="2420" w:type="dxa"/>
            <w:vAlign w:val="bottom"/>
            <w:tcBorders>
              <w:top w:val="single" w:sz="8" w:color="0000FF"/>
            </w:tcBorders>
            <w:gridSpan w:val="7"/>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4.21</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05">
              <w:r>
                <w:rPr>
                  <w:rFonts w:ascii="Times New Roman" w:cs="Times New Roman" w:eastAsia="Times New Roman" w:hAnsi="Times New Roman"/>
                  <w:sz w:val="13"/>
                  <w:szCs w:val="13"/>
                  <w:color w:val="0000FF"/>
                </w:rPr>
                <w:t>Second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05">
              <w:r>
                <w:rPr>
                  <w:rFonts w:ascii="Times New Roman" w:cs="Times New Roman" w:eastAsia="Times New Roman" w:hAnsi="Times New Roman"/>
                  <w:sz w:val="12"/>
                  <w:szCs w:val="12"/>
                  <w:color w:val="0000FF"/>
                </w:rPr>
                <w:t>guarantors named therein and Delaware Trust Company.</w:t>
              </w:r>
            </w:hyperlink>
          </w:p>
        </w:tc>
        <w:tc>
          <w:tcPr>
            <w:tcW w:w="250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4.22</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06">
              <w:r>
                <w:rPr>
                  <w:rFonts w:ascii="Times New Roman" w:cs="Times New Roman" w:eastAsia="Times New Roman" w:hAnsi="Times New Roman"/>
                  <w:sz w:val="13"/>
                  <w:szCs w:val="13"/>
                  <w:color w:val="0000FF"/>
                </w:rPr>
                <w:t>First Supplemental Indenture, dated as of October 7, 2021,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06">
              <w:r>
                <w:rPr>
                  <w:rFonts w:ascii="Times New Roman" w:cs="Times New Roman" w:eastAsia="Times New Roman" w:hAnsi="Times New Roman"/>
                  <w:sz w:val="12"/>
                  <w:szCs w:val="12"/>
                  <w:color w:val="0000FF"/>
                </w:rPr>
                <w:t>guarantors named therein and Delaware Trust Company.</w:t>
              </w:r>
            </w:hyperlink>
          </w:p>
        </w:tc>
        <w:tc>
          <w:tcPr>
            <w:tcW w:w="2360" w:type="dxa"/>
            <w:vAlign w:val="bottom"/>
            <w:tcBorders>
              <w:top w:val="single" w:sz="8" w:color="0000FF"/>
            </w:tcBorders>
            <w:gridSpan w:val="5"/>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4.23</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Eleventh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07">
              <w:r>
                <w:rPr>
                  <w:rFonts w:ascii="Times New Roman" w:cs="Times New Roman" w:eastAsia="Times New Roman" w:hAnsi="Times New Roman"/>
                  <w:sz w:val="12"/>
                  <w:szCs w:val="12"/>
                  <w:color w:val="0000FF"/>
                </w:rPr>
                <w:t>guarantors named therein and Delaware Trust Company.</w:t>
              </w:r>
            </w:hyperlink>
          </w:p>
        </w:tc>
        <w:tc>
          <w:tcPr>
            <w:tcW w:w="2460" w:type="dxa"/>
            <w:vAlign w:val="bottom"/>
            <w:tcBorders>
              <w:top w:val="single" w:sz="8" w:color="0000FF"/>
            </w:tcBorders>
            <w:gridSpan w:val="8"/>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4.24</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Third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08">
              <w:r>
                <w:rPr>
                  <w:rFonts w:ascii="Times New Roman" w:cs="Times New Roman" w:eastAsia="Times New Roman" w:hAnsi="Times New Roman"/>
                  <w:sz w:val="12"/>
                  <w:szCs w:val="12"/>
                  <w:color w:val="0000FF"/>
                </w:rPr>
                <w:t>guarantors named therein and Delaware Trust Company.</w:t>
              </w:r>
            </w:hyperlink>
          </w:p>
        </w:tc>
        <w:tc>
          <w:tcPr>
            <w:tcW w:w="2300" w:type="dxa"/>
            <w:vAlign w:val="bottom"/>
            <w:tcBorders>
              <w:top w:val="single" w:sz="8" w:color="0000FF"/>
            </w:tcBorders>
            <w:gridSpan w:val="4"/>
          </w:tcPr>
          <w:p>
            <w:pPr>
              <w:spacing w:after="0"/>
              <w:rPr>
                <w:sz w:val="9"/>
                <w:szCs w:val="9"/>
                <w:color w:val="auto"/>
              </w:rPr>
            </w:pPr>
          </w:p>
        </w:tc>
        <w:tc>
          <w:tcPr>
            <w:tcW w:w="100" w:type="dxa"/>
            <w:vAlign w:val="bottom"/>
            <w:gridSpan w:val="2"/>
          </w:tcPr>
          <w:p>
            <w:pPr>
              <w:spacing w:after="0"/>
              <w:rPr>
                <w:sz w:val="9"/>
                <w:szCs w:val="9"/>
                <w:color w:val="auto"/>
              </w:rPr>
            </w:pPr>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4.25</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Second Supplemental Indenture, dated as of May 25, 2022,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09">
              <w:r>
                <w:rPr>
                  <w:rFonts w:ascii="Times New Roman" w:cs="Times New Roman" w:eastAsia="Times New Roman" w:hAnsi="Times New Roman"/>
                  <w:sz w:val="12"/>
                  <w:szCs w:val="12"/>
                  <w:color w:val="0000FF"/>
                </w:rPr>
                <w:t>guarantors named therein and Delaware Trust Company.</w:t>
              </w:r>
            </w:hyperlink>
          </w:p>
        </w:tc>
        <w:tc>
          <w:tcPr>
            <w:tcW w:w="2400" w:type="dxa"/>
            <w:vAlign w:val="bottom"/>
            <w:tcBorders>
              <w:top w:val="single" w:sz="8" w:color="0000FF"/>
            </w:tcBorders>
            <w:gridSpan w:val="6"/>
          </w:tcPr>
          <w:p>
            <w:pPr>
              <w:spacing w:after="0"/>
              <w:rPr>
                <w:sz w:val="9"/>
                <w:szCs w:val="9"/>
                <w:color w:val="auto"/>
              </w:rPr>
            </w:pPr>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4.26</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Twelfth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10">
              <w:r>
                <w:rPr>
                  <w:rFonts w:ascii="Times New Roman" w:cs="Times New Roman" w:eastAsia="Times New Roman" w:hAnsi="Times New Roman"/>
                  <w:sz w:val="12"/>
                  <w:szCs w:val="12"/>
                  <w:color w:val="0000FF"/>
                </w:rPr>
                <w:t>guarantors named therein and Delaware Trust Company.</w:t>
              </w:r>
            </w:hyperlink>
          </w:p>
        </w:tc>
        <w:tc>
          <w:tcPr>
            <w:tcW w:w="2640" w:type="dxa"/>
            <w:vAlign w:val="bottom"/>
            <w:tcBorders>
              <w:top w:val="single" w:sz="8" w:color="0000FF"/>
            </w:tcBorders>
            <w:gridSpan w:val="1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4.27</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Fourth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9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11">
              <w:r>
                <w:rPr>
                  <w:rFonts w:ascii="Times New Roman" w:cs="Times New Roman" w:eastAsia="Times New Roman" w:hAnsi="Times New Roman"/>
                  <w:sz w:val="12"/>
                  <w:szCs w:val="12"/>
                  <w:color w:val="0000FF"/>
                </w:rPr>
                <w:t>guarantors named therein and Delaware Trust Company.</w:t>
              </w:r>
            </w:hyperlink>
          </w:p>
        </w:tc>
        <w:tc>
          <w:tcPr>
            <w:tcW w:w="2580" w:type="dxa"/>
            <w:vAlign w:val="bottom"/>
            <w:tcBorders>
              <w:top w:val="single" w:sz="8" w:color="0000FF"/>
            </w:tcBorders>
            <w:gridSpan w:val="12"/>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4.28</w:t>
            </w:r>
          </w:p>
        </w:tc>
        <w:tc>
          <w:tcPr>
            <w:tcW w:w="5800" w:type="dxa"/>
            <w:vAlign w:val="bottom"/>
            <w:gridSpan w:val="29"/>
          </w:tcPr>
          <w:p>
            <w:pPr>
              <w:spacing w:after="0"/>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Third Supplemental Indenture, dated as of February 14, 2023, among Clearway Energy Operating LLC, the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48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12">
              <w:r>
                <w:rPr>
                  <w:rFonts w:ascii="Times New Roman" w:cs="Times New Roman" w:eastAsia="Times New Roman" w:hAnsi="Times New Roman"/>
                  <w:sz w:val="12"/>
                  <w:szCs w:val="12"/>
                  <w:color w:val="0000FF"/>
                </w:rPr>
                <w:t>guarantors named therein and Delaware Trust Company.</w:t>
              </w:r>
            </w:hyperlink>
          </w:p>
        </w:tc>
        <w:tc>
          <w:tcPr>
            <w:tcW w:w="20" w:type="dxa"/>
            <w:vAlign w:val="bottom"/>
          </w:tcPr>
          <w:p>
            <w:pPr>
              <w:spacing w:after="0"/>
              <w:rPr>
                <w:sz w:val="9"/>
                <w:szCs w:val="9"/>
                <w:color w:val="auto"/>
              </w:rPr>
            </w:pPr>
          </w:p>
        </w:tc>
        <w:tc>
          <w:tcPr>
            <w:tcW w:w="1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4.29</w:t>
            </w:r>
          </w:p>
        </w:tc>
        <w:tc>
          <w:tcPr>
            <w:tcW w:w="2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rPr>
              <w:t>Description of Securities.</w:t>
            </w:r>
          </w:p>
        </w:tc>
        <w:tc>
          <w:tcPr>
            <w:tcW w:w="292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10.1</w:t>
            </w:r>
          </w:p>
        </w:tc>
        <w:tc>
          <w:tcPr>
            <w:tcW w:w="1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5800" w:type="dxa"/>
            <w:vAlign w:val="bottom"/>
            <w:gridSpan w:val="29"/>
            <w:vMerge w:val="restart"/>
          </w:tcPr>
          <w:p>
            <w:pPr>
              <w:spacing w:after="0"/>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Master Services Agreement, dated as of August 31, 2018, by and among NRG Yield, Inc., NRG Yield LLC,</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0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13">
              <w:r>
                <w:rPr>
                  <w:rFonts w:ascii="Times New Roman" w:cs="Times New Roman" w:eastAsia="Times New Roman" w:hAnsi="Times New Roman"/>
                  <w:sz w:val="12"/>
                  <w:szCs w:val="12"/>
                  <w:color w:val="0000FF"/>
                </w:rPr>
                <w:t>NRG Yield Operating LLC and Zephyr Renewables LLC.</w:t>
              </w:r>
            </w:hyperlink>
          </w:p>
        </w:tc>
        <w:tc>
          <w:tcPr>
            <w:tcW w:w="14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10.2</w:t>
            </w:r>
          </w:p>
        </w:tc>
        <w:tc>
          <w:tcPr>
            <w:tcW w:w="1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5800" w:type="dxa"/>
            <w:vAlign w:val="bottom"/>
            <w:gridSpan w:val="29"/>
            <w:vMerge w:val="restart"/>
          </w:tcPr>
          <w:p>
            <w:pPr>
              <w:spacing w:after="0"/>
              <w:rPr>
                <w:rFonts w:ascii="Times New Roman" w:cs="Times New Roman" w:eastAsia="Times New Roman" w:hAnsi="Times New Roman"/>
                <w:sz w:val="13"/>
                <w:szCs w:val="13"/>
                <w:color w:val="0000FF"/>
                <w:w w:val="99"/>
              </w:rPr>
            </w:pPr>
            <w:hyperlink r:id="rId214">
              <w:r>
                <w:rPr>
                  <w:rFonts w:ascii="Times New Roman" w:cs="Times New Roman" w:eastAsia="Times New Roman" w:hAnsi="Times New Roman"/>
                  <w:sz w:val="13"/>
                  <w:szCs w:val="13"/>
                  <w:color w:val="0000FF"/>
                  <w:w w:val="99"/>
                </w:rPr>
                <w:t>Master Services Agreement, dated as of August 31, 2018, by and among Zephyr Renewables LLC, NRG Yield,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82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14">
              <w:r>
                <w:rPr>
                  <w:rFonts w:ascii="Times New Roman" w:cs="Times New Roman" w:eastAsia="Times New Roman" w:hAnsi="Times New Roman"/>
                  <w:sz w:val="12"/>
                  <w:szCs w:val="12"/>
                  <w:color w:val="0000FF"/>
                </w:rPr>
                <w:t>Inc., NRG Yield LLC, and NRG Yield Operating LLC.</w:t>
              </w:r>
            </w:hyperlink>
          </w:p>
        </w:tc>
        <w:tc>
          <w:tcPr>
            <w:tcW w:w="2880" w:type="dxa"/>
            <w:vAlign w:val="bottom"/>
            <w:tcBorders>
              <w:top w:val="single" w:sz="8" w:color="0000FF"/>
            </w:tcBorders>
            <w:gridSpan w:val="1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10.3.1</w:t>
            </w:r>
          </w:p>
        </w:tc>
        <w:tc>
          <w:tcPr>
            <w:tcW w:w="5800" w:type="dxa"/>
            <w:vAlign w:val="bottom"/>
            <w:gridSpan w:val="29"/>
            <w:vMerge w:val="restart"/>
          </w:tcPr>
          <w:p>
            <w:pPr>
              <w:spacing w:after="0"/>
              <w:rPr>
                <w:rFonts w:ascii="Times New Roman" w:cs="Times New Roman" w:eastAsia="Times New Roman" w:hAnsi="Times New Roman"/>
                <w:sz w:val="13"/>
                <w:szCs w:val="13"/>
                <w:color w:val="0000FF"/>
              </w:rPr>
            </w:pPr>
            <w:hyperlink r:id="rId215">
              <w:r>
                <w:rPr>
                  <w:rFonts w:ascii="Times New Roman" w:cs="Times New Roman" w:eastAsia="Times New Roman" w:hAnsi="Times New Roman"/>
                  <w:sz w:val="13"/>
                  <w:szCs w:val="13"/>
                  <w:color w:val="0000FF"/>
                </w:rPr>
                <w:t>Right of First Offer Agreement, dated as of August 31, 2018, by and among NRG Yield, Inc., Zephyr</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02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15">
              <w:r>
                <w:rPr>
                  <w:rFonts w:ascii="Times New Roman" w:cs="Times New Roman" w:eastAsia="Times New Roman" w:hAnsi="Times New Roman"/>
                  <w:sz w:val="12"/>
                  <w:szCs w:val="12"/>
                  <w:color w:val="0000FF"/>
                </w:rPr>
                <w:t>Renewables LLC and solely for purposes of Section 2.4, GIP III Zephyr Acquisition Partners, L.P.</w:t>
              </w:r>
            </w:hyperlink>
          </w:p>
        </w:tc>
        <w:tc>
          <w:tcPr>
            <w:tcW w:w="160" w:type="dxa"/>
            <w:vAlign w:val="bottom"/>
            <w:tcBorders>
              <w:top w:val="single" w:sz="8" w:color="0000FF"/>
            </w:tcBorders>
          </w:tcPr>
          <w:p>
            <w:pPr>
              <w:spacing w:after="0"/>
              <w:rPr>
                <w:sz w:val="9"/>
                <w:szCs w:val="9"/>
                <w:color w:val="auto"/>
              </w:rPr>
            </w:pPr>
          </w:p>
        </w:tc>
        <w:tc>
          <w:tcPr>
            <w:tcW w:w="460" w:type="dxa"/>
            <w:vAlign w:val="bottom"/>
            <w:gridSpan w:val="11"/>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10.3.2</w:t>
            </w:r>
          </w:p>
        </w:tc>
        <w:tc>
          <w:tcPr>
            <w:tcW w:w="5800" w:type="dxa"/>
            <w:vAlign w:val="bottom"/>
            <w:gridSpan w:val="29"/>
          </w:tcPr>
          <w:p>
            <w:pPr>
              <w:spacing w:after="0"/>
              <w:rPr>
                <w:rFonts w:ascii="Times New Roman" w:cs="Times New Roman" w:eastAsia="Times New Roman" w:hAnsi="Times New Roman"/>
                <w:sz w:val="13"/>
                <w:szCs w:val="13"/>
                <w:color w:val="0000FF"/>
                <w:w w:val="98"/>
              </w:rPr>
            </w:pPr>
            <w:hyperlink r:id="rId216">
              <w:r>
                <w:rPr>
                  <w:rFonts w:ascii="Times New Roman" w:cs="Times New Roman" w:eastAsia="Times New Roman" w:hAnsi="Times New Roman"/>
                  <w:sz w:val="13"/>
                  <w:szCs w:val="13"/>
                  <w:color w:val="0000FF"/>
                  <w:w w:val="98"/>
                </w:rPr>
                <w:t>First Amendment to Right of First Offer Agreement, dated February 14, 2019,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60" w:type="dxa"/>
            <w:vAlign w:val="bottom"/>
            <w:tcBorders>
              <w:top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216">
              <w:r>
                <w:rPr>
                  <w:rFonts w:ascii="Times New Roman" w:cs="Times New Roman" w:eastAsia="Times New Roman" w:hAnsi="Times New Roman"/>
                  <w:sz w:val="12"/>
                  <w:szCs w:val="12"/>
                  <w:color w:val="0000FF"/>
                </w:rPr>
                <w:t>Group LLC and Clearway Energy,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10.3.3</w:t>
            </w:r>
          </w:p>
        </w:tc>
        <w:tc>
          <w:tcPr>
            <w:tcW w:w="5800" w:type="dxa"/>
            <w:vAlign w:val="bottom"/>
            <w:gridSpan w:val="29"/>
          </w:tcPr>
          <w:p>
            <w:pPr>
              <w:spacing w:after="0"/>
              <w:rPr>
                <w:rFonts w:ascii="Times New Roman" w:cs="Times New Roman" w:eastAsia="Times New Roman" w:hAnsi="Times New Roman"/>
                <w:sz w:val="13"/>
                <w:szCs w:val="13"/>
                <w:color w:val="0000FF"/>
                <w:w w:val="98"/>
              </w:rPr>
            </w:pPr>
            <w:hyperlink r:id="rId217">
              <w:r>
                <w:rPr>
                  <w:rFonts w:ascii="Times New Roman" w:cs="Times New Roman" w:eastAsia="Times New Roman" w:hAnsi="Times New Roman"/>
                  <w:sz w:val="13"/>
                  <w:szCs w:val="13"/>
                  <w:color w:val="0000FF"/>
                  <w:w w:val="98"/>
                </w:rPr>
                <w:t>Second Amendment to Right of First Offer Agreement, dated August 1, 2019,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2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17">
              <w:r>
                <w:rPr>
                  <w:rFonts w:ascii="Times New Roman" w:cs="Times New Roman" w:eastAsia="Times New Roman" w:hAnsi="Times New Roman"/>
                  <w:sz w:val="12"/>
                  <w:szCs w:val="12"/>
                  <w:color w:val="0000FF"/>
                </w:rPr>
                <w:t>Group LLC and Clearway Energy, Inc.</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10.3.4</w:t>
            </w:r>
          </w:p>
        </w:tc>
        <w:tc>
          <w:tcPr>
            <w:tcW w:w="5800" w:type="dxa"/>
            <w:vAlign w:val="bottom"/>
            <w:gridSpan w:val="29"/>
          </w:tcPr>
          <w:p>
            <w:pPr>
              <w:spacing w:after="0"/>
              <w:rPr>
                <w:rFonts w:ascii="Times New Roman" w:cs="Times New Roman" w:eastAsia="Times New Roman" w:hAnsi="Times New Roman"/>
                <w:sz w:val="13"/>
                <w:szCs w:val="13"/>
                <w:color w:val="0000FF"/>
                <w:w w:val="99"/>
              </w:rPr>
            </w:pPr>
            <w:hyperlink r:id="rId218">
              <w:r>
                <w:rPr>
                  <w:rFonts w:ascii="Times New Roman" w:cs="Times New Roman" w:eastAsia="Times New Roman" w:hAnsi="Times New Roman"/>
                  <w:sz w:val="13"/>
                  <w:szCs w:val="13"/>
                  <w:color w:val="0000FF"/>
                  <w:w w:val="99"/>
                </w:rPr>
                <w:t>Third Amendment to Right of First Offer Agreement, dated as of December 6, 2019, by and between Clearway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6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18">
              <w:r>
                <w:rPr>
                  <w:rFonts w:ascii="Times New Roman" w:cs="Times New Roman" w:eastAsia="Times New Roman" w:hAnsi="Times New Roman"/>
                  <w:sz w:val="12"/>
                  <w:szCs w:val="12"/>
                  <w:color w:val="0000FF"/>
                </w:rPr>
                <w:t>Energy Group LLC, Clearway Energy, Inc. and GIP III Zephyr Acquisition Partners, L.P.</w:t>
              </w:r>
            </w:hyperlink>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10.3.5</w:t>
            </w:r>
          </w:p>
        </w:tc>
        <w:tc>
          <w:tcPr>
            <w:tcW w:w="5800" w:type="dxa"/>
            <w:vAlign w:val="bottom"/>
            <w:gridSpan w:val="29"/>
          </w:tcPr>
          <w:p>
            <w:pPr>
              <w:spacing w:after="0"/>
              <w:rPr>
                <w:rFonts w:ascii="Times New Roman" w:cs="Times New Roman" w:eastAsia="Times New Roman" w:hAnsi="Times New Roman"/>
                <w:sz w:val="13"/>
                <w:szCs w:val="13"/>
                <w:color w:val="0000FF"/>
                <w:w w:val="98"/>
              </w:rPr>
            </w:pPr>
            <w:hyperlink r:id="rId219">
              <w:r>
                <w:rPr>
                  <w:rFonts w:ascii="Times New Roman" w:cs="Times New Roman" w:eastAsia="Times New Roman" w:hAnsi="Times New Roman"/>
                  <w:sz w:val="13"/>
                  <w:szCs w:val="13"/>
                  <w:color w:val="0000FF"/>
                  <w:w w:val="98"/>
                </w:rPr>
                <w:t>Fourth Amendment to Right of First Offer Agreement, dated as of November 2, 2020, by and between Clearway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4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19">
              <w:r>
                <w:rPr>
                  <w:rFonts w:ascii="Times New Roman" w:cs="Times New Roman" w:eastAsia="Times New Roman" w:hAnsi="Times New Roman"/>
                  <w:sz w:val="12"/>
                  <w:szCs w:val="12"/>
                  <w:color w:val="0000FF"/>
                </w:rPr>
                <w:t>Energy Group LLC and Clearway Energy, Inc.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10.4</w:t>
            </w:r>
          </w:p>
        </w:tc>
        <w:tc>
          <w:tcPr>
            <w:tcW w:w="1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00" w:type="dxa"/>
            <w:vAlign w:val="bottom"/>
            <w:vMerge w:val="continue"/>
          </w:tcPr>
          <w:p>
            <w:pPr>
              <w:spacing w:after="0"/>
              <w:rPr>
                <w:sz w:val="15"/>
                <w:szCs w:val="15"/>
                <w:color w:val="auto"/>
              </w:rPr>
            </w:pPr>
          </w:p>
        </w:tc>
        <w:tc>
          <w:tcPr>
            <w:tcW w:w="5800" w:type="dxa"/>
            <w:vAlign w:val="bottom"/>
            <w:gridSpan w:val="29"/>
            <w:vMerge w:val="restart"/>
          </w:tcPr>
          <w:p>
            <w:pPr>
              <w:spacing w:after="0"/>
              <w:rPr>
                <w:rFonts w:ascii="Times New Roman" w:cs="Times New Roman" w:eastAsia="Times New Roman" w:hAnsi="Times New Roman"/>
                <w:sz w:val="13"/>
                <w:szCs w:val="13"/>
                <w:color w:val="0000FF"/>
              </w:rPr>
            </w:pPr>
            <w:hyperlink r:id="rId220">
              <w:r>
                <w:rPr>
                  <w:rFonts w:ascii="Times New Roman" w:cs="Times New Roman" w:eastAsia="Times New Roman" w:hAnsi="Times New Roman"/>
                  <w:sz w:val="13"/>
                  <w:szCs w:val="13"/>
                  <w:color w:val="0000FF"/>
                </w:rPr>
                <w:t>Zephyr Voting and Governance Agreement, dated as of August 31, 2018, by and between NRG Yield, Inc. and</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4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20">
              <w:r>
                <w:rPr>
                  <w:rFonts w:ascii="Times New Roman" w:cs="Times New Roman" w:eastAsia="Times New Roman" w:hAnsi="Times New Roman"/>
                  <w:sz w:val="12"/>
                  <w:szCs w:val="12"/>
                  <w:color w:val="0000FF"/>
                </w:rPr>
                <w:t>Zephyr Renewables LLC.</w:t>
              </w:r>
            </w:hyperlink>
          </w:p>
        </w:tc>
        <w:tc>
          <w:tcPr>
            <w:tcW w:w="6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10.5</w:t>
            </w:r>
          </w:p>
        </w:tc>
        <w:tc>
          <w:tcPr>
            <w:tcW w:w="13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5800" w:type="dxa"/>
            <w:vAlign w:val="bottom"/>
            <w:gridSpan w:val="29"/>
            <w:vMerge w:val="restart"/>
          </w:tcPr>
          <w:p>
            <w:pPr>
              <w:spacing w:after="0"/>
              <w:rPr>
                <w:rFonts w:ascii="Times New Roman" w:cs="Times New Roman" w:eastAsia="Times New Roman" w:hAnsi="Times New Roman"/>
                <w:sz w:val="13"/>
                <w:szCs w:val="13"/>
                <w:color w:val="0000FF"/>
                <w:w w:val="98"/>
              </w:rPr>
            </w:pPr>
            <w:hyperlink r:id="rId221">
              <w:r>
                <w:rPr>
                  <w:rFonts w:ascii="Times New Roman" w:cs="Times New Roman" w:eastAsia="Times New Roman" w:hAnsi="Times New Roman"/>
                  <w:sz w:val="13"/>
                  <w:szCs w:val="13"/>
                  <w:color w:val="0000FF"/>
                  <w:w w:val="98"/>
                </w:rPr>
                <w:t>Third Amended and Restated Right of First Offer Agreement, dated as of August 31, 2018, by and between NRG</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221">
              <w:r>
                <w:rPr>
                  <w:rFonts w:ascii="Times New Roman" w:cs="Times New Roman" w:eastAsia="Times New Roman" w:hAnsi="Times New Roman"/>
                  <w:sz w:val="12"/>
                  <w:szCs w:val="12"/>
                  <w:color w:val="0000FF"/>
                </w:rPr>
                <w:t>Yield, Inc. and NRG Energy, Inc.</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000" w:type="dxa"/>
            <w:vAlign w:val="bottom"/>
            <w:gridSpan w:val="2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5720" w:type="dxa"/>
            <w:vAlign w:val="bottom"/>
            <w:tcBorders>
              <w:bottom w:val="single" w:sz="8" w:color="0000FF"/>
            </w:tcBorders>
            <w:gridSpan w:val="25"/>
          </w:tcPr>
          <w:p>
            <w:pPr>
              <w:spacing w:after="0"/>
              <w:rPr>
                <w:rFonts w:ascii="Times New Roman" w:cs="Times New Roman" w:eastAsia="Times New Roman" w:hAnsi="Times New Roman"/>
                <w:sz w:val="13"/>
                <w:szCs w:val="13"/>
                <w:color w:val="0000FF"/>
                <w:w w:val="97"/>
              </w:rPr>
            </w:pPr>
            <w:hyperlink r:id="rId222">
              <w:r>
                <w:rPr>
                  <w:rFonts w:ascii="Times New Roman" w:cs="Times New Roman" w:eastAsia="Times New Roman" w:hAnsi="Times New Roman"/>
                  <w:sz w:val="13"/>
                  <w:szCs w:val="13"/>
                  <w:color w:val="0000FF"/>
                  <w:w w:val="97"/>
                </w:rPr>
                <w:t>Transition Services Agreement, dated August 31, 2018, by and between NRG Yield, Inc. and NRG Energy, Inc.</w:t>
              </w:r>
            </w:hyperlink>
          </w:p>
        </w:tc>
        <w:tc>
          <w:tcPr>
            <w:tcW w:w="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5800" w:type="dxa"/>
            <w:vAlign w:val="bottom"/>
            <w:gridSpan w:val="29"/>
            <w:vMerge w:val="restart"/>
          </w:tcPr>
          <w:p>
            <w:pPr>
              <w:spacing w:after="0"/>
              <w:rPr>
                <w:rFonts w:ascii="Times New Roman" w:cs="Times New Roman" w:eastAsia="Times New Roman" w:hAnsi="Times New Roman"/>
                <w:sz w:val="13"/>
                <w:szCs w:val="13"/>
                <w:u w:val="single" w:color="auto"/>
                <w:color w:val="0000FF"/>
              </w:rPr>
            </w:pPr>
            <w:hyperlink r:id="rId223">
              <w:r>
                <w:rPr>
                  <w:rFonts w:ascii="Times New Roman" w:cs="Times New Roman" w:eastAsia="Times New Roman" w:hAnsi="Times New Roman"/>
                  <w:sz w:val="13"/>
                  <w:szCs w:val="13"/>
                  <w:u w:val="single" w:color="auto"/>
                  <w:color w:val="0000FF"/>
                </w:rPr>
                <w:t>Termination Agreement, dated as of August 31, 2018, by and among NRG Yield, Inc., NRG Yield LLC, NRG</w:t>
              </w:r>
            </w:hyperlink>
          </w:p>
        </w:tc>
        <w:tc>
          <w:tcPr>
            <w:tcW w:w="0" w:type="dxa"/>
            <w:vAlign w:val="bottom"/>
          </w:tcPr>
          <w:p>
            <w:pPr>
              <w:spacing w:after="0"/>
              <w:rPr>
                <w:sz w:val="1"/>
                <w:szCs w:val="1"/>
                <w:color w:val="auto"/>
              </w:rPr>
            </w:pPr>
          </w:p>
        </w:tc>
      </w:tr>
      <w:tr>
        <w:trPr>
          <w:trHeight w:val="50"/>
        </w:trPr>
        <w:tc>
          <w:tcPr>
            <w:tcW w:w="1000" w:type="dxa"/>
            <w:vAlign w:val="bottom"/>
          </w:tcPr>
          <w:p>
            <w:pPr>
              <w:spacing w:after="0"/>
              <w:rPr>
                <w:sz w:val="4"/>
                <w:szCs w:val="4"/>
                <w:color w:val="auto"/>
              </w:rPr>
            </w:pPr>
          </w:p>
        </w:tc>
        <w:tc>
          <w:tcPr>
            <w:tcW w:w="5800" w:type="dxa"/>
            <w:vAlign w:val="bottom"/>
            <w:gridSpan w:val="29"/>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00"/>
        <w:spacing w:after="0"/>
        <w:rPr>
          <w:rFonts w:ascii="Times New Roman" w:cs="Times New Roman" w:eastAsia="Times New Roman" w:hAnsi="Times New Roman"/>
          <w:sz w:val="13"/>
          <w:szCs w:val="13"/>
          <w:u w:val="single" w:color="auto"/>
          <w:color w:val="0000FF"/>
        </w:rPr>
      </w:pPr>
      <w:hyperlink r:id="rId223">
        <w:r>
          <w:rPr>
            <w:rFonts w:ascii="Times New Roman" w:cs="Times New Roman" w:eastAsia="Times New Roman" w:hAnsi="Times New Roman"/>
            <w:sz w:val="13"/>
            <w:szCs w:val="13"/>
            <w:u w:val="single" w:color="auto"/>
            <w:color w:val="0000FF"/>
          </w:rPr>
          <w:t>Yield Operating LLC and NRG Energy, Inc.</w:t>
        </w:r>
      </w:hyperlink>
    </w:p>
    <w:p>
      <w:pPr>
        <w:spacing w:after="0" w:line="20" w:lineRule="exact"/>
        <w:rPr>
          <w:sz w:val="20"/>
          <w:szCs w:val="20"/>
          <w:color w:val="auto"/>
        </w:rPr>
      </w:pPr>
      <w:r>
        <w:rPr>
          <w:sz w:val="20"/>
          <w:szCs w:val="20"/>
          <w:color w:val="auto"/>
        </w:rPr>
        <w:br w:type="column"/>
      </w: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1, 2021.</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October 8, 2021.</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October 8, 2021.</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4.4 to the Company’s Current Report on Form 8-K filed on October 8, 2021.</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June 1, 2022.</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June 1, 2022.</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June 1, 2022.</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4.1 to the Company’s Current Report on Form 8-K filed on February 21, 2023.</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4.2 to the Company’s Current Report on Form 8-K filed on February 21, 2023.</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4.3 to the Company’s Current Report on Form 8-K filed on February 21, 2023.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95"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September 5, 2018.</w:t>
      </w:r>
    </w:p>
    <w:p>
      <w:pPr>
        <w:spacing w:after="0" w:line="14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September 5, 2018.</w:t>
      </w:r>
    </w:p>
    <w:p>
      <w:pPr>
        <w:spacing w:after="0" w:line="14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the Company’s Current Report on Form 8-K filed on September 5, 2018.</w:t>
      </w:r>
    </w:p>
    <w:p>
      <w:pPr>
        <w:spacing w:after="0" w:line="14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February 14, 2019.</w:t>
      </w:r>
    </w:p>
    <w:p>
      <w:pPr>
        <w:spacing w:after="0" w:line="14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Quarterly Report on Form 10-Q filed on August 6, 2019.</w:t>
      </w:r>
    </w:p>
    <w:p>
      <w:pPr>
        <w:spacing w:after="0" w:line="14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9, 2019.</w:t>
      </w:r>
    </w:p>
    <w:p>
      <w:pPr>
        <w:spacing w:after="0" w:line="6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Quarterly Report on Form 10-Q filed on November 5, 2020.</w:t>
      </w:r>
    </w:p>
    <w:p>
      <w:pPr>
        <w:spacing w:after="0" w:line="79"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10.4 to the Company’s Current Report on Form 8-K filed on September 5, 2018.</w:t>
      </w:r>
    </w:p>
    <w:p>
      <w:pPr>
        <w:spacing w:after="0" w:line="68"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10.5 to the Company’s Current Report on Form 8-K filed on September 5, 2018.</w:t>
      </w:r>
    </w:p>
    <w:p>
      <w:pPr>
        <w:spacing w:after="0" w:line="217"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10.7 to the Company’s Current Report on Form 8-K filed on September 5, 2018.</w:t>
      </w:r>
    </w:p>
    <w:p>
      <w:pPr>
        <w:spacing w:after="0" w:line="14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10.9 to the Company’s Current Report on Form 8-K filed on September 5, 2018.</w:t>
      </w:r>
    </w:p>
    <w:p>
      <w:pPr>
        <w:spacing w:after="0" w:line="200" w:lineRule="exact"/>
        <w:rPr>
          <w:sz w:val="20"/>
          <w:szCs w:val="20"/>
          <w:color w:val="auto"/>
        </w:rPr>
      </w:pPr>
    </w:p>
    <w:p>
      <w:pPr>
        <w:sectPr>
          <w:pgSz w:w="11900" w:h="16838" w:orient="portrait"/>
          <w:cols w:equalWidth="0" w:num="2">
            <w:col w:w="6780" w:space="120"/>
            <w:col w:w="4300"/>
          </w:cols>
          <w:pgMar w:left="340" w:top="754" w:right="3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54" w:right="35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5780" w:type="dxa"/>
            <w:vAlign w:val="bottom"/>
            <w:gridSpan w:val="24"/>
          </w:tcPr>
          <w:p>
            <w:pPr>
              <w:spacing w:after="0"/>
              <w:rPr>
                <w:rFonts w:ascii="Times New Roman" w:cs="Times New Roman" w:eastAsia="Times New Roman" w:hAnsi="Times New Roman"/>
                <w:sz w:val="13"/>
                <w:szCs w:val="13"/>
                <w:color w:val="0000FF"/>
              </w:rPr>
            </w:pPr>
            <w:hyperlink r:id="rId225">
              <w:r>
                <w:rPr>
                  <w:rFonts w:ascii="Times New Roman" w:cs="Times New Roman" w:eastAsia="Times New Roman" w:hAnsi="Times New Roman"/>
                  <w:sz w:val="13"/>
                  <w:szCs w:val="13"/>
                  <w:color w:val="0000FF"/>
                </w:rPr>
                <w:t>Clearway Energy, Inc. Amended and Restated 2013 Equity Incentive Plan, as amended and restated effective</w:t>
              </w:r>
            </w:hyperlink>
          </w:p>
        </w:tc>
      </w:tr>
      <w:tr>
        <w:trPr>
          <w:trHeight w:val="118"/>
        </w:trPr>
        <w:tc>
          <w:tcPr>
            <w:tcW w:w="1000" w:type="dxa"/>
            <w:vAlign w:val="bottom"/>
          </w:tcPr>
          <w:p>
            <w:pPr>
              <w:spacing w:after="0"/>
              <w:rPr>
                <w:sz w:val="10"/>
                <w:szCs w:val="10"/>
                <w:color w:val="auto"/>
              </w:rPr>
            </w:pPr>
          </w:p>
        </w:tc>
        <w:tc>
          <w:tcPr>
            <w:tcW w:w="9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w w:val="96"/>
              </w:rPr>
            </w:pPr>
            <w:hyperlink r:id="rId225">
              <w:r>
                <w:rPr>
                  <w:rFonts w:ascii="Times New Roman" w:cs="Times New Roman" w:eastAsia="Times New Roman" w:hAnsi="Times New Roman"/>
                  <w:sz w:val="13"/>
                  <w:szCs w:val="13"/>
                  <w:color w:val="0000FF"/>
                  <w:w w:val="96"/>
                </w:rPr>
                <w:t>February 19, 2021.</w:t>
              </w:r>
            </w:hyperlink>
          </w:p>
        </w:tc>
        <w:tc>
          <w:tcPr>
            <w:tcW w:w="460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1900" w:type="dxa"/>
            <w:vAlign w:val="bottom"/>
            <w:tcBorders>
              <w:bottom w:val="single" w:sz="8" w:color="0000FF"/>
            </w:tcBorders>
            <w:gridSpan w:val="3"/>
          </w:tcPr>
          <w:p>
            <w:pPr>
              <w:spacing w:after="0"/>
              <w:rPr>
                <w:rFonts w:ascii="Times New Roman" w:cs="Times New Roman" w:eastAsia="Times New Roman" w:hAnsi="Times New Roman"/>
                <w:sz w:val="13"/>
                <w:szCs w:val="13"/>
                <w:color w:val="0000FF"/>
                <w:w w:val="97"/>
              </w:rPr>
            </w:pPr>
            <w:hyperlink r:id="rId226">
              <w:r>
                <w:rPr>
                  <w:rFonts w:ascii="Times New Roman" w:cs="Times New Roman" w:eastAsia="Times New Roman" w:hAnsi="Times New Roman"/>
                  <w:sz w:val="13"/>
                  <w:szCs w:val="13"/>
                  <w:color w:val="0000FF"/>
                  <w:w w:val="97"/>
                </w:rPr>
                <w:t>Form of Indemnification Agreement.</w:t>
              </w:r>
            </w:hyperlink>
          </w:p>
        </w:tc>
        <w:tc>
          <w:tcPr>
            <w:tcW w:w="3880" w:type="dxa"/>
            <w:vAlign w:val="bottom"/>
            <w:gridSpan w:val="21"/>
          </w:tcPr>
          <w:p>
            <w:pPr>
              <w:spacing w:after="0"/>
              <w:rPr>
                <w:sz w:val="14"/>
                <w:szCs w:val="14"/>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10.10.1</w:t>
            </w:r>
          </w:p>
        </w:tc>
        <w:tc>
          <w:tcPr>
            <w:tcW w:w="5780" w:type="dxa"/>
            <w:vAlign w:val="bottom"/>
            <w:gridSpan w:val="24"/>
          </w:tcPr>
          <w:p>
            <w:pPr>
              <w:spacing w:after="0"/>
              <w:rPr>
                <w:rFonts w:ascii="Times New Roman" w:cs="Times New Roman" w:eastAsia="Times New Roman" w:hAnsi="Times New Roman"/>
                <w:sz w:val="13"/>
                <w:szCs w:val="13"/>
                <w:color w:val="0000FF"/>
              </w:rPr>
            </w:pPr>
            <w:hyperlink r:id="rId227">
              <w:r>
                <w:rPr>
                  <w:rFonts w:ascii="Times New Roman" w:cs="Times New Roman" w:eastAsia="Times New Roman" w:hAnsi="Times New Roman"/>
                  <w:sz w:val="13"/>
                  <w:szCs w:val="13"/>
                  <w:color w:val="0000FF"/>
                </w:rPr>
                <w:t>Amended and Restated Credit Agreement, dated April 25, 2014, by and among NRG Yield Operating LLC,</w:t>
              </w:r>
            </w:hyperlink>
          </w:p>
        </w:tc>
      </w:tr>
      <w:tr>
        <w:trPr>
          <w:trHeight w:val="118"/>
        </w:trPr>
        <w:tc>
          <w:tcPr>
            <w:tcW w:w="1000" w:type="dxa"/>
            <w:vAlign w:val="bottom"/>
          </w:tcPr>
          <w:p>
            <w:pPr>
              <w:spacing w:after="0"/>
              <w:rPr>
                <w:sz w:val="10"/>
                <w:szCs w:val="10"/>
                <w:color w:val="auto"/>
              </w:rPr>
            </w:pPr>
          </w:p>
        </w:tc>
        <w:tc>
          <w:tcPr>
            <w:tcW w:w="550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w w:val="97"/>
              </w:rPr>
            </w:pPr>
            <w:hyperlink r:id="rId227">
              <w:r>
                <w:rPr>
                  <w:rFonts w:ascii="Times New Roman" w:cs="Times New Roman" w:eastAsia="Times New Roman" w:hAnsi="Times New Roman"/>
                  <w:sz w:val="13"/>
                  <w:szCs w:val="13"/>
                  <w:color w:val="0000FF"/>
                  <w:w w:val="97"/>
                </w:rPr>
                <w:t>NRG Yield LLC, Royal Bank of Canada, as Administrative Agent, the lenders party thereto, Royal Bank of</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1000" w:type="dxa"/>
            <w:vAlign w:val="bottom"/>
          </w:tcPr>
          <w:p>
            <w:pPr>
              <w:spacing w:after="0"/>
              <w:rPr>
                <w:sz w:val="11"/>
                <w:szCs w:val="11"/>
                <w:color w:val="auto"/>
              </w:rPr>
            </w:pPr>
          </w:p>
        </w:tc>
        <w:tc>
          <w:tcPr>
            <w:tcW w:w="5780" w:type="dxa"/>
            <w:vAlign w:val="bottom"/>
            <w:gridSpan w:val="24"/>
          </w:tcPr>
          <w:p>
            <w:pPr>
              <w:spacing w:after="0" w:line="129" w:lineRule="exact"/>
              <w:rPr>
                <w:rFonts w:ascii="Times New Roman" w:cs="Times New Roman" w:eastAsia="Times New Roman" w:hAnsi="Times New Roman"/>
                <w:sz w:val="13"/>
                <w:szCs w:val="13"/>
                <w:color w:val="0000FF"/>
              </w:rPr>
            </w:pPr>
            <w:hyperlink r:id="rId227">
              <w:r>
                <w:rPr>
                  <w:rFonts w:ascii="Times New Roman" w:cs="Times New Roman" w:eastAsia="Times New Roman" w:hAnsi="Times New Roman"/>
                  <w:sz w:val="13"/>
                  <w:szCs w:val="13"/>
                  <w:color w:val="0000FF"/>
                </w:rPr>
                <w:t>Canada, Goldman Sachs Bank USA and Bank of America, N.A., as L/C Issuers and RBC Capital Markets as</w:t>
              </w:r>
            </w:hyperlink>
          </w:p>
        </w:tc>
      </w:tr>
      <w:tr>
        <w:trPr>
          <w:trHeight w:val="118"/>
        </w:trPr>
        <w:tc>
          <w:tcPr>
            <w:tcW w:w="1000" w:type="dxa"/>
            <w:vAlign w:val="bottom"/>
          </w:tcPr>
          <w:p>
            <w:pPr>
              <w:spacing w:after="0"/>
              <w:rPr>
                <w:sz w:val="10"/>
                <w:szCs w:val="10"/>
                <w:color w:val="auto"/>
              </w:rPr>
            </w:pPr>
          </w:p>
        </w:tc>
        <w:tc>
          <w:tcPr>
            <w:tcW w:w="300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w w:val="97"/>
              </w:rPr>
            </w:pPr>
            <w:hyperlink r:id="rId227">
              <w:r>
                <w:rPr>
                  <w:rFonts w:ascii="Times New Roman" w:cs="Times New Roman" w:eastAsia="Times New Roman" w:hAnsi="Times New Roman"/>
                  <w:sz w:val="13"/>
                  <w:szCs w:val="13"/>
                  <w:color w:val="0000FF"/>
                  <w:w w:val="97"/>
                </w:rPr>
                <w:t>Sole Left Lead Arranger and Sole Left Lead Book Runner.</w:t>
              </w:r>
            </w:hyperlink>
          </w:p>
        </w:tc>
        <w:tc>
          <w:tcPr>
            <w:tcW w:w="2560" w:type="dxa"/>
            <w:vAlign w:val="bottom"/>
            <w:tcBorders>
              <w:top w:val="single" w:sz="8" w:color="0000FF"/>
            </w:tcBorders>
            <w:gridSpan w:val="9"/>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10.10.2</w:t>
            </w:r>
          </w:p>
        </w:tc>
        <w:tc>
          <w:tcPr>
            <w:tcW w:w="5780" w:type="dxa"/>
            <w:vAlign w:val="bottom"/>
            <w:gridSpan w:val="24"/>
          </w:tcPr>
          <w:p>
            <w:pPr>
              <w:spacing w:after="0"/>
              <w:rPr>
                <w:rFonts w:ascii="Times New Roman" w:cs="Times New Roman" w:eastAsia="Times New Roman" w:hAnsi="Times New Roman"/>
                <w:sz w:val="13"/>
                <w:szCs w:val="13"/>
                <w:color w:val="0000FF"/>
              </w:rPr>
            </w:pPr>
            <w:hyperlink r:id="rId228">
              <w:r>
                <w:rPr>
                  <w:rFonts w:ascii="Times New Roman" w:cs="Times New Roman" w:eastAsia="Times New Roman" w:hAnsi="Times New Roman"/>
                  <w:sz w:val="13"/>
                  <w:szCs w:val="13"/>
                  <w:color w:val="0000FF"/>
                </w:rPr>
                <w:t>First Amendment to Amended &amp; Restated Credit Agreement, dated June 26, 2015, by and among NRG Yield</w:t>
              </w:r>
            </w:hyperlink>
          </w:p>
        </w:tc>
      </w:tr>
      <w:tr>
        <w:trPr>
          <w:trHeight w:val="107"/>
        </w:trPr>
        <w:tc>
          <w:tcPr>
            <w:tcW w:w="1000" w:type="dxa"/>
            <w:vAlign w:val="bottom"/>
          </w:tcPr>
          <w:p>
            <w:pPr>
              <w:spacing w:after="0"/>
              <w:rPr>
                <w:sz w:val="9"/>
                <w:szCs w:val="9"/>
                <w:color w:val="auto"/>
              </w:rPr>
            </w:pPr>
          </w:p>
        </w:tc>
        <w:tc>
          <w:tcPr>
            <w:tcW w:w="448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28">
              <w:r>
                <w:rPr>
                  <w:rFonts w:ascii="Times New Roman" w:cs="Times New Roman" w:eastAsia="Times New Roman" w:hAnsi="Times New Roman"/>
                  <w:sz w:val="12"/>
                  <w:szCs w:val="12"/>
                  <w:color w:val="0000FF"/>
                </w:rPr>
                <w:t>Operating LLC, NRG Yield LLC, Royal Bank of Canada and the Lenders party thereto.</w:t>
              </w:r>
            </w:hyperlink>
          </w:p>
        </w:tc>
        <w:tc>
          <w:tcPr>
            <w:tcW w:w="114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10.10.3</w:t>
            </w:r>
          </w:p>
        </w:tc>
        <w:tc>
          <w:tcPr>
            <w:tcW w:w="5780" w:type="dxa"/>
            <w:vAlign w:val="bottom"/>
            <w:gridSpan w:val="24"/>
          </w:tcPr>
          <w:p>
            <w:pPr>
              <w:spacing w:after="0"/>
              <w:rPr>
                <w:rFonts w:ascii="Times New Roman" w:cs="Times New Roman" w:eastAsia="Times New Roman" w:hAnsi="Times New Roman"/>
                <w:sz w:val="13"/>
                <w:szCs w:val="13"/>
                <w:color w:val="0000FF"/>
              </w:rPr>
            </w:pPr>
            <w:hyperlink r:id="rId229">
              <w:r>
                <w:rPr>
                  <w:rFonts w:ascii="Times New Roman" w:cs="Times New Roman" w:eastAsia="Times New Roman" w:hAnsi="Times New Roman"/>
                  <w:sz w:val="13"/>
                  <w:szCs w:val="13"/>
                  <w:color w:val="0000FF"/>
                </w:rPr>
                <w:t>Second Amendment to Amended &amp; Restated Credit Agreement, dated February 6, 2018, by and among NRG</w:t>
              </w:r>
            </w:hyperlink>
          </w:p>
        </w:tc>
      </w:tr>
      <w:tr>
        <w:trPr>
          <w:trHeight w:val="107"/>
        </w:trPr>
        <w:tc>
          <w:tcPr>
            <w:tcW w:w="1000" w:type="dxa"/>
            <w:vAlign w:val="bottom"/>
          </w:tcPr>
          <w:p>
            <w:pPr>
              <w:spacing w:after="0"/>
              <w:rPr>
                <w:sz w:val="9"/>
                <w:szCs w:val="9"/>
                <w:color w:val="auto"/>
              </w:rPr>
            </w:pPr>
          </w:p>
        </w:tc>
        <w:tc>
          <w:tcPr>
            <w:tcW w:w="5600" w:type="dxa"/>
            <w:vAlign w:val="bottom"/>
            <w:tcBorders>
              <w:top w:val="single" w:sz="8" w:color="0000FF"/>
              <w:bottom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29">
              <w:r>
                <w:rPr>
                  <w:rFonts w:ascii="Times New Roman" w:cs="Times New Roman" w:eastAsia="Times New Roman" w:hAnsi="Times New Roman"/>
                  <w:sz w:val="12"/>
                  <w:szCs w:val="12"/>
                  <w:color w:val="0000FF"/>
                </w:rPr>
                <w:t>Yield Operating LLC, NRG Yield LLC, the guarantors party thereto, Royal Bank of Canada, as Administrative</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700" w:type="dxa"/>
            <w:vAlign w:val="bottom"/>
            <w:gridSpan w:val="20"/>
          </w:tcPr>
          <w:p>
            <w:pPr>
              <w:spacing w:after="0" w:line="107" w:lineRule="exact"/>
              <w:rPr>
                <w:rFonts w:ascii="Times New Roman" w:cs="Times New Roman" w:eastAsia="Times New Roman" w:hAnsi="Times New Roman"/>
                <w:sz w:val="12"/>
                <w:szCs w:val="12"/>
                <w:color w:val="0000FF"/>
              </w:rPr>
            </w:pPr>
            <w:hyperlink r:id="rId229">
              <w:r>
                <w:rPr>
                  <w:rFonts w:ascii="Times New Roman" w:cs="Times New Roman" w:eastAsia="Times New Roman" w:hAnsi="Times New Roman"/>
                  <w:sz w:val="12"/>
                  <w:szCs w:val="12"/>
                  <w:color w:val="0000FF"/>
                </w:rPr>
                <w:t>Agent, and the lenders party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10.10.4</w:t>
            </w:r>
          </w:p>
        </w:tc>
        <w:tc>
          <w:tcPr>
            <w:tcW w:w="5780" w:type="dxa"/>
            <w:vAlign w:val="bottom"/>
            <w:gridSpan w:val="24"/>
          </w:tcPr>
          <w:p>
            <w:pPr>
              <w:spacing w:after="0"/>
              <w:rPr>
                <w:rFonts w:ascii="Times New Roman" w:cs="Times New Roman" w:eastAsia="Times New Roman" w:hAnsi="Times New Roman"/>
                <w:sz w:val="13"/>
                <w:szCs w:val="13"/>
                <w:color w:val="0000FF"/>
              </w:rPr>
            </w:pPr>
            <w:hyperlink r:id="rId230">
              <w:r>
                <w:rPr>
                  <w:rFonts w:ascii="Times New Roman" w:cs="Times New Roman" w:eastAsia="Times New Roman" w:hAnsi="Times New Roman"/>
                  <w:sz w:val="13"/>
                  <w:szCs w:val="13"/>
                  <w:color w:val="0000FF"/>
                </w:rPr>
                <w:t>Third Amendment to Amended and Restated Credit Agreement and Administrative Agent Resignation and</w:t>
              </w:r>
            </w:hyperlink>
          </w:p>
        </w:tc>
      </w:tr>
      <w:tr>
        <w:trPr>
          <w:trHeight w:val="107"/>
        </w:trPr>
        <w:tc>
          <w:tcPr>
            <w:tcW w:w="1000" w:type="dxa"/>
            <w:vAlign w:val="bottom"/>
          </w:tcPr>
          <w:p>
            <w:pPr>
              <w:spacing w:after="0"/>
              <w:rPr>
                <w:sz w:val="9"/>
                <w:szCs w:val="9"/>
                <w:color w:val="auto"/>
              </w:rPr>
            </w:pPr>
          </w:p>
        </w:tc>
        <w:tc>
          <w:tcPr>
            <w:tcW w:w="546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30">
              <w:r>
                <w:rPr>
                  <w:rFonts w:ascii="Times New Roman" w:cs="Times New Roman" w:eastAsia="Times New Roman" w:hAnsi="Times New Roman"/>
                  <w:sz w:val="12"/>
                  <w:szCs w:val="12"/>
                  <w:color w:val="0000FF"/>
                </w:rPr>
                <w:t>Appointment Agreement, dated as of April 30, 2018, by and among NRG Yield Operating LLC, NRG Yield</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12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5780" w:type="dxa"/>
            <w:vAlign w:val="bottom"/>
            <w:gridSpan w:val="24"/>
          </w:tcPr>
          <w:p>
            <w:pPr>
              <w:spacing w:after="0" w:line="107" w:lineRule="exact"/>
              <w:rPr>
                <w:rFonts w:ascii="Times New Roman" w:cs="Times New Roman" w:eastAsia="Times New Roman" w:hAnsi="Times New Roman"/>
                <w:sz w:val="12"/>
                <w:szCs w:val="12"/>
                <w:color w:val="0000FF"/>
              </w:rPr>
            </w:pPr>
            <w:hyperlink r:id="rId230">
              <w:r>
                <w:rPr>
                  <w:rFonts w:ascii="Times New Roman" w:cs="Times New Roman" w:eastAsia="Times New Roman" w:hAnsi="Times New Roman"/>
                  <w:sz w:val="12"/>
                  <w:szCs w:val="12"/>
                  <w:color w:val="0000FF"/>
                </w:rPr>
                <w:t>LLC, the guarantors party thereto, Royal Bank of Canada, as Resigning Administrative Agent, JPMorgan Chase</w:t>
              </w:r>
            </w:hyperlink>
          </w:p>
        </w:tc>
      </w:tr>
      <w:tr>
        <w:trPr>
          <w:trHeight w:val="107"/>
        </w:trPr>
        <w:tc>
          <w:tcPr>
            <w:tcW w:w="1000" w:type="dxa"/>
            <w:vAlign w:val="bottom"/>
          </w:tcPr>
          <w:p>
            <w:pPr>
              <w:spacing w:after="0"/>
              <w:rPr>
                <w:sz w:val="9"/>
                <w:szCs w:val="9"/>
                <w:color w:val="auto"/>
              </w:rPr>
            </w:pPr>
          </w:p>
        </w:tc>
        <w:tc>
          <w:tcPr>
            <w:tcW w:w="574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30">
              <w:r>
                <w:rPr>
                  <w:rFonts w:ascii="Times New Roman" w:cs="Times New Roman" w:eastAsia="Times New Roman" w:hAnsi="Times New Roman"/>
                  <w:sz w:val="12"/>
                  <w:szCs w:val="12"/>
                  <w:color w:val="0000FF"/>
                </w:rPr>
                <w:t>Bank, N.A., as Successor Administrative Agent, and the lenders party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000" w:type="dxa"/>
            <w:vAlign w:val="bottom"/>
          </w:tcPr>
          <w:p>
            <w:pPr>
              <w:spacing w:after="0" w:line="20" w:lineRule="exact"/>
              <w:rPr>
                <w:sz w:val="1"/>
                <w:szCs w:val="1"/>
                <w:color w:val="auto"/>
              </w:rPr>
            </w:pPr>
          </w:p>
        </w:tc>
        <w:tc>
          <w:tcPr>
            <w:tcW w:w="3040" w:type="dxa"/>
            <w:vAlign w:val="bottom"/>
            <w:gridSpan w:val="5"/>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10.10.5</w:t>
            </w:r>
          </w:p>
        </w:tc>
        <w:tc>
          <w:tcPr>
            <w:tcW w:w="5780" w:type="dxa"/>
            <w:vAlign w:val="bottom"/>
            <w:gridSpan w:val="24"/>
          </w:tcPr>
          <w:p>
            <w:pPr>
              <w:spacing w:after="0"/>
              <w:rPr>
                <w:rFonts w:ascii="Times New Roman" w:cs="Times New Roman" w:eastAsia="Times New Roman" w:hAnsi="Times New Roman"/>
                <w:sz w:val="13"/>
                <w:szCs w:val="13"/>
                <w:color w:val="0000FF"/>
                <w:w w:val="98"/>
              </w:rPr>
            </w:pPr>
            <w:hyperlink r:id="rId231">
              <w:r>
                <w:rPr>
                  <w:rFonts w:ascii="Times New Roman" w:cs="Times New Roman" w:eastAsia="Times New Roman" w:hAnsi="Times New Roman"/>
                  <w:sz w:val="13"/>
                  <w:szCs w:val="13"/>
                  <w:color w:val="0000FF"/>
                  <w:w w:val="98"/>
                </w:rPr>
                <w:t>Fourth Amendment to Amended and Restated Credit Agreement, dated as of November 30, 2018, by and among</w:t>
              </w:r>
            </w:hyperlink>
          </w:p>
        </w:tc>
      </w:tr>
      <w:tr>
        <w:trPr>
          <w:trHeight w:val="107"/>
        </w:trPr>
        <w:tc>
          <w:tcPr>
            <w:tcW w:w="1000" w:type="dxa"/>
            <w:vAlign w:val="bottom"/>
          </w:tcPr>
          <w:p>
            <w:pPr>
              <w:spacing w:after="0"/>
              <w:rPr>
                <w:sz w:val="9"/>
                <w:szCs w:val="9"/>
                <w:color w:val="auto"/>
              </w:rPr>
            </w:pPr>
          </w:p>
        </w:tc>
        <w:tc>
          <w:tcPr>
            <w:tcW w:w="576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31">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20" w:type="dxa"/>
            <w:vAlign w:val="bottom"/>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304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31">
              <w:r>
                <w:rPr>
                  <w:rFonts w:ascii="Times New Roman" w:cs="Times New Roman" w:eastAsia="Times New Roman" w:hAnsi="Times New Roman"/>
                  <w:sz w:val="12"/>
                  <w:szCs w:val="12"/>
                  <w:color w:val="0000FF"/>
                </w:rPr>
                <w:t>N.A., as administrative agent, and the lenders party thereto.</w:t>
              </w:r>
            </w:hyperlink>
          </w:p>
        </w:tc>
        <w:tc>
          <w:tcPr>
            <w:tcW w:w="2640" w:type="dxa"/>
            <w:vAlign w:val="bottom"/>
            <w:tcBorders>
              <w:top w:val="single" w:sz="8" w:color="0000FF"/>
            </w:tcBorders>
            <w:gridSpan w:val="14"/>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10.10.6</w:t>
            </w:r>
          </w:p>
        </w:tc>
        <w:tc>
          <w:tcPr>
            <w:tcW w:w="5780" w:type="dxa"/>
            <w:vAlign w:val="bottom"/>
            <w:gridSpan w:val="24"/>
          </w:tcPr>
          <w:p>
            <w:pPr>
              <w:spacing w:after="0"/>
              <w:rPr>
                <w:rFonts w:ascii="Times New Roman" w:cs="Times New Roman" w:eastAsia="Times New Roman" w:hAnsi="Times New Roman"/>
                <w:sz w:val="13"/>
                <w:szCs w:val="13"/>
                <w:color w:val="0000FF"/>
              </w:rPr>
            </w:pPr>
            <w:hyperlink r:id="rId232">
              <w:r>
                <w:rPr>
                  <w:rFonts w:ascii="Times New Roman" w:cs="Times New Roman" w:eastAsia="Times New Roman" w:hAnsi="Times New Roman"/>
                  <w:sz w:val="13"/>
                  <w:szCs w:val="13"/>
                  <w:color w:val="0000FF"/>
                </w:rPr>
                <w:t>Fifth Amendment to Amended and Restated Credit Agreement, dated as of December 20, 2019, by and among</w:t>
              </w:r>
            </w:hyperlink>
          </w:p>
        </w:tc>
      </w:tr>
      <w:tr>
        <w:trPr>
          <w:trHeight w:val="107"/>
        </w:trPr>
        <w:tc>
          <w:tcPr>
            <w:tcW w:w="1000" w:type="dxa"/>
            <w:vAlign w:val="bottom"/>
          </w:tcPr>
          <w:p>
            <w:pPr>
              <w:spacing w:after="0"/>
              <w:rPr>
                <w:sz w:val="9"/>
                <w:szCs w:val="9"/>
                <w:color w:val="auto"/>
              </w:rPr>
            </w:pPr>
          </w:p>
        </w:tc>
        <w:tc>
          <w:tcPr>
            <w:tcW w:w="566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32">
              <w:r>
                <w:rPr>
                  <w:rFonts w:ascii="Times New Roman" w:cs="Times New Roman" w:eastAsia="Times New Roman" w:hAnsi="Times New Roman"/>
                  <w:sz w:val="12"/>
                  <w:szCs w:val="12"/>
                  <w:color w:val="0000FF"/>
                </w:rPr>
                <w:t>Clearway Energy Operating LLC, Clearway Energy LLC, the guarantors party thereto, JPMorgan Chase Bank,</w:t>
              </w:r>
            </w:hyperlink>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r>
      <w:tr>
        <w:trPr>
          <w:trHeight w:val="107"/>
        </w:trPr>
        <w:tc>
          <w:tcPr>
            <w:tcW w:w="1000" w:type="dxa"/>
            <w:vAlign w:val="bottom"/>
          </w:tcPr>
          <w:p>
            <w:pPr>
              <w:spacing w:after="0"/>
              <w:rPr>
                <w:sz w:val="9"/>
                <w:szCs w:val="9"/>
                <w:color w:val="auto"/>
              </w:rPr>
            </w:pPr>
          </w:p>
        </w:tc>
        <w:tc>
          <w:tcPr>
            <w:tcW w:w="304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32">
              <w:r>
                <w:rPr>
                  <w:rFonts w:ascii="Times New Roman" w:cs="Times New Roman" w:eastAsia="Times New Roman" w:hAnsi="Times New Roman"/>
                  <w:sz w:val="12"/>
                  <w:szCs w:val="12"/>
                  <w:color w:val="0000FF"/>
                </w:rPr>
                <w:t>N.A., as administrative agent, and the lenders party thereto.</w:t>
              </w:r>
            </w:hyperlink>
          </w:p>
        </w:tc>
        <w:tc>
          <w:tcPr>
            <w:tcW w:w="2640" w:type="dxa"/>
            <w:vAlign w:val="bottom"/>
            <w:tcBorders>
              <w:top w:val="single" w:sz="8" w:color="0000FF"/>
            </w:tcBorders>
            <w:gridSpan w:val="14"/>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10.10.7</w:t>
            </w:r>
          </w:p>
        </w:tc>
        <w:tc>
          <w:tcPr>
            <w:tcW w:w="5780" w:type="dxa"/>
            <w:vAlign w:val="bottom"/>
            <w:gridSpan w:val="24"/>
          </w:tcPr>
          <w:p>
            <w:pPr>
              <w:spacing w:after="0"/>
              <w:rPr>
                <w:rFonts w:ascii="Times New Roman" w:cs="Times New Roman" w:eastAsia="Times New Roman" w:hAnsi="Times New Roman"/>
                <w:sz w:val="13"/>
                <w:szCs w:val="13"/>
                <w:color w:val="0000FF"/>
              </w:rPr>
            </w:pPr>
            <w:hyperlink r:id="rId233">
              <w:r>
                <w:rPr>
                  <w:rFonts w:ascii="Times New Roman" w:cs="Times New Roman" w:eastAsia="Times New Roman" w:hAnsi="Times New Roman"/>
                  <w:sz w:val="13"/>
                  <w:szCs w:val="13"/>
                  <w:color w:val="0000FF"/>
                </w:rPr>
                <w:t>Sixth Amendment to Amended and Restated Credit Agreement, effective as of November 30, 2021, by and</w:t>
              </w:r>
            </w:hyperlink>
          </w:p>
        </w:tc>
      </w:tr>
      <w:tr>
        <w:trPr>
          <w:trHeight w:val="118"/>
        </w:trPr>
        <w:tc>
          <w:tcPr>
            <w:tcW w:w="1000" w:type="dxa"/>
            <w:vAlign w:val="bottom"/>
          </w:tcPr>
          <w:p>
            <w:pPr>
              <w:spacing w:after="0"/>
              <w:rPr>
                <w:sz w:val="10"/>
                <w:szCs w:val="10"/>
                <w:color w:val="auto"/>
              </w:rPr>
            </w:pPr>
          </w:p>
        </w:tc>
        <w:tc>
          <w:tcPr>
            <w:tcW w:w="5480" w:type="dxa"/>
            <w:vAlign w:val="bottom"/>
            <w:tcBorders>
              <w:top w:val="single" w:sz="8" w:color="0000FF"/>
            </w:tcBorders>
            <w:gridSpan w:val="10"/>
          </w:tcPr>
          <w:p>
            <w:pPr>
              <w:spacing w:after="0" w:line="118" w:lineRule="exact"/>
              <w:rPr>
                <w:rFonts w:ascii="Times New Roman" w:cs="Times New Roman" w:eastAsia="Times New Roman" w:hAnsi="Times New Roman"/>
                <w:sz w:val="13"/>
                <w:szCs w:val="13"/>
                <w:color w:val="0000FF"/>
                <w:w w:val="99"/>
              </w:rPr>
            </w:pPr>
            <w:hyperlink r:id="rId233">
              <w:r>
                <w:rPr>
                  <w:rFonts w:ascii="Times New Roman" w:cs="Times New Roman" w:eastAsia="Times New Roman" w:hAnsi="Times New Roman"/>
                  <w:sz w:val="13"/>
                  <w:szCs w:val="13"/>
                  <w:color w:val="0000FF"/>
                  <w:w w:val="99"/>
                </w:rPr>
                <w:t>among Clearway Energy Operating LLC, Clearway Energy LLC, the guarantors party thereto, JPMorgan</w:t>
              </w:r>
            </w:hyperlink>
          </w:p>
        </w:tc>
        <w:tc>
          <w:tcPr>
            <w:tcW w:w="300" w:type="dxa"/>
            <w:vAlign w:val="bottom"/>
            <w:gridSpan w:val="14"/>
          </w:tcPr>
          <w:p>
            <w:pPr>
              <w:spacing w:after="0" w:line="118" w:lineRule="exact"/>
              <w:rPr>
                <w:rFonts w:ascii="Times New Roman" w:cs="Times New Roman" w:eastAsia="Times New Roman" w:hAnsi="Times New Roman"/>
                <w:sz w:val="13"/>
                <w:szCs w:val="13"/>
                <w:color w:val="0000FF"/>
                <w:w w:val="87"/>
              </w:rPr>
            </w:pPr>
            <w:hyperlink r:id="rId233">
              <w:r>
                <w:rPr>
                  <w:rFonts w:ascii="Times New Roman" w:cs="Times New Roman" w:eastAsia="Times New Roman" w:hAnsi="Times New Roman"/>
                  <w:sz w:val="13"/>
                  <w:szCs w:val="13"/>
                  <w:color w:val="0000FF"/>
                  <w:w w:val="87"/>
                </w:rPr>
                <w:t>Chase</w:t>
              </w:r>
            </w:hyperlink>
          </w:p>
        </w:tc>
      </w:tr>
      <w:tr>
        <w:trPr>
          <w:trHeight w:val="129"/>
        </w:trPr>
        <w:tc>
          <w:tcPr>
            <w:tcW w:w="1000" w:type="dxa"/>
            <w:vAlign w:val="bottom"/>
          </w:tcPr>
          <w:p>
            <w:pPr>
              <w:spacing w:after="0"/>
              <w:rPr>
                <w:sz w:val="11"/>
                <w:szCs w:val="11"/>
                <w:color w:val="auto"/>
              </w:rPr>
            </w:pPr>
          </w:p>
        </w:tc>
        <w:tc>
          <w:tcPr>
            <w:tcW w:w="338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3"/>
                <w:szCs w:val="13"/>
                <w:color w:val="0000FF"/>
                <w:w w:val="97"/>
              </w:rPr>
            </w:pPr>
            <w:hyperlink r:id="rId233">
              <w:r>
                <w:rPr>
                  <w:rFonts w:ascii="Times New Roman" w:cs="Times New Roman" w:eastAsia="Times New Roman" w:hAnsi="Times New Roman"/>
                  <w:sz w:val="13"/>
                  <w:szCs w:val="13"/>
                  <w:color w:val="0000FF"/>
                  <w:w w:val="97"/>
                </w:rPr>
                <w:t>Bank, N.A., as administrative agent, and the lenders party thereto.</w:t>
              </w:r>
            </w:hyperlink>
          </w:p>
        </w:tc>
        <w:tc>
          <w:tcPr>
            <w:tcW w:w="2340" w:type="dxa"/>
            <w:vAlign w:val="bottom"/>
            <w:tcBorders>
              <w:top w:val="single" w:sz="8" w:color="0000FF"/>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6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10.10.8</w:t>
            </w:r>
          </w:p>
        </w:tc>
        <w:tc>
          <w:tcPr>
            <w:tcW w:w="5640" w:type="dxa"/>
            <w:vAlign w:val="bottom"/>
            <w:tcBorders>
              <w:bottom w:val="single" w:sz="8" w:color="0000FF"/>
            </w:tcBorders>
            <w:gridSpan w:val="17"/>
          </w:tcPr>
          <w:p>
            <w:pPr>
              <w:spacing w:after="0"/>
              <w:rPr>
                <w:rFonts w:ascii="Times New Roman" w:cs="Times New Roman" w:eastAsia="Times New Roman" w:hAnsi="Times New Roman"/>
                <w:sz w:val="13"/>
                <w:szCs w:val="13"/>
                <w:color w:val="0000FF"/>
                <w:w w:val="98"/>
              </w:rPr>
            </w:pPr>
            <w:hyperlink r:id="rId234">
              <w:r>
                <w:rPr>
                  <w:rFonts w:ascii="Times New Roman" w:cs="Times New Roman" w:eastAsia="Times New Roman" w:hAnsi="Times New Roman"/>
                  <w:sz w:val="13"/>
                  <w:szCs w:val="13"/>
                  <w:color w:val="0000FF"/>
                  <w:w w:val="98"/>
                </w:rPr>
                <w:t>Seventh Amendment to Amended and Restated Credit Agreement, entered into as of August 15, 2022, by and</w:t>
              </w:r>
            </w:hyperlink>
          </w:p>
        </w:tc>
        <w:tc>
          <w:tcPr>
            <w:tcW w:w="140" w:type="dxa"/>
            <w:vAlign w:val="bottom"/>
            <w:gridSpan w:val="7"/>
          </w:tcPr>
          <w:p>
            <w:pPr>
              <w:spacing w:after="0"/>
              <w:rPr>
                <w:sz w:val="13"/>
                <w:szCs w:val="13"/>
                <w:color w:val="auto"/>
              </w:rPr>
            </w:pPr>
          </w:p>
        </w:tc>
      </w:tr>
      <w:tr>
        <w:trPr>
          <w:trHeight w:val="118"/>
        </w:trPr>
        <w:tc>
          <w:tcPr>
            <w:tcW w:w="1000" w:type="dxa"/>
            <w:vAlign w:val="bottom"/>
          </w:tcPr>
          <w:p>
            <w:pPr>
              <w:spacing w:after="0"/>
              <w:rPr>
                <w:sz w:val="10"/>
                <w:szCs w:val="10"/>
                <w:color w:val="auto"/>
              </w:rPr>
            </w:pPr>
          </w:p>
        </w:tc>
        <w:tc>
          <w:tcPr>
            <w:tcW w:w="5780" w:type="dxa"/>
            <w:vAlign w:val="bottom"/>
            <w:gridSpan w:val="24"/>
          </w:tcPr>
          <w:p>
            <w:pPr>
              <w:spacing w:after="0" w:line="118" w:lineRule="exact"/>
              <w:rPr>
                <w:rFonts w:ascii="Times New Roman" w:cs="Times New Roman" w:eastAsia="Times New Roman" w:hAnsi="Times New Roman"/>
                <w:sz w:val="13"/>
                <w:szCs w:val="13"/>
                <w:color w:val="0000FF"/>
                <w:w w:val="98"/>
              </w:rPr>
            </w:pPr>
            <w:hyperlink r:id="rId234">
              <w:r>
                <w:rPr>
                  <w:rFonts w:ascii="Times New Roman" w:cs="Times New Roman" w:eastAsia="Times New Roman" w:hAnsi="Times New Roman"/>
                  <w:sz w:val="13"/>
                  <w:szCs w:val="13"/>
                  <w:color w:val="0000FF"/>
                  <w:w w:val="98"/>
                </w:rPr>
                <w:t>among Clearway Energy Operating LLC, Clearway Energy LLC, the guarantors party thereto, JPMorgan Chase</w:t>
              </w:r>
            </w:hyperlink>
          </w:p>
        </w:tc>
      </w:tr>
      <w:tr>
        <w:trPr>
          <w:trHeight w:val="129"/>
        </w:trPr>
        <w:tc>
          <w:tcPr>
            <w:tcW w:w="1000" w:type="dxa"/>
            <w:vAlign w:val="bottom"/>
          </w:tcPr>
          <w:p>
            <w:pPr>
              <w:spacing w:after="0"/>
              <w:rPr>
                <w:sz w:val="11"/>
                <w:szCs w:val="11"/>
                <w:color w:val="auto"/>
              </w:rPr>
            </w:pPr>
          </w:p>
        </w:tc>
        <w:tc>
          <w:tcPr>
            <w:tcW w:w="3380" w:type="dxa"/>
            <w:vAlign w:val="bottom"/>
            <w:tcBorders>
              <w:top w:val="single" w:sz="8" w:color="0000FF"/>
              <w:bottom w:val="single" w:sz="8" w:color="0000FF"/>
            </w:tcBorders>
            <w:gridSpan w:val="6"/>
          </w:tcPr>
          <w:p>
            <w:pPr>
              <w:spacing w:after="0" w:line="129" w:lineRule="exact"/>
              <w:rPr>
                <w:rFonts w:ascii="Times New Roman" w:cs="Times New Roman" w:eastAsia="Times New Roman" w:hAnsi="Times New Roman"/>
                <w:sz w:val="13"/>
                <w:szCs w:val="13"/>
                <w:color w:val="0000FF"/>
                <w:w w:val="97"/>
              </w:rPr>
            </w:pPr>
            <w:hyperlink r:id="rId234">
              <w:r>
                <w:rPr>
                  <w:rFonts w:ascii="Times New Roman" w:cs="Times New Roman" w:eastAsia="Times New Roman" w:hAnsi="Times New Roman"/>
                  <w:sz w:val="13"/>
                  <w:szCs w:val="13"/>
                  <w:color w:val="0000FF"/>
                  <w:w w:val="97"/>
                </w:rPr>
                <w:t>Bank, N.A., as administrative agent, and the lenders party thereto.</w:t>
              </w:r>
            </w:hyperlink>
          </w:p>
        </w:tc>
        <w:tc>
          <w:tcPr>
            <w:tcW w:w="2340" w:type="dxa"/>
            <w:vAlign w:val="bottom"/>
            <w:tcBorders>
              <w:top w:val="single" w:sz="8" w:color="0000FF"/>
            </w:tcBorders>
            <w:gridSpan w:val="15"/>
          </w:tcPr>
          <w:p>
            <w:pPr>
              <w:spacing w:after="0"/>
              <w:rPr>
                <w:sz w:val="11"/>
                <w:szCs w:val="11"/>
                <w:color w:val="auto"/>
              </w:rPr>
            </w:pPr>
          </w:p>
        </w:tc>
        <w:tc>
          <w:tcPr>
            <w:tcW w:w="60" w:type="dxa"/>
            <w:vAlign w:val="bottom"/>
            <w:gridSpan w:val="3"/>
          </w:tcPr>
          <w:p>
            <w:pPr>
              <w:spacing w:after="0"/>
              <w:rPr>
                <w:sz w:val="11"/>
                <w:szCs w:val="11"/>
                <w:color w:val="auto"/>
              </w:rPr>
            </w:pPr>
          </w:p>
        </w:tc>
      </w:tr>
    </w:tbl>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5400" w:type="dxa"/>
            <w:vAlign w:val="bottom"/>
            <w:gridSpan w:val="6"/>
            <w:vMerge w:val="restart"/>
          </w:tcPr>
          <w:p>
            <w:pPr>
              <w:spacing w:after="0"/>
              <w:rPr>
                <w:rFonts w:ascii="Times New Roman" w:cs="Times New Roman" w:eastAsia="Times New Roman" w:hAnsi="Times New Roman"/>
                <w:sz w:val="13"/>
                <w:szCs w:val="13"/>
                <w:color w:val="0000FF"/>
                <w:w w:val="97"/>
              </w:rPr>
            </w:pPr>
            <w:hyperlink r:id="rId235">
              <w:r>
                <w:rPr>
                  <w:rFonts w:ascii="Times New Roman" w:cs="Times New Roman" w:eastAsia="Times New Roman" w:hAnsi="Times New Roman"/>
                  <w:sz w:val="13"/>
                  <w:szCs w:val="13"/>
                  <w:color w:val="0000FF"/>
                  <w:w w:val="97"/>
                </w:rPr>
                <w:t>Form of Clearway Energy, Inc. 2013 Equity Incentive Plan Restricted Stock Unit Agreement for Officers.</w:t>
              </w:r>
            </w:hyperlink>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400" w:type="dxa"/>
            <w:vAlign w:val="bottom"/>
            <w:tcBorders>
              <w:bottom w:val="single" w:sz="8" w:color="0000FF"/>
            </w:tcBorders>
            <w:gridSpan w:val="6"/>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5620" w:type="dxa"/>
            <w:vAlign w:val="bottom"/>
            <w:gridSpan w:val="7"/>
            <w:vMerge w:val="restart"/>
          </w:tcPr>
          <w:p>
            <w:pPr>
              <w:spacing w:after="0"/>
              <w:rPr>
                <w:rFonts w:ascii="Times New Roman" w:cs="Times New Roman" w:eastAsia="Times New Roman" w:hAnsi="Times New Roman"/>
                <w:sz w:val="13"/>
                <w:szCs w:val="13"/>
                <w:color w:val="0000FF"/>
                <w:w w:val="97"/>
              </w:rPr>
            </w:pPr>
            <w:hyperlink r:id="rId236">
              <w:r>
                <w:rPr>
                  <w:rFonts w:ascii="Times New Roman" w:cs="Times New Roman" w:eastAsia="Times New Roman" w:hAnsi="Times New Roman"/>
                  <w:sz w:val="13"/>
                  <w:szCs w:val="13"/>
                  <w:color w:val="0000FF"/>
                  <w:w w:val="97"/>
                </w:rPr>
                <w:t>Form of Clearway Energy, Inc. 2013 Equity Incentive Plan Restricted Stock Unit Agreement for Non-officers.</w:t>
              </w:r>
            </w:hyperlink>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620" w:type="dxa"/>
            <w:vAlign w:val="bottom"/>
            <w:tcBorders>
              <w:bottom w:val="single" w:sz="8" w:color="0000FF"/>
            </w:tcBorders>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5360" w:type="dxa"/>
            <w:vAlign w:val="bottom"/>
            <w:gridSpan w:val="5"/>
            <w:vMerge w:val="restart"/>
          </w:tcPr>
          <w:p>
            <w:pPr>
              <w:spacing w:after="0"/>
              <w:rPr>
                <w:rFonts w:ascii="Times New Roman" w:cs="Times New Roman" w:eastAsia="Times New Roman" w:hAnsi="Times New Roman"/>
                <w:sz w:val="13"/>
                <w:szCs w:val="13"/>
                <w:color w:val="0000FF"/>
                <w:w w:val="97"/>
              </w:rPr>
            </w:pPr>
            <w:hyperlink r:id="rId237">
              <w:r>
                <w:rPr>
                  <w:rFonts w:ascii="Times New Roman" w:cs="Times New Roman" w:eastAsia="Times New Roman" w:hAnsi="Times New Roman"/>
                  <w:sz w:val="13"/>
                  <w:szCs w:val="13"/>
                  <w:color w:val="0000FF"/>
                  <w:w w:val="97"/>
                </w:rPr>
                <w:t>Form of Clearway Energy, Inc. 2013 Equity Incentive Plan Relative Performance Stock Unit Agreement.</w:t>
              </w:r>
            </w:hyperlink>
          </w:p>
        </w:tc>
        <w:tc>
          <w:tcPr>
            <w:tcW w:w="26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360" w:type="dxa"/>
            <w:vAlign w:val="bottom"/>
            <w:tcBorders>
              <w:bottom w:val="single" w:sz="8" w:color="0000FF"/>
            </w:tcBorders>
            <w:gridSpan w:val="5"/>
            <w:vMerge w:val="continue"/>
          </w:tcPr>
          <w:p>
            <w:pPr>
              <w:spacing w:after="0"/>
              <w:rPr>
                <w:sz w:val="4"/>
                <w:szCs w:val="4"/>
                <w:color w:val="auto"/>
              </w:rPr>
            </w:pPr>
          </w:p>
        </w:tc>
        <w:tc>
          <w:tcPr>
            <w:tcW w:w="2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5620" w:type="dxa"/>
            <w:vAlign w:val="bottom"/>
            <w:gridSpan w:val="7"/>
            <w:vMerge w:val="restart"/>
          </w:tcPr>
          <w:p>
            <w:pPr>
              <w:spacing w:after="0"/>
              <w:rPr>
                <w:rFonts w:ascii="Times New Roman" w:cs="Times New Roman" w:eastAsia="Times New Roman" w:hAnsi="Times New Roman"/>
                <w:sz w:val="13"/>
                <w:szCs w:val="13"/>
                <w:color w:val="0000FF"/>
              </w:rPr>
            </w:pPr>
            <w:hyperlink r:id="rId238">
              <w:r>
                <w:rPr>
                  <w:rFonts w:ascii="Times New Roman" w:cs="Times New Roman" w:eastAsia="Times New Roman" w:hAnsi="Times New Roman"/>
                  <w:sz w:val="13"/>
                  <w:szCs w:val="13"/>
                  <w:color w:val="0000FF"/>
                </w:rPr>
                <w:t>Clearway Energy, Inc. Annual Incentive Plan.</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62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10.15†</w:t>
            </w:r>
          </w:p>
        </w:tc>
        <w:tc>
          <w:tcPr>
            <w:tcW w:w="2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000" w:type="dxa"/>
            <w:vAlign w:val="bottom"/>
            <w:vMerge w:val="continue"/>
          </w:tcPr>
          <w:p>
            <w:pPr>
              <w:spacing w:after="0"/>
              <w:rPr>
                <w:sz w:val="24"/>
                <w:szCs w:val="24"/>
                <w:color w:val="auto"/>
              </w:rPr>
            </w:pPr>
          </w:p>
        </w:tc>
        <w:tc>
          <w:tcPr>
            <w:tcW w:w="2620" w:type="dxa"/>
            <w:vAlign w:val="bottom"/>
            <w:gridSpan w:val="2"/>
            <w:vMerge w:val="restart"/>
          </w:tcPr>
          <w:p>
            <w:pPr>
              <w:spacing w:after="0"/>
              <w:rPr>
                <w:rFonts w:ascii="Times New Roman" w:cs="Times New Roman" w:eastAsia="Times New Roman" w:hAnsi="Times New Roman"/>
                <w:sz w:val="13"/>
                <w:szCs w:val="13"/>
                <w:color w:val="0000FF"/>
                <w:w w:val="97"/>
              </w:rPr>
            </w:pPr>
            <w:hyperlink r:id="rId239">
              <w:r>
                <w:rPr>
                  <w:rFonts w:ascii="Times New Roman" w:cs="Times New Roman" w:eastAsia="Times New Roman" w:hAnsi="Times New Roman"/>
                  <w:sz w:val="13"/>
                  <w:szCs w:val="13"/>
                  <w:color w:val="0000FF"/>
                  <w:w w:val="97"/>
                </w:rPr>
                <w:t>Clearway Energy, Inc. Involuntary Severance Plan.</w:t>
              </w:r>
            </w:hyperlink>
          </w:p>
        </w:tc>
        <w:tc>
          <w:tcPr>
            <w:tcW w:w="300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2620" w:type="dxa"/>
            <w:vAlign w:val="bottom"/>
            <w:tcBorders>
              <w:bottom w:val="single" w:sz="8" w:color="0000FF"/>
            </w:tcBorders>
            <w:gridSpan w:val="2"/>
            <w:vMerge w:val="continue"/>
          </w:tcPr>
          <w:p>
            <w:pPr>
              <w:spacing w:after="0"/>
              <w:rPr>
                <w:sz w:val="4"/>
                <w:szCs w:val="4"/>
                <w:color w:val="auto"/>
              </w:rPr>
            </w:pPr>
          </w:p>
        </w:tc>
        <w:tc>
          <w:tcPr>
            <w:tcW w:w="30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4180" w:type="dxa"/>
            <w:vAlign w:val="bottom"/>
            <w:gridSpan w:val="3"/>
            <w:vMerge w:val="restart"/>
          </w:tcPr>
          <w:p>
            <w:pPr>
              <w:spacing w:after="0"/>
              <w:rPr>
                <w:rFonts w:ascii="Times New Roman" w:cs="Times New Roman" w:eastAsia="Times New Roman" w:hAnsi="Times New Roman"/>
                <w:sz w:val="13"/>
                <w:szCs w:val="13"/>
                <w:color w:val="0000FF"/>
                <w:w w:val="97"/>
              </w:rPr>
            </w:pPr>
            <w:hyperlink r:id="rId240">
              <w:r>
                <w:rPr>
                  <w:rFonts w:ascii="Times New Roman" w:cs="Times New Roman" w:eastAsia="Times New Roman" w:hAnsi="Times New Roman"/>
                  <w:sz w:val="13"/>
                  <w:szCs w:val="13"/>
                  <w:color w:val="0000FF"/>
                  <w:w w:val="97"/>
                </w:rPr>
                <w:t>Clearway Energy, Inc. Executive Change-in-Control and General Severance Plan.</w:t>
              </w:r>
            </w:hyperlink>
          </w:p>
        </w:tc>
        <w:tc>
          <w:tcPr>
            <w:tcW w:w="144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4180" w:type="dxa"/>
            <w:vAlign w:val="bottom"/>
            <w:tcBorders>
              <w:bottom w:val="single" w:sz="8" w:color="0000FF"/>
            </w:tcBorders>
            <w:gridSpan w:val="3"/>
            <w:vMerge w:val="continue"/>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4580" w:type="dxa"/>
            <w:vAlign w:val="bottom"/>
            <w:gridSpan w:val="4"/>
            <w:vMerge w:val="restart"/>
          </w:tcPr>
          <w:p>
            <w:pPr>
              <w:spacing w:after="0"/>
              <w:rPr>
                <w:rFonts w:ascii="Times New Roman" w:cs="Times New Roman" w:eastAsia="Times New Roman" w:hAnsi="Times New Roman"/>
                <w:sz w:val="13"/>
                <w:szCs w:val="13"/>
                <w:color w:val="0000FF"/>
                <w:w w:val="97"/>
              </w:rPr>
            </w:pPr>
            <w:hyperlink r:id="rId241">
              <w:r>
                <w:rPr>
                  <w:rFonts w:ascii="Times New Roman" w:cs="Times New Roman" w:eastAsia="Times New Roman" w:hAnsi="Times New Roman"/>
                  <w:sz w:val="13"/>
                  <w:szCs w:val="13"/>
                  <w:color w:val="0000FF"/>
                  <w:w w:val="97"/>
                </w:rPr>
                <w:t>Clearway Energy, Inc. Key Management Change-in-Control and General Severance Plan.</w:t>
              </w:r>
            </w:hyperlink>
          </w:p>
        </w:tc>
        <w:tc>
          <w:tcPr>
            <w:tcW w:w="104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4580" w:type="dxa"/>
            <w:vAlign w:val="bottom"/>
            <w:tcBorders>
              <w:bottom w:val="single" w:sz="8" w:color="0000FF"/>
            </w:tcBorders>
            <w:gridSpan w:val="4"/>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May 3, 2021.</w:t>
      </w:r>
    </w:p>
    <w:p>
      <w:pPr>
        <w:spacing w:after="0" w:line="3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10.10 to the Company’s Annual Report on Form 10-K filed on February 28, 2019.</w:t>
      </w:r>
    </w:p>
    <w:p>
      <w:pPr>
        <w:spacing w:after="0" w:line="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28, 2014.</w:t>
      </w:r>
    </w:p>
    <w:p>
      <w:pPr>
        <w:spacing w:after="0" w:line="30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10.9 to the Company’s Quarterly Report on Form 10-Q filed on August 4, 2015.</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February 12, 2018.</w:t>
      </w:r>
    </w:p>
    <w:p>
      <w:pPr>
        <w:spacing w:after="0" w:line="1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Quarterly Report on Form 10-Q filed on May 3, 2018.</w:t>
      </w:r>
    </w:p>
    <w:p>
      <w:pPr>
        <w:spacing w:after="0" w:line="259"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6, 2018.</w:t>
      </w:r>
    </w:p>
    <w:p>
      <w:pPr>
        <w:spacing w:after="0" w:line="13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23, 2019.</w:t>
      </w:r>
    </w:p>
    <w:p>
      <w:pPr>
        <w:spacing w:after="0" w:line="13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1, 2021.</w:t>
      </w:r>
    </w:p>
    <w:p>
      <w:pPr>
        <w:spacing w:after="0" w:line="15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August 19, 2022.</w:t>
      </w:r>
    </w:p>
    <w:p>
      <w:pPr>
        <w:spacing w:after="0" w:line="159"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10.22 to the Company’s Annual Report on Form 10-K filed on February 28, 2019.</w:t>
      </w:r>
    </w:p>
    <w:p>
      <w:pPr>
        <w:spacing w:after="0" w:line="1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10.23 to the Company’s Annual Report on Form 10-K filed on February 28, 2019.</w:t>
      </w:r>
    </w:p>
    <w:p>
      <w:pPr>
        <w:spacing w:after="0" w:line="15"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10.24 to the Company’s Annual Report on Form 10-K filed on February 28, 2019.</w:t>
      </w:r>
    </w:p>
    <w:p>
      <w:pPr>
        <w:spacing w:after="0" w:line="89"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10.25 to the Company’s Annual Report on Form 10-K filed on February 28, 2019.</w:t>
      </w:r>
    </w:p>
    <w:p>
      <w:pPr>
        <w:spacing w:after="0" w:line="142"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10.26 to the Company’s Annual Report on Form 10-K filed on March 2, 2020.</w:t>
      </w:r>
    </w:p>
    <w:p>
      <w:pPr>
        <w:spacing w:after="0" w:line="142"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10.19 to the Company’s Annual Report on Form 10-K, filed on March 1, 2021.</w:t>
      </w:r>
    </w:p>
    <w:p>
      <w:pPr>
        <w:spacing w:after="0" w:line="68"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3"/>
          <w:szCs w:val="13"/>
          <w:color w:val="auto"/>
        </w:rPr>
        <w:t>Incorporated by reference to Exhibit 10.20 to the Company’s Annual Report on Form 10-K, filed on March 1, 2021.</w:t>
      </w:r>
    </w:p>
    <w:p>
      <w:pPr>
        <w:spacing w:after="0" w:line="200" w:lineRule="exact"/>
        <w:rPr>
          <w:sz w:val="20"/>
          <w:szCs w:val="20"/>
          <w:color w:val="auto"/>
        </w:rPr>
      </w:pPr>
    </w:p>
    <w:p>
      <w:pPr>
        <w:sectPr>
          <w:pgSz w:w="11900" w:h="16838" w:orient="portrait"/>
          <w:cols w:equalWidth="0" w:num="2">
            <w:col w:w="6740" w:space="160"/>
            <w:col w:w="4300"/>
          </w:cols>
          <w:pgMar w:left="340" w:top="754" w:right="359" w:bottom="1440"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54" w:right="35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6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5380" w:type="dxa"/>
            <w:vAlign w:val="bottom"/>
            <w:gridSpan w:val="18"/>
            <w:vMerge w:val="restart"/>
          </w:tcPr>
          <w:p>
            <w:pPr>
              <w:spacing w:after="0"/>
              <w:rPr>
                <w:rFonts w:ascii="Times New Roman" w:cs="Times New Roman" w:eastAsia="Times New Roman" w:hAnsi="Times New Roman"/>
                <w:sz w:val="13"/>
                <w:szCs w:val="13"/>
                <w:color w:val="0000FF"/>
                <w:w w:val="97"/>
              </w:rPr>
            </w:pPr>
            <w:hyperlink r:id="rId243">
              <w:r>
                <w:rPr>
                  <w:rFonts w:ascii="Times New Roman" w:cs="Times New Roman" w:eastAsia="Times New Roman" w:hAnsi="Times New Roman"/>
                  <w:sz w:val="13"/>
                  <w:szCs w:val="13"/>
                  <w:color w:val="0000FF"/>
                  <w:w w:val="97"/>
                </w:rPr>
                <w:t>Consent and Indemnity Agreement, dated as of February 6, 2018, by and among NRG Energy, Inc., NRG</w:t>
              </w:r>
            </w:hyperlink>
          </w:p>
        </w:tc>
        <w:tc>
          <w:tcPr>
            <w:tcW w:w="440" w:type="dxa"/>
            <w:vAlign w:val="bottom"/>
            <w:gridSpan w:val="19"/>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000" w:type="dxa"/>
            <w:vAlign w:val="bottom"/>
          </w:tcPr>
          <w:p>
            <w:pPr>
              <w:spacing w:after="0"/>
              <w:rPr>
                <w:sz w:val="4"/>
                <w:szCs w:val="4"/>
                <w:color w:val="auto"/>
              </w:rPr>
            </w:pPr>
          </w:p>
        </w:tc>
        <w:tc>
          <w:tcPr>
            <w:tcW w:w="5380" w:type="dxa"/>
            <w:vAlign w:val="bottom"/>
            <w:tcBorders>
              <w:bottom w:val="single" w:sz="8" w:color="0000FF"/>
            </w:tcBorders>
            <w:gridSpan w:val="18"/>
            <w:vMerge w:val="continue"/>
          </w:tcPr>
          <w:p>
            <w:pPr>
              <w:spacing w:after="0"/>
              <w:rPr>
                <w:sz w:val="4"/>
                <w:szCs w:val="4"/>
                <w:color w:val="auto"/>
              </w:rPr>
            </w:pPr>
          </w:p>
        </w:tc>
        <w:tc>
          <w:tcPr>
            <w:tcW w:w="44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gridSpan w:val="37"/>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Repowering Holdings LLC, NRG Yield, Inc., and GIP III Zephyr Acquisition Partners, L.P., and NRG Yield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4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Operating LLC (solely with respect to Sections E.5, E.6 and G.12).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10.19</w:t>
            </w: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1000" w:type="dxa"/>
            <w:vAlign w:val="bottom"/>
            <w:vMerge w:val="continue"/>
          </w:tcPr>
          <w:p>
            <w:pPr>
              <w:spacing w:after="0"/>
              <w:rPr>
                <w:sz w:val="20"/>
                <w:szCs w:val="20"/>
                <w:color w:val="auto"/>
              </w:rPr>
            </w:pPr>
          </w:p>
        </w:tc>
        <w:tc>
          <w:tcPr>
            <w:tcW w:w="5820" w:type="dxa"/>
            <w:vAlign w:val="bottom"/>
            <w:gridSpan w:val="37"/>
            <w:vMerge w:val="restart"/>
          </w:tcPr>
          <w:p>
            <w:pPr>
              <w:spacing w:after="0"/>
              <w:rPr>
                <w:rFonts w:ascii="Times New Roman" w:cs="Times New Roman" w:eastAsia="Times New Roman" w:hAnsi="Times New Roman"/>
                <w:sz w:val="13"/>
                <w:szCs w:val="13"/>
                <w:color w:val="0000FF"/>
                <w:w w:val="99"/>
              </w:rPr>
            </w:pPr>
            <w:hyperlink r:id="rId244">
              <w:r>
                <w:rPr>
                  <w:rFonts w:ascii="Times New Roman" w:cs="Times New Roman" w:eastAsia="Times New Roman" w:hAnsi="Times New Roman"/>
                  <w:sz w:val="13"/>
                  <w:szCs w:val="13"/>
                  <w:color w:val="0000FF"/>
                  <w:w w:val="99"/>
                </w:rPr>
                <w:t>Assignment and Assumption Agreement, effective as of February 26, 2019, among Clearway Energy Operating</w:t>
              </w:r>
            </w:hyperlink>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5820" w:type="dxa"/>
            <w:vAlign w:val="bottom"/>
            <w:gridSpan w:val="3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58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44">
              <w:r>
                <w:rPr>
                  <w:rFonts w:ascii="Times New Roman" w:cs="Times New Roman" w:eastAsia="Times New Roman" w:hAnsi="Times New Roman"/>
                  <w:sz w:val="12"/>
                  <w:szCs w:val="12"/>
                  <w:color w:val="0000FF"/>
                </w:rPr>
                <w:t>LLC and GIP III Zephyr Carlsbad Holdings, LLC.</w:t>
              </w:r>
            </w:hyperlink>
          </w:p>
        </w:tc>
        <w:tc>
          <w:tcPr>
            <w:tcW w:w="312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10.20</w:t>
            </w:r>
          </w:p>
        </w:tc>
        <w:tc>
          <w:tcPr>
            <w:tcW w:w="5820" w:type="dxa"/>
            <w:vAlign w:val="bottom"/>
            <w:gridSpan w:val="37"/>
          </w:tcPr>
          <w:p>
            <w:pPr>
              <w:spacing w:after="0"/>
              <w:rPr>
                <w:rFonts w:ascii="Times New Roman" w:cs="Times New Roman" w:eastAsia="Times New Roman" w:hAnsi="Times New Roman"/>
                <w:sz w:val="13"/>
                <w:szCs w:val="13"/>
                <w:color w:val="0000FF"/>
                <w:w w:val="98"/>
              </w:rPr>
            </w:pPr>
            <w:hyperlink r:id="rId245">
              <w:r>
                <w:rPr>
                  <w:rFonts w:ascii="Times New Roman" w:cs="Times New Roman" w:eastAsia="Times New Roman" w:hAnsi="Times New Roman"/>
                  <w:sz w:val="13"/>
                  <w:szCs w:val="13"/>
                  <w:color w:val="0000FF"/>
                  <w:w w:val="98"/>
                </w:rPr>
                <w:t>Amended and Restated Exchange Agreement, dated as of May 14, 2015, by and among NRG Energy, Inc., NRG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60" w:type="dxa"/>
            <w:vAlign w:val="bottom"/>
            <w:tcBorders>
              <w:top w:val="single" w:sz="8" w:color="0000FF"/>
            </w:tcBorders>
            <w:gridSpan w:val="34"/>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Yield, Inc., and NRG Yield LLC and, pursuant to a joinder thereto, dated as of August 31, 2018, Zephyr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30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Renewables LLC.</w:t>
              </w:r>
            </w:hyperlink>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5820" w:type="dxa"/>
            <w:vAlign w:val="bottom"/>
            <w:gridSpan w:val="37"/>
          </w:tcPr>
          <w:p>
            <w:pPr>
              <w:spacing w:after="0"/>
              <w:rPr>
                <w:rFonts w:ascii="Times New Roman" w:cs="Times New Roman" w:eastAsia="Times New Roman" w:hAnsi="Times New Roman"/>
                <w:sz w:val="13"/>
                <w:szCs w:val="13"/>
                <w:color w:val="0000FF"/>
                <w:w w:val="98"/>
              </w:rPr>
            </w:pPr>
            <w:hyperlink r:id="rId246">
              <w:r>
                <w:rPr>
                  <w:rFonts w:ascii="Times New Roman" w:cs="Times New Roman" w:eastAsia="Times New Roman" w:hAnsi="Times New Roman"/>
                  <w:sz w:val="13"/>
                  <w:szCs w:val="13"/>
                  <w:color w:val="0000FF"/>
                  <w:w w:val="98"/>
                </w:rPr>
                <w:t>Amended and Restated Registration Rights Agreement, dated as of May 14, 2015, by and between NRG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80" w:type="dxa"/>
            <w:vAlign w:val="bottom"/>
            <w:tcBorders>
              <w:top w:val="single" w:sz="8" w:color="0000FF"/>
            </w:tcBorders>
            <w:gridSpan w:val="35"/>
          </w:tcPr>
          <w:p>
            <w:pPr>
              <w:spacing w:after="0" w:line="107" w:lineRule="exact"/>
              <w:rPr>
                <w:rFonts w:ascii="Times New Roman" w:cs="Times New Roman" w:eastAsia="Times New Roman" w:hAnsi="Times New Roman"/>
                <w:sz w:val="12"/>
                <w:szCs w:val="12"/>
                <w:color w:val="0000FF"/>
              </w:rPr>
            </w:pPr>
            <w:hyperlink r:id="rId246">
              <w:r>
                <w:rPr>
                  <w:rFonts w:ascii="Times New Roman" w:cs="Times New Roman" w:eastAsia="Times New Roman" w:hAnsi="Times New Roman"/>
                  <w:sz w:val="12"/>
                  <w:szCs w:val="12"/>
                  <w:color w:val="0000FF"/>
                </w:rPr>
                <w:t>Inc. and NRG Yield, Inc. and, pursuant to a joinder thereto, dated as of August 31, 2018, Zephyr Renewables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8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46">
              <w:r>
                <w:rPr>
                  <w:rFonts w:ascii="Times New Roman" w:cs="Times New Roman" w:eastAsia="Times New Roman" w:hAnsi="Times New Roman"/>
                  <w:sz w:val="12"/>
                  <w:szCs w:val="12"/>
                  <w:color w:val="0000FF"/>
                </w:rPr>
                <w:t>LLC.</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5820" w:type="dxa"/>
            <w:vAlign w:val="bottom"/>
            <w:gridSpan w:val="37"/>
          </w:tcPr>
          <w:p>
            <w:pPr>
              <w:spacing w:after="0"/>
              <w:rPr>
                <w:rFonts w:ascii="Times New Roman" w:cs="Times New Roman" w:eastAsia="Times New Roman" w:hAnsi="Times New Roman"/>
                <w:sz w:val="13"/>
                <w:szCs w:val="13"/>
                <w:color w:val="0000FF"/>
                <w:w w:val="99"/>
              </w:rPr>
            </w:pPr>
            <w:hyperlink r:id="rId247">
              <w:r>
                <w:rPr>
                  <w:rFonts w:ascii="Times New Roman" w:cs="Times New Roman" w:eastAsia="Times New Roman" w:hAnsi="Times New Roman"/>
                  <w:sz w:val="13"/>
                  <w:szCs w:val="13"/>
                  <w:color w:val="0000FF"/>
                  <w:w w:val="99"/>
                </w:rPr>
                <w:t>Purchase and Sale Agreement, dated as of April 17, 2020, by and between Clearway Energy Operating LLC and</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40" w:type="dxa"/>
            <w:vAlign w:val="bottom"/>
            <w:tcBorders>
              <w:top w:val="single" w:sz="8" w:color="0000FF"/>
            </w:tcBorders>
            <w:gridSpan w:val="33"/>
          </w:tcPr>
          <w:p>
            <w:pPr>
              <w:spacing w:after="0" w:line="107" w:lineRule="exact"/>
              <w:rPr>
                <w:rFonts w:ascii="Times New Roman" w:cs="Times New Roman" w:eastAsia="Times New Roman" w:hAnsi="Times New Roman"/>
                <w:sz w:val="12"/>
                <w:szCs w:val="12"/>
                <w:color w:val="0000FF"/>
              </w:rPr>
            </w:pPr>
            <w:hyperlink r:id="rId247">
              <w:r>
                <w:rPr>
                  <w:rFonts w:ascii="Times New Roman" w:cs="Times New Roman" w:eastAsia="Times New Roman" w:hAnsi="Times New Roman"/>
                  <w:sz w:val="12"/>
                  <w:szCs w:val="12"/>
                  <w:color w:val="0000FF"/>
                </w:rPr>
                <w:t>Clearway Renew LLC.</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48">
              <w:r>
                <w:rPr>
                  <w:rFonts w:ascii="Times New Roman" w:cs="Times New Roman" w:eastAsia="Times New Roman" w:hAnsi="Times New Roman"/>
                  <w:sz w:val="13"/>
                  <w:szCs w:val="13"/>
                  <w:color w:val="0000FF"/>
                </w:rPr>
                <w:t>Membership Interest Purchase Agreement, dated as of April 17, 2020,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32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48">
              <w:r>
                <w:rPr>
                  <w:rFonts w:ascii="Times New Roman" w:cs="Times New Roman" w:eastAsia="Times New Roman" w:hAnsi="Times New Roman"/>
                  <w:sz w:val="12"/>
                  <w:szCs w:val="12"/>
                  <w:color w:val="0000FF"/>
                </w:rPr>
                <w:t>Operating LLC and SP Wind Holdings, LLC.</w:t>
              </w:r>
            </w:hyperlink>
          </w:p>
        </w:tc>
        <w:tc>
          <w:tcPr>
            <w:tcW w:w="1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10.24*^</w:t>
            </w:r>
          </w:p>
        </w:tc>
        <w:tc>
          <w:tcPr>
            <w:tcW w:w="5820" w:type="dxa"/>
            <w:vAlign w:val="bottom"/>
            <w:gridSpan w:val="37"/>
          </w:tcPr>
          <w:p>
            <w:pPr>
              <w:spacing w:after="0"/>
              <w:rPr>
                <w:rFonts w:ascii="Times New Roman" w:cs="Times New Roman" w:eastAsia="Times New Roman" w:hAnsi="Times New Roman"/>
                <w:sz w:val="13"/>
                <w:szCs w:val="13"/>
                <w:color w:val="0000FF"/>
                <w:w w:val="99"/>
              </w:rPr>
            </w:pPr>
            <w:hyperlink r:id="rId249">
              <w:r>
                <w:rPr>
                  <w:rFonts w:ascii="Times New Roman" w:cs="Times New Roman" w:eastAsia="Times New Roman" w:hAnsi="Times New Roman"/>
                  <w:sz w:val="13"/>
                  <w:szCs w:val="13"/>
                  <w:color w:val="0000FF"/>
                  <w:w w:val="99"/>
                </w:rPr>
                <w:t>Membership Interest Purchase Agreement, dated as of April 17, 2020, by and between CWSP Wildorado Elbow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720" w:type="dxa"/>
            <w:vAlign w:val="bottom"/>
            <w:tcBorders>
              <w:top w:val="single" w:sz="8" w:color="0000FF"/>
            </w:tcBorders>
            <w:gridSpan w:val="32"/>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Holding LLC and Wind TE Holdco LLC.</w:t>
              </w:r>
            </w:hyperlink>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10.25†*</w:t>
            </w:r>
          </w:p>
        </w:tc>
        <w:tc>
          <w:tcPr>
            <w:tcW w:w="5820" w:type="dxa"/>
            <w:vAlign w:val="bottom"/>
            <w:gridSpan w:val="37"/>
          </w:tcPr>
          <w:p>
            <w:pPr>
              <w:spacing w:after="0"/>
              <w:rPr>
                <w:rFonts w:ascii="Times New Roman" w:cs="Times New Roman" w:eastAsia="Times New Roman" w:hAnsi="Times New Roman"/>
                <w:sz w:val="13"/>
                <w:szCs w:val="13"/>
                <w:color w:val="0000FF"/>
                <w:w w:val="98"/>
              </w:rPr>
            </w:pPr>
            <w:hyperlink r:id="rId250">
              <w:r>
                <w:rPr>
                  <w:rFonts w:ascii="Times New Roman" w:cs="Times New Roman" w:eastAsia="Times New Roman" w:hAnsi="Times New Roman"/>
                  <w:sz w:val="13"/>
                  <w:szCs w:val="13"/>
                  <w:color w:val="0000FF"/>
                  <w:w w:val="98"/>
                </w:rPr>
                <w:t>Membership Interest Purchase Agreement, dated as of December 21, 2020, by and between Renew Development</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68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50">
              <w:r>
                <w:rPr>
                  <w:rFonts w:ascii="Times New Roman" w:cs="Times New Roman" w:eastAsia="Times New Roman" w:hAnsi="Times New Roman"/>
                  <w:sz w:val="12"/>
                  <w:szCs w:val="12"/>
                  <w:color w:val="0000FF"/>
                </w:rPr>
                <w:t>HoldCo LLC and Rosamond Solar Investment LLC.</w:t>
              </w:r>
            </w:hyperlink>
          </w:p>
        </w:tc>
        <w:tc>
          <w:tcPr>
            <w:tcW w:w="3120" w:type="dxa"/>
            <w:vAlign w:val="bottom"/>
            <w:tcBorders>
              <w:top w:val="single" w:sz="8" w:color="0000FF"/>
            </w:tcBorders>
            <w:gridSpan w:val="2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10.26†*</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Membership Interest Purchase Agreement, dated as of December 21, 2020, by and between Clearway Renew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6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LLC and Lighthouse Renewable Class A LLC.</w:t>
              </w:r>
            </w:hyperlink>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10.27†*</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Membership Interest Purchase Agreement, dated as of December 21, 2020, by and between Clearway Renew</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60" w:type="dxa"/>
            <w:vAlign w:val="bottom"/>
            <w:tcBorders>
              <w:top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252">
              <w:r>
                <w:rPr>
                  <w:rFonts w:ascii="Times New Roman" w:cs="Times New Roman" w:eastAsia="Times New Roman" w:hAnsi="Times New Roman"/>
                  <w:sz w:val="12"/>
                  <w:szCs w:val="12"/>
                  <w:color w:val="0000FF"/>
                </w:rPr>
                <w:t>LLC and Lighthouse Renewable Class A LLC.</w:t>
              </w:r>
            </w:hyperlink>
          </w:p>
        </w:tc>
        <w:tc>
          <w:tcPr>
            <w:tcW w:w="4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10.28*^</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Second Amended and Restated Limited Liability Company Agreement of Pinnacle Repowering Partnership</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2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53">
              <w:r>
                <w:rPr>
                  <w:rFonts w:ascii="Times New Roman" w:cs="Times New Roman" w:eastAsia="Times New Roman" w:hAnsi="Times New Roman"/>
                  <w:sz w:val="12"/>
                  <w:szCs w:val="12"/>
                  <w:color w:val="0000FF"/>
                </w:rPr>
                <w:t>LLC, dated as of February 26, 2021.</w:t>
              </w:r>
            </w:hyperlink>
          </w:p>
        </w:tc>
        <w:tc>
          <w:tcPr>
            <w:tcW w:w="80" w:type="dxa"/>
            <w:vAlign w:val="bottom"/>
            <w:gridSpan w:val="4"/>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10.29</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Fifth Amendment to Right of First Offer Agreement, dated as of August 2, 2021, by and between Clearway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50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54">
              <w:r>
                <w:rPr>
                  <w:rFonts w:ascii="Times New Roman" w:cs="Times New Roman" w:eastAsia="Times New Roman" w:hAnsi="Times New Roman"/>
                  <w:sz w:val="12"/>
                  <w:szCs w:val="12"/>
                  <w:color w:val="0000FF"/>
                </w:rPr>
                <w:t>Energy Group LLC and Clearway Energy, Inc.</w:t>
              </w:r>
            </w:hyperlink>
          </w:p>
        </w:tc>
        <w:tc>
          <w:tcPr>
            <w:tcW w:w="100" w:type="dxa"/>
            <w:vAlign w:val="bottom"/>
            <w:gridSpan w:val="5"/>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80" w:type="dxa"/>
            <w:vAlign w:val="bottom"/>
            <w:tcBorders>
              <w:left w:val="single" w:sz="8" w:color="0000FF"/>
            </w:tcBorders>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10.30</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55">
              <w:r>
                <w:rPr>
                  <w:rFonts w:ascii="Times New Roman" w:cs="Times New Roman" w:eastAsia="Times New Roman" w:hAnsi="Times New Roman"/>
                  <w:sz w:val="13"/>
                  <w:szCs w:val="13"/>
                  <w:color w:val="0000FF"/>
                </w:rPr>
                <w:t>Purchase and Sale Agreement, dated as of August 20, 2021, by and between Dominion Solar Projects III, Inc.</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7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and Utah Solar Holdings II LLC.</w:t>
              </w:r>
            </w:hyperlink>
          </w:p>
        </w:tc>
        <w:tc>
          <w:tcPr>
            <w:tcW w:w="3900" w:type="dxa"/>
            <w:vAlign w:val="bottom"/>
            <w:tcBorders>
              <w:top w:val="single" w:sz="8" w:color="0000FF"/>
            </w:tcBorders>
            <w:gridSpan w:val="2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10.31</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56">
              <w:r>
                <w:rPr>
                  <w:rFonts w:ascii="Times New Roman" w:cs="Times New Roman" w:eastAsia="Times New Roman" w:hAnsi="Times New Roman"/>
                  <w:sz w:val="13"/>
                  <w:szCs w:val="13"/>
                  <w:color w:val="0000FF"/>
                </w:rPr>
                <w:t>Amended and Restated Employment Agreement, dated September 23, 2021,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140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56">
              <w:r>
                <w:rPr>
                  <w:rFonts w:ascii="Times New Roman" w:cs="Times New Roman" w:eastAsia="Times New Roman" w:hAnsi="Times New Roman"/>
                  <w:sz w:val="12"/>
                  <w:szCs w:val="12"/>
                  <w:color w:val="0000FF"/>
                </w:rPr>
                <w:t>Inc. and Christopher Sotos.</w:t>
              </w:r>
            </w:hyperlink>
          </w:p>
        </w:tc>
        <w:tc>
          <w:tcPr>
            <w:tcW w:w="4280" w:type="dxa"/>
            <w:vAlign w:val="bottom"/>
            <w:tcBorders>
              <w:top w:val="single" w:sz="8" w:color="0000FF"/>
            </w:tcBorders>
            <w:gridSpan w:val="26"/>
          </w:tcPr>
          <w:p>
            <w:pPr>
              <w:spacing w:after="0"/>
              <w:rPr>
                <w:sz w:val="9"/>
                <w:szCs w:val="9"/>
                <w:color w:val="auto"/>
              </w:rPr>
            </w:pPr>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10.32</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57">
              <w:r>
                <w:rPr>
                  <w:rFonts w:ascii="Times New Roman" w:cs="Times New Roman" w:eastAsia="Times New Roman" w:hAnsi="Times New Roman"/>
                  <w:sz w:val="13"/>
                  <w:szCs w:val="13"/>
                  <w:color w:val="0000FF"/>
                </w:rPr>
                <w:t>Membership Interest Purchase Agreement, dated as of October 22, 2021, by and between Clearway Energy</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232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Operating LLC and KKR Thor Bidco, LLC.</w:t>
              </w:r>
            </w:hyperlink>
          </w:p>
        </w:tc>
        <w:tc>
          <w:tcPr>
            <w:tcW w:w="314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7"/>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10.33</w:t>
            </w:r>
          </w:p>
        </w:tc>
        <w:tc>
          <w:tcPr>
            <w:tcW w:w="5480" w:type="dxa"/>
            <w:vAlign w:val="bottom"/>
            <w:tcBorders>
              <w:bottom w:val="single" w:sz="8" w:color="0000FF"/>
            </w:tcBorders>
            <w:gridSpan w:val="21"/>
          </w:tcPr>
          <w:p>
            <w:pPr>
              <w:spacing w:after="0"/>
              <w:rPr>
                <w:rFonts w:ascii="Times New Roman" w:cs="Times New Roman" w:eastAsia="Times New Roman" w:hAnsi="Times New Roman"/>
                <w:sz w:val="13"/>
                <w:szCs w:val="13"/>
                <w:color w:val="0000FF"/>
                <w:w w:val="97"/>
              </w:rPr>
            </w:pPr>
            <w:hyperlink r:id="rId258">
              <w:r>
                <w:rPr>
                  <w:rFonts w:ascii="Times New Roman" w:cs="Times New Roman" w:eastAsia="Times New Roman" w:hAnsi="Times New Roman"/>
                  <w:sz w:val="13"/>
                  <w:szCs w:val="13"/>
                  <w:color w:val="0000FF"/>
                  <w:w w:val="97"/>
                </w:rPr>
                <w:t>Senior Secured Bridge Credit Agreement, dated as of November 30, 2021, by and among Clearway Energy</w:t>
              </w:r>
            </w:hyperlink>
          </w:p>
        </w:tc>
        <w:tc>
          <w:tcPr>
            <w:tcW w:w="34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820" w:type="dxa"/>
            <w:vAlign w:val="bottom"/>
            <w:gridSpan w:val="37"/>
          </w:tcPr>
          <w:p>
            <w:pPr>
              <w:spacing w:after="0" w:line="107" w:lineRule="exact"/>
              <w:rPr>
                <w:rFonts w:ascii="Times New Roman" w:cs="Times New Roman" w:eastAsia="Times New Roman" w:hAnsi="Times New Roman"/>
                <w:sz w:val="12"/>
                <w:szCs w:val="12"/>
                <w:color w:val="0000FF"/>
              </w:rPr>
            </w:pPr>
            <w:hyperlink r:id="rId258">
              <w:r>
                <w:rPr>
                  <w:rFonts w:ascii="Times New Roman" w:cs="Times New Roman" w:eastAsia="Times New Roman" w:hAnsi="Times New Roman"/>
                  <w:sz w:val="12"/>
                  <w:szCs w:val="12"/>
                  <w:color w:val="0000FF"/>
                </w:rPr>
                <w:t>Operating LLC, Clearway Energy LLC, the guarantors party thereto, Bank of America, N.A., as administrative</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60" w:type="dxa"/>
            <w:vAlign w:val="bottom"/>
            <w:tcBorders>
              <w:top w:val="single" w:sz="8" w:color="0000FF"/>
            </w:tcBorders>
            <w:gridSpan w:val="29"/>
          </w:tcPr>
          <w:p>
            <w:pPr>
              <w:spacing w:after="0" w:line="107" w:lineRule="exact"/>
              <w:rPr>
                <w:rFonts w:ascii="Times New Roman" w:cs="Times New Roman" w:eastAsia="Times New Roman" w:hAnsi="Times New Roman"/>
                <w:sz w:val="12"/>
                <w:szCs w:val="12"/>
                <w:color w:val="0000FF"/>
              </w:rPr>
            </w:pPr>
            <w:hyperlink r:id="rId258">
              <w:r>
                <w:rPr>
                  <w:rFonts w:ascii="Times New Roman" w:cs="Times New Roman" w:eastAsia="Times New Roman" w:hAnsi="Times New Roman"/>
                  <w:sz w:val="12"/>
                  <w:szCs w:val="12"/>
                  <w:color w:val="0000FF"/>
                </w:rPr>
                <w:t>agent, and the lenders party thereto.</w:t>
              </w:r>
            </w:hyperlink>
          </w:p>
        </w:tc>
        <w:tc>
          <w:tcPr>
            <w:tcW w:w="160" w:type="dxa"/>
            <w:vAlign w:val="bottom"/>
            <w:gridSpan w:val="8"/>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10.34</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59">
              <w:r>
                <w:rPr>
                  <w:rFonts w:ascii="Times New Roman" w:cs="Times New Roman" w:eastAsia="Times New Roman" w:hAnsi="Times New Roman"/>
                  <w:sz w:val="13"/>
                  <w:szCs w:val="13"/>
                  <w:color w:val="0000FF"/>
                </w:rPr>
                <w:t>First Amendment to Membership Interest Purchase Agreement, dated as of December 17, 2021,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4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Lighthouse Renewable Class A LLC, Clearway Renew LLC and Clearway Energy Operating LLC.</w:t>
              </w:r>
            </w:hyperlink>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00" w:type="dxa"/>
            <w:vAlign w:val="bottom"/>
            <w:gridSpan w:val="12"/>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10.35</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60">
              <w:r>
                <w:rPr>
                  <w:rFonts w:ascii="Times New Roman" w:cs="Times New Roman" w:eastAsia="Times New Roman" w:hAnsi="Times New Roman"/>
                  <w:sz w:val="13"/>
                  <w:szCs w:val="13"/>
                  <w:color w:val="0000FF"/>
                </w:rPr>
                <w:t>First Amendment to Membership Interest Purchase Agreement, dated as of December 29, 2021, by and among</w:t>
              </w:r>
            </w:hyperlink>
          </w:p>
        </w:tc>
        <w:tc>
          <w:tcPr>
            <w:tcW w:w="0" w:type="dxa"/>
            <w:vAlign w:val="bottom"/>
          </w:tcPr>
          <w:p>
            <w:pPr>
              <w:spacing w:after="0"/>
              <w:rPr>
                <w:sz w:val="1"/>
                <w:szCs w:val="1"/>
                <w:color w:val="auto"/>
              </w:rPr>
            </w:pPr>
          </w:p>
        </w:tc>
      </w:tr>
      <w:tr>
        <w:trPr>
          <w:trHeight w:val="107"/>
        </w:trPr>
        <w:tc>
          <w:tcPr>
            <w:tcW w:w="1000" w:type="dxa"/>
            <w:vAlign w:val="bottom"/>
          </w:tcPr>
          <w:p>
            <w:pPr>
              <w:spacing w:after="0"/>
              <w:rPr>
                <w:sz w:val="9"/>
                <w:szCs w:val="9"/>
                <w:color w:val="auto"/>
              </w:rPr>
            </w:pPr>
          </w:p>
        </w:tc>
        <w:tc>
          <w:tcPr>
            <w:tcW w:w="564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260">
              <w:r>
                <w:rPr>
                  <w:rFonts w:ascii="Times New Roman" w:cs="Times New Roman" w:eastAsia="Times New Roman" w:hAnsi="Times New Roman"/>
                  <w:sz w:val="12"/>
                  <w:szCs w:val="12"/>
                  <w:color w:val="0000FF"/>
                </w:rPr>
                <w:t>Lighthouse Renewable Class A LLC and Clearway Renew LLC.</w:t>
              </w:r>
            </w:hyperlink>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300" w:type="dxa"/>
            <w:vAlign w:val="bottom"/>
            <w:gridSpan w:val="1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10.36†</w:t>
            </w:r>
          </w:p>
        </w:tc>
        <w:tc>
          <w:tcPr>
            <w:tcW w:w="5440" w:type="dxa"/>
            <w:vAlign w:val="bottom"/>
            <w:tcBorders>
              <w:bottom w:val="single" w:sz="8" w:color="0000FF"/>
            </w:tcBorders>
            <w:gridSpan w:val="19"/>
          </w:tcPr>
          <w:p>
            <w:pPr>
              <w:spacing w:after="0"/>
              <w:rPr>
                <w:rFonts w:ascii="Times New Roman" w:cs="Times New Roman" w:eastAsia="Times New Roman" w:hAnsi="Times New Roman"/>
                <w:sz w:val="13"/>
                <w:szCs w:val="13"/>
                <w:color w:val="0000FF"/>
                <w:w w:val="97"/>
              </w:rPr>
            </w:pPr>
            <w:hyperlink r:id="rId261">
              <w:r>
                <w:rPr>
                  <w:rFonts w:ascii="Times New Roman" w:cs="Times New Roman" w:eastAsia="Times New Roman" w:hAnsi="Times New Roman"/>
                  <w:sz w:val="13"/>
                  <w:szCs w:val="13"/>
                  <w:color w:val="0000FF"/>
                  <w:w w:val="97"/>
                </w:rPr>
                <w:t>Clearway Energy, Inc. Amended and Restated 2013 Equity Incentive Plan, effective as of January 1, 2022.</w:t>
              </w:r>
            </w:hyperlink>
          </w:p>
        </w:tc>
        <w:tc>
          <w:tcPr>
            <w:tcW w:w="38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10.37†</w:t>
            </w:r>
          </w:p>
        </w:tc>
        <w:tc>
          <w:tcPr>
            <w:tcW w:w="5820" w:type="dxa"/>
            <w:vAlign w:val="bottom"/>
            <w:gridSpan w:val="37"/>
          </w:tcPr>
          <w:p>
            <w:pPr>
              <w:spacing w:after="0"/>
              <w:rPr>
                <w:rFonts w:ascii="Times New Roman" w:cs="Times New Roman" w:eastAsia="Times New Roman" w:hAnsi="Times New Roman"/>
                <w:sz w:val="13"/>
                <w:szCs w:val="13"/>
                <w:color w:val="0000FF"/>
              </w:rPr>
            </w:pPr>
            <w:hyperlink r:id="rId262">
              <w:r>
                <w:rPr>
                  <w:rFonts w:ascii="Times New Roman" w:cs="Times New Roman" w:eastAsia="Times New Roman" w:hAnsi="Times New Roman"/>
                  <w:sz w:val="13"/>
                  <w:szCs w:val="13"/>
                  <w:color w:val="0000FF"/>
                </w:rPr>
                <w:t>Clearway Energy, Inc. Annual Incentive Plan, effective as of January 1, 2022.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10.34 to the Company’s Annual Report on Form 10-K, filed on March 1, 2018.</w:t>
      </w:r>
    </w:p>
    <w:p>
      <w:pPr>
        <w:spacing w:after="0" w:line="27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10.30 to the Company’s Annual Report on Form 10-K filed on February 28, 2019.</w:t>
      </w:r>
    </w:p>
    <w:p>
      <w:pPr>
        <w:spacing w:after="0" w:line="68"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May 15, 2015.</w:t>
      </w:r>
    </w:p>
    <w:p>
      <w:pPr>
        <w:spacing w:after="0" w:line="13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May 15, 2015.</w:t>
      </w:r>
    </w:p>
    <w:p>
      <w:pPr>
        <w:spacing w:after="0" w:line="13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April 20, 2020.</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April 20, 2020.</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the Company’s Current Report on Form 8-K filed on April 20, 2020.</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22, 2020.</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December 22, 2020.</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the Company’s Current Report on Form 8-K filed on December 22, 2020.</w:t>
      </w:r>
    </w:p>
    <w:p>
      <w:pPr>
        <w:spacing w:after="0" w:line="4"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3"/>
          <w:szCs w:val="13"/>
          <w:color w:val="auto"/>
        </w:rPr>
        <w:t>Incorporated by reference to Exhibit 10.31 to the Company’s Annual Report on Form 10-K, filed on March 1, 2021.</w:t>
      </w:r>
    </w:p>
    <w:p>
      <w:pPr>
        <w:spacing w:after="0" w:line="21"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10.2 to the Company’s Quarterly Report on Form 10-Q, filed on August 3, 2021.</w:t>
      </w:r>
    </w:p>
    <w:p>
      <w:pPr>
        <w:spacing w:after="0" w:line="4"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on August 23, 2021.</w:t>
      </w:r>
    </w:p>
    <w:p>
      <w:pPr>
        <w:spacing w:after="0" w:line="4"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on September 23, 2021.</w:t>
      </w:r>
    </w:p>
    <w:p>
      <w:pPr>
        <w:spacing w:after="0" w:line="4"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10.1 to the Company’s Current Report on Form 8-K, filed on October 26, 2021.</w:t>
      </w:r>
    </w:p>
    <w:p>
      <w:pPr>
        <w:spacing w:after="0" w:line="4"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3"/>
          <w:szCs w:val="13"/>
          <w:color w:val="auto"/>
        </w:rPr>
        <w:t>Incorporated by reference to Exhibit 10.2 to the Company’s Current Report on Form 8-K, filed on December 1, 2021.</w:t>
      </w:r>
    </w:p>
    <w:p>
      <w:pPr>
        <w:spacing w:after="0" w:line="13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January 18, 2022.</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10.2 to the Company’s Current Report on Form 8-K filed on January 18,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10.3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10.4 to the Company’s Quarterly Report on Form 10-Q filed on May 5, 2022.</w:t>
      </w:r>
    </w:p>
    <w:p>
      <w:pPr>
        <w:spacing w:after="0" w:line="200" w:lineRule="exact"/>
        <w:rPr>
          <w:sz w:val="20"/>
          <w:szCs w:val="20"/>
          <w:color w:val="auto"/>
        </w:rPr>
      </w:pPr>
    </w:p>
    <w:p>
      <w:pPr>
        <w:sectPr>
          <w:pgSz w:w="11900" w:h="16838" w:orient="portrait"/>
          <w:cols w:equalWidth="0" w:num="2">
            <w:col w:w="6760" w:space="140"/>
            <w:col w:w="4300"/>
          </w:cols>
          <w:pgMar w:left="340" w:top="765" w:right="359" w:bottom="1440" w:gutter="0" w:footer="0" w:header="0"/>
        </w:sect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type w:val="continuous"/>
        </w:sectPr>
      </w:pPr>
    </w:p>
    <w:bookmarkStart w:id="128" w:name="page129"/>
    <w:bookmarkEnd w:id="128"/>
    <w:p>
      <w:pPr>
        <w:ind w:left="21"/>
        <w:spacing w:after="0"/>
        <w:tabs>
          <w:tab w:leader="none" w:pos="1001"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10.38†</w:t>
      </w:r>
      <w:r>
        <w:rPr>
          <w:sz w:val="20"/>
          <w:szCs w:val="20"/>
          <w:color w:val="auto"/>
        </w:rPr>
        <w:tab/>
      </w:r>
      <w:hyperlink r:id="rId264">
        <w:r>
          <w:rPr>
            <w:rFonts w:ascii="Times New Roman" w:cs="Times New Roman" w:eastAsia="Times New Roman" w:hAnsi="Times New Roman"/>
            <w:sz w:val="12"/>
            <w:szCs w:val="12"/>
            <w:u w:val="single" w:color="auto"/>
            <w:color w:val="0000FF"/>
          </w:rPr>
          <w:t>Clearway Energy, Inc. Involuntary Severance Plan, effective as of January 1, 2022.</w:t>
        </w:r>
      </w:hyperlink>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10.5 to the Company’s Quarterly Report on Form 10-Q filed on May 5, 2022.</w:t>
      </w:r>
    </w:p>
    <w:p>
      <w:pPr>
        <w:spacing w:after="0" w:line="1" w:lineRule="exact"/>
        <w:rPr>
          <w:sz w:val="20"/>
          <w:szCs w:val="20"/>
          <w:color w:val="auto"/>
        </w:rPr>
      </w:pPr>
    </w:p>
    <w:p>
      <w:pPr>
        <w:sectPr>
          <w:pgSz w:w="11900" w:h="16838" w:orient="portrait"/>
          <w:cols w:equalWidth="0" w:num="2">
            <w:col w:w="6201" w:space="720"/>
            <w:col w:w="4300"/>
          </w:cols>
          <w:pgMar w:left="319" w:top="765" w:right="359" w:bottom="1440" w:gutter="0" w:footer="0" w:header="0"/>
        </w:sectPr>
      </w:pPr>
    </w:p>
    <w:tbl>
      <w:tblPr>
        <w:tblLayout w:type="fixed"/>
        <w:tblInd w:w="21" w:type="dxa"/>
        <w:tblCellMar>
          <w:top w:w="0" w:type="dxa"/>
          <w:left w:w="0" w:type="dxa"/>
          <w:bottom w:w="0" w:type="dxa"/>
          <w:right w:w="0" w:type="dxa"/>
        </w:tblCellMar>
      </w:tblPr>
      <w:tr>
        <w:trPr>
          <w:trHeight w:val="142"/>
        </w:trPr>
        <w:tc>
          <w:tcPr>
            <w:tcW w:w="10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10.39†</w:t>
            </w:r>
          </w:p>
        </w:tc>
        <w:tc>
          <w:tcPr>
            <w:tcW w:w="5760" w:type="dxa"/>
            <w:vAlign w:val="bottom"/>
            <w:tcBorders>
              <w:bottom w:val="single" w:sz="8" w:color="0000FF"/>
            </w:tcBorders>
            <w:gridSpan w:val="8"/>
          </w:tcPr>
          <w:p>
            <w:pPr>
              <w:spacing w:after="0" w:line="143" w:lineRule="exact"/>
              <w:rPr>
                <w:rFonts w:ascii="Times New Roman" w:cs="Times New Roman" w:eastAsia="Times New Roman" w:hAnsi="Times New Roman"/>
                <w:sz w:val="13"/>
                <w:szCs w:val="13"/>
                <w:color w:val="0000FF"/>
                <w:w w:val="97"/>
              </w:rPr>
            </w:pPr>
            <w:hyperlink r:id="rId265">
              <w:r>
                <w:rPr>
                  <w:rFonts w:ascii="Times New Roman" w:cs="Times New Roman" w:eastAsia="Times New Roman" w:hAnsi="Times New Roman"/>
                  <w:sz w:val="13"/>
                  <w:szCs w:val="13"/>
                  <w:color w:val="0000FF"/>
                  <w:w w:val="97"/>
                </w:rPr>
                <w:t>Clearway Energy, Inc. Key Management Change-in-Control and General Severance Plan, effective as of January</w:t>
              </w:r>
            </w:hyperlink>
          </w:p>
        </w:tc>
      </w:tr>
      <w:tr>
        <w:trPr>
          <w:trHeight w:val="107"/>
        </w:trPr>
        <w:tc>
          <w:tcPr>
            <w:tcW w:w="1000" w:type="dxa"/>
            <w:vAlign w:val="bottom"/>
          </w:tcPr>
          <w:p>
            <w:pPr>
              <w:spacing w:after="0"/>
              <w:rPr>
                <w:sz w:val="9"/>
                <w:szCs w:val="9"/>
                <w:color w:val="auto"/>
              </w:rPr>
            </w:pPr>
          </w:p>
        </w:tc>
        <w:tc>
          <w:tcPr>
            <w:tcW w:w="420" w:type="dxa"/>
            <w:vAlign w:val="bottom"/>
            <w:tcBorders>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1, 2022.</w:t>
              </w:r>
            </w:hyperlink>
          </w:p>
        </w:tc>
        <w:tc>
          <w:tcPr>
            <w:tcW w:w="1640" w:type="dxa"/>
            <w:vAlign w:val="bottom"/>
          </w:tcPr>
          <w:p>
            <w:pPr>
              <w:spacing w:after="0"/>
              <w:rPr>
                <w:sz w:val="9"/>
                <w:szCs w:val="9"/>
                <w:color w:val="auto"/>
              </w:rPr>
            </w:pPr>
          </w:p>
        </w:tc>
        <w:tc>
          <w:tcPr>
            <w:tcW w:w="33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10.40†</w:t>
            </w:r>
          </w:p>
        </w:tc>
        <w:tc>
          <w:tcPr>
            <w:tcW w:w="5760" w:type="dxa"/>
            <w:vAlign w:val="bottom"/>
            <w:gridSpan w:val="8"/>
          </w:tcPr>
          <w:p>
            <w:pPr>
              <w:spacing w:after="0"/>
              <w:rPr>
                <w:rFonts w:ascii="Times New Roman" w:cs="Times New Roman" w:eastAsia="Times New Roman" w:hAnsi="Times New Roman"/>
                <w:sz w:val="13"/>
                <w:szCs w:val="13"/>
                <w:color w:val="0000FF"/>
              </w:rPr>
            </w:pPr>
            <w:hyperlink r:id="rId266">
              <w:r>
                <w:rPr>
                  <w:rFonts w:ascii="Times New Roman" w:cs="Times New Roman" w:eastAsia="Times New Roman" w:hAnsi="Times New Roman"/>
                  <w:sz w:val="13"/>
                  <w:szCs w:val="13"/>
                  <w:color w:val="0000FF"/>
                </w:rPr>
                <w:t>Clearway Energy, Inc. Executive Change-in-Control and General Severance Plan, effective as of January 1,</w:t>
              </w:r>
            </w:hyperlink>
          </w:p>
        </w:tc>
      </w:tr>
      <w:tr>
        <w:trPr>
          <w:trHeight w:val="107"/>
        </w:trPr>
        <w:tc>
          <w:tcPr>
            <w:tcW w:w="1000" w:type="dxa"/>
            <w:vAlign w:val="bottom"/>
          </w:tcPr>
          <w:p>
            <w:pPr>
              <w:spacing w:after="0"/>
              <w:rPr>
                <w:sz w:val="9"/>
                <w:szCs w:val="9"/>
                <w:color w:val="auto"/>
              </w:rPr>
            </w:pPr>
          </w:p>
        </w:tc>
        <w:tc>
          <w:tcPr>
            <w:tcW w:w="3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66">
              <w:r>
                <w:rPr>
                  <w:rFonts w:ascii="Times New Roman" w:cs="Times New Roman" w:eastAsia="Times New Roman" w:hAnsi="Times New Roman"/>
                  <w:sz w:val="12"/>
                  <w:szCs w:val="12"/>
                  <w:color w:val="0000FF"/>
                </w:rPr>
                <w:t>2022.</w:t>
              </w:r>
            </w:hyperlink>
          </w:p>
        </w:tc>
        <w:tc>
          <w:tcPr>
            <w:tcW w:w="120" w:type="dxa"/>
            <w:vAlign w:val="bottom"/>
            <w:tcBorders>
              <w:top w:val="single" w:sz="8" w:color="0000FF"/>
            </w:tcBorders>
          </w:tcPr>
          <w:p>
            <w:pPr>
              <w:spacing w:after="0"/>
              <w:rPr>
                <w:sz w:val="9"/>
                <w:szCs w:val="9"/>
                <w:color w:val="auto"/>
              </w:rPr>
            </w:pPr>
          </w:p>
        </w:tc>
        <w:tc>
          <w:tcPr>
            <w:tcW w:w="1640" w:type="dxa"/>
            <w:vAlign w:val="bottom"/>
            <w:tcBorders>
              <w:top w:val="single" w:sz="8" w:color="0000FF"/>
            </w:tcBorders>
          </w:tcPr>
          <w:p>
            <w:pPr>
              <w:spacing w:after="0"/>
              <w:rPr>
                <w:sz w:val="9"/>
                <w:szCs w:val="9"/>
                <w:color w:val="auto"/>
              </w:rPr>
            </w:pPr>
          </w:p>
        </w:tc>
        <w:tc>
          <w:tcPr>
            <w:tcW w:w="334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10.41*^</w:t>
            </w:r>
          </w:p>
        </w:tc>
        <w:tc>
          <w:tcPr>
            <w:tcW w:w="5760" w:type="dxa"/>
            <w:vAlign w:val="bottom"/>
            <w:gridSpan w:val="8"/>
          </w:tcPr>
          <w:p>
            <w:pPr>
              <w:spacing w:after="0"/>
              <w:rPr>
                <w:rFonts w:ascii="Times New Roman" w:cs="Times New Roman" w:eastAsia="Times New Roman" w:hAnsi="Times New Roman"/>
                <w:sz w:val="13"/>
                <w:szCs w:val="13"/>
                <w:color w:val="0000FF"/>
                <w:w w:val="98"/>
              </w:rPr>
            </w:pPr>
            <w:hyperlink r:id="rId267">
              <w:r>
                <w:rPr>
                  <w:rFonts w:ascii="Times New Roman" w:cs="Times New Roman" w:eastAsia="Times New Roman" w:hAnsi="Times New Roman"/>
                  <w:sz w:val="13"/>
                  <w:szCs w:val="13"/>
                  <w:color w:val="0000FF"/>
                  <w:w w:val="98"/>
                </w:rPr>
                <w:t>Membership Interest Purchase Agreement, dated as of December 23, 2022, by and between VP-Arica CE Seller</w:t>
              </w:r>
            </w:hyperlink>
          </w:p>
        </w:tc>
      </w:tr>
      <w:tr>
        <w:trPr>
          <w:trHeight w:val="107"/>
        </w:trPr>
        <w:tc>
          <w:tcPr>
            <w:tcW w:w="1000" w:type="dxa"/>
            <w:vAlign w:val="bottom"/>
          </w:tcPr>
          <w:p>
            <w:pPr>
              <w:spacing w:after="0"/>
              <w:rPr>
                <w:sz w:val="9"/>
                <w:szCs w:val="9"/>
                <w:color w:val="auto"/>
              </w:rPr>
            </w:pPr>
          </w:p>
        </w:tc>
        <w:tc>
          <w:tcPr>
            <w:tcW w:w="206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67">
              <w:r>
                <w:rPr>
                  <w:rFonts w:ascii="Times New Roman" w:cs="Times New Roman" w:eastAsia="Times New Roman" w:hAnsi="Times New Roman"/>
                  <w:sz w:val="12"/>
                  <w:szCs w:val="12"/>
                  <w:color w:val="0000FF"/>
                </w:rPr>
                <w:t>LLC and VP-Arica Parent Holdco LLC.</w:t>
              </w:r>
            </w:hyperlink>
          </w:p>
        </w:tc>
        <w:tc>
          <w:tcPr>
            <w:tcW w:w="3640" w:type="dxa"/>
            <w:vAlign w:val="bottom"/>
            <w:tcBorders>
              <w:top w:val="single" w:sz="8" w:color="0000FF"/>
            </w:tcBorders>
            <w:gridSpan w:val="4"/>
          </w:tcPr>
          <w:p>
            <w:pPr>
              <w:spacing w:after="0"/>
              <w:rPr>
                <w:sz w:val="9"/>
                <w:szCs w:val="9"/>
                <w:color w:val="auto"/>
              </w:rPr>
            </w:pPr>
          </w:p>
        </w:tc>
        <w:tc>
          <w:tcPr>
            <w:tcW w:w="60" w:type="dxa"/>
            <w:vAlign w:val="bottom"/>
          </w:tcPr>
          <w:p>
            <w:pPr>
              <w:spacing w:after="0"/>
              <w:rPr>
                <w:sz w:val="9"/>
                <w:szCs w:val="9"/>
                <w:color w:val="auto"/>
              </w:rPr>
            </w:pPr>
          </w:p>
        </w:tc>
      </w:tr>
      <w:tr>
        <w:trPr>
          <w:trHeight w:val="150"/>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10.42</w:t>
            </w:r>
          </w:p>
        </w:tc>
        <w:tc>
          <w:tcPr>
            <w:tcW w:w="5760" w:type="dxa"/>
            <w:vAlign w:val="bottom"/>
            <w:gridSpan w:val="8"/>
          </w:tcPr>
          <w:p>
            <w:pPr>
              <w:spacing w:after="0"/>
              <w:rPr>
                <w:sz w:val="20"/>
                <w:szCs w:val="20"/>
                <w:color w:val="auto"/>
              </w:rPr>
            </w:pPr>
            <w:r>
              <w:rPr>
                <w:rFonts w:ascii="Times New Roman" w:cs="Times New Roman" w:eastAsia="Times New Roman" w:hAnsi="Times New Roman"/>
                <w:sz w:val="13"/>
                <w:szCs w:val="13"/>
                <w:color w:val="0000FF"/>
              </w:rPr>
              <w:t>Amended and Restated Master Services Agreement, dated as of February 2, 2023, by and among Clearway</w:t>
            </w:r>
          </w:p>
        </w:tc>
      </w:tr>
      <w:tr>
        <w:trPr>
          <w:trHeight w:val="107"/>
        </w:trPr>
        <w:tc>
          <w:tcPr>
            <w:tcW w:w="1000" w:type="dxa"/>
            <w:vAlign w:val="bottom"/>
          </w:tcPr>
          <w:p>
            <w:pPr>
              <w:spacing w:after="0"/>
              <w:rPr>
                <w:sz w:val="9"/>
                <w:szCs w:val="9"/>
                <w:color w:val="auto"/>
              </w:rPr>
            </w:pPr>
          </w:p>
        </w:tc>
        <w:tc>
          <w:tcPr>
            <w:tcW w:w="540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Energy Group LLC, Clearway Energy, Inc., Clearway Energy LLC and Clearway Energy Operating LLC.</w:t>
            </w:r>
          </w:p>
        </w:tc>
        <w:tc>
          <w:tcPr>
            <w:tcW w:w="60" w:type="dxa"/>
            <w:vAlign w:val="bottom"/>
            <w:tcBorders>
              <w:top w:val="single" w:sz="8" w:color="0000FF"/>
            </w:tcBorders>
          </w:tcPr>
          <w:p>
            <w:pPr>
              <w:spacing w:after="0"/>
              <w:rPr>
                <w:sz w:val="9"/>
                <w:szCs w:val="9"/>
                <w:color w:val="auto"/>
              </w:rPr>
            </w:pPr>
          </w:p>
        </w:tc>
        <w:tc>
          <w:tcPr>
            <w:tcW w:w="300" w:type="dxa"/>
            <w:vAlign w:val="bottom"/>
            <w:gridSpan w:val="3"/>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10.6 to the Company’s Quarterly Report on Form 10-Q filed on May 5, 2022.</w:t>
      </w:r>
    </w:p>
    <w:p>
      <w:pPr>
        <w:spacing w:after="0" w:line="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10.7 to the Company’s Quarterly Report on Form 10-Q filed on May 5, 2022.</w:t>
      </w:r>
    </w:p>
    <w:p>
      <w:pPr>
        <w:spacing w:after="0" w:line="4"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10.1 to the Company’s Current Report on Form 8-K filed on December 29,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Filed herewith.</w:t>
      </w:r>
    </w:p>
    <w:p>
      <w:pPr>
        <w:spacing w:after="0" w:line="136" w:lineRule="exact"/>
        <w:rPr>
          <w:sz w:val="20"/>
          <w:szCs w:val="20"/>
          <w:color w:val="auto"/>
        </w:rPr>
      </w:pPr>
    </w:p>
    <w:p>
      <w:pPr>
        <w:sectPr>
          <w:pgSz w:w="11900" w:h="16838" w:orient="portrait"/>
          <w:cols w:equalWidth="0" w:num="2">
            <w:col w:w="6781" w:space="140"/>
            <w:col w:w="4300"/>
          </w:cols>
          <w:pgMar w:left="319" w:top="765" w:right="359" w:bottom="1440" w:gutter="0" w:footer="0" w:header="0"/>
          <w:type w:val="continuous"/>
        </w:sectPr>
      </w:pPr>
    </w:p>
    <w:tbl>
      <w:tblPr>
        <w:tblLayout w:type="fixed"/>
        <w:tblInd w:w="21" w:type="dxa"/>
        <w:tblCellMar>
          <w:top w:w="0" w:type="dxa"/>
          <w:left w:w="0" w:type="dxa"/>
          <w:bottom w:w="0" w:type="dxa"/>
          <w:right w:w="0" w:type="dxa"/>
        </w:tblCellMar>
      </w:tblPr>
      <w:tr>
        <w:trPr>
          <w:trHeight w:val="149"/>
        </w:trPr>
        <w:tc>
          <w:tcPr>
            <w:tcW w:w="1000" w:type="dxa"/>
            <w:vAlign w:val="bottom"/>
          </w:tcPr>
          <w:p>
            <w:pPr>
              <w:jc w:val="right"/>
              <w:ind w:right="656"/>
              <w:spacing w:after="0"/>
              <w:rPr>
                <w:sz w:val="20"/>
                <w:szCs w:val="20"/>
                <w:color w:val="auto"/>
              </w:rPr>
            </w:pPr>
            <w:r>
              <w:rPr>
                <w:rFonts w:ascii="Times New Roman" w:cs="Times New Roman" w:eastAsia="Times New Roman" w:hAnsi="Times New Roman"/>
                <w:sz w:val="13"/>
                <w:szCs w:val="13"/>
                <w:color w:val="auto"/>
                <w:w w:val="88"/>
              </w:rPr>
              <w:t>10.43</w:t>
            </w:r>
          </w:p>
        </w:tc>
        <w:tc>
          <w:tcPr>
            <w:tcW w:w="56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Amended and Restated Master Services Agreement, dated as of February 2, 2023, by and among Clearway</w:t>
            </w:r>
          </w:p>
        </w:tc>
        <w:tc>
          <w:tcPr>
            <w:tcW w:w="1000" w:type="dxa"/>
            <w:vAlign w:val="bottom"/>
          </w:tcPr>
          <w:p>
            <w:pPr>
              <w:ind w:left="220"/>
              <w:spacing w:after="0"/>
              <w:rPr>
                <w:sz w:val="20"/>
                <w:szCs w:val="20"/>
                <w:color w:val="auto"/>
              </w:rPr>
            </w:pPr>
            <w:r>
              <w:rPr>
                <w:rFonts w:ascii="Times New Roman" w:cs="Times New Roman" w:eastAsia="Times New Roman" w:hAnsi="Times New Roman"/>
                <w:sz w:val="13"/>
                <w:szCs w:val="13"/>
                <w:color w:val="auto"/>
                <w:w w:val="96"/>
              </w:rPr>
              <w:t>Filed herewith.</w:t>
            </w:r>
          </w:p>
        </w:tc>
      </w:tr>
      <w:tr>
        <w:trPr>
          <w:trHeight w:val="107"/>
        </w:trPr>
        <w:tc>
          <w:tcPr>
            <w:tcW w:w="1000" w:type="dxa"/>
            <w:vAlign w:val="bottom"/>
          </w:tcPr>
          <w:p>
            <w:pPr>
              <w:spacing w:after="0"/>
              <w:rPr>
                <w:sz w:val="9"/>
                <w:szCs w:val="9"/>
                <w:color w:val="auto"/>
              </w:rPr>
            </w:pPr>
          </w:p>
        </w:tc>
        <w:tc>
          <w:tcPr>
            <w:tcW w:w="540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Energy, Inc., Clearway Energy LLC, Clearway Energy Operating LLC and Clearway Energy Group LLC.</w:t>
            </w:r>
          </w:p>
        </w:tc>
        <w:tc>
          <w:tcPr>
            <w:tcW w:w="60" w:type="dxa"/>
            <w:vAlign w:val="bottom"/>
            <w:tcBorders>
              <w:top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21" w:lineRule="exact"/>
        <w:rPr>
          <w:sz w:val="20"/>
          <w:szCs w:val="20"/>
          <w:color w:val="auto"/>
        </w:rPr>
      </w:pPr>
    </w:p>
    <w:p>
      <w:pPr>
        <w:sectPr>
          <w:pgSz w:w="11900" w:h="16838" w:orient="portrait"/>
          <w:cols w:equalWidth="0" w:num="1">
            <w:col w:w="11221"/>
          </w:cols>
          <w:pgMar w:left="319" w:top="765" w:right="359" w:bottom="1440" w:gutter="0" w:footer="0" w:header="0"/>
          <w:type w:val="continuous"/>
        </w:sectPr>
      </w:pPr>
    </w:p>
    <w:p>
      <w:pPr>
        <w:ind w:left="21"/>
        <w:spacing w:after="0"/>
        <w:tabs>
          <w:tab w:leader="none" w:pos="1001"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16.1</w:t>
      </w:r>
      <w:r>
        <w:rPr>
          <w:sz w:val="20"/>
          <w:szCs w:val="20"/>
          <w:color w:val="auto"/>
        </w:rPr>
        <w:tab/>
      </w:r>
      <w:hyperlink r:id="rId268">
        <w:r>
          <w:rPr>
            <w:rFonts w:ascii="Times New Roman" w:cs="Times New Roman" w:eastAsia="Times New Roman" w:hAnsi="Times New Roman"/>
            <w:sz w:val="12"/>
            <w:szCs w:val="12"/>
            <w:u w:val="single" w:color="auto"/>
            <w:color w:val="0000FF"/>
          </w:rPr>
          <w:t>Letter from KPMG LLP, dated March 15, 2021.</w:t>
        </w:r>
      </w:hyperlink>
    </w:p>
    <w:p>
      <w:pPr>
        <w:spacing w:after="0" w:line="20" w:lineRule="exact"/>
        <w:rPr>
          <w:sz w:val="20"/>
          <w:szCs w:val="20"/>
          <w:color w:val="auto"/>
        </w:rPr>
      </w:pPr>
      <w:r>
        <w:rPr>
          <w:sz w:val="20"/>
          <w:szCs w:val="20"/>
          <w:color w:val="auto"/>
        </w:rPr>
        <w:br w:type="column"/>
      </w:r>
    </w:p>
    <w:p>
      <w:pPr>
        <w:ind w:right="100"/>
        <w:spacing w:after="0" w:line="235" w:lineRule="auto"/>
        <w:rPr>
          <w:sz w:val="20"/>
          <w:szCs w:val="20"/>
          <w:color w:val="auto"/>
        </w:rPr>
      </w:pPr>
      <w:r>
        <w:rPr>
          <w:rFonts w:ascii="Times New Roman" w:cs="Times New Roman" w:eastAsia="Times New Roman" w:hAnsi="Times New Roman"/>
          <w:sz w:val="13"/>
          <w:szCs w:val="13"/>
          <w:color w:val="auto"/>
        </w:rPr>
        <w:t>Incorporated herein by reference to Exhibit 16.1 to the Company’s Current Report on Form 8-K filed on March 15, 2021.</w:t>
      </w:r>
    </w:p>
    <w:p>
      <w:pPr>
        <w:spacing w:after="0" w:line="1" w:lineRule="exact"/>
        <w:rPr>
          <w:sz w:val="20"/>
          <w:szCs w:val="20"/>
          <w:color w:val="auto"/>
        </w:rPr>
      </w:pPr>
    </w:p>
    <w:p>
      <w:pPr>
        <w:sectPr>
          <w:pgSz w:w="11900" w:h="16838" w:orient="portrait"/>
          <w:cols w:equalWidth="0" w:num="2">
            <w:col w:w="6201" w:space="720"/>
            <w:col w:w="4300"/>
          </w:cols>
          <w:pgMar w:left="319" w:top="765" w:right="359" w:bottom="1440" w:gutter="0" w:footer="0" w:header="0"/>
          <w:type w:val="continuous"/>
        </w:sectPr>
      </w:pPr>
    </w:p>
    <w:tbl>
      <w:tblPr>
        <w:tblLayout w:type="fixed"/>
        <w:tblInd w:w="21" w:type="dxa"/>
        <w:tblCellMar>
          <w:top w:w="0" w:type="dxa"/>
          <w:left w:w="0" w:type="dxa"/>
          <w:bottom w:w="0" w:type="dxa"/>
          <w:right w:w="0" w:type="dxa"/>
        </w:tblCellMar>
      </w:tblPr>
      <w:tr>
        <w:trPr>
          <w:trHeight w:val="142"/>
        </w:trPr>
        <w:tc>
          <w:tcPr>
            <w:tcW w:w="100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21.1</w:t>
            </w:r>
          </w:p>
        </w:tc>
        <w:tc>
          <w:tcPr>
            <w:tcW w:w="1940" w:type="dxa"/>
            <w:vAlign w:val="bottom"/>
            <w:tcBorders>
              <w:bottom w:val="single" w:sz="8" w:color="0000FF"/>
            </w:tcBorders>
            <w:gridSpan w:val="5"/>
          </w:tcPr>
          <w:p>
            <w:pPr>
              <w:spacing w:after="0" w:line="143" w:lineRule="exact"/>
              <w:rPr>
                <w:sz w:val="20"/>
                <w:szCs w:val="20"/>
                <w:color w:val="auto"/>
              </w:rPr>
            </w:pPr>
            <w:r>
              <w:rPr>
                <w:rFonts w:ascii="Times New Roman" w:cs="Times New Roman" w:eastAsia="Times New Roman" w:hAnsi="Times New Roman"/>
                <w:sz w:val="13"/>
                <w:szCs w:val="13"/>
                <w:color w:val="0000FF"/>
                <w:w w:val="97"/>
              </w:rPr>
              <w:t>Subsidiaries of Clearway Energy, Inc.</w:t>
            </w:r>
          </w:p>
        </w:tc>
        <w:tc>
          <w:tcPr>
            <w:tcW w:w="2620" w:type="dxa"/>
            <w:vAlign w:val="bottom"/>
            <w:gridSpan w:val="3"/>
          </w:tcPr>
          <w:p>
            <w:pPr>
              <w:spacing w:after="0"/>
              <w:rPr>
                <w:sz w:val="12"/>
                <w:szCs w:val="12"/>
                <w:color w:val="auto"/>
              </w:rPr>
            </w:pPr>
          </w:p>
        </w:tc>
        <w:tc>
          <w:tcPr>
            <w:tcW w:w="4840" w:type="dxa"/>
            <w:vAlign w:val="bottom"/>
          </w:tcPr>
          <w:p>
            <w:pPr>
              <w:ind w:left="1340"/>
              <w:spacing w:after="0" w:line="143" w:lineRule="exact"/>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23.1</w:t>
            </w:r>
          </w:p>
        </w:tc>
        <w:tc>
          <w:tcPr>
            <w:tcW w:w="16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3"/>
                <w:szCs w:val="13"/>
                <w:color w:val="0000FF"/>
                <w:w w:val="95"/>
              </w:rPr>
              <w:t>Consent of Ernst &amp; Young LLP.</w:t>
            </w:r>
          </w:p>
        </w:tc>
        <w:tc>
          <w:tcPr>
            <w:tcW w:w="2920" w:type="dxa"/>
            <w:vAlign w:val="bottom"/>
            <w:gridSpan w:val="4"/>
          </w:tcPr>
          <w:p>
            <w:pPr>
              <w:spacing w:after="0"/>
              <w:rPr>
                <w:sz w:val="13"/>
                <w:szCs w:val="13"/>
                <w:color w:val="auto"/>
              </w:rPr>
            </w:pP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23.2</w:t>
            </w:r>
          </w:p>
        </w:tc>
        <w:tc>
          <w:tcPr>
            <w:tcW w:w="1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w w:val="95"/>
              </w:rPr>
              <w:t>Consent of KPMG LLP.</w:t>
            </w:r>
          </w:p>
        </w:tc>
        <w:tc>
          <w:tcPr>
            <w:tcW w:w="3320" w:type="dxa"/>
            <w:vAlign w:val="bottom"/>
            <w:gridSpan w:val="6"/>
          </w:tcPr>
          <w:p>
            <w:pPr>
              <w:spacing w:after="0"/>
              <w:rPr>
                <w:sz w:val="13"/>
                <w:szCs w:val="13"/>
                <w:color w:val="auto"/>
              </w:rPr>
            </w:pP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24.1</w:t>
            </w:r>
          </w:p>
        </w:tc>
        <w:tc>
          <w:tcPr>
            <w:tcW w:w="9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w w:val="97"/>
              </w:rPr>
              <w:t>Power of Attorney</w:t>
            </w:r>
          </w:p>
        </w:tc>
        <w:tc>
          <w:tcPr>
            <w:tcW w:w="3600" w:type="dxa"/>
            <w:vAlign w:val="bottom"/>
            <w:gridSpan w:val="7"/>
          </w:tcPr>
          <w:p>
            <w:pPr>
              <w:spacing w:after="0"/>
              <w:rPr>
                <w:sz w:val="13"/>
                <w:szCs w:val="13"/>
                <w:color w:val="auto"/>
              </w:rPr>
            </w:pP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w w:val="97"/>
              </w:rPr>
              <w:t>Included on the signature page of this Annual Report on Form 10-K.</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31.1</w:t>
            </w:r>
          </w:p>
        </w:tc>
        <w:tc>
          <w:tcPr>
            <w:tcW w:w="32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Christopher S. Sotos.</w:t>
            </w:r>
          </w:p>
        </w:tc>
        <w:tc>
          <w:tcPr>
            <w:tcW w:w="1340" w:type="dxa"/>
            <w:vAlign w:val="bottom"/>
          </w:tcPr>
          <w:p>
            <w:pPr>
              <w:spacing w:after="0"/>
              <w:rPr>
                <w:sz w:val="13"/>
                <w:szCs w:val="13"/>
                <w:color w:val="auto"/>
              </w:rPr>
            </w:pP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31.2</w:t>
            </w:r>
          </w:p>
        </w:tc>
        <w:tc>
          <w:tcPr>
            <w:tcW w:w="30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1500" w:type="dxa"/>
            <w:vAlign w:val="bottom"/>
            <w:gridSpan w:val="2"/>
          </w:tcPr>
          <w:p>
            <w:pPr>
              <w:spacing w:after="0"/>
              <w:rPr>
                <w:sz w:val="13"/>
                <w:szCs w:val="13"/>
                <w:color w:val="auto"/>
              </w:rPr>
            </w:pP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5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800" w:type="dxa"/>
            <w:vAlign w:val="bottom"/>
          </w:tcPr>
          <w:p>
            <w:pPr>
              <w:spacing w:after="0"/>
              <w:rPr>
                <w:sz w:val="13"/>
                <w:szCs w:val="13"/>
                <w:color w:val="auto"/>
              </w:rPr>
            </w:pPr>
          </w:p>
        </w:tc>
        <w:tc>
          <w:tcPr>
            <w:tcW w:w="4560" w:type="dxa"/>
            <w:vAlign w:val="bottom"/>
            <w:gridSpan w:val="8"/>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Furnished herewith.</w:t>
            </w:r>
          </w:p>
        </w:tc>
      </w:tr>
      <w:tr>
        <w:trPr>
          <w:trHeight w:val="20"/>
        </w:trPr>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177"/>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INS</w:t>
            </w:r>
          </w:p>
        </w:tc>
        <w:tc>
          <w:tcPr>
            <w:tcW w:w="4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w:t>
            </w:r>
          </w:p>
        </w:tc>
        <w:tc>
          <w:tcPr>
            <w:tcW w:w="4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CAL</w:t>
            </w:r>
          </w:p>
        </w:tc>
        <w:tc>
          <w:tcPr>
            <w:tcW w:w="4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w:t>
            </w:r>
          </w:p>
        </w:tc>
        <w:tc>
          <w:tcPr>
            <w:tcW w:w="4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LAB</w:t>
            </w:r>
          </w:p>
        </w:tc>
        <w:tc>
          <w:tcPr>
            <w:tcW w:w="4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r>
        <w:trPr>
          <w:trHeight w:val="170"/>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w w:val="92"/>
              </w:rPr>
              <w:t>101</w:t>
            </w:r>
          </w:p>
        </w:tc>
        <w:tc>
          <w:tcPr>
            <w:tcW w:w="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w:t>
            </w:r>
          </w:p>
        </w:tc>
        <w:tc>
          <w:tcPr>
            <w:tcW w:w="456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4840" w:type="dxa"/>
            <w:vAlign w:val="bottom"/>
          </w:tcPr>
          <w:p>
            <w:pPr>
              <w:ind w:left="1340"/>
              <w:spacing w:after="0"/>
              <w:rPr>
                <w:sz w:val="20"/>
                <w:szCs w:val="20"/>
                <w:color w:val="auto"/>
              </w:rPr>
            </w:pPr>
            <w:r>
              <w:rPr>
                <w:rFonts w:ascii="Times New Roman" w:cs="Times New Roman" w:eastAsia="Times New Roman" w:hAnsi="Times New Roman"/>
                <w:sz w:val="13"/>
                <w:szCs w:val="13"/>
                <w:color w:val="auto"/>
              </w:rPr>
              <w:t>Filed herewith.</w:t>
            </w:r>
          </w:p>
        </w:tc>
      </w:tr>
    </w:tbl>
    <w:p>
      <w:pPr>
        <w:spacing w:after="0" w:line="4" w:lineRule="exact"/>
        <w:rPr>
          <w:sz w:val="20"/>
          <w:szCs w:val="20"/>
          <w:color w:val="auto"/>
        </w:rPr>
      </w:pPr>
    </w:p>
    <w:p>
      <w:pPr>
        <w:ind w:left="1021" w:right="4520" w:hanging="1000"/>
        <w:spacing w:after="0" w:line="235" w:lineRule="auto"/>
        <w:tabs>
          <w:tab w:leader="none" w:pos="1021" w:val="left"/>
        </w:tabs>
        <w:numPr>
          <w:ilvl w:val="1"/>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(the cover page interactive date file does not appear in Exhibit 104 because its Inline XBRL tags are embedded within the Inline XBRL document)</w:t>
      </w:r>
    </w:p>
    <w:p>
      <w:pPr>
        <w:spacing w:after="0" w:line="142" w:lineRule="exact"/>
        <w:rPr>
          <w:rFonts w:ascii="Times New Roman" w:cs="Times New Roman" w:eastAsia="Times New Roman" w:hAnsi="Times New Roman"/>
          <w:sz w:val="13"/>
          <w:szCs w:val="13"/>
          <w:color w:val="auto"/>
        </w:rPr>
      </w:pPr>
    </w:p>
    <w:p>
      <w:pPr>
        <w:ind w:left="661" w:hanging="661"/>
        <w:spacing w:after="0"/>
        <w:tabs>
          <w:tab w:leader="none" w:pos="661"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exhibits that constitute compensatory plans or arrangements.</w:t>
      </w:r>
    </w:p>
    <w:p>
      <w:pPr>
        <w:spacing w:after="0" w:line="20" w:lineRule="exact"/>
        <w:rPr>
          <w:sz w:val="20"/>
          <w:szCs w:val="20"/>
          <w:color w:val="auto"/>
        </w:rPr>
      </w:pPr>
    </w:p>
    <w:p>
      <w:pPr>
        <w:ind w:left="661" w:right="640" w:hanging="661"/>
        <w:spacing w:after="0" w:line="235" w:lineRule="auto"/>
        <w:tabs>
          <w:tab w:leader="none" w:pos="661"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filing excludes schedules pursuant to Item 601(a)(5) of Regulation S-K, which the registrant agrees to furnish supplementary to the Securities and Exchange Commission upon request by the Commission.</w:t>
      </w:r>
    </w:p>
    <w:p>
      <w:pPr>
        <w:spacing w:after="0" w:line="4" w:lineRule="exact"/>
        <w:rPr>
          <w:sz w:val="20"/>
          <w:szCs w:val="20"/>
          <w:color w:val="auto"/>
        </w:rPr>
      </w:pPr>
    </w:p>
    <w:p>
      <w:pPr>
        <w:ind w:left="661" w:right="260" w:hanging="661"/>
        <w:spacing w:after="0" w:line="235" w:lineRule="auto"/>
        <w:tabs>
          <w:tab w:leader="none" w:pos="661"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1"/>
          </w:cols>
          <w:pgMar w:left="319" w:top="765" w:right="35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color w:val="auto"/>
        </w:rPr>
        <w:t>Item 16 —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71"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7"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firstLine="223"/>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color w:val="auto"/>
        </w:rPr>
        <w:t>CLEARWAY ENERGY, INC.</w:t>
      </w:r>
    </w:p>
    <w:p>
      <w:pPr>
        <w:ind w:left="7000"/>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14605</wp:posOffset>
            </wp:positionV>
            <wp:extent cx="210185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1">
                      <a:extLst>
                        <a:ext uri="{28A0092B-C50C-407E-A947-70E740481C1C}"/>
                      </a:extLst>
                    </a:blip>
                    <a:srcRect/>
                    <a:stretch>
                      <a:fillRect/>
                    </a:stretch>
                  </pic:blipFill>
                  <pic:spPr bwMode="auto">
                    <a:xfrm>
                      <a:off x="0" y="0"/>
                      <a:ext cx="2101850" cy="6985"/>
                    </a:xfrm>
                    <a:prstGeom prst="rect">
                      <a:avLst/>
                    </a:prstGeom>
                    <a:noFill/>
                  </pic:spPr>
                </pic:pic>
              </a:graphicData>
            </a:graphic>
          </wp:anchor>
        </w:drawing>
      </w:r>
    </w:p>
    <w:p>
      <w:pPr>
        <w:spacing w:after="0" w:line="1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ind w:left="700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Date: February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27"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Christopher S. Sotos, Kevin P. Malcarney and Amelia McKeithen, each or any of them, such person’s true and lawful attorney-in-fact and agent with full power of substitution and resubstitution for such person and in such person’s name, place and stead, in any and all capacities, to sign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such person, hereby ratifying and confirming all that said attorneys-in-fact and agents, or any of them or his or their substitute or substitutes, may lawfully do or cause to be done by virtue hereof.</w:t>
      </w:r>
    </w:p>
    <w:p>
      <w:pPr>
        <w:spacing w:after="0" w:line="27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80"/>
          </w:cols>
          <w:pgMar w:left="300" w:top="727" w:right="319" w:bottom="1440" w:gutter="0" w:footer="0" w:header="0"/>
        </w:sectPr>
      </w:pPr>
    </w:p>
    <w:p>
      <w:pPr>
        <w:spacing w:after="0" w:line="1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26377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3">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4">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5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5">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1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28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6">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Jonathan Bram</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NATHANIEL ANSCHUETZ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7">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Nathaniel Anschuetz</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/s/ BRIAN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8">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color w:val="auto"/>
        </w:rPr>
        <w:t>Brian Ford</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BRUCE MACLENNAN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9">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Bruce MacLennan</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0">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Daniel B. More</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E. STANLEY O’NEAL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1">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E. Stanley O’Neal</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JENNIFER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2">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Jennifer Lowry</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GUILLAUME HÉDIARD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3">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Guillaume Hédiard</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VINCENT STOQUART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4">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Vincent Stoquart</w:t>
      </w:r>
    </w:p>
    <w:p>
      <w:pPr>
        <w:spacing w:after="0" w:line="136"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/s/ EMMANUEL BARROIS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26377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5">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spacing w:after="0" w:line="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4"/>
          <w:szCs w:val="14"/>
          <w:color w:val="auto"/>
        </w:rPr>
        <w:t>Emmanuel Barrois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77"/>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53"/>
        </w:trPr>
        <w:tc>
          <w:tcPr>
            <w:tcW w:w="5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420" w:type="dxa"/>
            <w:vAlign w:val="bottom"/>
            <w:gridSpan w:val="2"/>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106"/>
        </w:trPr>
        <w:tc>
          <w:tcPr>
            <w:tcW w:w="5420" w:type="dxa"/>
            <w:vAlign w:val="bottom"/>
            <w:gridSpan w:val="2"/>
            <w:vMerge w:val="restart"/>
          </w:tcPr>
          <w:p>
            <w:pPr>
              <w:ind w:left="1760"/>
              <w:spacing w:after="0" w:line="149" w:lineRule="exact"/>
              <w:rPr>
                <w:sz w:val="20"/>
                <w:szCs w:val="20"/>
                <w:color w:val="auto"/>
              </w:rPr>
            </w:pPr>
            <w:r>
              <w:rPr>
                <w:rFonts w:ascii="Times New Roman" w:cs="Times New Roman" w:eastAsia="Times New Roman" w:hAnsi="Times New Roman"/>
                <w:sz w:val="14"/>
                <w:szCs w:val="14"/>
                <w:color w:val="auto"/>
              </w:rPr>
              <w:t>(Principal Financial Officer and</w:t>
            </w:r>
          </w:p>
        </w:tc>
        <w:tc>
          <w:tcPr>
            <w:tcW w:w="2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5420" w:type="dxa"/>
            <w:vAlign w:val="bottom"/>
            <w:gridSpan w:val="2"/>
            <w:vMerge w:val="continue"/>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Chairman of the Board</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r>
        <w:trPr>
          <w:trHeight w:val="499"/>
        </w:trPr>
        <w:tc>
          <w:tcPr>
            <w:tcW w:w="5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23, 2023</w:t>
            </w:r>
          </w:p>
        </w:tc>
        <w:tc>
          <w:tcPr>
            <w:tcW w:w="0" w:type="dxa"/>
            <w:vAlign w:val="bottom"/>
          </w:tcPr>
          <w:p>
            <w:pPr>
              <w:spacing w:after="0"/>
              <w:rPr>
                <w:sz w:val="1"/>
                <w:szCs w:val="1"/>
                <w:color w:val="auto"/>
              </w:rPr>
            </w:pPr>
          </w:p>
        </w:tc>
      </w:tr>
    </w:tbl>
    <w:p>
      <w:pPr>
        <w:spacing w:after="0" w:line="336" w:lineRule="exact"/>
        <w:rPr>
          <w:sz w:val="20"/>
          <w:szCs w:val="20"/>
          <w:color w:val="auto"/>
        </w:rPr>
      </w:pPr>
    </w:p>
    <w:p>
      <w:pPr>
        <w:sectPr>
          <w:pgSz w:w="11900" w:h="16838" w:orient="portrait"/>
          <w:cols w:equalWidth="0" w:num="2">
            <w:col w:w="2940" w:space="720"/>
            <w:col w:w="7620"/>
          </w:cols>
          <w:pgMar w:left="300" w:top="72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1280"/>
          </w:cols>
          <w:pgMar w:left="300" w:top="727" w:right="31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EXCHANGE ACT OF 1934</w:t>
      </w:r>
    </w:p>
    <w:p>
      <w:pPr>
        <w:spacing w:after="0" w:line="353"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As of December 31, 2022, Clearway Energy, Inc. (the “</w:t>
      </w:r>
      <w:r>
        <w:rPr>
          <w:rFonts w:ascii="Times New Roman" w:cs="Times New Roman" w:eastAsia="Times New Roman" w:hAnsi="Times New Roman"/>
          <w:sz w:val="14"/>
          <w:szCs w:val="14"/>
          <w:i w:val="1"/>
          <w:iCs w:val="1"/>
          <w:color w:val="auto"/>
        </w:rPr>
        <w:t>Registrant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Clearway Inc</w:t>
      </w:r>
      <w:r>
        <w:rPr>
          <w:rFonts w:ascii="Times New Roman" w:cs="Times New Roman" w:eastAsia="Times New Roman" w:hAnsi="Times New Roman"/>
          <w:sz w:val="14"/>
          <w:szCs w:val="14"/>
          <w:color w:val="auto"/>
        </w:rPr>
        <w:t>.”) had two classes of securities registered under Section 12 of the Securities Exchange Act of 1934, as amended (the “</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(i) Common Stock, Class A, par value $0.01 per share, and (ii) Common Stock, Class C, par value $0.01 per share.</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Clearway Inc.’s Capital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following description of Clearway Inc.’s common stock is a summary and does not purport to be complete. It is subject to and qualified in its entirety by reference to Clearway Inc.’s amended and restated certificate of incorporation, and Clearway Inc.’s fourth amended and restated bylaws, which are exhibits to this Annual Report on Form 10-K and are incorporated by reference herein. The following description may not contain all of the information that is important to you. To understand them fully, you should read Clearway Inc.’s amended and restated certificate of incorporation, Clearway Inc.’s fourth amended and restated bylaws and the applicable provisions of the Delaware General Corporation Law (the “</w:t>
      </w:r>
      <w:r>
        <w:rPr>
          <w:rFonts w:ascii="Times New Roman" w:cs="Times New Roman" w:eastAsia="Times New Roman" w:hAnsi="Times New Roman"/>
          <w:sz w:val="14"/>
          <w:szCs w:val="14"/>
          <w:i w:val="1"/>
          <w:iCs w:val="1"/>
          <w:color w:val="auto"/>
        </w:rPr>
        <w:t>DGCL</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Capitalization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Our authorized capital stock consists, as of December 31, 2022, of:</w:t>
      </w:r>
    </w:p>
    <w:p>
      <w:pPr>
        <w:spacing w:after="0" w:line="134" w:lineRule="exact"/>
        <w:rPr>
          <w:sz w:val="20"/>
          <w:szCs w:val="20"/>
          <w:color w:val="auto"/>
        </w:rPr>
      </w:pPr>
    </w:p>
    <w:p>
      <w:pPr>
        <w:ind w:left="1020" w:hanging="506"/>
        <w:spacing w:after="0"/>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A common stock, par value $0.01 per share (“</w:t>
      </w:r>
      <w:r>
        <w:rPr>
          <w:rFonts w:ascii="Times New Roman" w:cs="Times New Roman" w:eastAsia="Times New Roman" w:hAnsi="Times New Roman"/>
          <w:sz w:val="14"/>
          <w:szCs w:val="14"/>
          <w:i w:val="1"/>
          <w:iCs w:val="1"/>
          <w:color w:val="auto"/>
        </w:rPr>
        <w:t>Class A common stock</w:t>
      </w:r>
      <w:r>
        <w:rPr>
          <w:rFonts w:ascii="Times New Roman" w:cs="Times New Roman" w:eastAsia="Times New Roman" w:hAnsi="Times New Roman"/>
          <w:sz w:val="14"/>
          <w:szCs w:val="14"/>
          <w:color w:val="auto"/>
        </w:rPr>
        <w:t>”), of which 34,613,853 shares are issued and outstanding;</w:t>
      </w:r>
    </w:p>
    <w:p>
      <w:pPr>
        <w:spacing w:after="0" w:line="136"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Class B common stock, par value $0.01 per share (“</w:t>
      </w:r>
      <w:r>
        <w:rPr>
          <w:rFonts w:ascii="Times New Roman" w:cs="Times New Roman" w:eastAsia="Times New Roman" w:hAnsi="Times New Roman"/>
          <w:sz w:val="14"/>
          <w:szCs w:val="14"/>
          <w:i w:val="1"/>
          <w:iCs w:val="1"/>
          <w:color w:val="auto"/>
        </w:rPr>
        <w:t>Class B common stock</w:t>
      </w:r>
      <w:r>
        <w:rPr>
          <w:rFonts w:ascii="Times New Roman" w:cs="Times New Roman" w:eastAsia="Times New Roman" w:hAnsi="Times New Roman"/>
          <w:sz w:val="14"/>
          <w:szCs w:val="14"/>
          <w:color w:val="auto"/>
        </w:rPr>
        <w:t>”), of which 42,738,750 shares are issued and outstanding;</w:t>
      </w:r>
    </w:p>
    <w:p>
      <w:pPr>
        <w:spacing w:after="0" w:line="136"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Class C common stock, par value $0.01 per share (“</w:t>
      </w:r>
      <w:r>
        <w:rPr>
          <w:rFonts w:ascii="Times New Roman" w:cs="Times New Roman" w:eastAsia="Times New Roman" w:hAnsi="Times New Roman"/>
          <w:sz w:val="14"/>
          <w:szCs w:val="14"/>
          <w:i w:val="1"/>
          <w:iCs w:val="1"/>
          <w:color w:val="auto"/>
        </w:rPr>
        <w:t>Class C common stock</w:t>
      </w:r>
      <w:r>
        <w:rPr>
          <w:rFonts w:ascii="Times New Roman" w:cs="Times New Roman" w:eastAsia="Times New Roman" w:hAnsi="Times New Roman"/>
          <w:sz w:val="14"/>
          <w:szCs w:val="14"/>
          <w:color w:val="auto"/>
        </w:rPr>
        <w:t>”), of which 82,283,460 shares are issued and outstanding;</w:t>
      </w:r>
    </w:p>
    <w:p>
      <w:pPr>
        <w:spacing w:after="0" w:line="136" w:lineRule="exact"/>
        <w:rPr>
          <w:rFonts w:ascii="Times New Roman" w:cs="Times New Roman" w:eastAsia="Times New Roman" w:hAnsi="Times New Roman"/>
          <w:sz w:val="14"/>
          <w:szCs w:val="14"/>
          <w:color w:val="auto"/>
        </w:rPr>
      </w:pPr>
    </w:p>
    <w:p>
      <w:pPr>
        <w:ind w:left="860" w:hanging="346"/>
        <w:spacing w:after="0"/>
        <w:tabs>
          <w:tab w:leader="none" w:pos="86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Class D common stock, par value $0.01 per share (“</w:t>
      </w:r>
      <w:r>
        <w:rPr>
          <w:rFonts w:ascii="Times New Roman" w:cs="Times New Roman" w:eastAsia="Times New Roman" w:hAnsi="Times New Roman"/>
          <w:sz w:val="14"/>
          <w:szCs w:val="14"/>
          <w:i w:val="1"/>
          <w:iCs w:val="1"/>
          <w:color w:val="auto"/>
        </w:rPr>
        <w:t>Class D common stock</w:t>
      </w:r>
      <w:r>
        <w:rPr>
          <w:rFonts w:ascii="Times New Roman" w:cs="Times New Roman" w:eastAsia="Times New Roman" w:hAnsi="Times New Roman"/>
          <w:sz w:val="14"/>
          <w:szCs w:val="14"/>
          <w:color w:val="auto"/>
        </w:rPr>
        <w:t>”), of which 42,336,750 shares are issued and outstanding; and</w:t>
      </w:r>
    </w:p>
    <w:p>
      <w:pPr>
        <w:spacing w:after="0" w:line="138" w:lineRule="exact"/>
        <w:rPr>
          <w:rFonts w:ascii="Times New Roman" w:cs="Times New Roman" w:eastAsia="Times New Roman" w:hAnsi="Times New Roman"/>
          <w:sz w:val="14"/>
          <w:szCs w:val="14"/>
          <w:color w:val="auto"/>
        </w:rPr>
      </w:pPr>
    </w:p>
    <w:p>
      <w:pPr>
        <w:ind w:left="820" w:hanging="306"/>
        <w:spacing w:after="0"/>
        <w:tabs>
          <w:tab w:leader="none" w:pos="8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par value $0.01 per share, none of which are issued and outstanding.</w:t>
      </w:r>
    </w:p>
    <w:p>
      <w:pPr>
        <w:spacing w:after="0" w:line="13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as of December 31, 2022, (i) an aggregate of 3,110,282 shares of Class A common stock and Class C common stock are reserved for issuance under Clearway Inc.’s equity-based compensation plans, (ii) an aggregate of 42,738,750 shares of Class A common stock are reserved for issuance upon the exchange of Class B units of Clearway LLC and (iii) an aggregate of 42,336,750 shares of Class C common stock are reserved for issuance upon the exchange of Class D units of Clearway LLC. Unless Clearway Inc.’s Board of Directors (the “</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determines otherwise, Clearway Inc. will issue all shares of its capital stock in uncertificated form.</w:t>
      </w:r>
    </w:p>
    <w:p>
      <w:pPr>
        <w:sectPr>
          <w:pgSz w:w="11900" w:h="16838" w:orient="portrait"/>
          <w:cols w:equalWidth="0" w:num="1">
            <w:col w:w="11280"/>
          </w:cols>
          <w:pgMar w:left="300" w:top="123" w:right="31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Each share of Class A common stock entitles the holder to one vote with respect to each matter presented to Clearway Inc.’s stockholders on which the holders of Class A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Class A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Clearway Inc.’s outstanding shares of Class A common stock are entitled to receive dividends, if any, as may be declared from time to time by the Board of Directors out of legally available funds. Dividends upon shares of the Class A common stock may be declared by the Board of Directors at any regular or special meeting, and may be paid in cash, in property or in shares of capital stock. The holders of shares of Class A common stock and Class C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the Class A common stock is limited by restrictions on the ability of its subsidiaries to pay dividends or make other distributions to Clearway Inc., including restrictions under the terms of the agreements governing its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Clearway Inc.’s affairs, holders of shares of Class A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Clearway Inc.’s Class A common stock have no preemptive, conversion or other rights to subscribe for additional shares. All outstanding shares are, when sold, validly issued, fully paid and nonassessable. The rights, preferences and privileges of the holders of shares of Class A common stock are subject to, and may be adversely affected by, the rights of the holders of shares of any series of preferred stock that Clearway Inc. may designate and issue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Class A common stock is listed on the NYSE under the symbol “CWEN.A.”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transfer agent and registrar for the Class A common stock is Computershare Shareowner Services, LLC.</w:t>
      </w:r>
    </w:p>
    <w:p>
      <w:pPr>
        <w:sectPr>
          <w:pgSz w:w="11900" w:h="16838" w:orient="portrait"/>
          <w:cols w:equalWidth="0" w:num="1">
            <w:col w:w="11280"/>
          </w:cols>
          <w:pgMar w:left="300" w:top="123" w:right="31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B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B common stock entitles the holder to one vote with respect to each matter presented to Clearway Inc.’s stockholders on which the holders of Class B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common stock are listed. Holders of shares of Class B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Class B common stock do not have any right to receive dividends, other than dividends payable solely in shares of Class B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B common stock in connection with Clearway Inc.’s liquidation.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Shares of Class B common stock are subject to redemption at a price per share equal to par value upon the conversion of Class B units of Clearway LLC to Class A units of Clearway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Class B common stock so redeemed are automatically cancelled and are not available to be reissued.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C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Each share of Class C common stock entitles the holder to 1/100th of one vote with respect to each matter presented to Clearway Inc.’s stockholders on which the holders of Class C common stock are entitled to vote. Holders of shares of Class A common stock, Class B common stock, Class C common stock and Class D common stock vote together as a single class on all matters presented to stockholders for their vote or approval, except as otherwise required by applicable law or the listing requirements of any exchange on which shares of Clearway Inc.’s common stock are listed. Holders of shares of Class C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the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stockholders must be approved by a plurality of the votes entitled to be cast by all shares of common stock on a combined basis.</w:t>
      </w:r>
    </w:p>
    <w:p>
      <w:pPr>
        <w:sectPr>
          <w:pgSz w:w="11900" w:h="16838" w:orient="portrait"/>
          <w:cols w:equalWidth="0" w:num="1">
            <w:col w:w="11280"/>
          </w:cols>
          <w:pgMar w:left="300" w:top="123" w:right="31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38"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Clearway Inc.’s outstanding shares of Class C common stock are entitled to receive dividends, if any, as may be declared from time to time by the Board of Directors out of legally available funds. Dividends upon shares of Class C common stock may be declared by the Board of Directors at any regular or special meeting, and may be paid in cash, in property or in shares of capital stock. The holders of shares of Class C common stock and Class A common stock will share ratably in all dividends as may be declared by the Board of Directors in respect of the outstanding common stock. Before payment of any dividend, there may be set aside out of any of Clearway Inc.’s funds available for dividends, such sums as the Board of Directors deems proper as reserves to meet contingencies, or for equalizing dividends, or for repairing or maintaining any of Clearway Inc.’s property or for any proper purpose, and the Board of Directors may modify or abolish any such reserve. Furthermore, because Clearway Inc. is a holding company, its ability to pay dividends on shares of Class C common stock is limited by restrictions on the ability of its subsidiaries to pay dividends or make other distributions to Clearway Inc., including restrictions under the terms of the agreements governing its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Clearway Inc.’s affairs, holders of shares of Class C common stock would be entitled to share ratably in Clearway Inc.’s assets that are legally available for distribution to stockholders after payment of its debts and other liabilities and the liquidation preference of any of the outstanding shares of preferred stock, subject only to the right of the holders of shares of Class B common stock and Class D common stock to receive payment for the par value of their shares in connection with Clearway Inc.’s liquidation.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Clearway Inc.’s Class C common stock have no preemptive, conversion or other rights to subscribe for additional shares. All outstanding shares are, when issued, validly issued, fully paid and nonassessable. The rights, preferences and privileges of the holders of shares of Class C common stock are subject to, and may be adversely affected by, the rights of the holders of shares of any series of preferred stock that Clearway Inc. may designate and issue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Equal Status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Except as expressly provided in Clearway Inc.’s amended and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Clearway Inc.’s stockholders entitled to vote thereon (whether or not Clearway Inc. is the surviving entity), the holders of shares of Class C common stock will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will receive in any such merger, consolidation or combination with respect to their shares of Class A common stock, then the holders of shares of Class C common stock will be entitled to make the same election as to their shares of Class C common stock). In the event of any (i) tender or exchange offer to acquire any shares of Class A common stock or Class B common stock by any third party pursuant to an agreement to which Clearway Inc. is a party; or (ii) any tender or exchange offer or any other redemption or repurchase by Clearway Inc. to acquire any shares of Class A common stock or Class B common stock, the holders of shares of Class C common stock will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will receive in any such tender or exchange offer or other repurchase with respect to their shares of Class A common stock, then the holders of shares of Class C common stock will be entitled to make the same election as to their shares of Class C common stock).</w:t>
      </w:r>
    </w:p>
    <w:p>
      <w:pPr>
        <w:sectPr>
          <w:pgSz w:w="11900" w:h="16838" w:orient="portrait"/>
          <w:cols w:equalWidth="0" w:num="1">
            <w:col w:w="11280"/>
          </w:cols>
          <w:pgMar w:left="300" w:top="123" w:right="319" w:bottom="1440" w:gutter="0" w:footer="0" w:header="0"/>
        </w:sectPr>
      </w:pPr>
    </w:p>
    <w:bookmarkStart w:id="136" w:name="page137"/>
    <w:bookmarkEnd w:id="136"/>
    <w:p>
      <w:pPr>
        <w:ind w:left="10560"/>
        <w:spacing w:after="0"/>
        <w:rPr>
          <w:sz w:val="20"/>
          <w:szCs w:val="20"/>
          <w:color w:val="auto"/>
        </w:rPr>
      </w:pPr>
      <w:r>
        <w:rPr>
          <w:rFonts w:ascii="Times New Roman" w:cs="Times New Roman" w:eastAsia="Times New Roman" w:hAnsi="Times New Roman"/>
          <w:sz w:val="13"/>
          <w:szCs w:val="13"/>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Listing</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Class C common stock is listed on the NYSE under the symbol “CWEN.”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transfer agent and registrar for the Class C common stock is Computershare Shareowner Services,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 D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3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Each share of Class D common stock entitles the holder to 1/100th of one vote with respect to each matter presented to Clearway Inc.’s stockholders on which the holders of Class D common stock are entitled to vote. Holders of shares of Class A common stock, Class B common stock, Class C common stock and Class D common stock vote together as a single class on all matters presented to Clearway Inc.’s stockholders for their vote or approval, except as otherwise required by applicable law or the listing requirements of any exchange on which shares of Clearway Inc.’s amended and common stock are listed. Holders of shares of Class D common stock do not have cumulative voting rights. Except in respect of matters relating to the election and removal of directors on the Board of Directors and as otherwise provided in Clearway Inc.’s amended and restated certificate of incorporation or required by law, all matters to be voted on by holders of shares of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Clearway Inc.’s stockholders must be approved by a plurality of the votes entitled to be cast by all shares of common stock on a combined basis.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and Liquidation Rights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Holders of shares of Class D common stock do not have any right to receive dividends, other than dividends payable solely in shares of Class D common stock in the event of payment of a dividend in shares of common stock payable to holders of Class A common stock and Class C common stock, or to receive a distribution upon liquidation or winding up except for their right to receive payment for the par value of their shares of Class D common stock in connection with Clearway Inc.’s liquidation.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Mandatory Redemption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Shares of Class D common stock are subject to redemption at a price per share equal to par value upon the conversion of Class D units of Clearway LLC. Shares of Class D common stock so redeemed are automatically cancelled and are not available to be reissued.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but Unissued Capital Stock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the Board of Directors to issue shares to persons friendly to current management, which issuance could render more difficult or discourage an attempt to obtain control of Clearway Inc. by means of a merger, tender offer, proxy contest or otherwise, and thereby protect the continuity of Clearway Inc.’s management and possibly deprive the stockholders of opportunities to sell their shares at prices higher than prevailing market prices.</w:t>
      </w:r>
    </w:p>
    <w:p>
      <w:pPr>
        <w:sectPr>
          <w:pgSz w:w="11900" w:h="16838" w:orient="portrait"/>
          <w:cols w:equalWidth="0" w:num="1">
            <w:col w:w="11280"/>
          </w:cols>
          <w:pgMar w:left="300" w:top="123" w:right="31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Under Clearway Inc.’s amended and restated certificate of incorporation, Clearway Inc. will continue to be authorized to issue up to 10,000,000 shares of preferred stock, par value $0.01 per share, none of which is issued and outstanding.</w:t>
      </w:r>
    </w:p>
    <w:p>
      <w:pPr>
        <w:spacing w:after="0" w:line="82"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Clearway Inc.’s stockholders. Any preferred stock so issued may rank senior to Clearway Inc.’s common stock with respect to the payment of dividends or amounts upon liquidation, dissolution or winding up, or both. The issuance of preferred stock may have the effect of delaying, deferring or preventing a change in control of Clearway Inc.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Clearway Inc. has no plans to issue any preferred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Delaware Law and Clearway Inc.’s Certificate of Incorporation and Bylaws</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In addition to the disproportionate voting rights that Global Infrastructure Investors III, LLC (“GIP”) and TotalEnergies SE (“TotalEnergies”) have a result of their indirect ownership of Class B common stock and Class D common stock through their joint ownership of Clearway Energy Group LLC (“CEG”), some provisions of Delaware law contain, and Clearway Inc.’s amended and restated certificate of incorporation and Clearway Inc.’s fourth amended and restated bylaws described below contain, a number of provisions which may have the effect of encouraging persons considering unsolicited tender offers or other unilateral takeover proposals to negotiate with the Board of Directors rather than pursue non-negotiated takeover attempts, which Clearway Inc. believes may result in an improvement of the terms of any such acquisition in favor of Clearway Inc.’s stockholders. However, they also give the Board of Directors the power to discourage acquisitions that some stockholders may favor.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ability to authorize undesignated preferred stock will make it possible for the Board of Directors to issue preferred stock with superior voting, special approval, dividend or other rights or preferences on a discriminatory basis that could impede the success of any attempt to acquire Clearway Inc.. These and other provisions may have the effect of deferring, delaying or discouraging hostile takeovers, or changes in control or management of the company.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Meetings and Elections of Directors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Special Meetings of Stockholders. </w:t>
      </w:r>
      <w:r>
        <w:rPr>
          <w:rFonts w:ascii="Times New Roman" w:cs="Times New Roman" w:eastAsia="Times New Roman" w:hAnsi="Times New Roman"/>
          <w:sz w:val="14"/>
          <w:szCs w:val="14"/>
          <w:color w:val="auto"/>
        </w:rPr>
        <w:t>Clearway Inc.’s amended and restated certificate of incorporation provides that a special meeting of stockholders may be called only by the Board of Directors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a resolution adopted by the affirmative vote of a majority of the total number of directors then in office.</w:t>
      </w:r>
    </w:p>
    <w:p>
      <w:pPr>
        <w:spacing w:after="0" w:line="7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Elimination of Stockholder Action by Written Consent. </w:t>
      </w:r>
      <w:r>
        <w:rPr>
          <w:rFonts w:ascii="Times New Roman" w:cs="Times New Roman" w:eastAsia="Times New Roman" w:hAnsi="Times New Roman"/>
          <w:sz w:val="14"/>
          <w:szCs w:val="14"/>
          <w:color w:val="auto"/>
        </w:rPr>
        <w:t>Clearway Inc.’s amended and restated certificate of incorporation and its fourth amended and restated bylaws provide that holders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Clearway Inc.’s common stock cannot act by written consent in lieu of a meeting.</w:t>
      </w:r>
    </w:p>
    <w:p>
      <w:pPr>
        <w:spacing w:after="0" w:line="78"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Vacancies. </w:t>
      </w:r>
      <w:r>
        <w:rPr>
          <w:rFonts w:ascii="Times New Roman" w:cs="Times New Roman" w:eastAsia="Times New Roman" w:hAnsi="Times New Roman"/>
          <w:sz w:val="14"/>
          <w:szCs w:val="14"/>
          <w:color w:val="auto"/>
        </w:rPr>
        <w:t>Any vacancy occurring on the Board of Directors and any newly created directorship may be filled only by a majority of the directors remaining in office (even if less than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quorum), subject to the rights of holders of any series of preferred stock.</w:t>
      </w:r>
    </w:p>
    <w:p>
      <w:pPr>
        <w:sectPr>
          <w:pgSz w:w="11900" w:h="16838" w:orient="portrait"/>
          <w:cols w:equalWidth="0" w:num="1">
            <w:col w:w="11280"/>
          </w:cols>
          <w:pgMar w:left="300" w:top="123" w:right="3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Amendments of Certificate of Incorporation. </w:t>
      </w:r>
      <w:r>
        <w:rPr>
          <w:rFonts w:ascii="Times New Roman" w:cs="Times New Roman" w:eastAsia="Times New Roman" w:hAnsi="Times New Roman"/>
          <w:sz w:val="14"/>
          <w:szCs w:val="14"/>
          <w:color w:val="auto"/>
        </w:rPr>
        <w:t>The provisions described above under “—Special Meetings of Stockholders,” “—Elimination of Stockholder Action by Written Consent” and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Vacancies” may be amended only by the affirmative vote of holders of at least two-thirds of the combined voting power of outstanding shares of Clearway Inc.’s capital stock entitled to vote in the election of directors, voting together as a single class.</w:t>
      </w:r>
    </w:p>
    <w:p>
      <w:pPr>
        <w:spacing w:after="0" w:line="91"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Amendment of Bylaws. </w:t>
      </w:r>
      <w:r>
        <w:rPr>
          <w:rFonts w:ascii="Times New Roman" w:cs="Times New Roman" w:eastAsia="Times New Roman" w:hAnsi="Times New Roman"/>
          <w:sz w:val="14"/>
          <w:szCs w:val="14"/>
          <w:color w:val="auto"/>
        </w:rPr>
        <w:t>The Board of Directors has the power to make, alter, amend, change or repeal Clearway Inc.’s bylaws or adopt new bylaws by the affirmative vote of a majority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total number of directors then in office.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Notice Provisions Relating to Stockholder Proposals and Nominees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Clearway Inc.’s fourth amended and restated bylaws also impose some procedural requirements on stockholders who wish to make nominations in the election of directors or propose any other business to be brought before an annual or special meeting of stockholders.</w:t>
      </w:r>
    </w:p>
    <w:p>
      <w:pPr>
        <w:spacing w:after="0" w:line="82"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Specifically, a stockholder may (i) bring a proposal before an annual meeting of stockholders, (ii) nominate a candidate for election to the Board of Directors at an annual meeting of stockholders, or (iii) nominate a candidate for election to the Board of Directors at a special meeting of stockholders that has been called for the purpose of electing directors, only if such stockholder delivers timely notice to Clearway Inc.’s corporate secretary. The notice must be in writing and must include certain information and comply with the delivery requirements as set forth in the bylaws.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timely, a stockholder’s notice must be received at Clearway Inc.’s principal executive offices:</w:t>
      </w:r>
    </w:p>
    <w:p>
      <w:pPr>
        <w:spacing w:after="0" w:line="136" w:lineRule="exact"/>
        <w:rPr>
          <w:sz w:val="20"/>
          <w:szCs w:val="20"/>
          <w:color w:val="auto"/>
        </w:rPr>
      </w:pPr>
    </w:p>
    <w:p>
      <w:pPr>
        <w:jc w:val="both"/>
        <w:ind w:left="520" w:hanging="260"/>
        <w:spacing w:after="0" w:line="261" w:lineRule="auto"/>
        <w:tabs>
          <w:tab w:leader="none" w:pos="5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Clearway Inc.;</w:t>
      </w:r>
    </w:p>
    <w:p>
      <w:pPr>
        <w:spacing w:after="0" w:line="10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Clearway Inc..</w:t>
      </w:r>
    </w:p>
    <w:p>
      <w:pPr>
        <w:spacing w:after="0" w:line="82"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With respect to special meetings of stockholders, Clearway Inc.’s fourth amended and restated bylaws provide that only such business shall be conducted as shall have been stated in the notice of the meeting.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Law</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Clearway Inc. is presently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82" w:lineRule="exact"/>
        <w:rPr>
          <w:sz w:val="20"/>
          <w:szCs w:val="20"/>
          <w:color w:val="auto"/>
        </w:rPr>
      </w:pPr>
    </w:p>
    <w:p>
      <w:pPr>
        <w:ind w:left="520" w:hanging="260"/>
        <w:spacing w:after="0"/>
        <w:tabs>
          <w:tab w:leader="none" w:pos="5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such time, the Board of Directors approved either the business combination or the transaction that resulted in the stockholder becoming an interested stockholder;</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ectPr>
          <w:pgSz w:w="11900" w:h="16838" w:orient="portrait"/>
          <w:cols w:equalWidth="0" w:num="1">
            <w:col w:w="11280"/>
          </w:cols>
          <w:pgMar w:left="300" w:top="123"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 w:hanging="260"/>
        <w:spacing w:after="0" w:line="287" w:lineRule="auto"/>
        <w:tabs>
          <w:tab w:leader="none" w:pos="51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that time, the business combination is approved by the Board of Directors and by the affirmative vote of holders of at least 66 2/3% of the outstanding voting stock that is not owned by the interested stockholder.</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Clearway Inc.’s voting stock.</w:t>
      </w:r>
    </w:p>
    <w:p>
      <w:pPr>
        <w:spacing w:after="0" w:line="82"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Clearway Inc. to negotiate in advance with the Board of Directors because the stockholder approval requirement would be avoided if the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Any amendments to Clearway Inc.’s amended and restated certificate of incorporation, subject to the rights of holders of Clearway Inc.’s preferred stock, regarding the provisions thereof summarized under “—Antitakeover Effects of Delaware Law and Clearway Inc.’s Certificate of Incorporation and Bylaws” will require the affirmative vote of at least 66 2/3% of the voting power of all shares of common stock then outstanding.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Fourth Amended and Restated Limited Liability Company Agreement of Clearway Energy LLC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is a description of the material terms of the fourth amended and restated limited liability company agreement of Clearway LLC.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Inc. serves as the sole managing member of Clearway LLC. As such, Clearway Inc., and effectively the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Clearway Inc.’s independent directors.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and Economic Rights of Members</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Clearway LLC has issued four classes of units: Class A units and Class C units, which may only be issued to Clearway Inc., as the sole managing member, and Class B units and Class D units, which may only be issued to CEG and held by CEG or its permitted transferees. Units of each of the four classes have equivalent economic and other rights, except that upon issuance, each holder of a Class B unit will also be issued a share of Clearway Inc.’s Class B common stock and each holder of a Class D unit will also be issued a share of Clearway Inc.’s Class D common stock. Each Class B unit is exchangeable for a share of Clearway Inc.’s Class A common stock, subject to equitable adjustments for stock splits, dividends and reclassifications in accordance with the terms of the Amended and Restated Exchange Agreement (as described below), and each Class D unit is exchangeable for a share of Clearway Inc.’s Class C common stock, subject to equitable adjustments for stock splits, dividends and reclassifications in accordance with the terms of the Amended and Restated Exchange Agreement. When CEG or its permitted transferee exchanges a Class B unit of Clearway LLC for a share of Clearway Inc.’s Class A common stock, Clearway Inc. will automatically redeem and cancel a corresponding share of Class B common stock, and the Class B unit will automatically convert into a Class A unit of Clearway LLC issued to Clearway Inc. When CEG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of Clearway LLC issued to us. None of the units have any voting rights.</w:t>
      </w:r>
    </w:p>
    <w:p>
      <w:pPr>
        <w:sectPr>
          <w:pgSz w:w="11900" w:h="16838" w:orient="portrait"/>
          <w:cols w:equalWidth="0" w:num="1">
            <w:col w:w="11280"/>
          </w:cols>
          <w:pgMar w:left="300" w:top="123"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Net profits and net losses and distributions by Clearway LLC are allocated and made to holders of units in accordance with the respective number of membership units of Clearway LLC held. Clearway LLC will make distributions to Clearway Inc.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Clearway Inc.’s operations are conducted through Clearway Energy Operating LLC (“Clearway Operating LLC”), a wholly owned subsidiary of Clearway LLC, and Clearway Operating LLC’s Amended and Restated Credit Agreement restricts the ability of Clearway Operating LLC to make distributions to Clearway LLC, Clearway LLC may not have any funds available to make distributions to Clearway Inc. and CEG (including with respect to tax obligations).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Coordination of Clearway Inc. and Clearway LLC</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At any time Clearway Inc. issues a share of its Class A common stock or Class C common stock for cash, the net proceeds therefrom will promptly be transferred to Clearway LLC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LLC will either:</w:t>
      </w:r>
    </w:p>
    <w:p>
      <w:pPr>
        <w:spacing w:after="0" w:line="122" w:lineRule="exact"/>
        <w:rPr>
          <w:sz w:val="20"/>
          <w:szCs w:val="20"/>
          <w:color w:val="auto"/>
        </w:rPr>
      </w:pPr>
    </w:p>
    <w:p>
      <w:pPr>
        <w:ind w:left="520" w:hanging="260"/>
        <w:spacing w:after="0" w:line="287" w:lineRule="auto"/>
        <w:tabs>
          <w:tab w:leader="none" w:pos="51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 newly issued Class A unit of Clearway LLC to Clearway Inc. in the case of the issuance of a share of Class A common stock, or transfer a newly issued Class C unit of Clearway LLC to Clearway Inc. in the case of the issuance of a share of Class C common stock; or</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the net proceeds to purchase a Class B unit of Clearway LLC from CEG in the case of the issuance of a share of Class A common stock, which Class B unit will automatically convert into a Class A unit of Clearway LLC when transferred to Clearway Inc. or use the net proceeds to purchase a Class D unit of Clearway LLC from CEG in the case of the issuance of a share of Class C common stock, which Class D unit will automatically convert into a Class C unit of Clearway LLC when transferred to Clearway Inc.</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the event Clearway LLC purchases a Class B unit or a Class D unit of Clearway LLC from CEG, Clearway Inc. will concurrently redeem and cancel the corresponding share of its Class B common stock or Class D common stock, as applicable.</w:t>
      </w:r>
    </w:p>
    <w:p>
      <w:pPr>
        <w:spacing w:after="0" w:line="8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 its units of the corresponding classes or series) held by Clearway Inc. upon the same terms and for the same price, as the shares of Class A common stock or Class C common stock (or equity securities of such other classes or series) so redeemed.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Issuances and Transfer of Units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Class A units and Class C units may only be issued to Clearway Inc., as the sole managing member of Clearway LLC, and are non-transferable except upon redemption by Clearway LLC. Class B units and Class D units may only be issued to CEG. Class B units and Class D units may not be transferred without Clearway Inc.’s consent, which may not be unreasonably withheld, conditioned or delayed, except CEG may transfer Class B units or Class D units to any of its direct or indirect limited partners or other equityholders and to a permitted transferee (including an affiliate) without Clearway Inc.’s consent. CEG may not transfer any Class B units or Class D units to any person unless CEG transfers an equal number of shares of Clearway Inc.’s Class B common stock or Class D common stock, as applicable, to the same transferee.</w:t>
      </w:r>
    </w:p>
    <w:p>
      <w:pPr>
        <w:sectPr>
          <w:pgSz w:w="11900" w:h="16838" w:orient="portrait"/>
          <w:cols w:equalWidth="0" w:num="1">
            <w:col w:w="11280"/>
          </w:cols>
          <w:pgMar w:left="300" w:top="123"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4.29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Exchange Agreement</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Clearway Inc. entered into an amended and restated exchange agreement pursuant to which CEG (as successor-in-interest to NRG Energy, Inc.) (and certain permitted assignees and permitted transferees who acquire Class B units or Class D units of Clearway LLC) may from time to time cause Clearway LLC to exchange its Class B units for shares of Clearway Inc.’s Class A common stock on a one-for-one basis, subject to adjustments for stock splits, stock dividends and reclassifications, or to exchange its Class D units for shares of Clearway Inc.’s Class C common stock on a one-for-one basis, subject to adjustments for stock splits, stock dividends, and reclassifications (the “</w:t>
      </w:r>
      <w:r>
        <w:rPr>
          <w:rFonts w:ascii="Times New Roman" w:cs="Times New Roman" w:eastAsia="Times New Roman" w:hAnsi="Times New Roman"/>
          <w:sz w:val="14"/>
          <w:szCs w:val="14"/>
          <w:i w:val="1"/>
          <w:iCs w:val="1"/>
          <w:color w:val="auto"/>
        </w:rPr>
        <w:t>Amended and Restated Exchange Agreement</w:t>
      </w:r>
      <w:r>
        <w:rPr>
          <w:rFonts w:ascii="Times New Roman" w:cs="Times New Roman" w:eastAsia="Times New Roman" w:hAnsi="Times New Roman"/>
          <w:sz w:val="14"/>
          <w:szCs w:val="14"/>
          <w:color w:val="auto"/>
        </w:rPr>
        <w: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w:t>
      </w:r>
    </w:p>
    <w:p>
      <w:pPr>
        <w:spacing w:after="0" w:line="104"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color w:val="auto"/>
        </w:rPr>
        <w:t>When CEG or its permitted transferee exchanges a Class B unit of Clearway LLC for a share of Clearway Inc.’s Class A common stock, Clearway Inc. will automatically redeem and cancel a corresponding share of Clearway Inc.’s Class B common stock and the Class B unit will automatically convert into a Class A unit when issued to Clearway Inc. Similarly, when CEG or its permitted transferee exchanges a Class D unit of Clearway LLC for a share of Clearway Inc.’s Class C common stock, Clearway Inc. will automatically redeem and cancel a corresponding share of Clearway Inc.’s Class D common stock and the Class D unit will automatically convert into a Class C unit when issued to Clearway Inc. As a result, when a holder exchanges its Class B units for shares of Clearway Inc.’s Class A common stock, or its Class D units for shares of Clearway Inc.’s Class C common stock, Clearway Inc.’s interest in Clearway LLC will be correspondingly increased. Clearway Inc. has reserved for issuance 42,738,750 shares of Clearway Inc.’s Class A common stock, which is the aggregate number of shares of Class A common stock expected to be issued over time upon the exchange of all Class B units of Clearway LLC currently outstanding, and 42,738,750 shares of Clearway Inc.’s Class C common stock, which is the aggregate number of shares of Class C common stock expected to be issued over time upon the exchange of all Class D units of Clearway LLC currently outstanding.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and Exculpation</w:t>
      </w:r>
    </w:p>
    <w:p>
      <w:pPr>
        <w:spacing w:after="0" w:line="181"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To the extent permitted by applicable law, Clearway LLC will indemnify its managing member, Clearway Inc.’s authorized officers and Clearway Inc.’s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Amended and Restated Registration Rights Agreement</w:t>
      </w:r>
    </w:p>
    <w:p>
      <w:pPr>
        <w:spacing w:after="0" w:line="13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Clearway Inc. entered into an amended and restated registration rights agreement with CEG (as successor-in-interest to NRG) pursuant to which CEG and its affiliates will be entitled to demand registration rights, including the right to demand that a shelf registration statement be filed, and “piggyback” registration rights, for shares of Clearway Inc.’s Class A common stock that are issuable upon exchange of Class B units of Clearway LLC that it owns, and for shares of Clearway Inc.’s Class C common stock that are issuable upon exchange of Class D units of Clearway LLC that it owns.</w:t>
      </w:r>
    </w:p>
    <w:p>
      <w:pPr>
        <w:sectPr>
          <w:pgSz w:w="11900" w:h="16838" w:orient="portrait"/>
          <w:cols w:equalWidth="0" w:num="1">
            <w:col w:w="11280"/>
          </w:cols>
          <w:pgMar w:left="300" w:top="123" w:right="319" w:bottom="1440" w:gutter="0" w:footer="0" w:header="0"/>
        </w:sectPr>
      </w:pPr>
    </w:p>
    <w:bookmarkStart w:id="142" w:name="page143"/>
    <w:bookmarkEnd w:id="142"/>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9733915</wp:posOffset>
            </wp:positionV>
            <wp:extent cx="7105650" cy="196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1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both"/>
        <w:spacing w:after="0" w:line="267" w:lineRule="auto"/>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both"/>
        <w:spacing w:after="0" w:line="26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1">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both"/>
        <w:spacing w:after="0" w:line="267" w:lineRule="auto"/>
        <w:rPr>
          <w:sz w:val="20"/>
          <w:szCs w:val="20"/>
          <w:color w:val="auto"/>
        </w:rPr>
      </w:pPr>
    </w:p>
    <w:p>
      <w:pPr>
        <w:sectPr>
          <w:pgSz w:w="11900" w:h="16838" w:orient="portrait"/>
          <w:cols w:equalWidth="1" w:num="1" w:space="0"/>
          <w:pgMar w:left="1440" w:top="1440" w:right="1440" w:bottom="875" w:gutter="0" w:footer="0" w:header="0"/>
        </w:sectPr>
      </w:pPr>
    </w:p>
    <w:bookmarkStart w:id="210" w:name="page211"/>
    <w:bookmarkEnd w:id="210"/>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00" w:type="dxa"/>
            <w:vAlign w:val="bottom"/>
          </w:tcPr>
          <w:p>
            <w:pPr>
              <w:spacing w:after="0"/>
              <w:rPr>
                <w:sz w:val="17"/>
                <w:szCs w:val="17"/>
                <w:color w:val="auto"/>
              </w:rPr>
            </w:pPr>
          </w:p>
        </w:tc>
        <w:tc>
          <w:tcPr>
            <w:tcW w:w="7840" w:type="dxa"/>
            <w:vAlign w:val="bottom"/>
            <w:gridSpan w:val="3"/>
          </w:tcPr>
          <w:p>
            <w:pPr>
              <w:ind w:left="50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0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2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2011 Finance Holdco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 Solar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Adams Community Solar Garden III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Adams Community Solar Gardens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Borrower 1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Borrower 2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Agua Caliente Solar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Agua Caliente Solar,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III,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Interconnection Management,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Realty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Realty Investments,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Vista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1-5 Holding Company,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Asset Management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Asset Management,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Holdings,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III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III,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IV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IV,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V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V,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XI Holding Company,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Alta Wind XI,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Alta Wind X-XI TE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Apple I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Arapahoe Community Solar Garden I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Avenal Park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Avenal Solar Holdings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Bashaw Solar 1, LLC</w:t>
            </w:r>
          </w:p>
        </w:tc>
        <w:tc>
          <w:tcPr>
            <w:tcW w:w="382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Big Lake Holdco LLC</w:t>
            </w:r>
          </w:p>
        </w:tc>
        <w:tc>
          <w:tcPr>
            <w:tcW w:w="382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11" w:name="page212"/>
    <w:bookmarkEnd w:id="211"/>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220" w:type="dxa"/>
            <w:vAlign w:val="bottom"/>
          </w:tcPr>
          <w:p>
            <w:pPr>
              <w:spacing w:after="0"/>
              <w:rPr>
                <w:sz w:val="17"/>
                <w:szCs w:val="17"/>
                <w:color w:val="auto"/>
              </w:rPr>
            </w:pPr>
          </w:p>
        </w:tc>
        <w:tc>
          <w:tcPr>
            <w:tcW w:w="8020" w:type="dxa"/>
            <w:vAlign w:val="bottom"/>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2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00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Cat Road Solar,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Class B Holdco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TE Holdco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Rock Wind Force,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Rock Wind Holding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Black Start Battery Holdings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Black Start Battery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Bluestone Solar,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BMP Wind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Broken Bow Wind,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Brook Street Solar 1,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Holdings,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Renewables,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Buckthorn Solar Portfolio,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Buckthorn Westex,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Buffalo Bear,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Bullock Road Solar 1,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BWC Swan Pond River,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Capistrano Portfolio Holdco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Capistrano Portfolio Holdings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Energy Center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Energy Holdings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Carlsbad Holdco II,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Carlsbad Holdco,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CBAD Holdings II,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CBAD Holdings,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Cedro Hill Wind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Center St Solar 1,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Chestnut Class B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Chestnut Fund Sub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Chisago Holdco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Clara City Solar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&amp; EFS Distributed Solar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AC Solar Holdings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Chestnut Fund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DG Lakeland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Energy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Energy Operating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Solar Star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Clearway Walnut Creek II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Clearway West Holdings LLC</w:t>
            </w:r>
          </w:p>
        </w:tc>
        <w:tc>
          <w:tcPr>
            <w:tcW w:w="40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CMR Solar, LLC</w:t>
            </w:r>
          </w:p>
        </w:tc>
        <w:tc>
          <w:tcPr>
            <w:tcW w:w="40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12" w:name="page213"/>
    <w:bookmarkEnd w:id="212"/>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360" w:type="dxa"/>
            <w:vAlign w:val="bottom"/>
          </w:tcPr>
          <w:p>
            <w:pPr>
              <w:spacing w:after="0"/>
              <w:rPr>
                <w:sz w:val="17"/>
                <w:szCs w:val="17"/>
                <w:color w:val="auto"/>
              </w:rPr>
            </w:pPr>
          </w:p>
        </w:tc>
        <w:tc>
          <w:tcPr>
            <w:tcW w:w="788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3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36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6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Colorado Shared Solar I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Colorado Springs Solar Garden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Continental Energy,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Crofton Bluffs Wind,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CVSR Holdco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CVSR Holdings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Holdco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CWEN Pinnacle Repowering Holdings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CWSP Rattlesnake Holding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Daggett Solar Holdco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Daggett Solar Investment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Denver Community Solar Garden II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250,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300,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Desert Sunlight Holdings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Desert Sunlight Investment Holdings,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Berkeley Rec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Berkeley Village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Central East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Central West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Contra Costa Operations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Contra Costa Waste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Crystal Spring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Dighton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Foxborough Elm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Foxborough Landfill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Grantland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Haverhill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Imperial Admin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Imperial Building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Lathrop Louise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Lincoln Middle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Marathon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Rosedale Elementary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Rosedale Middle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San Joaquin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SREC HoldCo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SREC Holdings 1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Tufts Knoll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Tufts Science LLC</w:t>
            </w:r>
          </w:p>
        </w:tc>
        <w:tc>
          <w:tcPr>
            <w:tcW w:w="38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3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 Washington Middle LLC</w:t>
            </w:r>
          </w:p>
        </w:tc>
        <w:tc>
          <w:tcPr>
            <w:tcW w:w="38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13" w:name="page214"/>
    <w:bookmarkEnd w:id="213"/>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77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5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68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 Webster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DG-CS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DG-CS Holdings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DG-CS Master Borrower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1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2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3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4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1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2 HoldCo A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2 HoldCo B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2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Fund 4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DGPV Fund 4 Sub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DGPV Holding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Dodge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Eastman Street Solar 1,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 Mirage Energy,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 Segundo Energy Center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Elbow Creek Repowering Tax Equity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Elbow Creek Wind Project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Elkhorn Holdings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Elkhorn Ridge Wind,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 Center Honolulu HoldCo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Energy Center Honolulu Holdings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Energy Center Honolulu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Enterprise Solar,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Escalante Solar I,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Escalante Solar II,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Escalante Solar III,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ETCAP NES CS MN 02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ETCAP NES CS MN 06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Farmington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Federal Road Solar 1,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Forest Lake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Forward WindPower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Four Brothers Holdings,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Four Brothers Solar,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Frontenac Holdco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FUSD Energy,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5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GCE Holding LLC</w:t>
            </w:r>
          </w:p>
        </w:tc>
        <w:tc>
          <w:tcPr>
            <w:tcW w:w="36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GenConn Devon LLC</w:t>
            </w:r>
          </w:p>
        </w:tc>
        <w:tc>
          <w:tcPr>
            <w:tcW w:w="36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bl>
    <w:p>
      <w:pPr>
        <w:sectPr>
          <w:pgSz w:w="11900" w:h="16838" w:orient="portrait"/>
          <w:cols w:equalWidth="0" w:num="1">
            <w:col w:w="11240"/>
          </w:cols>
          <w:pgMar w:left="360" w:top="161" w:right="299" w:bottom="1440" w:gutter="0" w:footer="0" w:header="0"/>
        </w:sectPr>
      </w:pPr>
    </w:p>
    <w:bookmarkStart w:id="214" w:name="page215"/>
    <w:bookmarkEnd w:id="214"/>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260" w:type="dxa"/>
            <w:vAlign w:val="bottom"/>
          </w:tcPr>
          <w:p>
            <w:pPr>
              <w:spacing w:after="0"/>
              <w:rPr>
                <w:sz w:val="17"/>
                <w:szCs w:val="17"/>
                <w:color w:val="auto"/>
              </w:rPr>
            </w:pPr>
          </w:p>
        </w:tc>
        <w:tc>
          <w:tcPr>
            <w:tcW w:w="79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26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96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GenConn Energy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GenConn Middletown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Connecticut</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Goat Wind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Golden Fields Solar III,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Golden Puma Fund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Grabinski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Renewables,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Granite Mountain Solar East,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Granite Mountain Solar West,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High Plains Ranch II,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HLE Solar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HSD Solar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Hwy 14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 Springs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Iron Springs Renewables,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Iron Springs Solar,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Class B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Holding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Langford Tax Equity Partnership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Langford Wind Power,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Lanikuhana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Hawaii</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Laredo Ridge Wind,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Lenape II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Class A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Holdco 2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Lighthouse Renewable Holding Sub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Lighthouse Renewable Holdings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Lindberg Field Solar 1,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Lindberg Field Solar 2,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Longhorn Energy,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Lookout WindPower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Mapleton Solar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Marsh Landing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Marsh Landing Holdings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Marsh Landing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MC1 Solar Farm,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Carolina</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Sky Class B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Sky Holding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Sky TE Holdco LLC</w:t>
            </w:r>
          </w:p>
        </w:tc>
        <w:tc>
          <w:tcPr>
            <w:tcW w:w="396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26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Star Class B Holdco LLC</w:t>
            </w:r>
          </w:p>
        </w:tc>
        <w:tc>
          <w:tcPr>
            <w:tcW w:w="396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15" w:name="page216"/>
    <w:bookmarkEnd w:id="215"/>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180" w:type="dxa"/>
            <w:vAlign w:val="bottom"/>
          </w:tcPr>
          <w:p>
            <w:pPr>
              <w:spacing w:after="0"/>
              <w:rPr>
                <w:sz w:val="17"/>
                <w:szCs w:val="17"/>
                <w:color w:val="auto"/>
              </w:rPr>
            </w:pPr>
          </w:p>
        </w:tc>
        <w:tc>
          <w:tcPr>
            <w:tcW w:w="8060" w:type="dxa"/>
            <w:vAlign w:val="bottom"/>
            <w:gridSpan w:val="3"/>
          </w:tcPr>
          <w:p>
            <w:pPr>
              <w:ind w:left="72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18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04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Mesquite Star Special,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Mesquite Star Tax Equity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BL Borrower Holdco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Class B Member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Mililani I Solar,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Mililani TE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Minisink Solar 1,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Minisink Solar 2,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Iowa Wind,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Minnesota Wind II,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Broken Bow,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Cedro,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Crofton Bluffs,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Laredo,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New Mexico,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Oklahoma,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PA One,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PA Three,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PA Two,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Pennsylvania,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Mission Wind Utah,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Mission Wind Wyoming,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Monster Energy,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Montevideo Solar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 Hope Solar 1,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Mountain Wind Power II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Mountain Wind Power,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CA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Natural Gas CA Holdings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Natural Gas Repowering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NedPower Mount Storm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Munich Solar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HoldCo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NIMH Solar Holdings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NIMH Solar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Northfield Holdco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NS Smith,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Renewables,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Oahu Solar Holdings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Oahu Solar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1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 Solar 2010, LLC</w:t>
            </w:r>
          </w:p>
        </w:tc>
        <w:tc>
          <w:tcPr>
            <w:tcW w:w="40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1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Holdco 2 LLC</w:t>
            </w:r>
          </w:p>
        </w:tc>
        <w:tc>
          <w:tcPr>
            <w:tcW w:w="40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16" w:name="page217"/>
    <w:bookmarkEnd w:id="216"/>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20" w:type="dxa"/>
            <w:vAlign w:val="bottom"/>
          </w:tcPr>
          <w:p>
            <w:pPr>
              <w:spacing w:after="0"/>
              <w:rPr>
                <w:sz w:val="17"/>
                <w:szCs w:val="17"/>
                <w:color w:val="auto"/>
              </w:rPr>
            </w:pPr>
          </w:p>
        </w:tc>
        <w:tc>
          <w:tcPr>
            <w:tcW w:w="78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80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Ocotillo Windpower Holdings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Ocotillo Windpower, LP</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Odin Wind Farm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Old Westminster Solar 1,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Old Westminster Solar 2,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Olinda Trail Solar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Osakis Solar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OWF Eight,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OWF Five,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OWF Four,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OWF One,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OWF Seven,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OWF Six,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OWF Three,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OWF Two,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Minnesota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Partridgeville Road Solar 1,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PAWVA Wind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PAWVA Wind Holdings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PC Dinuba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PESD Energy,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Pikes Peak Solar Garden I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Colorado</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Pine Island Holdco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Repowering Partnership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Pinnacle Repowering Tax Equity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Pinnacle Wind,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PM Solar Holdings,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Pond Road Solar,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Portfolio Solar I,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Puma Class B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Class B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Rattlesnake Flat,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Rattlesnake TE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Redbrook Solar 1,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Canal 1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Solar CS4 Class B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Renew Solar CS4 Fund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Renew Spark 2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Repowering Partnership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Repowering Partnership II LLC</w:t>
            </w:r>
          </w:p>
        </w:tc>
        <w:tc>
          <w:tcPr>
            <w:tcW w:w="38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Rollingstone Holdco LLC</w:t>
            </w:r>
          </w:p>
        </w:tc>
        <w:tc>
          <w:tcPr>
            <w:tcW w:w="38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17" w:name="page218"/>
    <w:bookmarkEnd w:id="217"/>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820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0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04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418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Rosamond Solar Holdco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Rosamond Solar Investment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Class B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Project HoldCo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Rosie TargetCo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Rosie TE HoldCo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Rounseville Solar 1,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RPV Holding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 Juan Mesa Investments,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San Juan Mesa Wind Project,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Sand Drag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Sartell Solar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SCDA Solar 1,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SCWFD Energy,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SJA Solar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Sleeping Bear,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Alpine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Apple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AV Holdco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Avra Valley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Blythe II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Blythe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Borrego Holdco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Borrego I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Community 1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Community Holdco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CVSR Holdings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Flagstaff One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Iguana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Kansas South Holdings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Kansas South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Las Vegas MB 1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Las Vegas MB 2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Mayfair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Mule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Oasis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Roadrunner Holdings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Roadrunner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Tabernacle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Warren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Solar Wauwinet LLC</w:t>
            </w:r>
          </w:p>
        </w:tc>
        <w:tc>
          <w:tcPr>
            <w:tcW w:w="418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0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Solar West Shaft LLC</w:t>
            </w:r>
          </w:p>
        </w:tc>
        <w:tc>
          <w:tcPr>
            <w:tcW w:w="418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18" w:name="page219"/>
    <w:bookmarkEnd w:id="218"/>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520" w:type="dxa"/>
            <w:vAlign w:val="bottom"/>
          </w:tcPr>
          <w:p>
            <w:pPr>
              <w:spacing w:after="0"/>
              <w:rPr>
                <w:sz w:val="17"/>
                <w:szCs w:val="17"/>
                <w:color w:val="auto"/>
              </w:rPr>
            </w:pPr>
          </w:p>
        </w:tc>
        <w:tc>
          <w:tcPr>
            <w:tcW w:w="7720" w:type="dxa"/>
            <w:vAlign w:val="bottom"/>
            <w:gridSpan w:val="3"/>
          </w:tcPr>
          <w:p>
            <w:pPr>
              <w:ind w:left="38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52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0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South Trent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South Trent Wind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Spanish Fork Wind Park 2,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Utah</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Asset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Fund II-B,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Fund III,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SPP Lease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SPP P-IV Master Lessee,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Energy II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Energy III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Class B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Expansion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Canyon Expansion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Spring Canyon Interconnection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Spring Street Solar 1,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1,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Stafford St Solar 2,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Stafford St Solar 3,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Stearns Solar I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Steel Bridge Solar,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Sun City Project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 - High Desert,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California</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Taloga Wind,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Oklahoma</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Tapestry Wind,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Thermal Canada Infrastructure Holdings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Thermal Canada Infrastructure 1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Thermal Hawaii Development HoldCo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Thermal Hawaii Development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Thermal Hawaii Development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Topeka Solar 1,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1,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2,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TOS Solar 4,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TOS Solar 5,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Tully Farms Solar 1,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Underhill Solar,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Holdings II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Utah Solar Master HoldCo LLC</w:t>
            </w:r>
          </w:p>
        </w:tc>
        <w:tc>
          <w:tcPr>
            <w:tcW w:w="370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52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Utah Solar Master Holdings LLC</w:t>
            </w:r>
          </w:p>
        </w:tc>
        <w:tc>
          <w:tcPr>
            <w:tcW w:w="370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19" w:name="page220"/>
    <w:bookmarkEnd w:id="219"/>
    <w:p>
      <w:pPr>
        <w:ind w:left="10240"/>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776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SUBSIDIARIES OF CLEARWAY ENERGY, INC.</w:t>
            </w:r>
          </w:p>
        </w:tc>
      </w:tr>
      <w:tr>
        <w:trPr>
          <w:trHeight w:val="580"/>
        </w:trPr>
        <w:tc>
          <w:tcPr>
            <w:tcW w:w="3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2"/>
        </w:trPr>
        <w:tc>
          <w:tcPr>
            <w:tcW w:w="3480" w:type="dxa"/>
            <w:vAlign w:val="bottom"/>
            <w:tcBorders>
              <w:left w:val="single" w:sz="8" w:color="auto"/>
              <w:bottom w:val="single" w:sz="8" w:color="auto"/>
            </w:tcBorders>
            <w:shd w:val="clear" w:color="auto" w:fill="828282"/>
          </w:tcPr>
          <w:p>
            <w:pPr>
              <w:ind w:left="40"/>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3740" w:type="dxa"/>
            <w:vAlign w:val="bottom"/>
            <w:tcBorders>
              <w:bottom w:val="single" w:sz="8" w:color="auto"/>
              <w:right w:val="single" w:sz="8" w:color="auto"/>
            </w:tcBorders>
            <w:shd w:val="clear" w:color="auto" w:fill="828282"/>
          </w:tcPr>
          <w:p>
            <w:pPr>
              <w:spacing w:after="0"/>
              <w:rPr>
                <w:sz w:val="18"/>
                <w:szCs w:val="18"/>
                <w:color w:val="auto"/>
              </w:rPr>
            </w:pPr>
          </w:p>
        </w:tc>
        <w:tc>
          <w:tcPr>
            <w:tcW w:w="380" w:type="dxa"/>
            <w:vAlign w:val="bottom"/>
            <w:tcBorders>
              <w:bottom w:val="single" w:sz="8" w:color="auto"/>
              <w:right w:val="single" w:sz="8" w:color="auto"/>
            </w:tcBorders>
            <w:shd w:val="clear" w:color="auto" w:fill="828282"/>
          </w:tcPr>
          <w:p>
            <w:pPr>
              <w:spacing w:after="0"/>
              <w:rPr>
                <w:sz w:val="18"/>
                <w:szCs w:val="18"/>
                <w:color w:val="auto"/>
              </w:rPr>
            </w:pPr>
          </w:p>
        </w:tc>
        <w:tc>
          <w:tcPr>
            <w:tcW w:w="3640" w:type="dxa"/>
            <w:vAlign w:val="bottom"/>
            <w:tcBorders>
              <w:bottom w:val="single" w:sz="8" w:color="auto"/>
              <w:right w:val="single" w:sz="8" w:color="auto"/>
            </w:tcBorders>
            <w:shd w:val="clear" w:color="auto" w:fill="828282"/>
          </w:tcPr>
          <w:p>
            <w:pPr>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Vail Energy,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Viento Funding 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Viento Funding,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VP-Arica Parent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VP-Arica Parent Holdings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Solar 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Wabasha Solar III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Wabasha Solar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Waiawa BL Borrower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Waiawa Class B Member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Waiawa Solar Power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Waiawa TE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Waipio PV,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Walnut Creek Energy,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Walnut Creek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Waterford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WCEP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Webster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Wildcat Energy,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Arizona</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Wildorado Interconnect,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Wildorado Repowering Tax Equity Holdco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Wildorado Wind,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Texas</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Wilmarth Lane Solar 1,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Wind TE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Winona Solar I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Winona Solar II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WSD Solar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WV Wind Holdco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WV Wind Holdings LLC</w:t>
            </w:r>
          </w:p>
        </w:tc>
        <w:tc>
          <w:tcPr>
            <w:tcW w:w="3740" w:type="dxa"/>
            <w:vAlign w:val="bottom"/>
            <w:tcBorders>
              <w:bottom w:val="single" w:sz="8" w:color="auto"/>
              <w:right w:val="single" w:sz="8" w:color="auto"/>
            </w:tcBorders>
            <w:shd w:val="clear" w:color="auto" w:fill="CCEEFF"/>
          </w:tcPr>
          <w:p>
            <w:pPr>
              <w:spacing w:after="0"/>
              <w:rPr>
                <w:sz w:val="16"/>
                <w:szCs w:val="16"/>
                <w:color w:val="auto"/>
              </w:rPr>
            </w:pPr>
          </w:p>
        </w:tc>
        <w:tc>
          <w:tcPr>
            <w:tcW w:w="380" w:type="dxa"/>
            <w:vAlign w:val="bottom"/>
            <w:tcBorders>
              <w:bottom w:val="single" w:sz="8" w:color="auto"/>
              <w:right w:val="single" w:sz="8" w:color="auto"/>
            </w:tcBorders>
            <w:shd w:val="clear" w:color="auto" w:fill="CCEEFF"/>
          </w:tcPr>
          <w:p>
            <w:pPr>
              <w:spacing w:after="0"/>
              <w:rPr>
                <w:sz w:val="16"/>
                <w:szCs w:val="16"/>
                <w:color w:val="auto"/>
              </w:rPr>
            </w:pPr>
          </w:p>
        </w:tc>
        <w:tc>
          <w:tcPr>
            <w:tcW w:w="36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192"/>
        </w:trPr>
        <w:tc>
          <w:tcPr>
            <w:tcW w:w="3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Zephyr Oahu Partnership LLC</w:t>
            </w:r>
          </w:p>
        </w:tc>
        <w:tc>
          <w:tcPr>
            <w:tcW w:w="3740" w:type="dxa"/>
            <w:vAlign w:val="bottom"/>
            <w:tcBorders>
              <w:bottom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36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240"/>
          </w:cols>
          <w:pgMar w:left="360" w:top="161" w:right="29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3" w:lineRule="exact"/>
        <w:rPr>
          <w:sz w:val="20"/>
          <w:szCs w:val="20"/>
          <w:color w:val="auto"/>
        </w:rPr>
      </w:pPr>
    </w:p>
    <w:p>
      <w:pPr>
        <w:ind w:left="520" w:hanging="210"/>
        <w:spacing w:after="0"/>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333-206061) pertaining to the NRG Yield, Inc. 2013 Equity Incentive Plan,</w:t>
      </w:r>
    </w:p>
    <w:p>
      <w:pPr>
        <w:spacing w:after="0" w:line="36"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333-190071) pertaining to the NRG Yield, Inc. 2013 Equity Incentive Plan,</w:t>
      </w:r>
    </w:p>
    <w:p>
      <w:pPr>
        <w:spacing w:after="0" w:line="51"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S-8 No. 333-255727) pertaining to Clearway Energy, Inc. 2013 Amended and Restated Equity Incentive Plan, and</w:t>
      </w:r>
    </w:p>
    <w:p>
      <w:pPr>
        <w:spacing w:after="0" w:line="51" w:lineRule="exact"/>
        <w:rPr>
          <w:rFonts w:ascii="Times New Roman" w:cs="Times New Roman" w:eastAsia="Times New Roman" w:hAnsi="Times New Roman"/>
          <w:sz w:val="14"/>
          <w:szCs w:val="14"/>
          <w:color w:val="auto"/>
        </w:rPr>
      </w:pPr>
    </w:p>
    <w:p>
      <w:pPr>
        <w:ind w:left="520" w:hanging="210"/>
        <w:spacing w:after="0"/>
        <w:tabs>
          <w:tab w:leader="none" w:pos="5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(Form S-3 No. 333-241652) of Clearway Energy, Inc..</w:t>
      </w:r>
    </w:p>
    <w:p>
      <w:pPr>
        <w:spacing w:after="0" w:line="2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reports dated February 23, 2023, with respect to the consolidated financial statements of Clearway Energy, Inc. and the effectiveness of internal control over financial reporting of Clearway Energy, Inc. included in this Annual Report (Form 10-K) of Clearway Energy, Inc. for the year ended December 31, 2022.</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23, 2023</w:t>
      </w:r>
    </w:p>
    <w:p>
      <w:pPr>
        <w:sectPr>
          <w:pgSz w:w="11900" w:h="16838" w:orient="portrait"/>
          <w:cols w:equalWidth="0" w:num="1">
            <w:col w:w="11280"/>
          </w:cols>
          <w:pgMar w:left="300" w:top="950" w:right="31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Energy, Inc.:</w:t>
      </w:r>
    </w:p>
    <w:p>
      <w:pPr>
        <w:spacing w:after="0" w:line="1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 numbers 333-206061, 333-190071 and 333-255727 on Form S-8, and number 333-241652 on Form S-3 of Clearway Energy, Inc. of our report dated March 1, 2021, with respect to the consolidated statements of income, comprehensive income, stockholders’ equity, and cash flows for the year ended December 31, 2020, and the related notes and financial statement schedules “Schedule I - Condensed Financial Information of Registrant” and “Schedule II - Valuation and Qualifying Accounts”, which report appears in the December 31, 2022 Annual Report on Form 10-K of Clearway Energy, Inc.</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23, 2023</w:t>
      </w:r>
    </w:p>
    <w:p>
      <w:pPr>
        <w:sectPr>
          <w:pgSz w:w="11900" w:h="16838" w:orient="portrait"/>
          <w:cols w:equalWidth="0" w:num="1">
            <w:col w:w="11280"/>
          </w:cols>
          <w:pgMar w:left="300" w:top="950" w:right="31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S. Sotos, certify that:</w:t>
      </w:r>
    </w:p>
    <w:p>
      <w:pPr>
        <w:spacing w:after="0" w:line="274" w:lineRule="exact"/>
        <w:rPr>
          <w:sz w:val="20"/>
          <w:szCs w:val="20"/>
          <w:color w:val="auto"/>
        </w:rPr>
      </w:pPr>
    </w:p>
    <w:p>
      <w:pPr>
        <w:ind w:left="520" w:hanging="515"/>
        <w:spacing w:after="0"/>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266128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2">
                      <a:extLst>
                        <a:ext uri="{28A0092B-C50C-407E-A947-70E740481C1C}"/>
                      </a:extLst>
                    </a:blip>
                    <a:srcRect/>
                    <a:stretch>
                      <a:fillRect/>
                    </a:stretch>
                  </pic:blipFill>
                  <pic:spPr bwMode="auto">
                    <a:xfrm>
                      <a:off x="0" y="0"/>
                      <a:ext cx="2661285" cy="698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Christopher S. Sotos</w:t>
      </w:r>
    </w:p>
    <w:p>
      <w:pPr>
        <w:ind w:left="586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23, 2023</w:t>
      </w:r>
    </w:p>
    <w:p>
      <w:pPr>
        <w:sectPr>
          <w:pgSz w:w="11900" w:h="16838" w:orient="portrait"/>
          <w:cols w:equalWidth="0" w:num="1">
            <w:col w:w="11280"/>
          </w:cols>
          <w:pgMar w:left="300" w:top="802" w:right="31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63" w:lineRule="exact"/>
        <w:rPr>
          <w:sz w:val="20"/>
          <w:szCs w:val="20"/>
          <w:color w:val="auto"/>
        </w:rPr>
      </w:pPr>
    </w:p>
    <w:p>
      <w:pPr>
        <w:ind w:left="520" w:hanging="515"/>
        <w:spacing w:after="0"/>
        <w:tabs>
          <w:tab w:leader="none" w:pos="5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Clearway Energy, Inc.;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3796030</wp:posOffset>
            </wp:positionH>
            <wp:positionV relativeFrom="paragraph">
              <wp:posOffset>14605</wp:posOffset>
            </wp:positionV>
            <wp:extent cx="282956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3">
                      <a:extLst>
                        <a:ext uri="{28A0092B-C50C-407E-A947-70E740481C1C}"/>
                      </a:extLst>
                    </a:blip>
                    <a:srcRect/>
                    <a:stretch>
                      <a:fillRect/>
                    </a:stretch>
                  </pic:blipFill>
                  <pic:spPr bwMode="auto">
                    <a:xfrm>
                      <a:off x="0" y="0"/>
                      <a:ext cx="2829560" cy="6985"/>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Sarah Rubenstein</w:t>
      </w:r>
    </w:p>
    <w:p>
      <w:pPr>
        <w:ind w:left="6000"/>
        <w:spacing w:after="0" w:line="210" w:lineRule="auto"/>
        <w:rPr>
          <w:sz w:val="20"/>
          <w:szCs w:val="20"/>
          <w:color w:val="auto"/>
        </w:rPr>
      </w:pPr>
      <w:r>
        <w:rPr>
          <w:rFonts w:ascii="Times New Roman" w:cs="Times New Roman" w:eastAsia="Times New Roman" w:hAnsi="Times New Roman"/>
          <w:sz w:val="14"/>
          <w:szCs w:val="14"/>
          <w:i w:val="1"/>
          <w:iCs w:val="1"/>
          <w:color w:val="auto"/>
        </w:rPr>
        <w:t>Senior Vice President and Chief Accounting Officer</w:t>
      </w:r>
    </w:p>
    <w:p>
      <w:pPr>
        <w:ind w:left="6000"/>
        <w:spacing w:after="0" w:line="206"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600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23, 2023</w:t>
      </w:r>
    </w:p>
    <w:p>
      <w:pPr>
        <w:sectPr>
          <w:pgSz w:w="11900" w:h="16838" w:orient="portrait"/>
          <w:cols w:equalWidth="0" w:num="1">
            <w:col w:w="11280"/>
          </w:cols>
          <w:pgMar w:left="300" w:top="727" w:right="31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Clearway Energy, Inc. on Form 10-K for the year ended December 31, 2022, as filed with the Securities and Exchange Commission on the date hereof (the “Form 10-K”),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10-K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10-K fairly presents, in all material respects, the financial condition and results of operations of the Company as of the dates and for the periods expressed in the Form 10-K.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23, 2023</w:t>
      </w:r>
    </w:p>
    <w:p>
      <w:pPr>
        <w:spacing w:after="0" w:line="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54">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309245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55">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i w:val="1"/>
          <w:iCs w:val="1"/>
          <w:color w:val="auto"/>
        </w:rPr>
        <w:t>Senior Vice President and Chief Accounting Officer</w:t>
      </w:r>
    </w:p>
    <w:p>
      <w:pPr>
        <w:ind w:left="5660"/>
        <w:spacing w:after="0" w:line="221" w:lineRule="auto"/>
        <w:rPr>
          <w:sz w:val="20"/>
          <w:szCs w:val="20"/>
          <w:color w:val="auto"/>
        </w:rPr>
      </w:pPr>
      <w:r>
        <w:rPr>
          <w:rFonts w:ascii="Times New Roman" w:cs="Times New Roman" w:eastAsia="Times New Roman" w:hAnsi="Times New Roman"/>
          <w:sz w:val="14"/>
          <w:szCs w:val="14"/>
          <w:i w:val="1"/>
          <w:iCs w:val="1"/>
          <w:color w:val="auto"/>
        </w:rPr>
        <w:t>(Principal Financial Officer and</w:t>
      </w:r>
    </w:p>
    <w:p>
      <w:pPr>
        <w:ind w:left="566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10-K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lowerLetter"/>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1)"/>
      <w:numFmt w:val="lowerLetter"/>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lowerLetter"/>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lowerLetter"/>
      <w:start w:val="2"/>
    </w:lvl>
  </w:abstractNum>
  <w:abstractNum w:abstractNumId="38">
    <w:nsid w:val="47398C89"/>
    <w:multiLevelType w:val="hybridMultilevel"/>
    <w:lvl w:ilvl="0">
      <w:lvlJc w:val="left"/>
      <w:lvlText w:val="(%1)"/>
      <w:numFmt w:val="lowerLetter"/>
      <w:start w:val="1"/>
    </w:lvl>
  </w:abstractNum>
  <w:abstractNum w:abstractNumId="39">
    <w:nsid w:val="354FE9F9"/>
    <w:multiLevelType w:val="hybridMultilevel"/>
    <w:lvl w:ilvl="0">
      <w:lvlJc w:val="left"/>
      <w:lvlText w:val="(%1)"/>
      <w:numFmt w:val="lowerLetter"/>
      <w:start w:val="1"/>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lowerLetter"/>
      <w:start w:val="1"/>
    </w:lvl>
  </w:abstractNum>
  <w:abstractNum w:abstractNumId="47">
    <w:nsid w:val="77AE35EB"/>
    <w:multiLevelType w:val="hybridMultilevel"/>
    <w:lvl w:ilvl="0">
      <w:lvlJc w:val="left"/>
      <w:lvlText w:val="(%1)"/>
      <w:numFmt w:val="lowerLetter"/>
      <w:start w:val="1"/>
    </w:lvl>
  </w:abstractNum>
  <w:abstractNum w:abstractNumId="48">
    <w:nsid w:val="579BE4F1"/>
    <w:multiLevelType w:val="hybridMultilevel"/>
    <w:lvl w:ilvl="0">
      <w:lvlJc w:val="left"/>
      <w:lvlText w:val="(%1)"/>
      <w:numFmt w:val="lowerLetter"/>
      <w:start w:val="1"/>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1)"/>
      <w:numFmt w:val="lowerLetter"/>
      <w:start w:val="1"/>
    </w:lvl>
  </w:abstractNum>
  <w:abstractNum w:abstractNumId="56">
    <w:nsid w:val="1381823A"/>
    <w:multiLevelType w:val="hybridMultilevel"/>
    <w:lvl w:ilvl="0">
      <w:lvlJc w:val="left"/>
      <w:lvlText w:val="(%1)"/>
      <w:numFmt w:val="lowerLetter"/>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1"/>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26"/>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
      <w:numFmt w:val="bullet"/>
      <w:start w:val="1"/>
    </w:lvl>
    <w:lvl w:ilvl="1">
      <w:lvlJc w:val="left"/>
      <w:lvlText w:val="%2"/>
      <w:numFmt w:val="decimal"/>
      <w:start w:val="104"/>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1)"/>
      <w:numFmt w:val="lowerRoman"/>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203" Type="http://schemas.openxmlformats.org/officeDocument/2006/relationships/image" Target="media/image176.png"/><Relationship Id="rId224" Type="http://schemas.openxmlformats.org/officeDocument/2006/relationships/image" Target="media/image177.png"/><Relationship Id="rId242" Type="http://schemas.openxmlformats.org/officeDocument/2006/relationships/image" Target="media/image178.png"/><Relationship Id="rId263" Type="http://schemas.openxmlformats.org/officeDocument/2006/relationships/image" Target="media/image179.png"/><Relationship Id="rId269" Type="http://schemas.openxmlformats.org/officeDocument/2006/relationships/image" Target="media/image180.png"/><Relationship Id="rId270" Type="http://schemas.openxmlformats.org/officeDocument/2006/relationships/image" Target="media/image181.png"/><Relationship Id="rId271" Type="http://schemas.openxmlformats.org/officeDocument/2006/relationships/image" Target="media/image182.png"/><Relationship Id="rId272" Type="http://schemas.openxmlformats.org/officeDocument/2006/relationships/image" Target="media/image183.png"/><Relationship Id="rId273" Type="http://schemas.openxmlformats.org/officeDocument/2006/relationships/image" Target="media/image184.png"/><Relationship Id="rId274" Type="http://schemas.openxmlformats.org/officeDocument/2006/relationships/image" Target="media/image185.png"/><Relationship Id="rId275" Type="http://schemas.openxmlformats.org/officeDocument/2006/relationships/image" Target="media/image186.png"/><Relationship Id="rId276" Type="http://schemas.openxmlformats.org/officeDocument/2006/relationships/image" Target="media/image187.png"/><Relationship Id="rId277" Type="http://schemas.openxmlformats.org/officeDocument/2006/relationships/image" Target="media/image188.png"/><Relationship Id="rId278" Type="http://schemas.openxmlformats.org/officeDocument/2006/relationships/image" Target="media/image189.png"/><Relationship Id="rId279" Type="http://schemas.openxmlformats.org/officeDocument/2006/relationships/image" Target="media/image190.png"/><Relationship Id="rId280" Type="http://schemas.openxmlformats.org/officeDocument/2006/relationships/image" Target="media/image191.png"/><Relationship Id="rId281" Type="http://schemas.openxmlformats.org/officeDocument/2006/relationships/image" Target="media/image192.png"/><Relationship Id="rId282" Type="http://schemas.openxmlformats.org/officeDocument/2006/relationships/image" Target="media/image193.png"/><Relationship Id="rId283" Type="http://schemas.openxmlformats.org/officeDocument/2006/relationships/image" Target="media/image194.png"/><Relationship Id="rId284" Type="http://schemas.openxmlformats.org/officeDocument/2006/relationships/image" Target="media/image195.png"/><Relationship Id="rId285" Type="http://schemas.openxmlformats.org/officeDocument/2006/relationships/image" Target="media/image196.png"/><Relationship Id="rId286" Type="http://schemas.openxmlformats.org/officeDocument/2006/relationships/image" Target="media/image197.png"/><Relationship Id="rId287" Type="http://schemas.openxmlformats.org/officeDocument/2006/relationships/image" Target="media/image198.png"/><Relationship Id="rId288" Type="http://schemas.openxmlformats.org/officeDocument/2006/relationships/image" Target="media/image199.png"/><Relationship Id="rId289" Type="http://schemas.openxmlformats.org/officeDocument/2006/relationships/image" Target="media/image200.png"/><Relationship Id="rId290" Type="http://schemas.openxmlformats.org/officeDocument/2006/relationships/image" Target="media/image201.png"/><Relationship Id="rId291" Type="http://schemas.openxmlformats.org/officeDocument/2006/relationships/image" Target="media/image202.png"/><Relationship Id="rId292" Type="http://schemas.openxmlformats.org/officeDocument/2006/relationships/image" Target="media/image203.png"/><Relationship Id="rId293" Type="http://schemas.openxmlformats.org/officeDocument/2006/relationships/image" Target="media/image204.png"/><Relationship Id="rId294" Type="http://schemas.openxmlformats.org/officeDocument/2006/relationships/image" Target="media/image205.png"/><Relationship Id="rId295" Type="http://schemas.openxmlformats.org/officeDocument/2006/relationships/image" Target="media/image206.png"/><Relationship Id="rId296" Type="http://schemas.openxmlformats.org/officeDocument/2006/relationships/image" Target="media/image207.png"/><Relationship Id="rId297" Type="http://schemas.openxmlformats.org/officeDocument/2006/relationships/image" Target="media/image208.png"/><Relationship Id="rId298" Type="http://schemas.openxmlformats.org/officeDocument/2006/relationships/image" Target="media/image209.png"/><Relationship Id="rId299" Type="http://schemas.openxmlformats.org/officeDocument/2006/relationships/image" Target="media/image210.png"/><Relationship Id="rId300" Type="http://schemas.openxmlformats.org/officeDocument/2006/relationships/image" Target="media/image211.png"/><Relationship Id="rId301" Type="http://schemas.openxmlformats.org/officeDocument/2006/relationships/image" Target="media/image212.png"/><Relationship Id="rId302" Type="http://schemas.openxmlformats.org/officeDocument/2006/relationships/image" Target="media/image213.png"/><Relationship Id="rId303" Type="http://schemas.openxmlformats.org/officeDocument/2006/relationships/image" Target="media/image214.png"/><Relationship Id="rId304" Type="http://schemas.openxmlformats.org/officeDocument/2006/relationships/image" Target="media/image215.png"/><Relationship Id="rId305" Type="http://schemas.openxmlformats.org/officeDocument/2006/relationships/image" Target="media/image216.png"/><Relationship Id="rId306" Type="http://schemas.openxmlformats.org/officeDocument/2006/relationships/image" Target="media/image217.png"/><Relationship Id="rId307" Type="http://schemas.openxmlformats.org/officeDocument/2006/relationships/image" Target="media/image218.png"/><Relationship Id="rId308" Type="http://schemas.openxmlformats.org/officeDocument/2006/relationships/image" Target="media/image219.png"/><Relationship Id="rId309" Type="http://schemas.openxmlformats.org/officeDocument/2006/relationships/image" Target="media/image220.png"/><Relationship Id="rId310" Type="http://schemas.openxmlformats.org/officeDocument/2006/relationships/image" Target="media/image221.png"/><Relationship Id="rId311" Type="http://schemas.openxmlformats.org/officeDocument/2006/relationships/image" Target="media/image222.png"/><Relationship Id="rId312" Type="http://schemas.openxmlformats.org/officeDocument/2006/relationships/image" Target="media/image223.png"/><Relationship Id="rId313" Type="http://schemas.openxmlformats.org/officeDocument/2006/relationships/image" Target="media/image224.png"/><Relationship Id="rId314" Type="http://schemas.openxmlformats.org/officeDocument/2006/relationships/image" Target="media/image225.png"/><Relationship Id="rId315" Type="http://schemas.openxmlformats.org/officeDocument/2006/relationships/image" Target="media/image226.png"/><Relationship Id="rId316" Type="http://schemas.openxmlformats.org/officeDocument/2006/relationships/image" Target="media/image227.png"/><Relationship Id="rId317" Type="http://schemas.openxmlformats.org/officeDocument/2006/relationships/image" Target="media/image228.png"/><Relationship Id="rId318" Type="http://schemas.openxmlformats.org/officeDocument/2006/relationships/image" Target="media/image229.png"/><Relationship Id="rId319" Type="http://schemas.openxmlformats.org/officeDocument/2006/relationships/image" Target="media/image230.png"/><Relationship Id="rId320" Type="http://schemas.openxmlformats.org/officeDocument/2006/relationships/image" Target="media/image231.png"/><Relationship Id="rId321" Type="http://schemas.openxmlformats.org/officeDocument/2006/relationships/image" Target="media/image232.png"/><Relationship Id="rId322" Type="http://schemas.openxmlformats.org/officeDocument/2006/relationships/image" Target="media/image233.png"/><Relationship Id="rId323" Type="http://schemas.openxmlformats.org/officeDocument/2006/relationships/image" Target="media/image234.png"/><Relationship Id="rId324" Type="http://schemas.openxmlformats.org/officeDocument/2006/relationships/image" Target="media/image235.png"/><Relationship Id="rId325" Type="http://schemas.openxmlformats.org/officeDocument/2006/relationships/image" Target="media/image236.png"/><Relationship Id="rId326" Type="http://schemas.openxmlformats.org/officeDocument/2006/relationships/image" Target="media/image237.png"/><Relationship Id="rId327" Type="http://schemas.openxmlformats.org/officeDocument/2006/relationships/image" Target="media/image238.png"/><Relationship Id="rId328" Type="http://schemas.openxmlformats.org/officeDocument/2006/relationships/image" Target="media/image239.png"/><Relationship Id="rId329" Type="http://schemas.openxmlformats.org/officeDocument/2006/relationships/image" Target="media/image240.png"/><Relationship Id="rId330" Type="http://schemas.openxmlformats.org/officeDocument/2006/relationships/image" Target="media/image241.png"/><Relationship Id="rId331" Type="http://schemas.openxmlformats.org/officeDocument/2006/relationships/image" Target="media/image242.png"/><Relationship Id="rId332" Type="http://schemas.openxmlformats.org/officeDocument/2006/relationships/image" Target="media/image243.png"/><Relationship Id="rId333" Type="http://schemas.openxmlformats.org/officeDocument/2006/relationships/image" Target="media/image244.png"/><Relationship Id="rId334" Type="http://schemas.openxmlformats.org/officeDocument/2006/relationships/image" Target="media/image245.png"/><Relationship Id="rId335" Type="http://schemas.openxmlformats.org/officeDocument/2006/relationships/image" Target="media/image246.png"/><Relationship Id="rId336" Type="http://schemas.openxmlformats.org/officeDocument/2006/relationships/image" Target="media/image247.png"/><Relationship Id="rId337" Type="http://schemas.openxmlformats.org/officeDocument/2006/relationships/image" Target="media/image248.png"/><Relationship Id="rId338" Type="http://schemas.openxmlformats.org/officeDocument/2006/relationships/image" Target="media/image249.png"/><Relationship Id="rId339" Type="http://schemas.openxmlformats.org/officeDocument/2006/relationships/image" Target="media/image250.png"/><Relationship Id="rId340" Type="http://schemas.openxmlformats.org/officeDocument/2006/relationships/image" Target="media/image251.png"/><Relationship Id="rId341" Type="http://schemas.openxmlformats.org/officeDocument/2006/relationships/image" Target="media/image252.png"/><Relationship Id="rId342" Type="http://schemas.openxmlformats.org/officeDocument/2006/relationships/image" Target="media/image253.png"/><Relationship Id="rId343" Type="http://schemas.openxmlformats.org/officeDocument/2006/relationships/image" Target="media/image254.png"/><Relationship Id="rId344" Type="http://schemas.openxmlformats.org/officeDocument/2006/relationships/image" Target="media/image255.png"/><Relationship Id="rId345" Type="http://schemas.openxmlformats.org/officeDocument/2006/relationships/image" Target="media/image256.png"/><Relationship Id="rId346" Type="http://schemas.openxmlformats.org/officeDocument/2006/relationships/image" Target="media/image257.png"/><Relationship Id="rId347" Type="http://schemas.openxmlformats.org/officeDocument/2006/relationships/image" Target="media/image258.png"/><Relationship Id="rId348" Type="http://schemas.openxmlformats.org/officeDocument/2006/relationships/image" Target="media/image259.png"/><Relationship Id="rId349" Type="http://schemas.openxmlformats.org/officeDocument/2006/relationships/image" Target="media/image260.png"/><Relationship Id="rId350" Type="http://schemas.openxmlformats.org/officeDocument/2006/relationships/image" Target="media/image261.png"/><Relationship Id="rId351" Type="http://schemas.openxmlformats.org/officeDocument/2006/relationships/image" Target="media/image262.png"/><Relationship Id="rId352" Type="http://schemas.openxmlformats.org/officeDocument/2006/relationships/image" Target="media/image263.png"/><Relationship Id="rId353" Type="http://schemas.openxmlformats.org/officeDocument/2006/relationships/image" Target="media/image264.png"/><Relationship Id="rId354" Type="http://schemas.openxmlformats.org/officeDocument/2006/relationships/image" Target="media/image265.png"/><Relationship Id="rId355" Type="http://schemas.openxmlformats.org/officeDocument/2006/relationships/image" Target="media/image266.png"/><Relationship Id="rId183" Type="http://schemas.openxmlformats.org/officeDocument/2006/relationships/hyperlink" Target="https://www.sec.gov/Archives/edgar/data/1567683/000110465920127618/tm2036452d2_ex2-1.htm" TargetMode="External"/><Relationship Id="rId184" Type="http://schemas.openxmlformats.org/officeDocument/2006/relationships/hyperlink" Target="http://www.sec.gov/Archives/edgar/data/1567683/000110465920056290/tm203404d2_ex3-1.htm" TargetMode="External"/><Relationship Id="rId185" Type="http://schemas.openxmlformats.org/officeDocument/2006/relationships/hyperlink" Target="http://www.sec.gov/Archives/edgar/data/1567683/000110465918055334/a18-24111_1ex3d2.htm#Exhibit3_2_042157" TargetMode="External"/><Relationship Id="rId186" Type="http://schemas.openxmlformats.org/officeDocument/2006/relationships/hyperlink" Target="http://www.sec.gov/Archives/edgar/data/1567683/000110465918055334/a18-24111_1ex10d6.htm#Exhibit10_6_052216" TargetMode="External"/><Relationship Id="rId187" Type="http://schemas.openxmlformats.org/officeDocument/2006/relationships/hyperlink" Target="http://www.sec.gov/Archives/edgar/data/1567683/000156768319000014/exhibit_1.htm" TargetMode="External"/><Relationship Id="rId188" Type="http://schemas.openxmlformats.org/officeDocument/2006/relationships/hyperlink" Target="http://www.sec.gov/Archives/edgar/data/1567683/000156768319000014/exhibit_2.htm" TargetMode="External"/><Relationship Id="rId189" Type="http://schemas.openxmlformats.org/officeDocument/2006/relationships/hyperlink" Target="http://www.sec.gov/Archives/edgar/data/1567683/000110465919072217/tm1925069d1_ex4-1.htm" TargetMode="External"/><Relationship Id="rId190" Type="http://schemas.openxmlformats.org/officeDocument/2006/relationships/hyperlink" Target="http://www.sec.gov/Archives/edgar/data/1567683/000110465920002258/tm201233d1_ex4-3.htm" TargetMode="External"/><Relationship Id="rId191" Type="http://schemas.openxmlformats.org/officeDocument/2006/relationships/hyperlink" Target="http://www.sec.gov/Archives/edgar/data/1567683/000110465920028560/tm2011093d1_ex4-3.htm" TargetMode="External"/><Relationship Id="rId192" Type="http://schemas.openxmlformats.org/officeDocument/2006/relationships/hyperlink" Target="http://www.sec.gov/Archives/edgar/data/1567683/000110465920085304/tm2025125d1_ex4-3.htm" TargetMode="External"/><Relationship Id="rId193" Type="http://schemas.openxmlformats.org/officeDocument/2006/relationships/hyperlink" Target="http://www.sec.gov/Archives/edgar/data/1567683/000110465920097221/tm2025854d5_ex4-3.htm" TargetMode="External"/><Relationship Id="rId194" Type="http://schemas.openxmlformats.org/officeDocument/2006/relationships/hyperlink" Target="https://www.sec.gov/Archives/edgar/data/1567683/000110465920127370/tm2036452d1_ex4-3.htm" TargetMode="External"/><Relationship Id="rId195" Type="http://schemas.openxmlformats.org/officeDocument/2006/relationships/hyperlink" Target="https://www.sec.gov/Archives/edgar/data/1567683/000110465920132409/tm2037503d1_ex4-3.htm" TargetMode="External"/><Relationship Id="rId196" Type="http://schemas.openxmlformats.org/officeDocument/2006/relationships/hyperlink" Target="https://www.sec.gov/Archives/edgar/data/1567683/000110465920140147/tm2039385d1_ex4-3.htm" TargetMode="External"/><Relationship Id="rId197" Type="http://schemas.openxmlformats.org/officeDocument/2006/relationships/hyperlink" Target="http://www.sec.gov/Archives/edgar/data/1567683/000110465921012966/tm215220d2_ex4-3.htm" TargetMode="External"/><Relationship Id="rId198" Type="http://schemas.openxmlformats.org/officeDocument/2006/relationships/hyperlink" Target="https://www.sec.gov/Archives/edgar/data/0001567683/000110465921033800/tm219068d1_ex4-1.htm" TargetMode="External"/><Relationship Id="rId199" Type="http://schemas.openxmlformats.org/officeDocument/2006/relationships/hyperlink" Target="https://www.sec.gov/Archives/edgar/data/1567683/000110465921033800/tm219068d1_ex4-1.htm" TargetMode="External"/><Relationship Id="rId200" Type="http://schemas.openxmlformats.org/officeDocument/2006/relationships/hyperlink" Target="https://www.sec.gov/Archives/edgar/data/1567683/000110465921069314/tm2116590d1_ex4-2.htm" TargetMode="External"/><Relationship Id="rId201" Type="http://schemas.openxmlformats.org/officeDocument/2006/relationships/hyperlink" Target="https://www.sec.gov/Archives/edgar/data/1567683/000110465921069314/tm2116590d1_ex4-3.htm" TargetMode="External"/><Relationship Id="rId202" Type="http://schemas.openxmlformats.org/officeDocument/2006/relationships/hyperlink" Target="https://www.sec.gov/Archives/edgar/data/1567683/000110465921122073/tm2128933d1_ex4-1.htm" TargetMode="External"/><Relationship Id="rId204" Type="http://schemas.openxmlformats.org/officeDocument/2006/relationships/hyperlink" Target="https://www.sec.gov/Archives/edgar/data/1567683/000110465921124595/tm2129471d1_ex4-2.htm" TargetMode="External"/><Relationship Id="rId205" Type="http://schemas.openxmlformats.org/officeDocument/2006/relationships/hyperlink" Target="https://www.sec.gov/Archives/edgar/data/1567683/000110465921124595/tm2129471d1_ex4-3.htm" TargetMode="External"/><Relationship Id="rId206" Type="http://schemas.openxmlformats.org/officeDocument/2006/relationships/hyperlink" Target="https://www.sec.gov/Archives/edgar/data/1567683/000110465921124595/tm2129471d1_ex4-4.htm" TargetMode="External"/><Relationship Id="rId207" Type="http://schemas.openxmlformats.org/officeDocument/2006/relationships/hyperlink" Target="https://www.sec.gov/Archives/edgar/data/1567683/000110465922066895/tm2217299d1_ex4-1.htm" TargetMode="External"/><Relationship Id="rId208" Type="http://schemas.openxmlformats.org/officeDocument/2006/relationships/hyperlink" Target="https://www.sec.gov/Archives/edgar/data/1567683/000110465922066895/tm2217299d1_ex4-2.htm" TargetMode="External"/><Relationship Id="rId209" Type="http://schemas.openxmlformats.org/officeDocument/2006/relationships/hyperlink" Target="https://www.sec.gov/Archives/edgar/data/1567683/000110465922066895/tm2217299d1_ex4-3.htm" TargetMode="External"/><Relationship Id="rId210" Type="http://schemas.openxmlformats.org/officeDocument/2006/relationships/hyperlink" Target="https://www.sec.gov/Archives/edgar/data/1567683/000110465923023548/tm237375d1_ex4-1.htm" TargetMode="External"/><Relationship Id="rId211" Type="http://schemas.openxmlformats.org/officeDocument/2006/relationships/hyperlink" Target="https://www.sec.gov/Archives/edgar/data/1567683/000110465923023548/tm237375d1_ex4-2.htm" TargetMode="External"/><Relationship Id="rId212" Type="http://schemas.openxmlformats.org/officeDocument/2006/relationships/hyperlink" Target="https://www.sec.gov/Archives/edgar/data/1567683/000110465923023548/tm237375d1_ex4-3.htm" TargetMode="External"/><Relationship Id="rId213" Type="http://schemas.openxmlformats.org/officeDocument/2006/relationships/hyperlink" Target="http://www.sec.gov/Archives/edgar/data/1567683/000110465918055334/a18-24111_1ex10d1.htm#Exhibit10_1_072506" TargetMode="External"/><Relationship Id="rId214" Type="http://schemas.openxmlformats.org/officeDocument/2006/relationships/hyperlink" Target="http://www.sec.gov/Archives/edgar/data/1567683/000110465918055334/a18-24111_1ex10d2.htm#Exhibit10_2_072636" TargetMode="External"/><Relationship Id="rId215" Type="http://schemas.openxmlformats.org/officeDocument/2006/relationships/hyperlink" Target="http://www.sec.gov/Archives/edgar/data/1567683/000110465918055334/a18-24111_1ex10d3.htm" TargetMode="External"/><Relationship Id="rId216" Type="http://schemas.openxmlformats.org/officeDocument/2006/relationships/hyperlink" Target="http://www.sec.gov/Archives/edgar/data/1567683/000110465919008742/a19-4739_1ex10d1.htm#Exhibit99_1_09271" TargetMode="External"/><Relationship Id="rId217" Type="http://schemas.openxmlformats.org/officeDocument/2006/relationships/hyperlink" Target="http://www.sec.gov/Archives/edgar/data/1567683/000156768319000039/clearwayincex1012019q2.htm" TargetMode="External"/><Relationship Id="rId218" Type="http://schemas.openxmlformats.org/officeDocument/2006/relationships/hyperlink" Target="http://www.sec.gov/Archives/edgar/data/1567683/000110465919070990/tm1924690d1_ex10-1.htm" TargetMode="External"/><Relationship Id="rId219" Type="http://schemas.openxmlformats.org/officeDocument/2006/relationships/hyperlink" Target="http://www.sec.gov/Archives/edgar/data/1567683/000156768320000036/fourthamendmenttorofoa.htm" TargetMode="External"/><Relationship Id="rId220" Type="http://schemas.openxmlformats.org/officeDocument/2006/relationships/hyperlink" Target="http://www.sec.gov/Archives/edgar/data/1567683/000110465918055334/a18-24111_1ex10d4.htm#Exhibit10_4_041820" TargetMode="External"/><Relationship Id="rId221" Type="http://schemas.openxmlformats.org/officeDocument/2006/relationships/hyperlink" Target="http://www.sec.gov/Archives/edgar/data/1567683/000110465918055334/a18-24111_1ex10d5.htm#EXHIBIT10_5_051412" TargetMode="External"/><Relationship Id="rId222" Type="http://schemas.openxmlformats.org/officeDocument/2006/relationships/hyperlink" Target="http://www.sec.gov/Archives/edgar/data/1567683/000110465918055334/a18-24111_1ex10d7.htm#Exhibit10_7_114008" TargetMode="External"/><Relationship Id="rId223" Type="http://schemas.openxmlformats.org/officeDocument/2006/relationships/hyperlink" Target="http://www.sec.gov/Archives/edgar/data/1567683/000110465918055334/a18-24111_1ex10d9.htm" TargetMode="External"/><Relationship Id="rId225" Type="http://schemas.openxmlformats.org/officeDocument/2006/relationships/hyperlink" Target="https://www.sec.gov/Archives/edgar/data/1567683/000110465921060252/tm2114475d1_ex10-1.htm" TargetMode="External"/><Relationship Id="rId226" Type="http://schemas.openxmlformats.org/officeDocument/2006/relationships/hyperlink" Target="http://www.sec.gov/Archives/edgar/data/1567683/000156768319000014/clearwayincex1010201810-k.htm" TargetMode="External"/><Relationship Id="rId227" Type="http://schemas.openxmlformats.org/officeDocument/2006/relationships/hyperlink" Target="https://www.sec.gov/Archives/edgar/data/1567683/000110465914031308/a14-11252_1ex10d1.htm" TargetMode="External"/><Relationship Id="rId228" Type="http://schemas.openxmlformats.org/officeDocument/2006/relationships/hyperlink" Target="http://www.sec.gov/Archives/edgar/data/1567683/000156768315000022/yieldincex1092015q2opllcam.htm" TargetMode="External"/><Relationship Id="rId229" Type="http://schemas.openxmlformats.org/officeDocument/2006/relationships/hyperlink" Target="http://www.sec.gov/Archives/edgar/data/1567683/000110465918008195/a18-5849_1ex10d1.htm#Exhibit10_1_093100" TargetMode="External"/><Relationship Id="rId230" Type="http://schemas.openxmlformats.org/officeDocument/2006/relationships/hyperlink" Target="http://www.sec.gov/Archives/edgar/data/1567683/000156768318000021/a101.htm" TargetMode="External"/><Relationship Id="rId231" Type="http://schemas.openxmlformats.org/officeDocument/2006/relationships/hyperlink" Target="http://www.sec.gov/Archives/edgar/data/1567683/000110465918071712/a18-41171_1ex10d1.htm#Exhibit10_1_112713" TargetMode="External"/><Relationship Id="rId232" Type="http://schemas.openxmlformats.org/officeDocument/2006/relationships/hyperlink" Target="http://www.sec.gov/Archives/edgar/data/1567683/000110465919075298/tm1926822d1_ex10-1.htm" TargetMode="External"/><Relationship Id="rId233" Type="http://schemas.openxmlformats.org/officeDocument/2006/relationships/hyperlink" Target="https://www.sec.gov/Archives/edgar/data/1567683/000110465921145441/tm2134349d1_ex10-1.htm" TargetMode="External"/><Relationship Id="rId234" Type="http://schemas.openxmlformats.org/officeDocument/2006/relationships/hyperlink" Target="https://www.sec.gov/Archives/edgar/data/1567683/000110465922092724/tm2223749d1_ex10-1.htm" TargetMode="External"/><Relationship Id="rId235" Type="http://schemas.openxmlformats.org/officeDocument/2006/relationships/hyperlink" Target="http://www.sec.gov/Archives/edgar/data/1567683/000156768319000014/clearwayincex1022201810-k.htm" TargetMode="External"/><Relationship Id="rId236" Type="http://schemas.openxmlformats.org/officeDocument/2006/relationships/hyperlink" Target="http://www.sec.gov/Archives/edgar/data/1567683/000156768319000014/clearwayincex1023201810-k.htm" TargetMode="External"/><Relationship Id="rId237" Type="http://schemas.openxmlformats.org/officeDocument/2006/relationships/hyperlink" Target="http://www.sec.gov/Archives/edgar/data/1567683/000156768319000014/clearwayincex1024201810-k.htm" TargetMode="External"/><Relationship Id="rId238" Type="http://schemas.openxmlformats.org/officeDocument/2006/relationships/hyperlink" Target="http://www.sec.gov/Archives/edgar/data/1567683/000156768319000014/clearwayincex1025201810-k.htm" TargetMode="External"/><Relationship Id="rId239" Type="http://schemas.openxmlformats.org/officeDocument/2006/relationships/hyperlink" Target="http://www.sec.gov/Archives/edgar/data/1567683/000156768320000008/clearwayincex102620191.htm" TargetMode="External"/><Relationship Id="rId240" Type="http://schemas.openxmlformats.org/officeDocument/2006/relationships/hyperlink" Target="https://www.sec.gov/Archives/edgar/data/1567683/000156768321000009/clearwayincex1019-cwen2020.htm" TargetMode="External"/><Relationship Id="rId241" Type="http://schemas.openxmlformats.org/officeDocument/2006/relationships/hyperlink" Target="https://www.sec.gov/Archives/edgar/data/1567683/000156768321000009/clearwayincex1020-cwen2020.htm" TargetMode="External"/><Relationship Id="rId243" Type="http://schemas.openxmlformats.org/officeDocument/2006/relationships/hyperlink" Target="http://www.sec.gov/Archives/edgar/data/1567683/000156768318000008/yieldincex1034201710-k.htm" TargetMode="External"/><Relationship Id="rId244" Type="http://schemas.openxmlformats.org/officeDocument/2006/relationships/hyperlink" Target="http://www.sec.gov/Archives/edgar/data/1567683/000156768319000014/clearwayincex1030201810-k.htm" TargetMode="External"/><Relationship Id="rId245" Type="http://schemas.openxmlformats.org/officeDocument/2006/relationships/hyperlink" Target="http://www.sec.gov/Archives/edgar/data/1567683/000110465915038447/a15-11446_1ex10d1.htm" TargetMode="External"/><Relationship Id="rId246" Type="http://schemas.openxmlformats.org/officeDocument/2006/relationships/hyperlink" Target="http://www.sec.gov/Archives/edgar/data/1567683/000110465915038447/a15-11446_1ex10d2.htm" TargetMode="External"/><Relationship Id="rId247" Type="http://schemas.openxmlformats.org/officeDocument/2006/relationships/hyperlink" Target="http://www.sec.gov/Archives/edgar/data/1567683/000110465920048792/tm2016404d1_ex10-1.htm" TargetMode="External"/><Relationship Id="rId248" Type="http://schemas.openxmlformats.org/officeDocument/2006/relationships/hyperlink" Target="http://www.sec.gov/Archives/edgar/data/1567683/000110465920048792/tm2016404d1_ex10-2.htm" TargetMode="External"/><Relationship Id="rId249" Type="http://schemas.openxmlformats.org/officeDocument/2006/relationships/hyperlink" Target="http://www.sec.gov/Archives/edgar/data/1567683/000110465920048792/tm2016404d1_ex10-3.htm" TargetMode="External"/><Relationship Id="rId250" Type="http://schemas.openxmlformats.org/officeDocument/2006/relationships/hyperlink" Target="https://www.sec.gov/Archives/edgar/data/1567683/000110465920138636/tm2039055d1_ex10-1.htm" TargetMode="External"/><Relationship Id="rId251" Type="http://schemas.openxmlformats.org/officeDocument/2006/relationships/hyperlink" Target="https://www.sec.gov/Archives/edgar/data/1567683/000110465920138636/tm2039055d1_ex10-2.htm" TargetMode="External"/><Relationship Id="rId252" Type="http://schemas.openxmlformats.org/officeDocument/2006/relationships/hyperlink" Target="https://www.sec.gov/Archives/edgar/data/1567683/000110465920138636/tm2039055d1_ex10-3.htm" TargetMode="External"/><Relationship Id="rId253" Type="http://schemas.openxmlformats.org/officeDocument/2006/relationships/hyperlink" Target="https://www.sec.gov/Archives/edgar/data/1567683/000156768321000009/clearwayincex1031pinnaclel.htm" TargetMode="External"/><Relationship Id="rId254" Type="http://schemas.openxmlformats.org/officeDocument/2006/relationships/hyperlink" Target="https://www.sec.gov/Archives/edgar/data/1567683/000156768321000025/fifthamendmenttorofoagreem.htm" TargetMode="External"/><Relationship Id="rId255" Type="http://schemas.openxmlformats.org/officeDocument/2006/relationships/hyperlink" Target="https://www.sec.gov/Archives/edgar/data/1567683/000110465921108614/tm2125658d1_ex10-1.htm" TargetMode="External"/><Relationship Id="rId256" Type="http://schemas.openxmlformats.org/officeDocument/2006/relationships/hyperlink" Target="https://www.sec.gov/Archives/edgar/data/1567683/000110465921118837/tm2128073d1_ex10-1.htm" TargetMode="External"/><Relationship Id="rId257" Type="http://schemas.openxmlformats.org/officeDocument/2006/relationships/hyperlink" Target="https://www.sec.gov/Archives/edgar/data/1567683/000110465921130024/tm2130927d1_ex10-1.htm" TargetMode="External"/><Relationship Id="rId258" Type="http://schemas.openxmlformats.org/officeDocument/2006/relationships/hyperlink" Target="https://www.sec.gov/Archives/edgar/data/1567683/000110465921145441/tm2134349d1_ex10-2.htm" TargetMode="External"/><Relationship Id="rId259" Type="http://schemas.openxmlformats.org/officeDocument/2006/relationships/hyperlink" Target="https://www.sec.gov/Archives/edgar/data/1567683/000110465922004681/tm222995d1_ex10-1.htm" TargetMode="External"/><Relationship Id="rId260" Type="http://schemas.openxmlformats.org/officeDocument/2006/relationships/hyperlink" Target="https://www.sec.gov/Archives/edgar/data/1567683/000110465922004681/tm222995d1_ex10-2.htm" TargetMode="External"/><Relationship Id="rId261" Type="http://schemas.openxmlformats.org/officeDocument/2006/relationships/hyperlink" Target="https://www.sec.gov/Archives/edgar/data/1567683/000156768322000016/clearwayincex10310-q2022.htm" TargetMode="External"/><Relationship Id="rId262" Type="http://schemas.openxmlformats.org/officeDocument/2006/relationships/hyperlink" Target="https://www.sec.gov/Archives/edgar/data/1567683/000156768322000016/clearwayincex10410-q2022.htm" TargetMode="External"/><Relationship Id="rId264" Type="http://schemas.openxmlformats.org/officeDocument/2006/relationships/hyperlink" Target="https://www.sec.gov/Archives/edgar/data/1567683/000156768322000016/clearwayincex10510-q2022.htm" TargetMode="External"/><Relationship Id="rId265" Type="http://schemas.openxmlformats.org/officeDocument/2006/relationships/hyperlink" Target="https://www.sec.gov/Archives/edgar/data/1567683/000156768322000016/clearwayincex10610-q2022.htm" TargetMode="External"/><Relationship Id="rId266" Type="http://schemas.openxmlformats.org/officeDocument/2006/relationships/hyperlink" Target="https://www.sec.gov/Archives/edgar/data/1567683/000156768322000016/clearwayincex10710-q2022.htm" TargetMode="External"/><Relationship Id="rId267" Type="http://schemas.openxmlformats.org/officeDocument/2006/relationships/hyperlink" Target="https://www.sec.gov/Archives/edgar/data/1567683/000110465922130953/tm2233662d1_ex10-1.htm" TargetMode="External"/><Relationship Id="rId268" Type="http://schemas.openxmlformats.org/officeDocument/2006/relationships/hyperlink" Target="https://www.sec.gov/Archives/edgar/data/1567683/000110465921036280/tm219707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2023-02-23T18:45:23Z</dcterms:created>
  <dcterms:modified xsi:type="dcterms:W3CDTF">2023-02-23T18:45:23Z</dcterms:modified>
</cp:coreProperties>
</file>