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62023_080921.xml.htm"/>
      <w:bookmarkStart w:id="1" w:name="ksform409062023_0809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More Daniel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CARNEGIE CENTER,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739</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47,386</w:t>
            </w:r>
            <w:r>
              <w:rPr>
                <w:rFonts w:ascii="Times;serif" w:hAnsi="Times;serif"/>
                <w:color w:val="008000"/>
                <w:position w:val="7"/>
                <w:sz w:val="16"/>
                <w:sz w:val="20"/>
                <w:shd w:fill="FFFFFF" w:val="clear"/>
              </w:rPr>
              <w:t>(2)</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Deferred Stock Units, which become exercisable proportionately with the Deferred Stock Units to which they relate and may only be settled in Class C Common Stock of Clearway Energy,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6,214 dividend equivalent rights that may only be settled in Class 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P. Malcarney,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09/06/2023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39398"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3373</Characters>
  <CharactersWithSpaces>3931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