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ind w:left="4280" w:right="2800" w:hanging="3797"/>
        <w:spacing w:after="0" w:line="510" w:lineRule="auto"/>
        <w:tabs>
          <w:tab w:leader="none" w:pos="186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001-36002</w:t>
      </w:r>
    </w:p>
    <w:p>
      <w:pPr>
        <w:jc w:val="center"/>
        <w:spacing w:after="0"/>
        <w:rPr>
          <w:sz w:val="20"/>
          <w:szCs w:val="20"/>
          <w:color w:val="auto"/>
        </w:rPr>
      </w:pPr>
      <w:r>
        <w:rPr>
          <w:rFonts w:ascii="Arial" w:cs="Arial" w:eastAsia="Arial" w:hAnsi="Arial"/>
          <w:sz w:val="43"/>
          <w:szCs w:val="43"/>
          <w:b w:val="1"/>
          <w:bCs w:val="1"/>
          <w:color w:val="auto"/>
        </w:rPr>
        <w:t>Clearway Energy,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562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150"/>
              <w:spacing w:after="0"/>
              <w:rPr>
                <w:sz w:val="20"/>
                <w:szCs w:val="20"/>
                <w:color w:val="auto"/>
              </w:rPr>
            </w:pPr>
            <w:r>
              <w:rPr>
                <w:rFonts w:ascii="Arial" w:cs="Arial" w:eastAsia="Arial" w:hAnsi="Arial"/>
                <w:sz w:val="18"/>
                <w:szCs w:val="18"/>
                <w:b w:val="1"/>
                <w:bCs w:val="1"/>
                <w:color w:val="auto"/>
              </w:rPr>
              <w:t>46-1777204</w:t>
            </w:r>
          </w:p>
        </w:tc>
      </w:tr>
      <w:tr>
        <w:trPr>
          <w:trHeight w:val="216"/>
        </w:trPr>
        <w:tc>
          <w:tcPr>
            <w:tcW w:w="5620" w:type="dxa"/>
            <w:vAlign w:val="bottom"/>
          </w:tcPr>
          <w:p>
            <w:pPr>
              <w:jc w:val="center"/>
              <w:ind w:right="1370"/>
              <w:spacing w:after="0"/>
              <w:rPr>
                <w:sz w:val="20"/>
                <w:szCs w:val="20"/>
                <w:color w:val="auto"/>
              </w:rPr>
            </w:pPr>
            <w:r>
              <w:rPr>
                <w:rFonts w:ascii="Arial" w:cs="Arial" w:eastAsia="Arial" w:hAnsi="Arial"/>
                <w:sz w:val="18"/>
                <w:szCs w:val="18"/>
                <w:color w:val="auto"/>
                <w:w w:val="91"/>
              </w:rPr>
              <w:t>(State or other jurisdiction</w:t>
            </w:r>
          </w:p>
        </w:tc>
        <w:tc>
          <w:tcPr>
            <w:tcW w:w="2800" w:type="dxa"/>
            <w:vAlign w:val="bottom"/>
          </w:tcPr>
          <w:p>
            <w:pPr>
              <w:jc w:val="center"/>
              <w:ind w:left="1350"/>
              <w:spacing w:after="0"/>
              <w:rPr>
                <w:sz w:val="20"/>
                <w:szCs w:val="20"/>
                <w:color w:val="auto"/>
              </w:rPr>
            </w:pPr>
            <w:r>
              <w:rPr>
                <w:rFonts w:ascii="Arial" w:cs="Arial" w:eastAsia="Arial" w:hAnsi="Arial"/>
                <w:sz w:val="18"/>
                <w:szCs w:val="18"/>
                <w:color w:val="auto"/>
                <w:w w:val="93"/>
              </w:rPr>
              <w:t>(I.R.S. Employer</w:t>
            </w:r>
          </w:p>
        </w:tc>
      </w:tr>
      <w:tr>
        <w:trPr>
          <w:trHeight w:val="230"/>
        </w:trPr>
        <w:tc>
          <w:tcPr>
            <w:tcW w:w="5620" w:type="dxa"/>
            <w:vAlign w:val="bottom"/>
          </w:tcPr>
          <w:p>
            <w:pPr>
              <w:jc w:val="center"/>
              <w:ind w:right="1370"/>
              <w:spacing w:after="0"/>
              <w:rPr>
                <w:sz w:val="20"/>
                <w:szCs w:val="20"/>
                <w:color w:val="auto"/>
              </w:rPr>
            </w:pPr>
            <w:r>
              <w:rPr>
                <w:rFonts w:ascii="Arial" w:cs="Arial" w:eastAsia="Arial" w:hAnsi="Arial"/>
                <w:sz w:val="18"/>
                <w:szCs w:val="18"/>
                <w:color w:val="auto"/>
                <w:w w:val="92"/>
              </w:rPr>
              <w:t>of incorporation or organization)</w:t>
            </w:r>
          </w:p>
        </w:tc>
        <w:tc>
          <w:tcPr>
            <w:tcW w:w="2800" w:type="dxa"/>
            <w:vAlign w:val="bottom"/>
          </w:tcPr>
          <w:p>
            <w:pPr>
              <w:jc w:val="center"/>
              <w:ind w:left="13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620" w:type="dxa"/>
            <w:vAlign w:val="bottom"/>
          </w:tcPr>
          <w:p>
            <w:pPr>
              <w:jc w:val="center"/>
              <w:ind w:right="1370"/>
              <w:spacing w:after="0"/>
              <w:rPr>
                <w:sz w:val="20"/>
                <w:szCs w:val="20"/>
                <w:color w:val="auto"/>
              </w:rPr>
            </w:pPr>
            <w:r>
              <w:rPr>
                <w:rFonts w:ascii="Arial" w:cs="Arial" w:eastAsia="Arial" w:hAnsi="Arial"/>
                <w:sz w:val="18"/>
                <w:szCs w:val="18"/>
                <w:b w:val="1"/>
                <w:bCs w:val="1"/>
                <w:color w:val="auto"/>
                <w:w w:val="89"/>
              </w:rPr>
              <w:t>300 Carnegie Center, Suite 300, Princeton, New Jersey</w:t>
            </w:r>
          </w:p>
        </w:tc>
        <w:tc>
          <w:tcPr>
            <w:tcW w:w="28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62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2800" w:type="dxa"/>
            <w:vAlign w:val="bottom"/>
          </w:tcPr>
          <w:p>
            <w:pPr>
              <w:jc w:val="center"/>
              <w:ind w:left="13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9"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o</w:t>
      </w:r>
    </w:p>
    <w:p>
      <w:pPr>
        <w:spacing w:after="0" w:line="121" w:lineRule="exact"/>
        <w:rPr>
          <w:sz w:val="24"/>
          <w:szCs w:val="24"/>
          <w:color w:val="auto"/>
        </w:rPr>
      </w:pPr>
    </w:p>
    <w:p>
      <w:pPr>
        <w:jc w:val="both"/>
        <w:ind w:firstLine="27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Large accelerated filer x</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Non-accelerated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4"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3" w:lineRule="exact"/>
        <w:rPr>
          <w:sz w:val="24"/>
          <w:szCs w:val="24"/>
          <w:color w:val="auto"/>
        </w:rPr>
      </w:pPr>
    </w:p>
    <w:p>
      <w:pPr>
        <w:ind w:left="5180"/>
        <w:spacing w:after="0"/>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October 31, 2018, there were 34,586,250 shares of Class A common stock outstanding, par value $0.01 per share, 42,738,750 shares of Class B common stock outstanding, par value $0.01 per share, 73,087,756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158750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73025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305"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3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9"/>
          </w:tcPr>
          <w:p>
            <w:pPr>
              <w:spacing w:after="0"/>
              <w:rPr>
                <w:sz w:val="21"/>
                <w:szCs w:val="21"/>
                <w:color w:val="auto"/>
              </w:rPr>
            </w:pPr>
          </w:p>
        </w:tc>
        <w:tc>
          <w:tcPr>
            <w:tcW w:w="320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3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7"/>
              </w:rPr>
              <w:t>ITEM 1 — FINANCIAL STATEMENTS AND NOTES</w:t>
            </w:r>
          </w:p>
        </w:tc>
        <w:tc>
          <w:tcPr>
            <w:tcW w:w="5700" w:type="dxa"/>
            <w:vAlign w:val="bottom"/>
            <w:gridSpan w:val="3"/>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 OPERATIONS</w:t>
            </w:r>
          </w:p>
        </w:tc>
        <w:tc>
          <w:tcPr>
            <w:tcW w:w="136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36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EE"/>
              </w:rPr>
              <w:t>ITEM 4 — CONTROLS AND PROCEDURES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PART II — OTHER INFORMATION</w:t>
            </w:r>
          </w:p>
        </w:tc>
        <w:tc>
          <w:tcPr>
            <w:tcW w:w="136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8"/>
                <w:szCs w:val="18"/>
                <w:color w:val="0000EE"/>
                <w:w w:val="95"/>
              </w:rPr>
              <w:t>ITEM 1 — LEGAL PROCEEDINGS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8"/>
                <w:szCs w:val="18"/>
                <w:color w:val="0000EE"/>
              </w:rPr>
              <w:t>ITEM 1A — RISK FACTORS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6320" w:type="dxa"/>
            <w:vAlign w:val="bottom"/>
            <w:gridSpan w:val="13"/>
          </w:tcPr>
          <w:p>
            <w:pPr>
              <w:ind w:left="20"/>
              <w:spacing w:after="0"/>
              <w:rPr>
                <w:sz w:val="20"/>
                <w:szCs w:val="20"/>
                <w:color w:val="auto"/>
              </w:rPr>
            </w:pPr>
            <w:r>
              <w:rPr>
                <w:rFonts w:ascii="Arial" w:cs="Arial" w:eastAsia="Arial" w:hAnsi="Arial"/>
                <w:sz w:val="18"/>
                <w:szCs w:val="18"/>
                <w:color w:val="0000EE"/>
              </w:rPr>
              <w:t>— DEFAULTS UPON SENIOR SECURITIES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gridSpan w:val="10"/>
          </w:tcPr>
          <w:p>
            <w:pPr>
              <w:ind w:left="20"/>
              <w:spacing w:after="0"/>
              <w:rPr>
                <w:sz w:val="20"/>
                <w:szCs w:val="20"/>
                <w:color w:val="auto"/>
              </w:rPr>
            </w:pPr>
            <w:r>
              <w:rPr>
                <w:rFonts w:ascii="Arial" w:cs="Arial" w:eastAsia="Arial" w:hAnsi="Arial"/>
                <w:sz w:val="18"/>
                <w:szCs w:val="18"/>
                <w:color w:val="0000EE"/>
              </w:rPr>
              <w:t>— MINE SAFETY DISCLOSURES</w:t>
            </w:r>
          </w:p>
        </w:tc>
        <w:tc>
          <w:tcPr>
            <w:tcW w:w="5740" w:type="dxa"/>
            <w:vAlign w:val="bottom"/>
            <w:gridSpan w:val="4"/>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gridSpan w:val="8"/>
          </w:tcPr>
          <w:p>
            <w:pPr>
              <w:ind w:left="20"/>
              <w:spacing w:after="0"/>
              <w:rPr>
                <w:sz w:val="20"/>
                <w:szCs w:val="20"/>
                <w:color w:val="auto"/>
              </w:rPr>
            </w:pPr>
            <w:r>
              <w:rPr>
                <w:rFonts w:ascii="Arial" w:cs="Arial" w:eastAsia="Arial" w:hAnsi="Arial"/>
                <w:sz w:val="18"/>
                <w:szCs w:val="18"/>
                <w:color w:val="0000EE"/>
              </w:rPr>
              <w:t>— OTHER INFORMATION</w:t>
            </w:r>
          </w:p>
        </w:tc>
        <w:tc>
          <w:tcPr>
            <w:tcW w:w="6480" w:type="dxa"/>
            <w:vAlign w:val="bottom"/>
            <w:gridSpan w:val="6"/>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gridSpan w:val="6"/>
          </w:tcPr>
          <w:p>
            <w:pPr>
              <w:ind w:left="20"/>
              <w:spacing w:after="0"/>
              <w:rPr>
                <w:sz w:val="20"/>
                <w:szCs w:val="20"/>
                <w:color w:val="auto"/>
              </w:rPr>
            </w:pPr>
            <w:r>
              <w:rPr>
                <w:rFonts w:ascii="Arial" w:cs="Arial" w:eastAsia="Arial" w:hAnsi="Arial"/>
                <w:sz w:val="18"/>
                <w:szCs w:val="18"/>
                <w:color w:val="0000EE"/>
              </w:rPr>
              <w:t>— EXHIBITS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Pr>
          <w:p>
            <w:pPr>
              <w:spacing w:after="0"/>
              <w:rPr>
                <w:sz w:val="21"/>
                <w:szCs w:val="21"/>
                <w:color w:val="auto"/>
              </w:rPr>
            </w:pPr>
          </w:p>
        </w:tc>
        <w:tc>
          <w:tcPr>
            <w:tcW w:w="8100" w:type="dxa"/>
            <w:vAlign w:val="bottom"/>
            <w:gridSpan w:val="12"/>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858"/>
        </w:trPr>
        <w:tc>
          <w:tcPr>
            <w:tcW w:w="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400" w:type="dxa"/>
            <w:vAlign w:val="bottom"/>
            <w:gridSpan w:val="11"/>
          </w:tcPr>
          <w:p>
            <w:pPr>
              <w:jc w:val="right"/>
              <w:ind w:right="10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101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2017, as well as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consummation of the NRG Transaction;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 under the NRG ROFO agreement and from GIP III Zephyr Acquisition Partners, L.P. and CEG under the CEG ROFO Agreement;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620" w:type="dxa"/>
            <w:vAlign w:val="bottom"/>
          </w:tcPr>
          <w:p>
            <w:pPr>
              <w:ind w:left="196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40" w:type="dxa"/>
            <w:vAlign w:val="bottom"/>
          </w:tcPr>
          <w:p>
            <w:pPr>
              <w:spacing w:after="0"/>
              <w:rPr>
                <w:sz w:val="20"/>
                <w:szCs w:val="20"/>
                <w:color w:val="auto"/>
              </w:rPr>
            </w:pPr>
            <w:r>
              <w:rPr>
                <w:rFonts w:ascii="Arial" w:cs="Arial" w:eastAsia="Arial" w:hAnsi="Arial"/>
                <w:sz w:val="18"/>
                <w:szCs w:val="18"/>
                <w:color w:val="auto"/>
              </w:rPr>
              <w:t>2017 Form 10-K</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w w:val="92"/>
              </w:rPr>
              <w:t>Clearway Energy, Inc.'s (formerly NRG Yield, Inc.) Annual Report on Form 10-K for the year ended December 31,</w:t>
            </w:r>
          </w:p>
        </w:tc>
        <w:tc>
          <w:tcPr>
            <w:tcW w:w="0" w:type="dxa"/>
            <w:vAlign w:val="bottom"/>
          </w:tcPr>
          <w:p>
            <w:pPr>
              <w:spacing w:after="0"/>
              <w:rPr>
                <w:sz w:val="1"/>
                <w:szCs w:val="1"/>
                <w:color w:val="auto"/>
              </w:rPr>
            </w:pPr>
          </w:p>
        </w:tc>
      </w:tr>
      <w:tr>
        <w:trPr>
          <w:trHeight w:val="67"/>
        </w:trPr>
        <w:tc>
          <w:tcPr>
            <w:tcW w:w="2740" w:type="dxa"/>
            <w:vAlign w:val="bottom"/>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2019 Convertible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$329 million aggregate principal amount of 3.50% convertible notes due 2019, issued by Clearway Energy, Inc.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2020 Convertible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$288 million aggregate principal amount of 3.25% convertible notes due 2020, issued by Clearway Energy, Inc.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2024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2025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2026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Adjusted EBITDA</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Represents EBITDA adjusted for mark-to-market gains or losses, asset write offs and impairments; and factors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which the Company does not consider indicative of future operating performance</w:t>
            </w:r>
          </w:p>
        </w:tc>
        <w:tc>
          <w:tcPr>
            <w:tcW w:w="0" w:type="dxa"/>
            <w:vAlign w:val="bottom"/>
          </w:tcPr>
          <w:p>
            <w:pPr>
              <w:spacing w:after="0"/>
              <w:rPr>
                <w:sz w:val="1"/>
                <w:szCs w:val="1"/>
                <w:color w:val="auto"/>
              </w:rPr>
            </w:pPr>
          </w:p>
        </w:tc>
      </w:tr>
      <w:tr>
        <w:trPr>
          <w:trHeight w:val="431"/>
        </w:trPr>
        <w:tc>
          <w:tcPr>
            <w:tcW w:w="2740" w:type="dxa"/>
            <w:vAlign w:val="bottom"/>
          </w:tcPr>
          <w:p>
            <w:pPr>
              <w:spacing w:after="0"/>
              <w:rPr>
                <w:sz w:val="20"/>
                <w:szCs w:val="20"/>
                <w:color w:val="auto"/>
              </w:rPr>
            </w:pPr>
            <w:r>
              <w:rPr>
                <w:rFonts w:ascii="Arial" w:cs="Arial" w:eastAsia="Arial" w:hAnsi="Arial"/>
                <w:sz w:val="18"/>
                <w:szCs w:val="18"/>
                <w:color w:val="auto"/>
              </w:rPr>
              <w:t>ASC</w:t>
            </w:r>
          </w:p>
        </w:tc>
        <w:tc>
          <w:tcPr>
            <w:tcW w:w="8620" w:type="dxa"/>
            <w:vAlign w:val="bottom"/>
          </w:tcPr>
          <w:p>
            <w:pPr>
              <w:ind w:left="22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ASU</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ATM Program</w:t>
            </w:r>
          </w:p>
        </w:tc>
        <w:tc>
          <w:tcPr>
            <w:tcW w:w="8620" w:type="dxa"/>
            <w:vAlign w:val="bottom"/>
          </w:tcPr>
          <w:p>
            <w:pPr>
              <w:ind w:left="22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rPr>
              <w:t>The remaining 25% interest in Wind TE Holdco</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Bridge Credit Agreement</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364-Day Bridge Credit Agreement entered into by Clearway Operating LLC, as borrower, and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LLC, as guarantor, on August 31, 2018</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9"/>
              </w:rPr>
              <w:t>Buckthorn Solar Drop Down Asset</w:t>
            </w:r>
          </w:p>
        </w:tc>
        <w:tc>
          <w:tcPr>
            <w:tcW w:w="8620" w:type="dxa"/>
            <w:vAlign w:val="bottom"/>
          </w:tcPr>
          <w:p>
            <w:pPr>
              <w:ind w:left="220"/>
              <w:spacing w:after="0"/>
              <w:rPr>
                <w:sz w:val="20"/>
                <w:szCs w:val="20"/>
                <w:color w:val="auto"/>
              </w:rPr>
            </w:pPr>
            <w:r>
              <w:rPr>
                <w:rFonts w:ascii="Arial" w:cs="Arial" w:eastAsia="Arial" w:hAnsi="Arial"/>
                <w:sz w:val="18"/>
                <w:szCs w:val="18"/>
                <w:color w:val="auto"/>
                <w:w w:val="99"/>
              </w:rPr>
              <w:t>Buckthorn Renewables, LLC, which owns 100% of Buckthorn Solar Portfolio, LLC, which was acquired by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Clearway Energy Operating LLC from NRG on March 30, 2018</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CAFD</w:t>
            </w:r>
          </w:p>
        </w:tc>
        <w:tc>
          <w:tcPr>
            <w:tcW w:w="8620" w:type="dxa"/>
            <w:vAlign w:val="bottom"/>
          </w:tcPr>
          <w:p>
            <w:pPr>
              <w:ind w:left="220"/>
              <w:spacing w:after="0"/>
              <w:rPr>
                <w:sz w:val="20"/>
                <w:szCs w:val="20"/>
                <w:color w:val="auto"/>
              </w:rPr>
            </w:pPr>
            <w:r>
              <w:rPr>
                <w:rFonts w:ascii="Arial" w:cs="Arial" w:eastAsia="Arial" w:hAnsi="Arial"/>
                <w:sz w:val="18"/>
                <w:szCs w:val="18"/>
                <w:color w:val="auto"/>
                <w:w w:val="97"/>
              </w:rPr>
              <w:t>Cash Available for Distribution (CAFD) is Adjusted EBITDA plus cash distributions/return of investment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unconsolidated affiliates, cash receipts from notes receivable, cash distributions from noncontrolling interests, less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cash distributions to noncontrolling interests, maintenance capital expenditures, pro-rata Adjusted EBITDA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unconsolidated affiliates, cash interest paid, income taxes paid, principal amortization of indebtedness, Walnut</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Creek investment payments, and changes in prepaid and accrued capacity payments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Carlsbad Project</w:t>
            </w:r>
          </w:p>
        </w:tc>
        <w:tc>
          <w:tcPr>
            <w:tcW w:w="8620" w:type="dxa"/>
            <w:vAlign w:val="bottom"/>
          </w:tcPr>
          <w:p>
            <w:pPr>
              <w:ind w:left="220"/>
              <w:spacing w:after="0"/>
              <w:rPr>
                <w:sz w:val="20"/>
                <w:szCs w:val="20"/>
                <w:color w:val="auto"/>
              </w:rPr>
            </w:pPr>
            <w:r>
              <w:rPr>
                <w:rFonts w:ascii="Arial" w:cs="Arial" w:eastAsia="Arial" w:hAnsi="Arial"/>
                <w:sz w:val="18"/>
                <w:szCs w:val="18"/>
                <w:color w:val="auto"/>
              </w:rPr>
              <w:t>A 527 MW natural gas fired project in Carlsbad, CA</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CEG</w:t>
            </w:r>
          </w:p>
        </w:tc>
        <w:tc>
          <w:tcPr>
            <w:tcW w:w="8620" w:type="dxa"/>
            <w:vAlign w:val="bottom"/>
          </w:tcPr>
          <w:p>
            <w:pPr>
              <w:ind w:left="22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8"/>
              </w:rPr>
              <w:t>CEG Master Services Agreements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Master Services Agreements between the Company, Clearway Energy LLC and Clearway Energy Operating LLC,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and CEG</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CEG ROFO Agreement</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Right of First Offer Agreement, entered into as of August 31, 2018, by and between Clearway Energy Group LLC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8"/>
              </w:rPr>
              <w:t>and Clearway Energy, Inc., and solely for purposes of Section 2.4, GIP III Zephyr Acquisition Partners, L.P.</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Clearway Energy LLC</w:t>
            </w:r>
          </w:p>
        </w:tc>
        <w:tc>
          <w:tcPr>
            <w:tcW w:w="8620" w:type="dxa"/>
            <w:vAlign w:val="bottom"/>
          </w:tcPr>
          <w:p>
            <w:pPr>
              <w:ind w:left="220"/>
              <w:spacing w:after="0"/>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 B</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and Class D units, and Clearway Energy, Inc., the holder of the Class A and Class C units</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Clearway Energy Group LLC</w:t>
            </w:r>
          </w:p>
        </w:tc>
        <w:tc>
          <w:tcPr>
            <w:tcW w:w="8620" w:type="dxa"/>
            <w:vAlign w:val="bottom"/>
          </w:tcPr>
          <w:p>
            <w:pPr>
              <w:ind w:left="220"/>
              <w:spacing w:after="0"/>
              <w:rPr>
                <w:sz w:val="20"/>
                <w:szCs w:val="20"/>
                <w:color w:val="auto"/>
              </w:rPr>
            </w:pPr>
            <w:r>
              <w:rPr>
                <w:rFonts w:ascii="Arial" w:cs="Arial" w:eastAsia="Arial" w:hAnsi="Arial"/>
                <w:sz w:val="18"/>
                <w:szCs w:val="18"/>
                <w:color w:val="auto"/>
                <w:w w:val="89"/>
              </w:rPr>
              <w:t>The holder of the Company's Class B and Class D common shares and Clearway Energy LLC's Class B and Class 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units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Clearway Energy Operating LLC</w:t>
            </w:r>
          </w:p>
        </w:tc>
        <w:tc>
          <w:tcPr>
            <w:tcW w:w="8620" w:type="dxa"/>
            <w:vAlign w:val="bottom"/>
          </w:tcPr>
          <w:p>
            <w:pPr>
              <w:ind w:left="22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Company</w:t>
            </w:r>
          </w:p>
        </w:tc>
        <w:tc>
          <w:tcPr>
            <w:tcW w:w="8620" w:type="dxa"/>
            <w:vAlign w:val="bottom"/>
          </w:tcPr>
          <w:p>
            <w:pPr>
              <w:ind w:left="220"/>
              <w:spacing w:after="0"/>
              <w:rPr>
                <w:sz w:val="20"/>
                <w:szCs w:val="20"/>
                <w:color w:val="auto"/>
              </w:rPr>
            </w:pPr>
            <w:r>
              <w:rPr>
                <w:rFonts w:ascii="Arial" w:cs="Arial" w:eastAsia="Arial" w:hAnsi="Arial"/>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w:t>
            </w:r>
          </w:p>
        </w:tc>
        <w:tc>
          <w:tcPr>
            <w:tcW w:w="8620" w:type="dxa"/>
            <w:vAlign w:val="bottom"/>
          </w:tcPr>
          <w:p>
            <w:pPr>
              <w:ind w:left="22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Drop Down</w:t>
            </w:r>
          </w:p>
        </w:tc>
        <w:tc>
          <w:tcPr>
            <w:tcW w:w="8620" w:type="dxa"/>
            <w:vAlign w:val="bottom"/>
          </w:tcPr>
          <w:p>
            <w:pPr>
              <w:ind w:left="22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Holdco</w:t>
            </w:r>
          </w:p>
        </w:tc>
        <w:tc>
          <w:tcPr>
            <w:tcW w:w="8620" w:type="dxa"/>
            <w:vAlign w:val="bottom"/>
          </w:tcPr>
          <w:p>
            <w:pPr>
              <w:ind w:left="22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1</w:t>
            </w:r>
          </w:p>
        </w:tc>
        <w:tc>
          <w:tcPr>
            <w:tcW w:w="8620" w:type="dxa"/>
            <w:vAlign w:val="bottom"/>
          </w:tcPr>
          <w:p>
            <w:pPr>
              <w:ind w:left="22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2</w:t>
            </w:r>
          </w:p>
        </w:tc>
        <w:tc>
          <w:tcPr>
            <w:tcW w:w="8620" w:type="dxa"/>
            <w:vAlign w:val="bottom"/>
          </w:tcPr>
          <w:p>
            <w:pPr>
              <w:ind w:left="22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4"/>
                <w:szCs w:val="24"/>
                <w:color w:val="auto"/>
              </w:rPr>
            </w:pPr>
          </w:p>
        </w:tc>
        <w:tc>
          <w:tcPr>
            <w:tcW w:w="8620" w:type="dxa"/>
            <w:vAlign w:val="bottom"/>
          </w:tcPr>
          <w:p>
            <w:pPr>
              <w:ind w:left="2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688"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DGPV Holdco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DGPV Holdco 3 LLC</w:t>
      </w:r>
    </w:p>
    <w:p>
      <w:pPr>
        <w:spacing w:after="0" w:line="75" w:lineRule="exact"/>
        <w:rPr>
          <w:sz w:val="20"/>
          <w:szCs w:val="20"/>
          <w:color w:val="auto"/>
        </w:rPr>
      </w:pPr>
    </w:p>
    <w:p>
      <w:pPr>
        <w:sectPr>
          <w:pgSz w:w="11900" w:h="16838" w:orient="portrait"/>
          <w:cols w:equalWidth="0" w:num="2">
            <w:col w:w="2240" w:space="720"/>
            <w:col w:w="8400"/>
          </w:cols>
          <w:pgMar w:left="280" w:top="854" w:right="259" w:bottom="1440" w:gutter="0" w:footer="0" w:header="0"/>
        </w:sectPr>
      </w:pPr>
    </w:p>
    <w:p>
      <w:pPr>
        <w:spacing w:after="0"/>
        <w:rPr>
          <w:sz w:val="20"/>
          <w:szCs w:val="20"/>
          <w:color w:val="auto"/>
        </w:rPr>
      </w:pPr>
      <w:r>
        <w:rPr>
          <w:rFonts w:ascii="Arial" w:cs="Arial" w:eastAsia="Arial" w:hAnsi="Arial"/>
          <w:sz w:val="16"/>
          <w:szCs w:val="16"/>
          <w:color w:val="auto"/>
        </w:rPr>
        <w:t>Distributed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less than 20 MW in size, that primarily sell power produced to customers for usage on site, or are interconnected to sell power into the local distribution grid</w:t>
      </w:r>
    </w:p>
    <w:p>
      <w:pPr>
        <w:spacing w:after="0" w:line="8"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Drop Down Assets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Collectively, assets under common control acquired by the Company from NRG from January 1, 2014 through the period ended August 31, 2018</w:t>
      </w:r>
    </w:p>
    <w:p>
      <w:pPr>
        <w:spacing w:after="0" w:line="8"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Economic Gross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and capacity revenue less cost of fuels</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5"/>
          <w:szCs w:val="15"/>
          <w:color w:val="auto"/>
        </w:rPr>
        <w:t>ECP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Center Pittsburgh LLC, a subsidiary of the Company</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5"/>
          <w:szCs w:val="15"/>
          <w:color w:val="auto"/>
        </w:rPr>
        <w:t>EPC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Engineering, Procurement and Construction</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Securities Exchange Act of 1934, as amended</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FASB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Financial Accounting Standards Board</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7"/>
          <w:szCs w:val="17"/>
          <w:color w:val="auto"/>
        </w:rPr>
        <w:t>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principles generally accepted in the U.S.</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5"/>
          <w:szCs w:val="15"/>
          <w:color w:val="auto"/>
        </w:rPr>
        <w:t>GenConn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GenConn Energy LLC</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GIP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Global Infrastructure Partners III, the purchaser of CEG through GIP III Zephyr Acquisition Partners, L.P.</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8"/>
          <w:szCs w:val="18"/>
          <w:color w:val="auto"/>
        </w:rPr>
        <w:t>HLBV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Hypothetical Liquidation at Book Value</w:t>
      </w:r>
    </w:p>
    <w:p>
      <w:pPr>
        <w:spacing w:after="0" w:line="8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7"/>
          <w:szCs w:val="17"/>
          <w:color w:val="auto"/>
        </w:rPr>
        <w:t>IASB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International Accounting Standards Board</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ISO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Independent System Operator, also referred to as RTO</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KPPH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Kilo Pascals Per Hour</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March 2017 Drop Down Assets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 Agua Caliente Borrower 2 LLC, which owns a 16% interest (approximately 31% of NRG's 51% interest) in the Agua Caliente solar farm and (ii) NRG's 100% ownership in the Class A equity interests in the Utah Solar Portfolio (defined below), both acquired by the Company on March 27, 2017</w:t>
      </w:r>
    </w:p>
    <w:p>
      <w:pPr>
        <w:spacing w:after="0" w:line="19" w:lineRule="exact"/>
        <w:rPr>
          <w:sz w:val="20"/>
          <w:szCs w:val="20"/>
          <w:color w:val="auto"/>
        </w:rPr>
      </w:pPr>
    </w:p>
    <w:p>
      <w:pPr>
        <w:sectPr>
          <w:pgSz w:w="11900" w:h="16838" w:orient="portrait"/>
          <w:cols w:equalWidth="0" w:num="2">
            <w:col w:w="2280" w:space="68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8"/>
          <w:szCs w:val="18"/>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British Thermal Units</w:t>
      </w:r>
    </w:p>
    <w:p>
      <w:pPr>
        <w:spacing w:after="0" w:line="74"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w:t>
      </w:r>
    </w:p>
    <w:p>
      <w:pPr>
        <w:spacing w:after="0" w:line="8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Saleable megawatt hours, net of internal/parasitic load megawatt-hours</w:t>
      </w:r>
    </w:p>
    <w:p>
      <w:pPr>
        <w:spacing w:after="0" w:line="8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Megawatts Thermal Equivalent</w:t>
      </w:r>
    </w:p>
    <w:p>
      <w:pPr>
        <w:spacing w:after="0" w:line="8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North American Electric Reliability Corporation</w:t>
      </w:r>
    </w:p>
    <w:p>
      <w:pPr>
        <w:spacing w:after="0" w:line="7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 credit exposure to Clearway Energy, Inc. net of collateral</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7"/>
          <w:szCs w:val="17"/>
          <w:color w:val="auto"/>
        </w:rPr>
        <w:t>NOLs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 Operating Losses</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November 2015 Drop Down Assets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75% of the Class B interests of Wind TE Holdco, which owns a portfolio of 12 wind facilities totaling 814 net MW, which was acquired by Clearway Energy Operating LLC from NRG on November 3, 2015</w:t>
      </w:r>
    </w:p>
    <w:p>
      <w:pPr>
        <w:spacing w:after="0" w:line="8" w:lineRule="exact"/>
        <w:rPr>
          <w:sz w:val="20"/>
          <w:szCs w:val="20"/>
          <w:color w:val="auto"/>
        </w:rPr>
      </w:pPr>
    </w:p>
    <w:p>
      <w:pPr>
        <w:sectPr>
          <w:pgSz w:w="11900" w:h="16838" w:orient="portrait"/>
          <w:cols w:equalWidth="0" w:num="2">
            <w:col w:w="2580" w:space="38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November 2017 Drop Down Assets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38 MW portfolio of distributed and small utility-scale solar assets, primarily comprised of assets from NRG's Solar Power Partners (SPP) funds, in addition to other projects developed since the acquisition of SPP by NRG, which was acquired by Clearway Energy Operating LLC from NRG on November 1, 2017</w:t>
      </w:r>
    </w:p>
    <w:p>
      <w:pPr>
        <w:spacing w:after="0" w:line="19" w:lineRule="exact"/>
        <w:rPr>
          <w:sz w:val="20"/>
          <w:szCs w:val="20"/>
          <w:color w:val="auto"/>
        </w:rPr>
      </w:pPr>
    </w:p>
    <w:p>
      <w:pPr>
        <w:sectPr>
          <w:pgSz w:w="11900" w:h="16838" w:orient="portrait"/>
          <w:cols w:equalWidth="0" w:num="2">
            <w:col w:w="2580" w:space="38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7"/>
          <w:szCs w:val="17"/>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Energy, Inc.</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NRG ROFO Agreement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Third Amended and Restated Right of First Offer Agreement, entered into as of August 31, 2018, by and between NRG Energy, Inc. and the Company</w:t>
      </w:r>
    </w:p>
    <w:p>
      <w:pPr>
        <w:spacing w:after="0" w:line="8"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NRG Transaction</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On August 31, 2018, NRG transferred its full ownership interest in the Company to Clearway Energy Group LLC and subsequently sold 100% of its interests in Clearway Energy Group LLC, which includes NRG's renewable energy development and operations platform to an affiliate of GIP. GIP, NRG and the Company also entered into a consent and indemnity agreement in connection with the purchase and sale agreement, which was signed on February 6, 2018</w:t>
      </w:r>
    </w:p>
    <w:p>
      <w:pPr>
        <w:spacing w:after="0" w:line="2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7"/>
          <w:szCs w:val="17"/>
          <w:color w:val="auto"/>
        </w:rPr>
        <w:t>NRG 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Transition Services Agreement dated as of August 31, 2018 by and between NRG Energy, Inc. and the Company</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OECD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Organization for Economic Co-operation and Development</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Operation and Maintenance</w:t>
      </w:r>
    </w:p>
    <w:p>
      <w:pPr>
        <w:spacing w:after="0" w:line="222"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80" w:top="854"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400"/>
          </w:cols>
          <w:pgMar w:left="280" w:top="854" w:right="259" w:bottom="1440" w:gutter="0" w:footer="0" w:header="0"/>
        </w:sectPr>
      </w:pPr>
    </w:p>
    <w:p>
      <w:pPr>
        <w:spacing w:after="0"/>
        <w:rPr>
          <w:sz w:val="20"/>
          <w:szCs w:val="20"/>
          <w:color w:val="auto"/>
        </w:rPr>
      </w:pPr>
      <w:r>
        <w:rPr>
          <w:rFonts w:ascii="Arial" w:cs="Arial" w:eastAsia="Arial" w:hAnsi="Arial"/>
          <w:sz w:val="17"/>
          <w:szCs w:val="17"/>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Renewable Operation &amp; Maintenance LLC</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Right of First Offer</w:t>
      </w:r>
    </w:p>
    <w:p>
      <w:pPr>
        <w:spacing w:after="0" w:line="7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RPV Holdco 1 LLC</w:t>
      </w:r>
    </w:p>
    <w:p>
      <w:pPr>
        <w:spacing w:after="0" w:line="7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Originator</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and the 2026 Senior Notes</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4"/>
          <w:szCs w:val="14"/>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98"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of 2017</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University of Pittsburgh Medical Center Thermal Project, a 73 MWt district energy system that allows ECP to provide steam, chilled water and 7.5 MW of emergency backup power service to UPMC.</w:t>
      </w:r>
    </w:p>
    <w:p>
      <w:pPr>
        <w:spacing w:after="0" w:line="8"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854" w:right="259" w:bottom="1440" w:gutter="0" w:footer="0" w:header="0"/>
          <w:type w:val="continuous"/>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29"/>
        </w:trPr>
        <w:tc>
          <w:tcPr>
            <w:tcW w:w="6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Pr>
          <w:p>
            <w:pPr>
              <w:spacing w:after="0"/>
              <w:rPr>
                <w:sz w:val="19"/>
                <w:szCs w:val="19"/>
                <w:color w:val="auto"/>
              </w:rPr>
            </w:pPr>
          </w:p>
        </w:tc>
        <w:tc>
          <w:tcPr>
            <w:tcW w:w="10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c>
          <w:tcPr>
            <w:tcW w:w="160" w:type="dxa"/>
            <w:vAlign w:val="bottom"/>
          </w:tcPr>
          <w:p>
            <w:pPr>
              <w:spacing w:after="0"/>
              <w:rPr>
                <w:sz w:val="19"/>
                <w:szCs w:val="19"/>
                <w:color w:val="auto"/>
              </w:rPr>
            </w:pPr>
          </w:p>
        </w:tc>
        <w:tc>
          <w:tcPr>
            <w:tcW w:w="11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778</w:t>
            </w: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241</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Impairment losses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Development costs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515</w:t>
            </w: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r>
      <w:tr>
        <w:trPr>
          <w:trHeight w:val="233"/>
        </w:trPr>
        <w:tc>
          <w:tcPr>
            <w:tcW w:w="614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6140" w:type="dxa"/>
            <w:vAlign w:val="bottom"/>
            <w:gridSpan w:val="3"/>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r>
      <w:tr>
        <w:trPr>
          <w:trHeight w:val="237"/>
        </w:trPr>
        <w:tc>
          <w:tcPr>
            <w:tcW w:w="614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(loss) income of Drop Down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r>
      <w:tr>
        <w:trPr>
          <w:trHeight w:val="237"/>
        </w:trPr>
        <w:tc>
          <w:tcPr>
            <w:tcW w:w="614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Income Excluding Pre-acquisition Net Income of Drop Down Assets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r>
      <w:tr>
        <w:trPr>
          <w:trHeight w:val="297"/>
        </w:trPr>
        <w:tc>
          <w:tcPr>
            <w:tcW w:w="61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Net Income Attributable to Clearway Energy,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r>
      <w:tr>
        <w:trPr>
          <w:trHeight w:val="166"/>
        </w:trPr>
        <w:tc>
          <w:tcPr>
            <w:tcW w:w="6140" w:type="dxa"/>
            <w:vAlign w:val="bottom"/>
            <w:gridSpan w:val="3"/>
            <w:shd w:val="clear" w:color="auto" w:fill="CCEEFF"/>
          </w:tcPr>
          <w:p>
            <w:pPr>
              <w:ind w:left="20"/>
              <w:spacing w:after="0" w:line="166" w:lineRule="exact"/>
              <w:rPr>
                <w:sz w:val="20"/>
                <w:szCs w:val="20"/>
                <w:color w:val="auto"/>
              </w:rPr>
            </w:pPr>
            <w:r>
              <w:rPr>
                <w:rFonts w:ascii="Arial" w:cs="Arial" w:eastAsia="Arial" w:hAnsi="Arial"/>
                <w:sz w:val="17"/>
                <w:szCs w:val="17"/>
                <w:b w:val="1"/>
                <w:bCs w:val="1"/>
                <w:color w:val="auto"/>
                <w:w w:val="97"/>
              </w:rPr>
              <w:t>Earnings Per Share Attributable to Clearway Energy, Inc. Class A and Class C</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Common Stockholders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66"/>
        </w:trPr>
        <w:tc>
          <w:tcPr>
            <w:tcW w:w="20" w:type="dxa"/>
            <w:vAlign w:val="bottom"/>
          </w:tcPr>
          <w:p>
            <w:pPr>
              <w:spacing w:after="0"/>
              <w:rPr>
                <w:sz w:val="23"/>
                <w:szCs w:val="23"/>
                <w:color w:val="auto"/>
              </w:rPr>
            </w:pPr>
          </w:p>
        </w:tc>
        <w:tc>
          <w:tcPr>
            <w:tcW w:w="61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basic</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74"/>
        </w:trPr>
        <w:tc>
          <w:tcPr>
            <w:tcW w:w="20" w:type="dxa"/>
            <w:vAlign w:val="bottom"/>
            <w:shd w:val="clear" w:color="auto" w:fill="CCEEFF"/>
          </w:tcPr>
          <w:p>
            <w:pPr>
              <w:spacing w:after="0"/>
              <w:rPr>
                <w:sz w:val="23"/>
                <w:szCs w:val="23"/>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A common shares outstanding - diluted</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r>
      <w:tr>
        <w:trPr>
          <w:trHeight w:val="266"/>
        </w:trPr>
        <w:tc>
          <w:tcPr>
            <w:tcW w:w="20" w:type="dxa"/>
            <w:vAlign w:val="bottom"/>
          </w:tcPr>
          <w:p>
            <w:pPr>
              <w:spacing w:after="0"/>
              <w:rPr>
                <w:sz w:val="23"/>
                <w:szCs w:val="23"/>
                <w:color w:val="auto"/>
              </w:rPr>
            </w:pPr>
          </w:p>
        </w:tc>
        <w:tc>
          <w:tcPr>
            <w:tcW w:w="61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C common shares outstanding - basic</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w:t>
            </w:r>
          </w:p>
        </w:tc>
      </w:tr>
      <w:tr>
        <w:trPr>
          <w:trHeight w:val="274"/>
        </w:trPr>
        <w:tc>
          <w:tcPr>
            <w:tcW w:w="20" w:type="dxa"/>
            <w:vAlign w:val="bottom"/>
            <w:shd w:val="clear" w:color="auto" w:fill="CCEEFF"/>
          </w:tcPr>
          <w:p>
            <w:pPr>
              <w:spacing w:after="0"/>
              <w:rPr>
                <w:sz w:val="23"/>
                <w:szCs w:val="23"/>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diluted</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r>
      <w:tr>
        <w:trPr>
          <w:trHeight w:val="304"/>
        </w:trPr>
        <w:tc>
          <w:tcPr>
            <w:tcW w:w="61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w w:val="98"/>
              </w:rPr>
              <w:t>Earnings per Weighted Average Class A and Class C Common Share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0.56</w:t>
            </w:r>
          </w:p>
        </w:tc>
      </w:tr>
      <w:tr>
        <w:trPr>
          <w:trHeight w:val="251"/>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Weighted Average Class A Common Share - Diluted</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91"/>
        </w:trPr>
        <w:tc>
          <w:tcPr>
            <w:tcW w:w="61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Earnings per Weighted Average Class C Common Share - Diluted</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0.56</w:t>
            </w:r>
          </w:p>
        </w:tc>
      </w:tr>
      <w:tr>
        <w:trPr>
          <w:trHeight w:val="251"/>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Dividends Per Class A Common Share</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1"/>
        </w:trPr>
        <w:tc>
          <w:tcPr>
            <w:tcW w:w="6140" w:type="dxa"/>
            <w:vAlign w:val="bottom"/>
            <w:gridSpan w:val="3"/>
          </w:tcPr>
          <w:p>
            <w:pPr>
              <w:ind w:left="20"/>
              <w:spacing w:after="0"/>
              <w:rPr>
                <w:sz w:val="20"/>
                <w:szCs w:val="20"/>
                <w:color w:val="auto"/>
              </w:rPr>
            </w:pPr>
            <w:r>
              <w:rPr>
                <w:rFonts w:ascii="Arial" w:cs="Arial" w:eastAsia="Arial" w:hAnsi="Arial"/>
                <w:sz w:val="17"/>
                <w:szCs w:val="17"/>
                <w:b w:val="1"/>
                <w:bCs w:val="1"/>
                <w:color w:val="auto"/>
              </w:rPr>
              <w:t>Dividends Per Class C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0.927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0.81</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9" w:lineRule="exact"/>
        <w:rPr>
          <w:sz w:val="20"/>
          <w:szCs w:val="20"/>
          <w:color w:val="auto"/>
        </w:rPr>
      </w:pPr>
    </w:p>
    <w:p>
      <w:pPr>
        <w:ind w:left="192" w:hanging="192"/>
        <w:spacing w:after="0"/>
        <w:tabs>
          <w:tab w:leader="none" w:pos="192"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688"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28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c>
          <w:tcPr>
            <w:tcW w:w="26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Gain, net of tax</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Unrealized gain on derivatives, net of income tax expense of $1, $0, $4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and $0</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558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(loss) income of Drop Down Assets</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Income Attributable to Clearway Energy,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shares)</w:t>
            </w:r>
          </w:p>
        </w:tc>
        <w:tc>
          <w:tcPr>
            <w:tcW w:w="22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Pr>
          <w:p>
            <w:pPr>
              <w:spacing w:after="0"/>
              <w:rPr>
                <w:sz w:val="14"/>
                <w:szCs w:val="14"/>
                <w:color w:val="auto"/>
              </w:rPr>
            </w:pPr>
          </w:p>
        </w:tc>
        <w:tc>
          <w:tcPr>
            <w:tcW w:w="1640" w:type="dxa"/>
            <w:vAlign w:val="bottom"/>
          </w:tcPr>
          <w:p>
            <w:pPr>
              <w:jc w:val="right"/>
              <w:ind w:right="171"/>
              <w:spacing w:after="0"/>
              <w:rPr>
                <w:sz w:val="20"/>
                <w:szCs w:val="20"/>
                <w:color w:val="auto"/>
              </w:rPr>
            </w:pPr>
            <w:r>
              <w:rPr>
                <w:rFonts w:ascii="Arial" w:cs="Arial" w:eastAsia="Arial" w:hAnsi="Arial"/>
                <w:sz w:val="14"/>
                <w:szCs w:val="14"/>
                <w:b w:val="1"/>
                <w:bCs w:val="1"/>
                <w:color w:val="auto"/>
                <w:w w:val="97"/>
              </w:rPr>
              <w:t xml:space="preserve">December 31, 2017 </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9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other assets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1"/>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31"/>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1420"/>
          </w:cols>
          <w:pgMar w:left="240" w:top="688" w:right="239" w:bottom="0" w:gutter="0" w:footer="0" w:header="0"/>
        </w:sectPr>
      </w:pPr>
    </w:p>
    <w:p>
      <w:pPr>
        <w:ind w:left="18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780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80415"/>
                    </a:xfrm>
                    <a:prstGeom prst="rect">
                      <a:avLst/>
                    </a:prstGeom>
                    <a:noFill/>
                  </pic:spPr>
                </pic:pic>
              </a:graphicData>
            </a:graphic>
          </wp:anchor>
        </w:drawing>
      </w:r>
    </w:p>
    <w:p>
      <w:pPr>
        <w:spacing w:after="0" w:line="215" w:lineRule="exact"/>
        <w:rPr>
          <w:sz w:val="20"/>
          <w:szCs w:val="20"/>
          <w:color w:val="auto"/>
        </w:rPr>
      </w:pPr>
    </w:p>
    <w:p>
      <w:pPr>
        <w:ind w:left="180" w:right="680"/>
        <w:spacing w:after="0" w:line="293" w:lineRule="auto"/>
        <w:rPr>
          <w:sz w:val="20"/>
          <w:szCs w:val="20"/>
          <w:color w:val="auto"/>
        </w:rPr>
      </w:pPr>
      <w:r>
        <w:rPr>
          <w:rFonts w:ascii="Arial" w:cs="Arial" w:eastAsia="Arial" w:hAnsi="Arial"/>
          <w:sz w:val="15"/>
          <w:szCs w:val="15"/>
          <w:color w:val="auto"/>
        </w:rPr>
        <w:t>Class A, Class B, Class C and Class D common stock, $0.01 par value; 3,000,000,000 shares authorized (Class A 500,000,000, Class B 500,000,000, Class C 1,000,000,000, Class D 1,000,000,000); 193,137,143 shares issued and outstanding (Class A 34,586,250, Class B 42,738,750, Class C 73,073,393, Class D 42,738,750) at September 30, 2018 and 184,780,837 shares issued and outstanding (Class A 34,586,250, Class B 42,738,750, Class C 64,717,087, Class D 42,738,750) at December 31, 2017</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 (accumulated deficit)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w w:val="84"/>
              </w:rPr>
              <w:t>1,935</w:t>
            </w:r>
          </w:p>
        </w:tc>
        <w:tc>
          <w:tcPr>
            <w:tcW w:w="120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13</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20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440</w:t>
            </w:r>
          </w:p>
        </w:tc>
        <w:tc>
          <w:tcPr>
            <w:tcW w:w="1200" w:type="dxa"/>
            <w:vAlign w:val="bottom"/>
          </w:tcPr>
          <w:p>
            <w:pPr>
              <w:jc w:val="right"/>
              <w:spacing w:after="0"/>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17145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8260" w:space="720"/>
            <w:col w:w="2440"/>
          </w:cols>
          <w:pgMar w:left="240" w:top="688" w:right="239" w:bottom="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7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50"/>
        </w:trPr>
        <w:tc>
          <w:tcPr>
            <w:tcW w:w="8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Impairment losses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deferred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Derivative interest income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disposal of asset components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Drop Down Assets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the issuance of common stock</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8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Clearway Energy, Inc. (formerly NRG Yield, Inc.), together with its consolidated subsidiaries, or the Company, is a publicly-traded energy infrastructure investor in and owner of modern, sustainable and long-term contracted assets across North America. On August 31, 2018, NRG Energy, Inc., or NRG, transferred its full ownership interest in the Company to Clearway Energy Group LLC, or CEG, the holder of NRG's renewable energy development and operations platform, and subsequently sold 100% of its interest in CEG to Global Infrastructure Partners III, or GIP, referred to hereinafter as the NRG Transaction. As a result of the NRG Transaction, GIP indirectly acquired a 45.2% economic interest in Clearway Energy LLC and a 55% voting interest in the Company. GIP is an independent fund manager that invests in infrastructure assets in energy and transport sectors. The Company is sponsored by GIP through GIP's portfolio company, Clearway Energy Group.</w:t>
      </w:r>
    </w:p>
    <w:p>
      <w:pPr>
        <w:spacing w:after="0" w:line="13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environmentally-sound asset portfolio includes over </w:t>
      </w:r>
      <w:r>
        <w:rPr>
          <w:rFonts w:ascii="Arial" w:cs="Arial" w:eastAsia="Arial" w:hAnsi="Arial"/>
          <w:sz w:val="18"/>
          <w:szCs w:val="18"/>
          <w:color w:val="231F20"/>
        </w:rPr>
        <w:t>5,272</w:t>
      </w:r>
      <w:r>
        <w:rPr>
          <w:rFonts w:ascii="Arial" w:cs="Arial" w:eastAsia="Arial" w:hAnsi="Arial"/>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w:t>
      </w:r>
      <w:r>
        <w:rPr>
          <w:rFonts w:ascii="Arial" w:cs="Arial" w:eastAsia="Arial" w:hAnsi="Arial"/>
          <w:sz w:val="18"/>
          <w:szCs w:val="18"/>
          <w:color w:val="231F20"/>
        </w:rPr>
        <w:t>Nearly all</w:t>
      </w:r>
      <w:r>
        <w:rPr>
          <w:rFonts w:ascii="Arial" w:cs="Arial" w:eastAsia="Arial" w:hAnsi="Arial"/>
          <w:sz w:val="18"/>
          <w:szCs w:val="18"/>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8"/>
          <w:szCs w:val="18"/>
          <w:color w:val="231F20"/>
        </w:rPr>
        <w:t>15 years as of</w:t>
      </w:r>
      <w:r>
        <w:rPr>
          <w:rFonts w:ascii="Arial" w:cs="Arial" w:eastAsia="Arial" w:hAnsi="Arial"/>
          <w:sz w:val="18"/>
          <w:szCs w:val="18"/>
          <w:color w:val="auto"/>
        </w:rPr>
        <w:t xml:space="preserve"> September 30, 2018 </w:t>
      </w:r>
      <w:r>
        <w:rPr>
          <w:rFonts w:ascii="Arial" w:cs="Arial" w:eastAsia="Arial" w:hAnsi="Arial"/>
          <w:sz w:val="18"/>
          <w:szCs w:val="18"/>
          <w:color w:val="231F20"/>
        </w:rPr>
        <w:t>based on CAFD. The</w:t>
      </w:r>
      <w:r>
        <w:rPr>
          <w:rFonts w:ascii="Arial" w:cs="Arial" w:eastAsia="Arial" w:hAnsi="Arial"/>
          <w:sz w:val="18"/>
          <w:szCs w:val="18"/>
          <w:color w:val="auto"/>
        </w:rPr>
        <w:t xml:space="preserve"> </w:t>
      </w:r>
      <w:r>
        <w:rPr>
          <w:rFonts w:ascii="Arial" w:cs="Arial" w:eastAsia="Arial" w:hAnsi="Arial"/>
          <w:sz w:val="18"/>
          <w:szCs w:val="18"/>
          <w:color w:val="231F20"/>
        </w:rPr>
        <w:t>Company also owns thermal infrastructure assets with an aggregate steam and chilled water capacity of 1,392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27, 2018, the Company issued and sold 3,916,449 shares of Class C common stock for net proceeds, after underwriting discounts and expenses, of $75 million. The Company utilized the proceeds of the offering to acquire 3,916,449 Class C units from Clearway Energy LLC and, as a result, the Company currently owns 55.7% of the economic interests of Clearway Energy LLC, with CEG retaining 44.3% of the economic interests of Clearway Energy LLC.</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8"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t>The following table represents the structure of the Company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118110</wp:posOffset>
            </wp:positionV>
            <wp:extent cx="5848985" cy="4391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the Company's operating assets are comprised of the following projects: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Buckthorn Solar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City of Georgetown, TX</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SPP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 DG Projects</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Energy Center Dover LLC</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5,405</w:t>
            </w: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right="20" w:firstLine="8"/>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September 30, 2018.</w:t>
      </w:r>
    </w:p>
    <w:p>
      <w:pPr>
        <w:spacing w:after="0" w:line="185" w:lineRule="exact"/>
        <w:rPr>
          <w:rFonts w:ascii="Arial" w:cs="Arial" w:eastAsia="Arial" w:hAnsi="Arial"/>
          <w:sz w:val="18"/>
          <w:szCs w:val="18"/>
          <w:color w:val="auto"/>
          <w:vertAlign w:val="superscript"/>
        </w:rPr>
      </w:pP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p>
    <w:p>
      <w:pPr>
        <w:spacing w:after="0" w:line="10" w:lineRule="exact"/>
        <w:rPr>
          <w:rFonts w:ascii="Arial" w:cs="Arial" w:eastAsia="Arial" w:hAnsi="Arial"/>
          <w:sz w:val="21"/>
          <w:szCs w:val="21"/>
          <w:color w:val="auto"/>
          <w:vertAlign w:val="superscript"/>
        </w:rPr>
      </w:pPr>
    </w:p>
    <w:p>
      <w:pPr>
        <w:ind w:firstLine="8"/>
        <w:spacing w:after="0" w:line="219" w:lineRule="auto"/>
        <w:tabs>
          <w:tab w:leader="none" w:pos="174"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5,411 MWs.</w:t>
      </w:r>
    </w:p>
    <w:p>
      <w:pPr>
        <w:ind w:firstLine="8"/>
        <w:spacing w:after="0" w:line="232" w:lineRule="auto"/>
        <w:tabs>
          <w:tab w:leader="none" w:pos="167"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40" w:hanging="132"/>
        <w:spacing w:after="0" w:line="223" w:lineRule="auto"/>
        <w:tabs>
          <w:tab w:leader="none" w:pos="140" w:val="left"/>
        </w:tabs>
        <w:numPr>
          <w:ilvl w:val="0"/>
          <w:numId w:val="7"/>
        </w:numPr>
        <w:rPr>
          <w:rFonts w:ascii="Arial" w:cs="Arial" w:eastAsia="Arial" w:hAnsi="Arial"/>
          <w:sz w:val="18"/>
          <w:szCs w:val="18"/>
          <w:color w:val="auto"/>
          <w:vertAlign w:val="superscript"/>
        </w:rPr>
      </w:pPr>
      <w:r>
        <w:rPr>
          <w:rFonts w:ascii="Arial" w:cs="Arial" w:eastAsia="Arial" w:hAnsi="Arial"/>
          <w:sz w:val="16"/>
          <w:szCs w:val="16"/>
          <w:color w:val="auto"/>
        </w:rPr>
        <w:t>Projects are part of Wind TE Holdco portfolio.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34" w:right="239" w:bottom="0" w:gutter="0" w:footer="0" w:header="0"/>
        </w:sectPr>
      </w:pPr>
    </w:p>
    <w:bookmarkStart w:id="13" w:name="page14"/>
    <w:bookmarkEnd w:id="13"/>
    <w:p>
      <w:pPr>
        <w:jc w:val="both"/>
        <w:ind w:firstLine="405"/>
        <w:spacing w:after="0" w:line="255" w:lineRule="auto"/>
        <w:rPr>
          <w:sz w:val="20"/>
          <w:szCs w:val="20"/>
          <w:color w:val="auto"/>
        </w:rPr>
      </w:pPr>
      <w:r>
        <w:rPr>
          <w:rFonts w:ascii="Arial" w:cs="Arial" w:eastAsia="Arial" w:hAnsi="Arial"/>
          <w:sz w:val="18"/>
          <w:szCs w:val="18"/>
          <w:color w:val="auto"/>
        </w:rPr>
        <w:t xml:space="preserve">In addition to the facilities owned or leased in the table above, the Company has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pursuant to the partnership agreements as of September 30, 2018. For further discussions, see Note 4, </w:t>
      </w:r>
      <w:r>
        <w:rPr>
          <w:rFonts w:ascii="Arial" w:cs="Arial" w:eastAsia="Arial" w:hAnsi="Arial"/>
          <w:sz w:val="18"/>
          <w:szCs w:val="18"/>
          <w:i w:val="1"/>
          <w:iCs w:val="1"/>
          <w:color w:val="auto"/>
        </w:rPr>
        <w:t>Investments Accounted for by the Equity Method and 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Entities </w:t>
      </w:r>
      <w:r>
        <w:rPr>
          <w:rFonts w:ascii="Arial" w:cs="Arial" w:eastAsia="Arial" w:hAnsi="Arial"/>
          <w:sz w:val="18"/>
          <w:szCs w:val="18"/>
          <w:color w:val="auto"/>
        </w:rPr>
        <w:t>of this Form 10-Q and Note 5,</w:t>
      </w:r>
      <w:r>
        <w:rPr>
          <w:rFonts w:ascii="Arial" w:cs="Arial" w:eastAsia="Arial" w:hAnsi="Arial"/>
          <w:sz w:val="18"/>
          <w:szCs w:val="18"/>
          <w:i w:val="1"/>
          <w:iCs w:val="1"/>
          <w:color w:val="auto"/>
        </w:rPr>
        <w:t xml:space="preserve"> Investments Accounted for by the Equity Method and Variable Interest Entities </w:t>
      </w:r>
      <w:r>
        <w:rPr>
          <w:rFonts w:ascii="Arial" w:cs="Arial" w:eastAsia="Arial" w:hAnsi="Arial"/>
          <w:sz w:val="18"/>
          <w:szCs w:val="18"/>
          <w:color w:val="auto"/>
        </w:rPr>
        <w:t>to the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Company's 2017 Form 10-K.</w:t>
      </w:r>
    </w:p>
    <w:p>
      <w:pPr>
        <w:spacing w:after="0" w:line="13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Recast of the Historical Financial Statements</w:t>
      </w:r>
    </w:p>
    <w:p>
      <w:pPr>
        <w:spacing w:after="0" w:line="171"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 xml:space="preserve">Prior to the NRG Transaction on August 31, 2018, the Company completed several acquisitions of Drop Down Assets from NRG, which were accounted for as transfer of entities under common control. The accounting guidance for transfers of entities under common control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 The transfers of entities under common control that took place in 2017 and 2018, and affected the historical results in reporting periods in this Form 10-Q as further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are: (i) the acquisition of 100% of NRG's interest in Buckthorn Renewables, LLC, or the Buckthorn Solar Drop Down Asset on March 30, 2018, and (ii) in 2017, the acquisition of the November 2017 November Drop Down Assets and August 2017 Drop Down Assets from NRG. The recast of the Company's financial statements for the Buckthorn Solar Drop Down Asset, November 2017 Drop Down Assets and August 2017 Drop Down Assets did not affect the historical net income attributable to Clearway Energy, Inc., weighted average number of shares outstanding, earnings per share or dividends.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2017 Form 10-K. Interim results are not necessarily indicative of results for a full year.</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elected not to push down the effects of the NRG Transaction to its consolidated financial statements and, accordingly, there was no change in basis of presentation related to the NRG transaction.</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2018, and the results of operations, comprehensive income (loss) and cash flows for the nine months ended September 30, 2018 and 2017.</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jc w:val="both"/>
        <w:ind w:left="80" w:firstLine="486"/>
        <w:spacing w:after="0" w:line="297" w:lineRule="auto"/>
        <w:rPr>
          <w:sz w:val="20"/>
          <w:szCs w:val="20"/>
          <w:color w:val="auto"/>
        </w:rPr>
      </w:pPr>
      <w:r>
        <w:rPr>
          <w:rFonts w:ascii="Arial" w:cs="Arial" w:eastAsia="Arial" w:hAnsi="Arial"/>
          <w:sz w:val="16"/>
          <w:szCs w:val="16"/>
          <w:color w:val="auto"/>
        </w:rPr>
        <w:t>As a result of the NRG Transaction, the Company entered into a Transition Services Agreement with NRG, or the NRG TSA, pursuant to which NRG or certain of its affiliates began providing certain services to the Company following the consummation of the NRG Transaction,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 Expenses related to the NRG TSA are recorded in general and administrative expenses in the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September 30, 2018 and December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157"/>
              <w:spacing w:after="0"/>
              <w:rPr>
                <w:sz w:val="20"/>
                <w:szCs w:val="20"/>
                <w:color w:val="auto"/>
              </w:rPr>
            </w:pPr>
            <w:r>
              <w:rPr>
                <w:rFonts w:ascii="Arial" w:cs="Arial" w:eastAsia="Arial" w:hAnsi="Arial"/>
                <w:sz w:val="16"/>
                <w:szCs w:val="16"/>
                <w:b w:val="1"/>
                <w:bCs w:val="1"/>
                <w:color w:val="auto"/>
                <w:w w:val="93"/>
              </w:rPr>
              <w:t>September 30, 2018</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3"/>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8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180" w:type="dxa"/>
            <w:vAlign w:val="bottom"/>
          </w:tcPr>
          <w:p>
            <w:pPr>
              <w:spacing w:after="0"/>
              <w:rPr>
                <w:sz w:val="21"/>
                <w:szCs w:val="21"/>
                <w:color w:val="auto"/>
              </w:rPr>
            </w:pP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237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right="20" w:firstLine="392"/>
        <w:spacing w:after="0" w:line="259" w:lineRule="auto"/>
        <w:rPr>
          <w:sz w:val="20"/>
          <w:szCs w:val="20"/>
          <w:color w:val="auto"/>
        </w:rPr>
      </w:pPr>
      <w:r>
        <w:rPr>
          <w:rFonts w:ascii="Arial" w:cs="Arial" w:eastAsia="Arial" w:hAnsi="Arial"/>
          <w:sz w:val="18"/>
          <w:szCs w:val="18"/>
          <w:color w:val="auto"/>
        </w:rPr>
        <w:t xml:space="preserve">Noncontrolling interests represent the equity associated with the Company's Class B and Class D common shares, the equity associated with CEG's interest in Repowering Partnership LLC, as described in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and third-party interests in the net assets under certain tax equity arrangements, which are consolidated by the Company, that have been entered into to finance the cost of wind facilities eligible for tax credits.</w:t>
      </w:r>
    </w:p>
    <w:p>
      <w:pPr>
        <w:spacing w:after="0" w:line="133"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following table reflects the changes in the Company's noncontrolling interest balance for the period from January 1, 2018 through September 30,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r>
      <w:tr>
        <w:trPr>
          <w:trHeight w:val="264"/>
        </w:trPr>
        <w:tc>
          <w:tcPr>
            <w:tcW w:w="98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as of December 31, 2017 as previously reported </w:t>
            </w:r>
            <w:r>
              <w:rPr>
                <w:rFonts w:ascii="Arial" w:cs="Arial" w:eastAsia="Arial" w:hAnsi="Arial"/>
                <w:sz w:val="25"/>
                <w:szCs w:val="25"/>
                <w:color w:val="auto"/>
                <w:vertAlign w:val="superscript"/>
              </w:rPr>
              <w:t>(a)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w:t>
            </w: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of Buckthorn Solar Drop Down Asset as of December 31, 2017</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December 31, 2017 as recast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Capital contributions from tax equity investors, net of distributions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Distributions to NRG, net </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Non cash distributions to NRG in connection with the UPMC Thermal Project Asset Acquisition</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for the Buckthorn Solar Drop Down Asset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98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Net distributions to CEG </w:t>
            </w:r>
            <w:r>
              <w:rPr>
                <w:rFonts w:ascii="Arial" w:cs="Arial" w:eastAsia="Arial" w:hAnsi="Arial"/>
                <w:sz w:val="25"/>
                <w:szCs w:val="25"/>
                <w:color w:val="auto"/>
                <w:vertAlign w:val="superscript"/>
              </w:rPr>
              <w:t>(d)</w:t>
            </w: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Pre-acquisition net income of the Buckthorn Solar Drop Down Asset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64"/>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September 30, 2018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440</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As previously reported in the Company's Form 10-K for the year ended December 31, 2017.</w:t>
      </w:r>
    </w:p>
    <w:p>
      <w:pPr>
        <w:spacing w:after="0" w:line="64" w:lineRule="exact"/>
        <w:rPr>
          <w:rFonts w:ascii="Arial" w:cs="Arial" w:eastAsia="Arial" w:hAnsi="Arial"/>
          <w:sz w:val="23"/>
          <w:szCs w:val="23"/>
          <w:color w:val="auto"/>
          <w:vertAlign w:val="superscript"/>
        </w:rPr>
      </w:pPr>
    </w:p>
    <w:p>
      <w:pPr>
        <w:ind w:right="520" w:firstLine="8"/>
        <w:spacing w:after="0" w:line="298" w:lineRule="auto"/>
        <w:tabs>
          <w:tab w:leader="none" w:pos="153"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 xml:space="preserve">Activity primarily relates to net capital contributions from the TE investor into Buckthorn Holdings LLC in the amount of $99 million, as further described in Note 4, </w:t>
      </w:r>
      <w:r>
        <w:rPr>
          <w:rFonts w:ascii="Arial" w:cs="Arial" w:eastAsia="Arial" w:hAnsi="Arial"/>
          <w:sz w:val="13"/>
          <w:szCs w:val="13"/>
          <w:i w:val="1"/>
          <w:iCs w:val="1"/>
          <w:color w:val="auto"/>
        </w:rPr>
        <w:t>Investments Accounted for by the Equity Method and Variable Interest Entities</w:t>
      </w:r>
      <w:r>
        <w:rPr>
          <w:rFonts w:ascii="Arial" w:cs="Arial" w:eastAsia="Arial" w:hAnsi="Arial"/>
          <w:sz w:val="12"/>
          <w:szCs w:val="12"/>
          <w:color w:val="auto"/>
        </w:rPr>
        <w:t>.</w:t>
      </w:r>
    </w:p>
    <w:p>
      <w:pPr>
        <w:ind w:left="160" w:hanging="152"/>
        <w:spacing w:after="0"/>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During the period from January 1, 2018 through August 31, 2018.</w:t>
      </w:r>
    </w:p>
    <w:p>
      <w:pPr>
        <w:spacing w:after="0" w:line="50" w:lineRule="exact"/>
        <w:rPr>
          <w:rFonts w:ascii="Arial" w:cs="Arial" w:eastAsia="Arial" w:hAnsi="Arial"/>
          <w:sz w:val="19"/>
          <w:szCs w:val="19"/>
          <w:color w:val="auto"/>
          <w:vertAlign w:val="superscript"/>
        </w:rPr>
      </w:pPr>
    </w:p>
    <w:p>
      <w:pPr>
        <w:ind w:firstLine="8"/>
        <w:spacing w:after="0" w:line="298" w:lineRule="auto"/>
        <w:tabs>
          <w:tab w:leader="none" w:pos="153"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Net distributions to CEG primarily consist of distributions on Class B and D units in the amount of $27 million during the period from September 1, 2018 through September 30, 2018, partially offset by a non-cash contribution of $17 million made by CEG in connection with the formation of Repowering Partnership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8"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Clearway Energy LLC Distributions to NRG and CEG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lists the distributions paid to NRG during the period from January 1, 2018 through August 31, 2018 and to CEG during the period from September 1, 2018 through September 30, 2018 on Clearway Energy LLC's Class B and D units: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Third Quarter 2018</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First Quarter</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B Unit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0.298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Distributions per Class D Unit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0.320</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0.309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0.298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On October 31, 2018, Clearway Energy LLC declared a distribution on its Class A, Class B, Class C and Class D units of $0.331 per unit payable on December 17, 2018 to unit holders of record as of December 3,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8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9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 or RECs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jc w:val="both"/>
        <w:ind w:firstLine="392"/>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Emission Allowances</w:t>
      </w:r>
    </w:p>
    <w:p>
      <w:pPr>
        <w:spacing w:after="0" w:line="18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represent the Company’s disaggregation of revenue from contracts with customers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along with the reportable segment for each category: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7"/>
              </w:rPr>
              <w:t>Three months ended September 30, 2018</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2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240" w:type="dxa"/>
            <w:vAlign w:val="bottom"/>
          </w:tcPr>
          <w:p>
            <w:pPr>
              <w:spacing w:after="0"/>
              <w:rPr>
                <w:sz w:val="14"/>
                <w:szCs w:val="14"/>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Thermal</w:t>
            </w:r>
          </w:p>
        </w:tc>
        <w:tc>
          <w:tcPr>
            <w:tcW w:w="46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5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Generation</w:t>
            </w:r>
          </w:p>
        </w:tc>
        <w:tc>
          <w:tcPr>
            <w:tcW w:w="3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6"/>
                <w:szCs w:val="16"/>
                <w:color w:val="auto"/>
              </w:rPr>
              <w:t>Less: Lease revenue</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Contract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420" w:hanging="169"/>
        <w:spacing w:after="0"/>
        <w:tabs>
          <w:tab w:leader="none" w:pos="420"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7"/>
              </w:rPr>
              <w:t>Conventional Generation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Renewables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Pr>
          <w:p>
            <w:pPr>
              <w:ind w:left="40"/>
              <w:spacing w:after="0"/>
              <w:rPr>
                <w:sz w:val="20"/>
                <w:szCs w:val="20"/>
                <w:color w:val="auto"/>
              </w:rPr>
            </w:pPr>
            <w:r>
              <w:rPr>
                <w:rFonts w:ascii="Arial" w:cs="Arial" w:eastAsia="Arial" w:hAnsi="Arial"/>
                <w:sz w:val="16"/>
                <w:szCs w:val="16"/>
                <w:color w:val="auto"/>
              </w:rPr>
              <w:t>Capacity Revenue</w:t>
            </w:r>
          </w:p>
        </w:tc>
        <w:tc>
          <w:tcPr>
            <w:tcW w:w="200" w:type="dxa"/>
            <w:vAlign w:val="bottom"/>
          </w:tcPr>
          <w:p>
            <w:pPr>
              <w:spacing w:after="0"/>
              <w:rPr>
                <w:sz w:val="21"/>
                <w:szCs w:val="21"/>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6"/>
          </w:tcPr>
          <w:p>
            <w:pPr>
              <w:ind w:left="80"/>
              <w:spacing w:after="0"/>
              <w:rPr>
                <w:sz w:val="20"/>
                <w:szCs w:val="20"/>
                <w:color w:val="auto"/>
              </w:rPr>
            </w:pPr>
            <w:r>
              <w:rPr>
                <w:rFonts w:ascii="Arial" w:cs="Arial" w:eastAsia="Arial" w:hAnsi="Arial"/>
                <w:sz w:val="14"/>
                <w:szCs w:val="14"/>
                <w:b w:val="1"/>
                <w:bCs w:val="1"/>
                <w:color w:val="auto"/>
                <w:w w:val="99"/>
              </w:rPr>
              <w:t>Nine months ended September 30, 2018</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3300" w:type="dxa"/>
            <w:vAlign w:val="bottom"/>
            <w:gridSpan w:val="2"/>
            <w:vMerge w:val="restart"/>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7"/>
          </w:tcPr>
          <w:p>
            <w:pPr>
              <w:spacing w:after="0"/>
              <w:rPr>
                <w:sz w:val="20"/>
                <w:szCs w:val="20"/>
                <w:color w:val="auto"/>
              </w:rPr>
            </w:pPr>
            <w:r>
              <w:rPr>
                <w:rFonts w:ascii="Arial" w:cs="Arial" w:eastAsia="Arial" w:hAnsi="Arial"/>
                <w:sz w:val="14"/>
                <w:szCs w:val="14"/>
                <w:b w:val="1"/>
                <w:bCs w:val="1"/>
                <w:color w:val="auto"/>
              </w:rPr>
              <w:t>Conventional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46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Generation</w:t>
            </w: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(b)</w:t>
            </w:r>
          </w:p>
        </w:tc>
        <w:tc>
          <w:tcPr>
            <w:tcW w:w="20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7"/>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Arial" w:cs="Arial" w:eastAsia="Arial" w:hAnsi="Arial"/>
                <w:sz w:val="16"/>
                <w:szCs w:val="16"/>
                <w:color w:val="auto"/>
              </w:rPr>
              <w:t>Contract amortization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7"/>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Arial" w:cs="Arial" w:eastAsia="Arial" w:hAnsi="Arial"/>
                <w:sz w:val="16"/>
                <w:szCs w:val="16"/>
                <w:color w:val="auto"/>
              </w:rPr>
              <w:t>Less: Lease revenue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7"/>
          </w:tcPr>
          <w:p>
            <w:pPr>
              <w:jc w:val="right"/>
              <w:ind w:right="6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Less: Contract amortization</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60" w:type="dxa"/>
            <w:vAlign w:val="bottom"/>
            <w:gridSpan w:val="3"/>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00" w:type="dxa"/>
            <w:vAlign w:val="bottom"/>
          </w:tcPr>
          <w:p>
            <w:pPr>
              <w:spacing w:after="0"/>
              <w:rPr>
                <w:sz w:val="21"/>
                <w:szCs w:val="21"/>
                <w:color w:val="auto"/>
              </w:rPr>
            </w:pPr>
          </w:p>
        </w:tc>
        <w:tc>
          <w:tcPr>
            <w:tcW w:w="1760" w:type="dxa"/>
            <w:vAlign w:val="bottom"/>
            <w:gridSpan w:val="3"/>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84" w:lineRule="exact"/>
        <w:rPr>
          <w:sz w:val="20"/>
          <w:szCs w:val="20"/>
          <w:color w:val="auto"/>
        </w:rPr>
      </w:pPr>
    </w:p>
    <w:p>
      <w:pPr>
        <w:ind w:left="420" w:hanging="169"/>
        <w:spacing w:after="0"/>
        <w:tabs>
          <w:tab w:leader="none" w:pos="420" w:val="left"/>
        </w:tabs>
        <w:numPr>
          <w:ilvl w:val="0"/>
          <w:numId w:val="10"/>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840:</w:t>
      </w: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Conventional Generation</w:t>
            </w:r>
          </w:p>
        </w:tc>
        <w:tc>
          <w:tcPr>
            <w:tcW w:w="4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Thermal</w:t>
            </w:r>
          </w:p>
        </w:tc>
        <w:tc>
          <w:tcPr>
            <w:tcW w:w="300" w:type="dxa"/>
            <w:vAlign w:val="bottom"/>
          </w:tcPr>
          <w:p>
            <w:pPr>
              <w:spacing w:after="0"/>
              <w:rPr>
                <w:sz w:val="14"/>
                <w:szCs w:val="14"/>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
        </w:trPr>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r>
      <w:tr>
        <w:trPr>
          <w:trHeight w:val="243"/>
        </w:trPr>
        <w:tc>
          <w:tcPr>
            <w:tcW w:w="210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200" w:type="dxa"/>
            <w:vAlign w:val="bottom"/>
          </w:tcPr>
          <w:p>
            <w:pPr>
              <w:spacing w:after="0"/>
              <w:rPr>
                <w:sz w:val="21"/>
                <w:szCs w:val="21"/>
                <w:color w:val="auto"/>
              </w:rPr>
            </w:pPr>
          </w:p>
        </w:tc>
        <w:tc>
          <w:tcPr>
            <w:tcW w:w="1920" w:type="dxa"/>
            <w:vAlign w:val="bottom"/>
            <w:gridSpan w:val="3"/>
          </w:tcPr>
          <w:p>
            <w:pPr>
              <w:jc w:val="right"/>
              <w:ind w:right="8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250</w:t>
            </w:r>
          </w:p>
        </w:tc>
      </w:tr>
      <w:tr>
        <w:trPr>
          <w:trHeight w:val="27"/>
        </w:trPr>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2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r>
      <w:tr>
        <w:trPr>
          <w:trHeight w:val="621"/>
        </w:trPr>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4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September 30, 2018:</w:t>
      </w:r>
    </w:p>
    <w:p>
      <w:pPr>
        <w:spacing w:after="0" w:line="34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w w:val="94"/>
              </w:rPr>
              <w:t>(In millions)</w:t>
            </w:r>
          </w:p>
        </w:tc>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September 30, 2018</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Accounts receivable, net - Contracts with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 net - Leases</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r>
      <w:tr>
        <w:trPr>
          <w:trHeight w:val="297"/>
        </w:trPr>
        <w:tc>
          <w:tcPr>
            <w:tcW w:w="20" w:type="dxa"/>
            <w:vAlign w:val="bottom"/>
            <w:tcBorders>
              <w:bottom w:val="single" w:sz="8" w:color="CCEEFF"/>
            </w:tcBorders>
          </w:tcPr>
          <w:p>
            <w:pPr>
              <w:spacing w:after="0"/>
              <w:rPr>
                <w:sz w:val="24"/>
                <w:szCs w:val="24"/>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141</w:t>
            </w:r>
          </w:p>
        </w:tc>
      </w:tr>
      <w:tr>
        <w:trPr>
          <w:trHeight w:val="230"/>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Prior to the NRG Transaction, Clearway Energy, Inc. was included in certain NRG consolidated unitary state tax return filings which was reflected in the Clearway Energy, Inc. state effective tax rate. Following the NRG Transaction, Clearway Energy, Inc. will file under a separate standalone methodology, resulting in a higher state effective tax rate due to a larger percentage of activity allocated to high-tax jurisdictions.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 - Not Yet Adopted</w:t>
      </w:r>
    </w:p>
    <w:p>
      <w:pPr>
        <w:spacing w:after="0" w:line="144"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i w:val="1"/>
          <w:iCs w:val="1"/>
          <w:color w:val="auto"/>
        </w:rPr>
        <w:t xml:space="preserve">ASU 2016-02 </w:t>
      </w:r>
      <w:r>
        <w:rPr>
          <w:rFonts w:ascii="Arial" w:cs="Arial" w:eastAsia="Arial" w:hAnsi="Arial"/>
          <w:sz w:val="16"/>
          <w:szCs w:val="16"/>
          <w:color w:val="auto"/>
        </w:rPr>
        <w:t>— 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or Topic 842, with the objective to increase transparency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UPMC Thermal Project Asset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19, 2018, upon reaching substantial completion, the Company acquired from NRG the UPMC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Thermal Project for cash consideration of $84 million, subject to working capital adjustments. The Company will pay an additional $5 million to NRG upon final completion of the project pursuant to the EPC agreement. The project adds 73 MWt of thermal equivalent capacity and 7.5 MW of emergency backup thermal capacity to the Company's portfolio. The transaction is reflected in the Company's Thermal segment. The acquisition was funded with the proceeds from the sale of the Series E Notes and Series F Notes, as further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The assets transferred to the Company relate to interests under common control by NRG and were recorded at book value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purchase price and book value of the assets was recorded as a distribution to NRG and decreased the balance of its noncontrolling interest. The acquisition was determined to be an asset acquisition and not a business combination, therefore no recast of the historical financial information was deemed necessary.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81" w:right="239" w:bottom="1440" w:gutter="0" w:footer="0" w:header="0"/>
        </w:sectPr>
      </w:pPr>
    </w:p>
    <w:bookmarkStart w:id="18" w:name="page19"/>
    <w:bookmarkEnd w:id="18"/>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Central CA Fuel Cell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18, 2018, the Company acquired the Central CA Fuel Cell 1, LLC project in Tulare, California from FuelCell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8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i w:val="1"/>
          <w:iCs w:val="1"/>
          <w:color w:val="auto"/>
        </w:rPr>
        <w:t xml:space="preserve">Buckthorn Solar Drop Down Asset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30, 2018, the Company acquired 100% of NRG's interests in Buckthorn Renewables, LLC,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owned a 154 MW construction-stage utility-scale solar generation project located in Texas, or the Buckthorn Solar Drop Down Asset, for cash consideration of approximately $42 million, subject to working capital adjustments. The Company also assumed non-recourse debt of $183 million and non-controlling interest of $19 million (as of acquisition date) attributable to the Class A member, as further described below.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historical value of the entities' equity was recorded as a distribution to NRG and decreased the balance of its noncontrolling interest. Since the transaction constituted a transfer of net assets under common control, the guidance requires retrospective combination of the entities for all periods presented as if the combination had been in effect since the inception of common control.</w:t>
      </w:r>
    </w:p>
    <w:p>
      <w:pPr>
        <w:spacing w:after="0" w:line="1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Buckthorn Solar Portfolio, LLC, a wholly owned subsidiary of Buckthorn Renewables, LLC, is the Class B member in a tax equity partnership, Buckthorn Holdings, LLC, the owner of the Buckthorn Solar Drop Down Asset. The Class A member is a tax equity investor, or TE investor, who receives 99% of allocations of taxable income and other items through the six month anniversary of the placed in service date, at which time the allocations change to 67% through the last calendar year before the flip point, and then back to 99% through the flip point (which occurs when the TE Investor obtains a specified return on its initial investment), at which time the allocations to the TE Investor change to 5% for all the periods thereafter. Before the flip point, the TE investor would receive a priority distribution of distributable cash, as defined, plus a percentage of remaining distributable cash after the priority distribution subject to a percentage cap.</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project sells power under a 25-year PPA to the City of Georgetown, Texas, which commenced in July 2018.</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summary of net assets transferred in connection with the acquisition of the Buckthorn Solar Drop Down Asset as of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212</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9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176</w:t>
            </w: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57"/>
        </w:trPr>
        <w:tc>
          <w:tcPr>
            <w:tcW w:w="980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Net of $7 million of net debt issuance costs.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$74 million, including working capital adjustments, plus assumed non-recourse debt of $26 million.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88" w:right="239" w:bottom="1440" w:gutter="0" w:footer="0" w:header="0"/>
        </w:sectPr>
      </w:pPr>
    </w:p>
    <w:bookmarkStart w:id="19" w:name="page20"/>
    <w:bookmarkEnd w:id="19"/>
    <w:p>
      <w:pPr>
        <w:jc w:val="both"/>
        <w:ind w:firstLine="405"/>
        <w:spacing w:after="0" w:line="297" w:lineRule="auto"/>
        <w:rPr>
          <w:sz w:val="20"/>
          <w:szCs w:val="20"/>
          <w:color w:val="auto"/>
        </w:rPr>
      </w:pPr>
      <w:r>
        <w:rPr>
          <w:rFonts w:ascii="Arial" w:cs="Arial" w:eastAsia="Arial" w:hAnsi="Arial"/>
          <w:sz w:val="16"/>
          <w:szCs w:val="16"/>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Combinations -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Issues</w:t>
      </w:r>
      <w:r>
        <w:rPr>
          <w:rFonts w:ascii="Arial" w:cs="Arial" w:eastAsia="Arial" w:hAnsi="Arial"/>
          <w:sz w:val="16"/>
          <w:szCs w:val="16"/>
          <w:color w:val="auto"/>
        </w:rPr>
        <w:t>. The difference between the cash paid and historical value of the entities' equity was recorded as a contribution from NRG and increased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noncontrolling interest. Since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present a summary of the Company's historical information combining the financial information for the Buckthorn Solar Drop Down Asset and November 2017 Drop Down Assets transferred in connection with the acquisition: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6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Three months ended September 30, 2017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center"/>
              <w:ind w:right="100"/>
              <w:spacing w:after="0"/>
              <w:rPr>
                <w:sz w:val="20"/>
                <w:szCs w:val="20"/>
                <w:color w:val="auto"/>
              </w:rPr>
            </w:pPr>
            <w:r>
              <w:rPr>
                <w:rFonts w:ascii="Arial" w:cs="Arial" w:eastAsia="Arial" w:hAnsi="Arial"/>
                <w:sz w:val="15"/>
                <w:szCs w:val="15"/>
                <w:b w:val="1"/>
                <w:bCs w:val="1"/>
                <w:color w:val="auto"/>
                <w:w w:val="90"/>
              </w:rPr>
              <w:t>As Previously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Buckthorn Solar</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November 2017</w:t>
            </w:r>
          </w:p>
        </w:tc>
        <w:tc>
          <w:tcPr>
            <w:tcW w:w="180" w:type="dxa"/>
            <w:vAlign w:val="bottom"/>
          </w:tcPr>
          <w:p>
            <w:pPr>
              <w:spacing w:after="0"/>
              <w:rPr>
                <w:sz w:val="18"/>
                <w:szCs w:val="18"/>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5"/>
                <w:szCs w:val="15"/>
                <w:b w:val="1"/>
                <w:bCs w:val="1"/>
                <w:color w:val="auto"/>
                <w:w w:val="95"/>
              </w:rPr>
              <w:t>As Currently</w:t>
            </w:r>
          </w:p>
        </w:tc>
        <w:tc>
          <w:tcPr>
            <w:tcW w:w="0" w:type="dxa"/>
            <w:vAlign w:val="bottom"/>
          </w:tcPr>
          <w:p>
            <w:pPr>
              <w:spacing w:after="0"/>
              <w:rPr>
                <w:sz w:val="1"/>
                <w:szCs w:val="1"/>
                <w:color w:val="auto"/>
              </w:rPr>
            </w:pP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Drop Down Asset</w:t>
            </w: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Drop Down Assets</w:t>
            </w: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20"/>
              <w:spacing w:after="0" w:line="209" w:lineRule="exact"/>
              <w:rPr>
                <w:sz w:val="20"/>
                <w:szCs w:val="20"/>
                <w:color w:val="auto"/>
              </w:rPr>
            </w:pPr>
            <w:r>
              <w:rPr>
                <w:rFonts w:ascii="Arial" w:cs="Arial" w:eastAsia="Arial" w:hAnsi="Arial"/>
                <w:sz w:val="15"/>
                <w:szCs w:val="15"/>
                <w:b w:val="1"/>
                <w:bCs w:val="1"/>
                <w:color w:val="auto"/>
                <w:w w:val="89"/>
              </w:rPr>
              <w:t xml:space="preserve">Reported </w:t>
            </w:r>
            <w:r>
              <w:rPr>
                <w:rFonts w:ascii="Arial" w:cs="Arial" w:eastAsia="Arial" w:hAnsi="Arial"/>
                <w:sz w:val="24"/>
                <w:szCs w:val="24"/>
                <w:b w:val="1"/>
                <w:bCs w:val="1"/>
                <w:color w:val="auto"/>
                <w:w w:val="89"/>
                <w:vertAlign w:val="superscript"/>
              </w:rPr>
              <w:t>(a)</w:t>
            </w:r>
          </w:p>
        </w:tc>
        <w:tc>
          <w:tcPr>
            <w:tcW w:w="12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80"/>
              <w:spacing w:after="0"/>
              <w:rPr>
                <w:sz w:val="20"/>
                <w:szCs w:val="20"/>
                <w:color w:val="auto"/>
              </w:rPr>
            </w:pPr>
            <w:r>
              <w:rPr>
                <w:rFonts w:ascii="Arial" w:cs="Arial" w:eastAsia="Arial" w:hAnsi="Arial"/>
                <w:sz w:val="15"/>
                <w:szCs w:val="15"/>
                <w:b w:val="1"/>
                <w:bCs w:val="1"/>
                <w:color w:val="auto"/>
                <w:w w:val="94"/>
              </w:rPr>
              <w:t>Reported</w:t>
            </w: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Pre-acquisition net income (loss) of Drop Down Assets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Income attributable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income attributable to Clearway Energy, Inc.</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w w:val="95"/>
              </w:rPr>
              <w:t>Nine months ended September 30, 2017</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center"/>
              <w:ind w:right="100"/>
              <w:spacing w:after="0"/>
              <w:rPr>
                <w:sz w:val="20"/>
                <w:szCs w:val="20"/>
                <w:color w:val="auto"/>
              </w:rPr>
            </w:pPr>
            <w:r>
              <w:rPr>
                <w:rFonts w:ascii="Arial" w:cs="Arial" w:eastAsia="Arial" w:hAnsi="Arial"/>
                <w:sz w:val="15"/>
                <w:szCs w:val="15"/>
                <w:b w:val="1"/>
                <w:bCs w:val="1"/>
                <w:color w:val="auto"/>
                <w:w w:val="90"/>
              </w:rPr>
              <w:t>As Previously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Buckthorn Solar</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November 2017</w:t>
            </w:r>
          </w:p>
        </w:tc>
        <w:tc>
          <w:tcPr>
            <w:tcW w:w="180" w:type="dxa"/>
            <w:vAlign w:val="bottom"/>
          </w:tcPr>
          <w:p>
            <w:pPr>
              <w:spacing w:after="0"/>
              <w:rPr>
                <w:sz w:val="18"/>
                <w:szCs w:val="18"/>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5"/>
                <w:szCs w:val="15"/>
                <w:b w:val="1"/>
                <w:bCs w:val="1"/>
                <w:color w:val="auto"/>
                <w:w w:val="95"/>
              </w:rPr>
              <w:t>As Currently</w:t>
            </w:r>
          </w:p>
        </w:tc>
        <w:tc>
          <w:tcPr>
            <w:tcW w:w="0" w:type="dxa"/>
            <w:vAlign w:val="bottom"/>
          </w:tcPr>
          <w:p>
            <w:pPr>
              <w:spacing w:after="0"/>
              <w:rPr>
                <w:sz w:val="1"/>
                <w:szCs w:val="1"/>
                <w:color w:val="auto"/>
              </w:rPr>
            </w:pP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Drop Down Asset</w:t>
            </w: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Drop Down Assets</w:t>
            </w: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20"/>
              <w:spacing w:after="0" w:line="209" w:lineRule="exact"/>
              <w:rPr>
                <w:sz w:val="20"/>
                <w:szCs w:val="20"/>
                <w:color w:val="auto"/>
              </w:rPr>
            </w:pPr>
            <w:r>
              <w:rPr>
                <w:rFonts w:ascii="Arial" w:cs="Arial" w:eastAsia="Arial" w:hAnsi="Arial"/>
                <w:sz w:val="15"/>
                <w:szCs w:val="15"/>
                <w:b w:val="1"/>
                <w:bCs w:val="1"/>
                <w:color w:val="auto"/>
                <w:w w:val="89"/>
              </w:rPr>
              <w:t xml:space="preserve">Reported </w:t>
            </w:r>
            <w:r>
              <w:rPr>
                <w:rFonts w:ascii="Arial" w:cs="Arial" w:eastAsia="Arial" w:hAnsi="Arial"/>
                <w:sz w:val="24"/>
                <w:szCs w:val="24"/>
                <w:b w:val="1"/>
                <w:bCs w:val="1"/>
                <w:color w:val="auto"/>
                <w:w w:val="89"/>
                <w:vertAlign w:val="superscript"/>
              </w:rPr>
              <w:t>(a)</w:t>
            </w:r>
          </w:p>
        </w:tc>
        <w:tc>
          <w:tcPr>
            <w:tcW w:w="12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80"/>
              <w:spacing w:after="0"/>
              <w:rPr>
                <w:sz w:val="20"/>
                <w:szCs w:val="20"/>
                <w:color w:val="auto"/>
              </w:rPr>
            </w:pPr>
            <w:r>
              <w:rPr>
                <w:rFonts w:ascii="Arial" w:cs="Arial" w:eastAsia="Arial" w:hAnsi="Arial"/>
                <w:sz w:val="15"/>
                <w:szCs w:val="15"/>
                <w:b w:val="1"/>
                <w:bCs w:val="1"/>
                <w:color w:val="auto"/>
                <w:w w:val="94"/>
              </w:rPr>
              <w:t>Reported</w:t>
            </w: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767</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Pre-acquisition net income (loss) of Drop Down Assets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Income attributable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income attributable to Clearway Energy, Inc.</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As previously reported in the Company's Form 10-Q for the quarter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06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3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Wind TE Holdco, a portfolio of 12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projects, from NRG for total cash consideration of $44 million, including working capital adjustments. The purchase agreement also included potential additional payments to NRG dependent upon actual energy prices for merchant periods beginning in 2027, which were estimated and accrued as contingent consideration in the amount of $8 million.</w:t>
      </w:r>
    </w:p>
    <w:p>
      <w:pPr>
        <w:spacing w:after="0" w:line="13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The Company originally acquired 75% of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7"/>
          <w:szCs w:val="17"/>
          <w:i w:val="1"/>
          <w:iCs w:val="1"/>
          <w:color w:val="auto"/>
        </w:rPr>
        <w:t>Business Combination - Related Issues.</w:t>
      </w:r>
      <w:r>
        <w:rPr>
          <w:rFonts w:ascii="Arial" w:cs="Arial" w:eastAsia="Arial" w:hAnsi="Arial"/>
          <w:sz w:val="17"/>
          <w:szCs w:val="17"/>
          <w:color w:val="auto"/>
        </w:rPr>
        <w:t xml:space="preserve"> As the Company had reflected NRG's 25% ownership of Wind TE Holdco in 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21"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March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27, 2017, the Company acquired the following interests from NRG: (i) Agua Caliente Borrower 2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7"/>
          <w:szCs w:val="17"/>
          <w:color w:val="auto"/>
        </w:rPr>
        <w:t xml:space="preserve">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$128 million, which includes $3 million of final net working capital adjustment received by the Company from NRG.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well as its pro-rata share of non-recourse project-level debt of Agua Caliente Solar LLC, as further described in Note 4,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Accounted for by the Equity Method and Variable Interest Entities</w:t>
      </w:r>
      <w:r>
        <w:rPr>
          <w:rFonts w:ascii="Arial" w:cs="Arial" w:eastAsia="Arial" w:hAnsi="Arial"/>
          <w:sz w:val="17"/>
          <w:szCs w:val="17"/>
          <w:color w:val="auto"/>
        </w:rPr>
        <w:t>.</w:t>
      </w:r>
    </w:p>
    <w:p>
      <w:pPr>
        <w:spacing w:after="0" w:line="125"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and the historical value of the entities' equity of $8 million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00"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2017 Form 10-K.</w:t>
      </w:r>
    </w:p>
    <w:p>
      <w:pPr>
        <w:spacing w:after="0" w:line="1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Buckthorn Renewables,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Acquisitions</w:t>
      </w:r>
      <w:r>
        <w:rPr>
          <w:rFonts w:ascii="Arial" w:cs="Arial" w:eastAsia="Arial" w:hAnsi="Arial"/>
          <w:sz w:val="16"/>
          <w:szCs w:val="16"/>
          <w:color w:val="auto"/>
        </w:rPr>
        <w:t>, on March 30, 2018, the Company acquired 100% of NRG’s interest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contribution of $19 million on March 30, 2018, which is reflected as noncontrolling interest on the Company’s consolidated balance sheet. The project achieved substantial completion in May 2018, at which time the remaining tax equity contributions of $80 million were funded. The Company utilizes the HLBV method to determine the net income or loss allocated to the tax equity investor noncontrolling interest. The Company recorded $55 million of loss attributable to noncontrolling interest in Buckthorn Renewables, LLC during the period ended September 30, 2018.</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Repowering Partnership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30, 2018, Wind TE Holdco, an indirect subsidiary of the Company, entered into a partnership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Clearway Renew LLC, an indirect subsidiary of CEG, in order to facilitate the repowering of the Elbow Creek and Wildorado facilities. Wind TE Holdco contributed its interests in the two facilities and Clearway Renew LLC contributed a turbine supply agreement, including title to certain components that qualify for production tax credits. Clearway Renew LLC paid a $17 million deposit and had a payable for an additional $17 million due to the service provider, which will be funded by an additional contribution from Clearway Renew LLC. Wind TE Holdco is the managing member of Repowering Partnership LLC and consolidates the entity, which is a VIE. Clearway Renew LLC is entitled to allocations of 21% of income, which is reflected in Wind TE Holdco’s noncontrolling interests.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2018:</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Wind TE Holdco</w:t>
            </w:r>
          </w:p>
        </w:tc>
        <w:tc>
          <w:tcPr>
            <w:tcW w:w="16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Alta Wind TE Holdco</w:t>
            </w:r>
          </w:p>
        </w:tc>
        <w:tc>
          <w:tcPr>
            <w:tcW w:w="18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Spring Canyon</w:t>
            </w:r>
          </w:p>
        </w:tc>
        <w:tc>
          <w:tcPr>
            <w:tcW w:w="140" w:type="dxa"/>
            <w:vAlign w:val="bottom"/>
          </w:tcPr>
          <w:p>
            <w:pPr>
              <w:spacing w:after="0"/>
              <w:rPr>
                <w:sz w:val="14"/>
                <w:szCs w:val="14"/>
                <w:color w:val="auto"/>
              </w:rPr>
            </w:pPr>
          </w:p>
        </w:tc>
        <w:tc>
          <w:tcPr>
            <w:tcW w:w="1300" w:type="dxa"/>
            <w:vAlign w:val="bottom"/>
          </w:tcPr>
          <w:p>
            <w:pPr>
              <w:jc w:val="right"/>
              <w:ind w:right="314"/>
              <w:spacing w:after="0"/>
              <w:rPr>
                <w:sz w:val="20"/>
                <w:szCs w:val="20"/>
                <w:color w:val="auto"/>
              </w:rPr>
            </w:pPr>
            <w:r>
              <w:rPr>
                <w:rFonts w:ascii="Arial" w:cs="Arial" w:eastAsia="Arial" w:hAnsi="Arial"/>
                <w:sz w:val="14"/>
                <w:szCs w:val="14"/>
                <w:b w:val="1"/>
                <w:bCs w:val="1"/>
                <w:color w:val="auto"/>
              </w:rPr>
              <w:t>Buckthorn</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Renewables, LLC</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49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4920" w:type="dxa"/>
            <w:vAlign w:val="bottom"/>
          </w:tcPr>
          <w:p>
            <w:pPr>
              <w:ind w:left="480"/>
              <w:spacing w:after="0"/>
              <w:rPr>
                <w:sz w:val="20"/>
                <w:szCs w:val="20"/>
                <w:color w:val="auto"/>
              </w:rPr>
            </w:pPr>
            <w:r>
              <w:rPr>
                <w:rFonts w:ascii="Arial" w:cs="Arial" w:eastAsia="Arial" w:hAnsi="Arial"/>
                <w:sz w:val="18"/>
                <w:szCs w:val="18"/>
                <w:color w:val="auto"/>
              </w:rPr>
              <w:t>Net assets less noncontrolling interests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auto"/>
        </w:rPr>
        <w:t>to the consolidated financial statements included in the Company's 2017 Form 10-K.</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September 30, 2018, is limited to its equity investment in the unconsolidated entities, as further summarized in the table below:</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Maximum exposure to</w:t>
            </w:r>
          </w:p>
        </w:tc>
        <w:tc>
          <w:tcPr>
            <w:tcW w:w="0" w:type="dxa"/>
            <w:vAlign w:val="bottom"/>
          </w:tcPr>
          <w:p>
            <w:pPr>
              <w:spacing w:after="0"/>
              <w:rPr>
                <w:sz w:val="1"/>
                <w:szCs w:val="1"/>
                <w:color w:val="auto"/>
              </w:rPr>
            </w:pPr>
          </w:p>
        </w:tc>
      </w:tr>
      <w:tr>
        <w:trPr>
          <w:trHeight w:val="192"/>
        </w:trPr>
        <w:tc>
          <w:tcPr>
            <w:tcW w:w="89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DGPV Holdco 3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DGPV Holdco 1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Granite Mountain Holdings,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DGPV Holdco 2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RPV Holdco 1 LLC</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$4 million of cash during the nine months ended September 30, 2018 into DGPV Holdco 1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$1 million due to CEG in accounts payable — affiliate as of September 30, 2018 to be funded as the project milestones are completed. The Company owns approximately 52 MW of distributed solar capacity, based on cash to be distributed, with a weighted average remaining contract life of approximately 17 years as of September 30, 2018.</w:t>
      </w:r>
    </w:p>
    <w:p>
      <w:pPr>
        <w:spacing w:after="0" w:line="12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$12 million of cash during the nine months ended September 30, 2018 into DGPV Holdco 3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$10 million due to CEG in accounts payable — affiliate as of September 30, 2018 to be funded in tranches as the project milestones are completed. The Company owns approximately 59 MW of distributed solar capacity, based on cash to be distributed, with a weighted average remaining contract life of approximately 21 years as of September 30, 2018.</w:t>
      </w:r>
    </w:p>
    <w:p>
      <w:pPr>
        <w:spacing w:after="0" w:line="12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who receives 99% of allocations of taxable income and other items until the flip point, which occurs when the tax equity investor obtains a specified return on its initial investment, at which time the allocations to the tax equity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As of September 30, 2018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As of December 31, 2017</w:t>
            </w:r>
          </w:p>
        </w:tc>
      </w:tr>
      <w:tr>
        <w:trPr>
          <w:trHeight w:val="263"/>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13</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41"/>
        </w:trPr>
        <w:tc>
          <w:tcPr>
            <w:tcW w:w="6060" w:type="dxa"/>
            <w:vAlign w:val="bottom"/>
          </w:tcPr>
          <w:p>
            <w:pPr>
              <w:ind w:left="18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5"/>
                <w:szCs w:val="25"/>
                <w:color w:val="auto"/>
                <w:vertAlign w:val="superscript"/>
              </w:rPr>
              <w:t>(a)</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5,860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6,066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4"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Excludes deferred financing costs, which are recorded as a reduction to long-term debt on the Company's consolidated balance sheets.</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2018 and December 31, 2017:</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As of September 30, 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2017</w:t>
            </w:r>
          </w:p>
        </w:tc>
      </w:tr>
      <w:tr>
        <w:trPr>
          <w:trHeight w:val="264"/>
        </w:trPr>
        <w:tc>
          <w:tcPr>
            <w:tcW w:w="4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1,451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4,384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1,502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4,597</w:t>
            </w:r>
          </w:p>
        </w:tc>
      </w:tr>
      <w:tr>
        <w:trPr>
          <w:trHeight w:val="621"/>
        </w:trPr>
        <w:tc>
          <w:tcPr>
            <w:tcW w:w="440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96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1"/>
              </w:rPr>
              <w:t>As of September 30, 2018</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As of December 31, 2017</w:t>
            </w:r>
          </w:p>
        </w:tc>
      </w:tr>
      <w:tr>
        <w:trPr>
          <w:trHeight w:val="250"/>
        </w:trPr>
        <w:tc>
          <w:tcPr>
            <w:tcW w:w="6980" w:type="dxa"/>
            <w:vAlign w:val="bottom"/>
          </w:tcPr>
          <w:p>
            <w:pPr>
              <w:spacing w:after="0"/>
              <w:rPr>
                <w:sz w:val="21"/>
                <w:szCs w:val="21"/>
                <w:color w:val="auto"/>
              </w:rPr>
            </w:pPr>
          </w:p>
        </w:tc>
        <w:tc>
          <w:tcPr>
            <w:tcW w:w="196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Level 2</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jc w:val="center"/>
              <w:ind w:right="4572"/>
              <w:spacing w:after="0"/>
              <w:rPr>
                <w:sz w:val="20"/>
                <w:szCs w:val="20"/>
                <w:color w:val="auto"/>
              </w:rPr>
            </w:pPr>
            <w:r>
              <w:rPr>
                <w:rFonts w:ascii="Arial" w:cs="Arial" w:eastAsia="Arial" w:hAnsi="Arial"/>
                <w:sz w:val="18"/>
                <w:szCs w:val="18"/>
                <w:color w:val="auto"/>
                <w:w w:val="92"/>
              </w:rPr>
              <w:t>Commodity contracts</w:t>
            </w:r>
          </w:p>
        </w:tc>
        <w:tc>
          <w:tcPr>
            <w:tcW w:w="1960" w:type="dxa"/>
            <w:vAlign w:val="bottom"/>
          </w:tcPr>
          <w:p>
            <w:pPr>
              <w:jc w:val="right"/>
              <w:ind w:right="1761"/>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jc w:val="center"/>
              <w:ind w:right="4572"/>
              <w:spacing w:after="0"/>
              <w:rPr>
                <w:sz w:val="20"/>
                <w:szCs w:val="20"/>
                <w:color w:val="auto"/>
              </w:rPr>
            </w:pPr>
            <w:r>
              <w:rPr>
                <w:rFonts w:ascii="Arial" w:cs="Arial" w:eastAsia="Arial" w:hAnsi="Arial"/>
                <w:sz w:val="18"/>
                <w:szCs w:val="18"/>
                <w:color w:val="auto"/>
                <w:w w:val="89"/>
              </w:rPr>
              <w:t>Interest rate contracts</w:t>
            </w:r>
          </w:p>
        </w:tc>
        <w:tc>
          <w:tcPr>
            <w:tcW w:w="1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97"/>
        </w:trPr>
        <w:tc>
          <w:tcPr>
            <w:tcW w:w="6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jc w:val="center"/>
              <w:ind w:right="4572"/>
              <w:spacing w:after="0"/>
              <w:rPr>
                <w:sz w:val="20"/>
                <w:szCs w:val="20"/>
                <w:color w:val="auto"/>
              </w:rPr>
            </w:pPr>
            <w:r>
              <w:rPr>
                <w:rFonts w:ascii="Arial" w:cs="Arial" w:eastAsia="Arial" w:hAnsi="Arial"/>
                <w:sz w:val="18"/>
                <w:szCs w:val="18"/>
                <w:color w:val="auto"/>
                <w:w w:val="92"/>
              </w:rPr>
              <w:t>Commodity contracts</w:t>
            </w:r>
          </w:p>
        </w:tc>
        <w:tc>
          <w:tcPr>
            <w:tcW w:w="19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jc w:val="center"/>
              <w:ind w:right="4572"/>
              <w:spacing w:after="0"/>
              <w:rPr>
                <w:sz w:val="20"/>
                <w:szCs w:val="20"/>
                <w:color w:val="auto"/>
              </w:rPr>
            </w:pPr>
            <w:r>
              <w:rPr>
                <w:rFonts w:ascii="Arial" w:cs="Arial" w:eastAsia="Arial" w:hAnsi="Arial"/>
                <w:sz w:val="18"/>
                <w:szCs w:val="18"/>
                <w:color w:val="auto"/>
                <w:w w:val="89"/>
              </w:rPr>
              <w:t>Interest rate contracts</w:t>
            </w:r>
          </w:p>
        </w:tc>
        <w:tc>
          <w:tcPr>
            <w:tcW w:w="1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57"/>
        </w:trPr>
        <w:tc>
          <w:tcPr>
            <w:tcW w:w="6980" w:type="dxa"/>
            <w:vAlign w:val="bottom"/>
          </w:tcPr>
          <w:p>
            <w:pPr>
              <w:jc w:val="center"/>
              <w:ind w:right="4552"/>
              <w:spacing w:after="0"/>
              <w:rPr>
                <w:sz w:val="20"/>
                <w:szCs w:val="20"/>
                <w:color w:val="auto"/>
              </w:rPr>
            </w:pPr>
            <w:r>
              <w:rPr>
                <w:rFonts w:ascii="Arial" w:cs="Arial" w:eastAsia="Arial" w:hAnsi="Arial"/>
                <w:sz w:val="18"/>
                <w:szCs w:val="18"/>
                <w:b w:val="1"/>
                <w:bCs w:val="1"/>
                <w:color w:val="auto"/>
                <w:w w:val="91"/>
              </w:rPr>
              <w:t>Total liabilities</w:t>
            </w:r>
          </w:p>
        </w:tc>
        <w:tc>
          <w:tcPr>
            <w:tcW w:w="1960" w:type="dxa"/>
            <w:vAlign w:val="bottom"/>
            <w:tcBorders>
              <w:top w:val="single" w:sz="8" w:color="auto"/>
              <w:bottom w:val="single" w:sz="8" w:color="auto"/>
            </w:tcBorders>
          </w:tcPr>
          <w:p>
            <w:pPr>
              <w:jc w:val="right"/>
              <w:ind w:right="17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r>
      <w:tr>
        <w:trPr>
          <w:trHeight w:val="20"/>
        </w:trPr>
        <w:tc>
          <w:tcPr>
            <w:tcW w:w="69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or Level 3 as of September 30, 2018 and December 31,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2018, the credit reserve was $1 million in interest expense.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w:t>
      </w:r>
      <w:r>
        <w:rPr>
          <w:rFonts w:ascii="Arial" w:cs="Arial" w:eastAsia="Arial" w:hAnsi="Arial"/>
          <w:sz w:val="16"/>
          <w:szCs w:val="16"/>
          <w:color w:val="auto"/>
        </w:rPr>
        <w:t xml:space="preserve"> consolidated financial statements included in the </w:t>
      </w:r>
      <w:r>
        <w:rPr>
          <w:rFonts w:ascii="Arial" w:cs="Arial" w:eastAsia="Arial" w:hAnsi="Arial"/>
          <w:sz w:val="16"/>
          <w:szCs w:val="16"/>
          <w:color w:val="231F20"/>
        </w:rPr>
        <w:t xml:space="preserve">Company's </w:t>
      </w:r>
      <w:r>
        <w:rPr>
          <w:rFonts w:ascii="Arial" w:cs="Arial" w:eastAsia="Arial" w:hAnsi="Arial"/>
          <w:sz w:val="16"/>
          <w:szCs w:val="16"/>
          <w:color w:val="000000"/>
        </w:rPr>
        <w:t>2017 Form 10-K, the following is a discussion of the concentration of credit risk for the Company's financial instruments. Credit risk relates to the</w:t>
      </w:r>
      <w:r>
        <w:rPr>
          <w:rFonts w:ascii="Arial" w:cs="Arial" w:eastAsia="Arial" w:hAnsi="Arial"/>
          <w:sz w:val="16"/>
          <w:szCs w:val="16"/>
          <w:color w:val="231F20"/>
        </w:rPr>
        <w:t xml:space="preserve"> </w:t>
      </w:r>
      <w:r>
        <w:rPr>
          <w:rFonts w:ascii="Arial" w:cs="Arial" w:eastAsia="Arial" w:hAnsi="Arial"/>
          <w:sz w:val="16"/>
          <w:szCs w:val="16"/>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w:t>
      </w:r>
    </w:p>
    <w:p>
      <w:pPr>
        <w:spacing w:after="0" w:line="2" w:lineRule="exact"/>
        <w:rPr>
          <w:sz w:val="20"/>
          <w:szCs w:val="20"/>
          <w:color w:val="auto"/>
        </w:rPr>
      </w:pPr>
    </w:p>
    <w:p>
      <w:pPr>
        <w:jc w:val="both"/>
        <w:ind w:firstLine="8"/>
        <w:spacing w:after="0" w:line="255" w:lineRule="auto"/>
        <w:tabs>
          <w:tab w:leader="none" w:pos="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September 30, 2018, credit risk exposure to these counterparties attributable to the Company's ownership interests was approximately $2.5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w:t>
      </w:r>
      <w:r>
        <w:rPr>
          <w:rFonts w:ascii="Arial" w:cs="Arial" w:eastAsia="Arial" w:hAnsi="Arial"/>
          <w:sz w:val="18"/>
          <w:szCs w:val="18"/>
          <w:color w:val="231F20"/>
        </w:rPr>
        <w:t xml:space="preserve">to the </w:t>
      </w:r>
      <w:r>
        <w:rPr>
          <w:rFonts w:ascii="Arial" w:cs="Arial" w:eastAsia="Arial" w:hAnsi="Arial"/>
          <w:sz w:val="18"/>
          <w:szCs w:val="18"/>
          <w:color w:val="000000"/>
        </w:rPr>
        <w:t>consolidated financial statements included in the Company's 2017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2018, the Company had energy-related derivative instruments extending through 2020. At September 30, 2018,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September 30, 2018, the Company had interest rate derivative instruments on non-recourse debt extending through 2041, a portion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7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7"/>
              </w:rPr>
              <w:t>September 30, 2018</w:t>
            </w: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2017</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1,909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8"/>
                <w:szCs w:val="8"/>
                <w:b w:val="1"/>
                <w:bCs w:val="1"/>
                <w:color w:val="auto"/>
              </w:rPr>
              <w:t>(a)</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Total Derivatives Not Designated as Cash Flow Hedges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right="20" w:hanging="252"/>
        <w:spacing w:after="0" w:line="273" w:lineRule="auto"/>
        <w:tabs>
          <w:tab w:leader="none" w:pos="179" w:val="left"/>
        </w:tabs>
        <w:numPr>
          <w:ilvl w:val="0"/>
          <w:numId w:val="16"/>
        </w:numPr>
        <w:rPr>
          <w:rFonts w:ascii="Arial" w:cs="Arial" w:eastAsia="Arial" w:hAnsi="Arial"/>
          <w:sz w:val="9"/>
          <w:szCs w:val="9"/>
          <w:color w:val="auto"/>
        </w:rPr>
      </w:pPr>
      <w:r>
        <w:rPr>
          <w:rFonts w:ascii="Arial" w:cs="Arial" w:eastAsia="Arial" w:hAnsi="Arial"/>
          <w:sz w:val="14"/>
          <w:szCs w:val="14"/>
          <w:color w:val="auto"/>
        </w:rPr>
        <w:t>Derivative Assets balances classified as current are included within the prepayments and other current assets line item of the consolidated balance sheets as of September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88" w:right="239" w:bottom="1440" w:gutter="0" w:footer="0" w:header="0"/>
        </w:sectPr>
      </w:pPr>
    </w:p>
    <w:bookmarkStart w:id="25" w:name="page26"/>
    <w:bookmarkEnd w:id="25"/>
    <w:p>
      <w:pPr>
        <w:jc w:val="both"/>
        <w:ind w:firstLine="405"/>
        <w:spacing w:after="0" w:line="312"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September 30, 2018 and December 31, 2017, there was no outstanding collateral paid or received. The following tables summarize the offsetting of derivatives by the counterparty master agreement level as of September 30, 2018 and 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
              <w:spacing w:after="0" w:line="269" w:lineRule="exact"/>
              <w:rPr>
                <w:sz w:val="20"/>
                <w:szCs w:val="20"/>
                <w:color w:val="auto"/>
              </w:rPr>
            </w:pPr>
            <w:r>
              <w:rPr>
                <w:rFonts w:ascii="Arial" w:cs="Arial" w:eastAsia="Arial" w:hAnsi="Arial"/>
                <w:sz w:val="18"/>
                <w:szCs w:val="18"/>
                <w:b w:val="1"/>
                <w:bCs w:val="1"/>
                <w:color w:val="auto"/>
              </w:rPr>
              <w:t>Commodity contracts</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51"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8"/>
          <w:szCs w:val="8"/>
          <w:color w:val="auto"/>
        </w:rPr>
      </w:pPr>
      <w:r>
        <w:rPr>
          <w:rFonts w:ascii="Arial" w:cs="Arial" w:eastAsia="Arial" w:hAnsi="Arial"/>
          <w:sz w:val="12"/>
          <w:szCs w:val="12"/>
          <w:color w:val="auto"/>
        </w:rPr>
        <w:t>There were no commodity contracts classified as derivative assets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contracts: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liabilities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commodity contracts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contracts: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21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Derivative Instruments</w:t>
            </w: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-359410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480" w:space="240"/>
            <w:col w:w="570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8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8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9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6060" w:type="dxa"/>
            <w:vAlign w:val="bottom"/>
          </w:tcPr>
          <w:p>
            <w:pPr>
              <w:ind w:left="40"/>
              <w:spacing w:after="0"/>
              <w:rPr>
                <w:sz w:val="20"/>
                <w:szCs w:val="20"/>
                <w:color w:val="auto"/>
              </w:rPr>
            </w:pPr>
            <w:r>
              <w:rPr>
                <w:rFonts w:ascii="Arial" w:cs="Arial" w:eastAsia="Arial" w:hAnsi="Arial"/>
                <w:sz w:val="18"/>
                <w:szCs w:val="18"/>
                <w:color w:val="auto"/>
              </w:rPr>
              <w:t>Accumulated OCL ending balance, net of income tax benefit of $5 and $16,</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respectively</w:t>
            </w: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Clearway Energy, Inc.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Losses expected to be realized from OCL during the next 12 months, net of</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of $1</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September 30, 2018 and 2017, the impact to the consolidated statements of operations was a gain of $9 million and a gain of $7 million, respectively. For the nine months ended September 30, 2018 and 2017, the impact to the consolidated statements of operations was a gain of $40 million and a loss of $2 million, respectively.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5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2017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December 31,</w:t>
            </w:r>
          </w:p>
        </w:tc>
        <w:tc>
          <w:tcPr>
            <w:tcW w:w="21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September 30, 2018, interest</w:t>
            </w:r>
          </w:p>
        </w:tc>
        <w:tc>
          <w:tcPr>
            <w:tcW w:w="180" w:type="dxa"/>
            <w:vAlign w:val="bottom"/>
          </w:tcPr>
          <w:p>
            <w:pPr>
              <w:spacing w:after="0"/>
              <w:rPr>
                <w:sz w:val="14"/>
                <w:szCs w:val="14"/>
                <w:color w:val="auto"/>
              </w:rPr>
            </w:pPr>
          </w:p>
        </w:tc>
        <w:tc>
          <w:tcPr>
            <w:tcW w:w="11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Outstanding at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21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8"/>
                <w:szCs w:val="8"/>
                <w:b w:val="1"/>
                <w:bCs w:val="1"/>
                <w:color w:val="auto"/>
              </w:rPr>
              <w:t>(a)</w:t>
            </w:r>
          </w:p>
        </w:tc>
        <w:tc>
          <w:tcPr>
            <w:tcW w:w="136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80" w:type="dxa"/>
            <w:vAlign w:val="bottom"/>
            <w:gridSpan w:val="2"/>
          </w:tcPr>
          <w:p>
            <w:pPr>
              <w:jc w:val="right"/>
              <w:ind w:right="756"/>
              <w:spacing w:after="0"/>
              <w:rPr>
                <w:sz w:val="20"/>
                <w:szCs w:val="20"/>
                <w:color w:val="auto"/>
              </w:rPr>
            </w:pPr>
            <w:r>
              <w:rPr>
                <w:rFonts w:ascii="Arial" w:cs="Arial" w:eastAsia="Arial" w:hAnsi="Arial"/>
                <w:sz w:val="14"/>
                <w:szCs w:val="14"/>
                <w:b w:val="1"/>
                <w:bCs w:val="1"/>
                <w:color w:val="auto"/>
              </w:rPr>
              <w:t>(In millions, except rates)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2019 Convertible Notes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2020 Convertible Notes</w:t>
            </w:r>
          </w:p>
        </w:tc>
        <w:tc>
          <w:tcPr>
            <w:tcW w:w="1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288</w:t>
            </w:r>
          </w:p>
        </w:tc>
        <w:tc>
          <w:tcPr>
            <w:tcW w:w="2120" w:type="dxa"/>
            <w:vAlign w:val="bottom"/>
          </w:tcPr>
          <w:p>
            <w:pPr>
              <w:jc w:val="right"/>
              <w:spacing w:after="0"/>
              <w:rPr>
                <w:sz w:val="20"/>
                <w:szCs w:val="20"/>
                <w:color w:val="auto"/>
              </w:rPr>
            </w:pPr>
            <w:r>
              <w:rPr>
                <w:rFonts w:ascii="Arial" w:cs="Arial" w:eastAsia="Arial" w:hAnsi="Arial"/>
                <w:sz w:val="17"/>
                <w:szCs w:val="17"/>
                <w:color w:val="auto"/>
              </w:rPr>
              <w:t>3.250</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2026 Senior Notes</w:t>
            </w:r>
          </w:p>
        </w:tc>
        <w:tc>
          <w:tcPr>
            <w:tcW w:w="1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350</w:t>
            </w:r>
          </w:p>
        </w:tc>
        <w:tc>
          <w:tcPr>
            <w:tcW w:w="2120" w:type="dxa"/>
            <w:vAlign w:val="bottom"/>
          </w:tcPr>
          <w:p>
            <w:pPr>
              <w:jc w:val="right"/>
              <w:spacing w:after="0"/>
              <w:rPr>
                <w:sz w:val="20"/>
                <w:szCs w:val="20"/>
                <w:color w:val="auto"/>
              </w:rPr>
            </w:pPr>
            <w:r>
              <w:rPr>
                <w:rFonts w:ascii="Arial" w:cs="Arial" w:eastAsia="Arial" w:hAnsi="Arial"/>
                <w:sz w:val="17"/>
                <w:szCs w:val="17"/>
                <w:color w:val="auto"/>
              </w:rPr>
              <w:t>5.000</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Clearway Energy LLC and Clearway Energy Operating LLC</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920" w:type="dxa"/>
            <w:vAlign w:val="bottom"/>
            <w:gridSpan w:val="2"/>
            <w:shd w:val="clear" w:color="auto" w:fill="CCEEFF"/>
          </w:tcPr>
          <w:p>
            <w:pPr>
              <w:ind w:left="40"/>
              <w:spacing w:after="0" w:line="247" w:lineRule="exact"/>
              <w:rPr>
                <w:sz w:val="20"/>
                <w:szCs w:val="20"/>
                <w:color w:val="auto"/>
              </w:rPr>
            </w:pPr>
            <w:r>
              <w:rPr>
                <w:rFonts w:ascii="Arial" w:cs="Arial" w:eastAsia="Arial" w:hAnsi="Arial"/>
                <w:sz w:val="17"/>
                <w:szCs w:val="17"/>
                <w:color w:val="auto"/>
              </w:rPr>
              <w:t xml:space="preserve">Revolving Credit Facility, due 2023 </w:t>
            </w:r>
            <w:r>
              <w:rPr>
                <w:rFonts w:ascii="Arial" w:cs="Arial" w:eastAsia="Arial" w:hAnsi="Arial"/>
                <w:sz w:val="28"/>
                <w:szCs w:val="28"/>
                <w:color w:val="auto"/>
                <w:vertAlign w:val="superscript"/>
              </w:rPr>
              <w:t>(b)</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55</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L+1.50</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b w:val="1"/>
                <w:bCs w:val="1"/>
                <w:color w:val="auto"/>
              </w:rPr>
              <w:t>Project-level debt:</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Agua Caliente Borrower 2, due 2038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Alpine, due 2022</w:t>
            </w:r>
          </w:p>
        </w:tc>
        <w:tc>
          <w:tcPr>
            <w:tcW w:w="1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135</w:t>
            </w:r>
          </w:p>
        </w:tc>
        <w:tc>
          <w:tcPr>
            <w:tcW w:w="2120" w:type="dxa"/>
            <w:vAlign w:val="bottom"/>
          </w:tcPr>
          <w:p>
            <w:pPr>
              <w:jc w:val="right"/>
              <w:spacing w:after="0"/>
              <w:rPr>
                <w:sz w:val="20"/>
                <w:szCs w:val="20"/>
                <w:color w:val="auto"/>
              </w:rPr>
            </w:pPr>
            <w:r>
              <w:rPr>
                <w:rFonts w:ascii="Arial" w:cs="Arial" w:eastAsia="Arial" w:hAnsi="Arial"/>
                <w:sz w:val="17"/>
                <w:szCs w:val="17"/>
                <w:color w:val="auto"/>
              </w:rPr>
              <w:t>L+1.750</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w w:val="98"/>
              </w:rPr>
              <w:t>Alta Wind I - V lease financing arrangements, due 2034 and 2035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926</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5.696 - 7.015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Buckthorn Solar, due 2025</w:t>
            </w:r>
          </w:p>
        </w:tc>
        <w:tc>
          <w:tcPr>
            <w:tcW w:w="1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169</w:t>
            </w:r>
          </w:p>
        </w:tc>
        <w:tc>
          <w:tcPr>
            <w:tcW w:w="2120" w:type="dxa"/>
            <w:vAlign w:val="bottom"/>
          </w:tcPr>
          <w:p>
            <w:pPr>
              <w:jc w:val="right"/>
              <w:spacing w:after="0"/>
              <w:rPr>
                <w:sz w:val="20"/>
                <w:szCs w:val="20"/>
                <w:color w:val="auto"/>
              </w:rPr>
            </w:pPr>
            <w:r>
              <w:rPr>
                <w:rFonts w:ascii="Arial" w:cs="Arial" w:eastAsia="Arial" w:hAnsi="Arial"/>
                <w:sz w:val="17"/>
                <w:szCs w:val="17"/>
                <w:color w:val="auto"/>
              </w:rPr>
              <w:t>L+1.750</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CVSR, due 2037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746</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2.339 - 3.775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CVSR Holdco Notes, due 2037</w:t>
            </w:r>
          </w:p>
        </w:tc>
        <w:tc>
          <w:tcPr>
            <w:tcW w:w="1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194</w:t>
            </w:r>
          </w:p>
        </w:tc>
        <w:tc>
          <w:tcPr>
            <w:tcW w:w="2120" w:type="dxa"/>
            <w:vAlign w:val="bottom"/>
          </w:tcPr>
          <w:p>
            <w:pPr>
              <w:jc w:val="right"/>
              <w:spacing w:after="0"/>
              <w:rPr>
                <w:sz w:val="20"/>
                <w:szCs w:val="20"/>
                <w:color w:val="auto"/>
              </w:rPr>
            </w:pPr>
            <w:r>
              <w:rPr>
                <w:rFonts w:ascii="Arial" w:cs="Arial" w:eastAsia="Arial" w:hAnsi="Arial"/>
                <w:sz w:val="17"/>
                <w:szCs w:val="17"/>
                <w:color w:val="auto"/>
              </w:rPr>
              <w:t>4.680</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El Segundo Energy Center, due 2023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L+1.75 - L+2.375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Energy Center Minneapolis Series C Notes, due 2025</w:t>
            </w: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83</w:t>
            </w:r>
          </w:p>
        </w:tc>
        <w:tc>
          <w:tcPr>
            <w:tcW w:w="2120" w:type="dxa"/>
            <w:vAlign w:val="bottom"/>
          </w:tcPr>
          <w:p>
            <w:pPr>
              <w:jc w:val="right"/>
              <w:spacing w:after="0"/>
              <w:rPr>
                <w:sz w:val="20"/>
                <w:szCs w:val="20"/>
                <w:color w:val="auto"/>
              </w:rPr>
            </w:pPr>
            <w:r>
              <w:rPr>
                <w:rFonts w:ascii="Arial" w:cs="Arial" w:eastAsia="Arial" w:hAnsi="Arial"/>
                <w:sz w:val="17"/>
                <w:szCs w:val="17"/>
                <w:color w:val="auto"/>
              </w:rPr>
              <w:t>5.950</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Energy Center Minneapolis Series E, F, G, H Notes</w:t>
            </w:r>
          </w:p>
        </w:tc>
        <w:tc>
          <w:tcPr>
            <w:tcW w:w="12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7"/>
                <w:szCs w:val="17"/>
                <w:color w:val="auto"/>
              </w:rPr>
              <w:t>various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Laredo Ridge, due 2028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L+1.875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Marsh Landing, due 2023</w:t>
            </w:r>
          </w:p>
        </w:tc>
        <w:tc>
          <w:tcPr>
            <w:tcW w:w="1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318</w:t>
            </w:r>
          </w:p>
        </w:tc>
        <w:tc>
          <w:tcPr>
            <w:tcW w:w="2120" w:type="dxa"/>
            <w:vAlign w:val="bottom"/>
          </w:tcPr>
          <w:p>
            <w:pPr>
              <w:jc w:val="right"/>
              <w:spacing w:after="0"/>
              <w:rPr>
                <w:sz w:val="20"/>
                <w:szCs w:val="20"/>
                <w:color w:val="auto"/>
              </w:rPr>
            </w:pPr>
            <w:r>
              <w:rPr>
                <w:rFonts w:ascii="Arial" w:cs="Arial" w:eastAsia="Arial" w:hAnsi="Arial"/>
                <w:sz w:val="17"/>
                <w:szCs w:val="17"/>
                <w:color w:val="auto"/>
              </w:rPr>
              <w:t>L+2.125</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Tapestry, due 2021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162</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L+1.625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Utah Solar Portfolio, due 2022</w:t>
            </w:r>
          </w:p>
        </w:tc>
        <w:tc>
          <w:tcPr>
            <w:tcW w:w="1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278</w:t>
            </w:r>
          </w:p>
        </w:tc>
        <w:tc>
          <w:tcPr>
            <w:tcW w:w="2120" w:type="dxa"/>
            <w:vAlign w:val="bottom"/>
          </w:tcPr>
          <w:p>
            <w:pPr>
              <w:jc w:val="right"/>
              <w:spacing w:after="0"/>
              <w:rPr>
                <w:sz w:val="20"/>
                <w:szCs w:val="20"/>
                <w:color w:val="auto"/>
              </w:rPr>
            </w:pPr>
            <w:r>
              <w:rPr>
                <w:rFonts w:ascii="Arial" w:cs="Arial" w:eastAsia="Arial" w:hAnsi="Arial"/>
                <w:sz w:val="17"/>
                <w:szCs w:val="17"/>
                <w:color w:val="auto"/>
              </w:rPr>
              <w:t>various</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Viento, due 2023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163</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L+3.00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Walnut Creek, due 2023</w:t>
            </w:r>
          </w:p>
        </w:tc>
        <w:tc>
          <w:tcPr>
            <w:tcW w:w="1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267</w:t>
            </w:r>
          </w:p>
        </w:tc>
        <w:tc>
          <w:tcPr>
            <w:tcW w:w="2120" w:type="dxa"/>
            <w:vAlign w:val="bottom"/>
          </w:tcPr>
          <w:p>
            <w:pPr>
              <w:jc w:val="right"/>
              <w:spacing w:after="0"/>
              <w:rPr>
                <w:sz w:val="20"/>
                <w:szCs w:val="20"/>
                <w:color w:val="auto"/>
              </w:rPr>
            </w:pPr>
            <w:r>
              <w:rPr>
                <w:rFonts w:ascii="Arial" w:cs="Arial" w:eastAsia="Arial" w:hAnsi="Arial"/>
                <w:sz w:val="17"/>
                <w:szCs w:val="17"/>
                <w:color w:val="auto"/>
              </w:rPr>
              <w:t>L+1.625</w:t>
            </w: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443</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various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9"/>
        </w:trPr>
        <w:tc>
          <w:tcPr>
            <w:tcW w:w="4920" w:type="dxa"/>
            <w:vAlign w:val="bottom"/>
            <w:gridSpan w:val="2"/>
          </w:tcPr>
          <w:p>
            <w:pPr>
              <w:ind w:left="180"/>
              <w:spacing w:after="0"/>
              <w:rPr>
                <w:sz w:val="20"/>
                <w:szCs w:val="20"/>
                <w:color w:val="auto"/>
              </w:rPr>
            </w:pPr>
            <w:r>
              <w:rPr>
                <w:rFonts w:ascii="Arial" w:cs="Arial" w:eastAsia="Arial" w:hAnsi="Arial"/>
                <w:sz w:val="17"/>
                <w:szCs w:val="17"/>
                <w:color w:val="auto"/>
              </w:rPr>
              <w:t>Subtotal project-level debt:</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4,403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4,545</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debt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6,083</w:t>
            </w:r>
          </w:p>
        </w:tc>
        <w:tc>
          <w:tcPr>
            <w:tcW w:w="2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gridSpan w:val="2"/>
          </w:tcPr>
          <w:p>
            <w:pPr>
              <w:ind w:left="120"/>
              <w:spacing w:after="0" w:line="270" w:lineRule="exact"/>
              <w:rPr>
                <w:sz w:val="20"/>
                <w:szCs w:val="20"/>
                <w:color w:val="auto"/>
              </w:rPr>
            </w:pPr>
            <w:r>
              <w:rPr>
                <w:rFonts w:ascii="Arial" w:cs="Arial" w:eastAsia="Arial" w:hAnsi="Arial"/>
                <w:sz w:val="17"/>
                <w:szCs w:val="17"/>
                <w:color w:val="auto"/>
              </w:rPr>
              <w:t xml:space="preserve">Less current maturities </w:t>
            </w:r>
            <w:r>
              <w:rPr>
                <w:rFonts w:ascii="Arial" w:cs="Arial" w:eastAsia="Arial" w:hAnsi="Arial"/>
                <w:sz w:val="28"/>
                <w:szCs w:val="28"/>
                <w:color w:val="auto"/>
                <w:vertAlign w:val="superscript"/>
              </w:rPr>
              <w:t>(c)</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(339)</w:t>
            </w:r>
          </w:p>
        </w:tc>
        <w:tc>
          <w:tcPr>
            <w:tcW w:w="2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Less net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gridSpan w:val="2"/>
          </w:tcPr>
          <w:p>
            <w:pPr>
              <w:ind w:left="180"/>
              <w:spacing w:after="0" w:line="270" w:lineRule="exact"/>
              <w:rPr>
                <w:sz w:val="20"/>
                <w:szCs w:val="20"/>
                <w:color w:val="auto"/>
              </w:rPr>
            </w:pPr>
            <w:r>
              <w:rPr>
                <w:rFonts w:ascii="Arial" w:cs="Arial" w:eastAsia="Arial" w:hAnsi="Arial"/>
                <w:sz w:val="17"/>
                <w:szCs w:val="17"/>
                <w:color w:val="auto"/>
              </w:rPr>
              <w:t xml:space="preserve">Less discounts </w:t>
            </w:r>
            <w:r>
              <w:rPr>
                <w:rFonts w:ascii="Arial" w:cs="Arial" w:eastAsia="Arial" w:hAnsi="Arial"/>
                <w:sz w:val="28"/>
                <w:szCs w:val="28"/>
                <w:color w:val="auto"/>
                <w:vertAlign w:val="superscript"/>
              </w:rPr>
              <w:t>(d)</w:t>
            </w: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5,659</w:t>
            </w:r>
          </w:p>
        </w:tc>
        <w:tc>
          <w:tcPr>
            <w:tcW w:w="2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80" w:right="20" w:hanging="72"/>
        <w:spacing w:after="0" w:line="246" w:lineRule="auto"/>
        <w:tabs>
          <w:tab w:leader="none" w:pos="146"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As of September 30, 2018, L+ equals 3 month LIBOR plus x%, except for Viento, due 2023 where L+ equals 6 month LIBOR plus 3.00% and Utah Solar Portfolio, where L+ equals 1 month LIBOR plus x%.</w:t>
      </w:r>
    </w:p>
    <w:p>
      <w:pPr>
        <w:spacing w:after="0" w:line="19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18"/>
        </w:numPr>
        <w:rPr>
          <w:rFonts w:ascii="Arial" w:cs="Arial" w:eastAsia="Arial" w:hAnsi="Arial"/>
          <w:sz w:val="9"/>
          <w:szCs w:val="9"/>
          <w:color w:val="auto"/>
        </w:rPr>
      </w:pPr>
      <w:r>
        <w:rPr>
          <w:rFonts w:ascii="Arial" w:cs="Arial" w:eastAsia="Arial" w:hAnsi="Arial"/>
          <w:sz w:val="16"/>
          <w:szCs w:val="16"/>
          <w:color w:val="auto"/>
        </w:rPr>
        <w:t>Applicable rate is determined by the borrower leverage ratio, as defined in the credit agreement.</w:t>
      </w:r>
    </w:p>
    <w:p>
      <w:pPr>
        <w:ind w:left="160" w:hanging="152"/>
        <w:spacing w:after="0" w:line="207" w:lineRule="auto"/>
        <w:tabs>
          <w:tab w:leader="none" w:pos="16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Current maturities reflect the results of the 2019 Convertible Notes and 2020 Convertible Notes tender offer, as further described below.</w:t>
      </w:r>
    </w:p>
    <w:p>
      <w:pPr>
        <w:ind w:left="160" w:hanging="152"/>
        <w:spacing w:after="0" w:line="223"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Discounts relate to the 2019 Convertible Notes and 2020 Convertible Notes.</w:t>
      </w:r>
    </w:p>
    <w:p>
      <w:pPr>
        <w:spacing w:after="0" w:line="140"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2018, the Company was in compliance with all of the required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nine months ended September 30,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88" w:right="2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2018</w:t>
      </w:r>
      <w:r>
        <w:rPr>
          <w:rFonts w:ascii="Arial" w:cs="Arial" w:eastAsia="Arial" w:hAnsi="Arial"/>
          <w:sz w:val="18"/>
          <w:szCs w:val="18"/>
          <w:color w:val="231F20"/>
        </w:rPr>
        <w:t>, there were no outstanding borrowings under the revolving credit facility and the Company had $70 million of letters of credit outstanding. On October 9, 2018, the Company terminated certain letters of credit relating to certain project PPAs in exchange for a one-time payment, which reduced the outstanding letters of credit under the revolving credit facility to $45 million as of October 31, 2018.</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from L+2.50% to L+1.75%. The applicable rate is determined by the borrower leverage ratio, as defined in the credit agreement, and was L+1.50% as of September 30, 2018. The facility will continue to be used for general corporate purposes including financing of future acquisitions and posting letters of credit.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Bridge Credit Agreement</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August 31, 2018, the Company entered into a senior unsecured 364-day bridge credit agreement, or the Bridge Credit Agreement, which provides total borrowings of up to a maximum amount of $1.5 billion at a rate per annum equal to LIBOR or a base rate plus an applicable margin equal to 3.00% in the case of LIBOR loans and 2.00% in the case of base rate loans, in each case subject to an additional 0.25% on the 90th day following the effective date of the Bridge Credit Agreement, 0.25% on the 180th day following such effective date and 0.50% on each 90th day thereafter while any loans remain outstanding. The obligation of the lenders to fund loans under the Bridge Credit Agreement will expire on the date that is 110 days after the effective date of the Bridge Credit Agreement. Loans under the Bridge Credit Agreement will mature 364 days after the effective date of the agreement, provided that Clearway Energy Operating LLC may elect in its sole discretion to extend the maturity as provided for in the Bridge Credit Agreement. Borrowings under the Bridge Credit Agreement are guaranteed by Clearway Energy LLC and certain subsidiaries of Clearway Energy Operating LLC. As of September 30, 2018, there were no borrowings under the Bridge Credit Agreement.</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2018, the Company reduced the lenders' commitments under the bridge agreement from $1.5 billion to $867.5 million following the offering of the 2025 Senior Notes and the convertible notes tender offer results, each described below. On October 31, 2018, the Company terminated the Bridge Credit Agreement.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1, 2018, Clearway Energy Operating LLC issued $600 million of senior unsecured notes, or the 2025 Senior Notes. The 2025 Senior Notes bear interest at 5.750% and mature on October 15, 2025. Interest on the 2025 Senior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2019 Convertible Notes Open Market Repurchases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2018, the Company repurchased an aggregate principal amount of $16 million of the 2019 Convertible Notes in open market transactions. The repurchases were funded through a partial repayment of the intercompany note between Clearway Energy Operating LLC and Clearway Energy, Inc., which was reduced by $16 million.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2019 Convertible Notes and 2020 Convertible Notes Tender Offer</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September 10, 2018, pursuant to the 2019 Convertible Notes and the 2020 Convertible Notes indentures, the Company delivered to the holders of the 2019 Convertible Notes and the 2020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$220 million aggregate principal amount of the 2019 Convertible Notes remain outstanding and $45 million aggregate principal amount of the 2020 Convertible Notes remain outstanding.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Center Minneapolis Series E, F, G, H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19, 2018, Energy Center Minneapolis LLC, a subsidiary of the Company, entered into an amended and restated Thermal note purchase and private shelf agreement under which it authorized the issuance of the Series E Notes, Series F Notes, Series G Notes, and Series H Notes, as further described in the table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6"/>
                <w:szCs w:val="16"/>
                <w:b w:val="1"/>
                <w:bCs w:val="1"/>
                <w:color w:val="auto"/>
              </w:rPr>
              <w:t>(in millions)</w:t>
            </w:r>
          </w:p>
        </w:tc>
        <w:tc>
          <w:tcPr>
            <w:tcW w:w="230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Amount</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59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Series E Notes, due 2033</w:t>
            </w:r>
          </w:p>
        </w:tc>
        <w:tc>
          <w:tcPr>
            <w:tcW w:w="2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Energy Center Minneapolis Series F Notes, due 2033</w:t>
            </w:r>
          </w:p>
        </w:tc>
        <w:tc>
          <w:tcPr>
            <w:tcW w:w="2300" w:type="dxa"/>
            <w:vAlign w:val="bottom"/>
          </w:tcPr>
          <w:p>
            <w:pPr>
              <w:spacing w:after="0"/>
              <w:rPr>
                <w:sz w:val="21"/>
                <w:szCs w:val="21"/>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7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59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Series G Notes, due 2035</w:t>
            </w:r>
          </w:p>
        </w:tc>
        <w:tc>
          <w:tcPr>
            <w:tcW w:w="2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Energy Center Minneapolis Series H Notes, due 2037</w:t>
            </w:r>
          </w:p>
        </w:tc>
        <w:tc>
          <w:tcPr>
            <w:tcW w:w="2300" w:type="dxa"/>
            <w:vAlign w:val="bottom"/>
          </w:tcPr>
          <w:p>
            <w:pPr>
              <w:spacing w:after="0"/>
              <w:rPr>
                <w:sz w:val="21"/>
                <w:szCs w:val="21"/>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40</w:t>
            </w:r>
          </w:p>
        </w:tc>
        <w:tc>
          <w:tcPr>
            <w:tcW w:w="1700" w:type="dxa"/>
            <w:vAlign w:val="bottom"/>
          </w:tcPr>
          <w:p>
            <w:pPr>
              <w:jc w:val="right"/>
              <w:spacing w:after="0"/>
              <w:rPr>
                <w:sz w:val="20"/>
                <w:szCs w:val="20"/>
                <w:color w:val="auto"/>
              </w:rPr>
            </w:pPr>
            <w:r>
              <w:rPr>
                <w:rFonts w:ascii="Arial" w:cs="Arial" w:eastAsia="Arial" w:hAnsi="Arial"/>
                <w:sz w:val="18"/>
                <w:szCs w:val="18"/>
                <w:color w:val="auto"/>
              </w:rPr>
              <w:t>4.83%</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proceeds</w:t>
            </w: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9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Repayment of Energy Center Minneapolis Series C Notes, due 2025</w:t>
            </w: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90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79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borrowings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w:t>
            </w: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7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proceeds from the sale of the Series E Notes and the Series F Notes were utilized to finance the acquisition of the UPMC Thermal Project 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Series G Notes were used to refinance the Series C Notes as noted above in the table. The Series H Notes were used to make a dividend to Clearway Energy Operating LLC.</w:t>
      </w:r>
    </w:p>
    <w:p>
      <w:pPr>
        <w:spacing w:after="0" w:line="12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amended and restated Thermal note purchase and private shelf agreement also established a private shelf facility for the future issuance of notes in the amount of $40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Buckthorn Solar Drop Down Asset Debt</w:t>
      </w:r>
    </w:p>
    <w:p>
      <w:pPr>
        <w:spacing w:after="0" w:line="17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 xml:space="preserve">As part of the Buckthorn Solar Drop Down Asset acquisition, as further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the Company assumed non-recourse debt of $183 million relating to Buckthorn Solar Portfolio, LLC as of the date of the acquisition, March 30, 2018. The assumed debt consisted of a construction loan and an Investment Tax Credits, or ITC, bridge loan, both at an interest rate of LIBOR plus 1.75%. On May 31, 2018, $132 million of non-recourse debt was converted to a term loan with an expected maturity of May 2025, and the remainder of the non-recourse debt was repaid with the final contribution from the Class A member in the amount of $80 million upon the project reaching substantial completion in May 2018.</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Clearway Energy, Inc.'s basic and diluted earnings per share is shown in the following tables: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8"/>
                <w:szCs w:val="8"/>
                <w:b w:val="1"/>
                <w:bCs w:val="1"/>
                <w:color w:val="auto"/>
              </w:rPr>
              <w:t>(a)</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Common Class C</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5"/>
        </w:trPr>
        <w:tc>
          <w:tcPr>
            <w:tcW w:w="6520" w:type="dxa"/>
            <w:vAlign w:val="bottom"/>
            <w:gridSpan w:val="3"/>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Basic earnings per share attributable to Clearway Energy, Inc. common</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Clearway Energy,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Weighted average number of common shares outstanding — basic</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97"/>
        </w:trPr>
        <w:tc>
          <w:tcPr>
            <w:tcW w:w="40" w:type="dxa"/>
            <w:vAlign w:val="bottom"/>
            <w:tcBorders>
              <w:bottom w:val="single" w:sz="8" w:color="CCEEFF"/>
            </w:tcBorders>
          </w:tcPr>
          <w:p>
            <w:pPr>
              <w:spacing w:after="0"/>
              <w:rPr>
                <w:sz w:val="24"/>
                <w:szCs w:val="24"/>
                <w:color w:val="auto"/>
              </w:rPr>
            </w:pPr>
          </w:p>
        </w:tc>
        <w:tc>
          <w:tcPr>
            <w:tcW w:w="6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basic</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r>
      <w:tr>
        <w:trPr>
          <w:trHeight w:val="185"/>
        </w:trPr>
        <w:tc>
          <w:tcPr>
            <w:tcW w:w="6520" w:type="dxa"/>
            <w:vAlign w:val="bottom"/>
            <w:gridSpan w:val="3"/>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Diluted earnings per share attributable to Clearway Energy, Inc. common</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41"/>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Clearway Energy,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diluted</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0.29</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w:t>
            </w: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8"/>
                <w:szCs w:val="8"/>
                <w:b w:val="1"/>
                <w:bCs w:val="1"/>
                <w:color w:val="auto"/>
              </w:rPr>
              <w:t>(a)</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Common Class C</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5"/>
        </w:trPr>
        <w:tc>
          <w:tcPr>
            <w:tcW w:w="6520" w:type="dxa"/>
            <w:vAlign w:val="bottom"/>
            <w:gridSpan w:val="3"/>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Basic earnings per share attributable to Clearway Energy, Inc. common</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Clearway Energy,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97"/>
        </w:trPr>
        <w:tc>
          <w:tcPr>
            <w:tcW w:w="40" w:type="dxa"/>
            <w:vAlign w:val="bottom"/>
            <w:tcBorders>
              <w:bottom w:val="single" w:sz="8" w:color="CCEEFF"/>
            </w:tcBorders>
          </w:tcPr>
          <w:p>
            <w:pPr>
              <w:spacing w:after="0"/>
              <w:rPr>
                <w:sz w:val="24"/>
                <w:szCs w:val="24"/>
                <w:color w:val="auto"/>
              </w:rPr>
            </w:pPr>
          </w:p>
        </w:tc>
        <w:tc>
          <w:tcPr>
            <w:tcW w:w="6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basic</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0.56</w:t>
            </w:r>
          </w:p>
        </w:tc>
      </w:tr>
      <w:tr>
        <w:trPr>
          <w:trHeight w:val="185"/>
        </w:trPr>
        <w:tc>
          <w:tcPr>
            <w:tcW w:w="6520" w:type="dxa"/>
            <w:vAlign w:val="bottom"/>
            <w:gridSpan w:val="3"/>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Diluted earnings per share attributable to Clearway Energy, Inc. common</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41"/>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Clearway Energy,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diluted</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0.56</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72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3"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per share might not recalculate due to presenting values in millions rather than whole dollars.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outstanding equity instruments that are anti-dilutive and were not included in the computation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diluted earnings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5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22"/>
                <w:szCs w:val="22"/>
                <w:color w:val="auto"/>
              </w:rPr>
            </w:pPr>
          </w:p>
        </w:tc>
        <w:tc>
          <w:tcPr>
            <w:tcW w:w="12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1600" w:type="dxa"/>
            <w:vAlign w:val="bottom"/>
          </w:tcPr>
          <w:p>
            <w:pPr>
              <w:jc w:val="right"/>
              <w:ind w:right="699"/>
              <w:spacing w:after="0"/>
              <w:rPr>
                <w:sz w:val="20"/>
                <w:szCs w:val="20"/>
                <w:color w:val="auto"/>
              </w:rPr>
            </w:pPr>
            <w:r>
              <w:rPr>
                <w:rFonts w:ascii="Arial" w:cs="Arial" w:eastAsia="Arial" w:hAnsi="Arial"/>
                <w:sz w:val="14"/>
                <w:szCs w:val="14"/>
                <w:b w:val="1"/>
                <w:bCs w:val="1"/>
                <w:color w:val="auto"/>
              </w:rPr>
              <w:t>2018</w:t>
            </w: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960" w:type="dxa"/>
            <w:vAlign w:val="bottom"/>
            <w:tcBorders>
              <w:top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 millions of shares)</w:t>
            </w:r>
          </w:p>
        </w:tc>
        <w:tc>
          <w:tcPr>
            <w:tcW w:w="1200" w:type="dxa"/>
            <w:vAlign w:val="bottom"/>
            <w:tcBorders>
              <w:top w:val="single" w:sz="8" w:color="auto"/>
            </w:tcBorders>
          </w:tcPr>
          <w:p>
            <w:pPr>
              <w:spacing w:after="0"/>
              <w:rPr>
                <w:sz w:val="21"/>
                <w:szCs w:val="21"/>
                <w:color w:val="auto"/>
              </w:rPr>
            </w:pPr>
          </w:p>
        </w:tc>
      </w:tr>
      <w:tr>
        <w:trPr>
          <w:trHeight w:val="256"/>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Convertible Notes - Common Class A</w:t>
            </w:r>
          </w:p>
        </w:tc>
        <w:tc>
          <w:tcPr>
            <w:tcW w:w="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2020 Convertible Notes - Common Class C</w:t>
            </w:r>
          </w:p>
        </w:tc>
        <w:tc>
          <w:tcPr>
            <w:tcW w:w="700" w:type="dxa"/>
            <w:vAlign w:val="bottom"/>
          </w:tcPr>
          <w:p>
            <w:pPr>
              <w:ind w:left="12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0" w:type="dxa"/>
            <w:vAlign w:val="bottom"/>
          </w:tcPr>
          <w:p>
            <w:pPr>
              <w:ind w:left="10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w:t>
            </w:r>
          </w:p>
        </w:tc>
      </w:tr>
      <w:tr>
        <w:trPr>
          <w:trHeight w:val="702"/>
        </w:trPr>
        <w:tc>
          <w:tcPr>
            <w:tcW w:w="6560" w:type="dxa"/>
            <w:vAlign w:val="bottom"/>
            <w:gridSpan w:val="2"/>
          </w:tcPr>
          <w:p>
            <w:pPr>
              <w:jc w:val="right"/>
              <w:ind w:right="688"/>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Changes in Capital Structure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Offering</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September 27, 2018, Clearway Energy, Inc. issued and sold 3,916,449 shares of Class C common stock for net proceeds of $75 million. The Company utilized the proceeds of the offering to acquire 3,916,449 Class C units of Clearway Energy LLC and, as a result, the Company currently owns 55.7% of the economic interests of Clearway Energy LLC, with CEG retaining 44.3% of the economic interests of Clearway Energy LLC.</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Clearway Energy, Inc. is party to an equity distribution agreement with Barclays Capital Inc., Credit Suisse Securities (USA) LLC, J.P. Morgan Securities LLC and RBC Capital Markets, LLC, as sales agents. Pursuant to the terms of the equity distribution agreement, Clearway Energy, Inc. may offer and sell shares of its Class C common stock par value $0.01 per share, from time to time through the sales agents up to an aggregate sales price of $150 million through an at-the-market equity offering program, or the ATM Program. Clearway Energy, Inc. may also sell shares of its Class C common stock to any of the sales agents, as principals for its own account, at a price agreed upon at the time of sale.</w:t>
      </w:r>
    </w:p>
    <w:p>
      <w:pPr>
        <w:spacing w:after="0" w:line="11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sold a total of 4,392,583 shares of Class C common stock for gross proceeds of $77 million during the nine months ended September 30, 2018. The Company incurred commission fees of $762 thousand during the nine months ended September 30, 2018.</w:t>
      </w:r>
    </w:p>
    <w:p>
      <w:pPr>
        <w:spacing w:after="0" w:line="116" w:lineRule="exact"/>
        <w:rPr>
          <w:sz w:val="20"/>
          <w:szCs w:val="20"/>
          <w:color w:val="auto"/>
        </w:rPr>
      </w:pPr>
    </w:p>
    <w:p>
      <w:pPr>
        <w:ind w:right="1140" w:firstLine="405"/>
        <w:spacing w:after="0" w:line="438" w:lineRule="auto"/>
        <w:rPr>
          <w:sz w:val="20"/>
          <w:szCs w:val="20"/>
          <w:color w:val="auto"/>
        </w:rPr>
      </w:pPr>
      <w:r>
        <w:rPr>
          <w:rFonts w:ascii="Arial" w:cs="Arial" w:eastAsia="Arial" w:hAnsi="Arial"/>
          <w:sz w:val="18"/>
          <w:szCs w:val="18"/>
          <w:color w:val="auto"/>
        </w:rPr>
        <w:t xml:space="preserve">As of September 30, 2018, approximately $38 million of Class C common stock remains available for issuance under the ATM Program. </w:t>
      </w:r>
      <w:r>
        <w:rPr>
          <w:rFonts w:ascii="Arial" w:cs="Arial" w:eastAsia="Arial" w:hAnsi="Arial"/>
          <w:sz w:val="18"/>
          <w:szCs w:val="18"/>
          <w:b w:val="1"/>
          <w:bCs w:val="1"/>
          <w:i w:val="1"/>
          <w:iCs w:val="1"/>
          <w:color w:val="auto"/>
        </w:rPr>
        <w:t>Dividends to Class A and Class C common stockholders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29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Third Quarter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First Quarter</w:t>
            </w:r>
          </w:p>
        </w:tc>
      </w:tr>
      <w:tr>
        <w:trPr>
          <w:trHeight w:val="192"/>
        </w:trPr>
        <w:tc>
          <w:tcPr>
            <w:tcW w:w="6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0.298</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0.320</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0.309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0.298</w:t>
            </w:r>
          </w:p>
        </w:tc>
      </w:tr>
    </w:tbl>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31, 2018, the Company declared quarterly dividends on its Class A common stock and Class C common stock of $0.331 per share payable on December 17, 2018, to stockholders of record as of December 3, 2018.</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also has authorized 10 million shares of preferred stock, par value $0.01 per share. None of the shares of preferred stock have been issued.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22"/>
              <w:spacing w:after="0"/>
              <w:rPr>
                <w:sz w:val="20"/>
                <w:szCs w:val="20"/>
                <w:color w:val="auto"/>
              </w:rPr>
            </w:pPr>
            <w:r>
              <w:rPr>
                <w:rFonts w:ascii="Arial" w:cs="Arial" w:eastAsia="Arial" w:hAnsi="Arial"/>
                <w:sz w:val="14"/>
                <w:szCs w:val="14"/>
                <w:b w:val="1"/>
                <w:bCs w:val="1"/>
                <w:color w:val="auto"/>
              </w:rPr>
              <w:t>Three months ended September 30, 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Development costs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5,952</w:t>
            </w:r>
          </w:p>
        </w:tc>
        <w:tc>
          <w:tcPr>
            <w:tcW w:w="1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512</w:t>
            </w:r>
          </w:p>
        </w:tc>
        <w:tc>
          <w:tcPr>
            <w:tcW w:w="100" w:type="dxa"/>
            <w:vAlign w:val="bottom"/>
          </w:tcPr>
          <w:p>
            <w:pPr>
              <w:spacing w:after="0"/>
              <w:rPr>
                <w:sz w:val="18"/>
                <w:szCs w:val="18"/>
                <w:color w:val="auto"/>
              </w:rPr>
            </w:pPr>
          </w:p>
        </w:tc>
        <w:tc>
          <w:tcPr>
            <w:tcW w:w="7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594"/>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122"/>
              <w:spacing w:after="0"/>
              <w:rPr>
                <w:sz w:val="20"/>
                <w:szCs w:val="20"/>
                <w:color w:val="auto"/>
              </w:rPr>
            </w:pPr>
            <w:r>
              <w:rPr>
                <w:rFonts w:ascii="Arial" w:cs="Arial" w:eastAsia="Arial" w:hAnsi="Arial"/>
                <w:sz w:val="14"/>
                <w:szCs w:val="14"/>
                <w:b w:val="1"/>
                <w:bCs w:val="1"/>
                <w:color w:val="auto"/>
              </w:rPr>
              <w:t>Three months ended September 30, 2017</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11"/>
          </w:tcPr>
          <w:p>
            <w:pPr>
              <w:jc w:val="right"/>
              <w:ind w:right="740"/>
              <w:spacing w:after="0"/>
              <w:rPr>
                <w:sz w:val="20"/>
                <w:szCs w:val="20"/>
                <w:color w:val="auto"/>
              </w:rPr>
            </w:pPr>
            <w:r>
              <w:rPr>
                <w:rFonts w:ascii="Arial" w:cs="Arial" w:eastAsia="Arial" w:hAnsi="Arial"/>
                <w:sz w:val="14"/>
                <w:szCs w:val="14"/>
                <w:b w:val="1"/>
                <w:bCs w:val="1"/>
                <w:color w:val="auto"/>
                <w:w w:val="91"/>
              </w:rPr>
              <w:t>Nine months ended September 30, 2018</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88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5"/>
              </w:rPr>
              <w:t>Thermal</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251</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Development costs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1,811</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w w:val="99"/>
              </w:rPr>
              <w:t>5,952</w:t>
            </w:r>
          </w:p>
        </w:tc>
        <w:tc>
          <w:tcPr>
            <w:tcW w:w="12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512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8"/>
                <w:szCs w:val="18"/>
                <w:color w:val="auto"/>
              </w:rPr>
            </w:pPr>
          </w:p>
        </w:tc>
        <w:tc>
          <w:tcPr>
            <w:tcW w:w="40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jc w:val="right"/>
              <w:ind w:right="740"/>
              <w:spacing w:after="0"/>
              <w:rPr>
                <w:sz w:val="20"/>
                <w:szCs w:val="20"/>
                <w:color w:val="auto"/>
              </w:rPr>
            </w:pPr>
            <w:r>
              <w:rPr>
                <w:rFonts w:ascii="Arial" w:cs="Arial" w:eastAsia="Arial" w:hAnsi="Arial"/>
                <w:sz w:val="14"/>
                <w:szCs w:val="14"/>
                <w:b w:val="1"/>
                <w:bCs w:val="1"/>
                <w:color w:val="auto"/>
                <w:w w:val="91"/>
              </w:rPr>
              <w:t>Nine months ended September 30, 2017</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88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5"/>
              </w:rPr>
              <w:t>Thermal</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(78)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(93)</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Income Taxes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Effective Tax Rate</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00" w:type="dxa"/>
            <w:vAlign w:val="bottom"/>
          </w:tcPr>
          <w:p>
            <w:pPr>
              <w:ind w:left="420"/>
              <w:spacing w:after="0"/>
              <w:rPr>
                <w:sz w:val="20"/>
                <w:szCs w:val="20"/>
                <w:color w:val="auto"/>
              </w:rPr>
            </w:pPr>
            <w:r>
              <w:rPr>
                <w:rFonts w:ascii="Arial" w:cs="Arial" w:eastAsia="Arial" w:hAnsi="Arial"/>
                <w:sz w:val="18"/>
                <w:szCs w:val="18"/>
                <w:color w:val="auto"/>
              </w:rPr>
              <w:t>The income tax provision consisted of the following:</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Borders>
              <w:bottom w:val="single" w:sz="8" w:color="auto"/>
            </w:tcBorders>
            <w:gridSpan w:val="8"/>
          </w:tcPr>
          <w:p>
            <w:pPr>
              <w:jc w:val="right"/>
              <w:ind w:right="279"/>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319"/>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2018</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ind w:right="97"/>
              <w:spacing w:after="0"/>
              <w:rPr>
                <w:sz w:val="20"/>
                <w:szCs w:val="20"/>
                <w:color w:val="auto"/>
              </w:rPr>
            </w:pPr>
            <w:r>
              <w:rPr>
                <w:rFonts w:ascii="Arial" w:cs="Arial" w:eastAsia="Arial" w:hAnsi="Arial"/>
                <w:sz w:val="18"/>
                <w:szCs w:val="18"/>
                <w:color w:val="auto"/>
              </w:rPr>
              <w:t>60</w:t>
            </w:r>
          </w:p>
        </w:tc>
        <w:tc>
          <w:tcPr>
            <w:tcW w:w="52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99"/>
              <w:spacing w:after="0"/>
              <w:rPr>
                <w:sz w:val="20"/>
                <w:szCs w:val="20"/>
                <w:color w:val="auto"/>
              </w:rPr>
            </w:pPr>
            <w:r>
              <w:rPr>
                <w:rFonts w:ascii="Arial" w:cs="Arial" w:eastAsia="Arial" w:hAnsi="Arial"/>
                <w:sz w:val="18"/>
                <w:szCs w:val="18"/>
                <w:color w:val="auto"/>
              </w:rPr>
              <w:t>39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19"/>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and nine months ended September 30, 2018 and 2017, the overall effective tax rate was different than the statutory rate of 21% and 35%, respectively, primarily due to production and investment tax credits generated from certain wind and solar assets, respectively, and earnings allocated to NRG for the period ended August 31, 2018 and CEG for the period from September 1 through September 30, 2018 resulting from their interest in Clearway Energy LLC.</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4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CEG entities</w:t>
      </w:r>
    </w:p>
    <w:p>
      <w:pPr>
        <w:spacing w:after="0" w:line="171"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b w:val="1"/>
          <w:bCs w:val="1"/>
          <w:i w:val="1"/>
          <w:iCs w:val="1"/>
          <w:color w:val="auto"/>
        </w:rPr>
        <w:t>Administrative Services Agreements by and between the Company and Clearway Renewable Operation &amp; Maintenance LLC (formerly NRG Renew Operation &amp; Maintenance LLC)</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Clearway Renewable Operation &amp; Maintenance LLC (formerly NRG Renew Operation &amp; Maintenance LLC), or RENOM, a wholly-owned subsidiary of CEG, which provides Operation and Maintenance, O&amp;M, services to these subsidiaries. The Company incurred total expenses for these services of $7 million and $22 million for the three and nine months ended September 30, 2018, respectively. The Company incurred total expenses for these services of $5 million and $17 million for the three and nine months ended September 30, 2017, respectively. There was a balance of $5 million due to RENOM as of September 30, 2018 and December 31, 2017.</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266" w:lineRule="exact"/>
        <w:rPr>
          <w:sz w:val="20"/>
          <w:szCs w:val="20"/>
          <w:color w:val="auto"/>
        </w:rPr>
      </w:pPr>
    </w:p>
    <w:p>
      <w:pPr>
        <w:jc w:val="both"/>
        <w:ind w:firstLine="486"/>
        <w:spacing w:after="0" w:line="328" w:lineRule="auto"/>
        <w:rPr>
          <w:sz w:val="20"/>
          <w:szCs w:val="20"/>
          <w:color w:val="auto"/>
        </w:rPr>
      </w:pPr>
      <w:r>
        <w:rPr>
          <w:rFonts w:ascii="Arial" w:cs="Arial" w:eastAsia="Arial" w:hAnsi="Arial"/>
          <w:sz w:val="16"/>
          <w:szCs w:val="16"/>
          <w:color w:val="auto"/>
        </w:rPr>
        <w:t>Following the consummation of the NRG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and the Company began providing certain services to CEG, in exchange for the payment of fees in respect of such services.</w:t>
      </w:r>
    </w:p>
    <w:p>
      <w:pPr>
        <w:spacing w:after="0" w:line="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NRG entities prior to the NRG Transaction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Elbow Creek and Dover are parties to PPAs with NRG Power Marketing, a wholly-owned subsidiary of NRG, and generate revenue under the PPAs, which are recorded to operating revenues in the Company's consolidated statements of operations. For the two and eight months ended August 31, 2018, Elbow Creek and Dover, collectively, generated revenues of $2 million and $8 million, respectively. For the three and nine months ended September 30, 2017, Elbow Creek and Dover, collectively, generated revenue of $3 million and $10 million, respectively.</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Energy Center Dover LLC, Energy Center Minneapolis, Energy Center Phoenix LLC, and Energy Center Paxton LLC, or Thermal entities, which are subsidiaries of the Company, are parties to Energy Marketing Services Agreements with NRG Power Marketing. Under the agreements, NRG Power Marketing procures fuel and fuel transportation for the operation of the Thermal entities. For the two and eight months ended August 31, 2018, the Thermal entities purchased $1 million and $7 million, respectively, of natural gas from NRG Power Marketing. For the three and nine months ended September 30, 2017, the Thermal entities purchased $1 million and $7 million, respectively, of natural gas from NRG Power Marketing.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the Company's subsidiaries and NRG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of the Company's subsidiaries are party to O&amp;M Service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fees incurred under these agreements were $7 million and $27 million for the two and eight months ended August 31, 2018, respectively. The fees incurred under these agreements were $10 million and $29 million for the three and nine months ended September 30, 2017,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88" w:right="2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GenConn incurs fees under two O&amp;M agreements with wholly-owned subsidiaries of NRG. For the two and eight months ended August 31, 2018, the aggregate fees incurred under the agreements were $1 million and $4 million, respectively. For the three and nine months ended September 30, 2017, the aggregate fees incurred under the agreements were $1 million and $4 million,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Marsh Landing is a party to an administrative services agreement with NRG West Coast LLC, a wholly owned subsidiary of NRG. The Company reimbursed costs under this agreement of $2 million and $11 million for the two and eight months ended August 31, 2018, respectively. The Company reimbursed costs under the agreement of $4 million and $10 million for the three and nine months ended September 30, 2017, respectively.</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Prior to the NRG Transaction, NRG provided the Company with various operational, management, and administrative services, which include human resources, accounting, tax, legal, information systems, treasury, and risk management, as set forth in the Management Services Agreement. As of August 31, 2018, the base management fee was approximately $9 million per year. Costs incurred under this agreement were $2 million and $7 million for the two and eight months ended August 31, 2018, respectively. Costs incurred under this agreement for the three and nine months ended September 30, 2017 were $2 million and $8 million, respectively. The costs incurred under the Management Services Agreement included certain direct expenses incurred by NRG on behalf of the Company in addition to the base management fee. Subsequent to the NRG Transaction, the Company entered into a Transition Services Agreement with NRG, or the NRG TSA, pursuant to which NRG or certain of its affiliates began providing certain services to the Company following the consummation of the NRG Transaction, in exchange for the payment of a fee in respect of such services. Expenses related to the NRG TSA are recorded in general and administrative expenses in the consolidated statements of operations.</w:t>
      </w:r>
    </w:p>
    <w:p>
      <w:pPr>
        <w:spacing w:after="0" w:line="20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31, 2018, in connection with the consummation of the NRG Transaction, the Company entered into a Termination Agreement with Clearway Energy LLC, Clearway Energy Operating LLC and NRG terminating the Management Services Agreement, dated as of July 22, 2013 by and among the Company, Clearway Energy LLC, Clearway Energy Operating LLC and NRG.</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EPC Agreement by and between ECP and NRG</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NRG Business Services LLC, a subsidiary of NRG, and Energy Center Pittsburgh LLC, or ECP, a wholly owned subsidiary of the Company, entered into an EPC agreement for the construction of a 73 MWt district energy system for ECP to provide 150 kpph of steam, 6,750 tons of chilled water and 7.5 MW of emergency backup power service to UPMC Mercy. The initial term of the energy services agreement with UPMC Mercy will be for a period of twenty years from the service commencement date. On June 19, 2018, as discussed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ECP purchased the UPMC Thermal Project assets from NRG Business Services LLC for cash consideration of $84 million, subject to working capital adjustments. The Company also recorded a payable of approximately $5 million to be paid to NRG upon final completion of the project, which is included in accounts payable as of September 30, 2018.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Note 13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2017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Braun Litigation </w:t>
      </w:r>
      <w:r>
        <w:rPr>
          <w:rFonts w:ascii="Arial" w:cs="Arial" w:eastAsia="Arial" w:hAnsi="Arial"/>
          <w:sz w:val="17"/>
          <w:szCs w:val="17"/>
          <w:color w:val="auto"/>
        </w:rPr>
        <w:t>— On April 19, 2016, plaintiffs filed a putative class action lawsuit against the Company, the current and former members of its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individually, and other parties in California Superior Court in Kern County, California. Plaintiffs allege various violations of the Securities Act due to the defendants’ alleged failure to disclose material facts related to low wind production prior to the Company's June 22, 2015 Class C common stock offering. Plaintiffs seek compensatory damages, rescission, attorney’s fees and costs. The defendants filed demurrers and a motion challenging jurisdiction on October 18, 2016. On July 30, 2018, the plaintiffs filed an opposition to the defendants’ motion to quash service of the summons and an opposition to the defendants’ demurrer. On October 5, 2018, the defendants filed a reply memorandum of points and authorities in support of defendants' demurrer to the first amended complaint, and a reply memorandum of points and authorities in support of defendants' motion to quash service of summons. On November 1, 2018, the court issued a ruling granting the defendants' motion to quash service of summons.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the effect of the Buckthorn Solar Drop Down Asset and November 2017 Drop Down Assets.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nine months ended September 30, 2018 and 2017. Also refer to the Company's 2017 Form 10-K, which includes detailed discussions of various items impacting the Company's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98" w:lineRule="exact"/>
        <w:rPr>
          <w:sz w:val="20"/>
          <w:szCs w:val="20"/>
          <w:color w:val="auto"/>
        </w:rPr>
      </w:pPr>
    </w:p>
    <w:p>
      <w:pPr>
        <w:ind w:left="980" w:right="580"/>
        <w:spacing w:after="0" w:line="324" w:lineRule="auto"/>
        <w:tabs>
          <w:tab w:leader="none" w:pos="1367"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16" w:lineRule="exact"/>
        <w:rPr>
          <w:rFonts w:ascii="Arial" w:cs="Arial" w:eastAsia="Arial" w:hAnsi="Arial"/>
          <w:sz w:val="18"/>
          <w:szCs w:val="18"/>
          <w:color w:val="231F20"/>
        </w:rPr>
      </w:pPr>
    </w:p>
    <w:p>
      <w:pPr>
        <w:ind w:left="1360" w:hanging="380"/>
        <w:spacing w:after="0"/>
        <w:tabs>
          <w:tab w:leader="none" w:pos="13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211" w:lineRule="exact"/>
        <w:rPr>
          <w:rFonts w:ascii="Arial" w:cs="Arial" w:eastAsia="Arial" w:hAnsi="Arial"/>
          <w:sz w:val="18"/>
          <w:szCs w:val="18"/>
          <w:color w:val="231F20"/>
        </w:rPr>
      </w:pPr>
    </w:p>
    <w:p>
      <w:pPr>
        <w:ind w:left="980" w:right="120"/>
        <w:spacing w:after="0" w:line="324" w:lineRule="auto"/>
        <w:tabs>
          <w:tab w:leader="none" w:pos="1367"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116" w:lineRule="exact"/>
        <w:rPr>
          <w:rFonts w:ascii="Arial" w:cs="Arial" w:eastAsia="Arial" w:hAnsi="Arial"/>
          <w:sz w:val="18"/>
          <w:szCs w:val="18"/>
          <w:color w:val="auto"/>
        </w:rPr>
      </w:pPr>
    </w:p>
    <w:p>
      <w:pPr>
        <w:ind w:left="980" w:right="400"/>
        <w:spacing w:after="0" w:line="324" w:lineRule="auto"/>
        <w:tabs>
          <w:tab w:leader="none" w:pos="1367"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116" w:lineRule="exact"/>
        <w:rPr>
          <w:rFonts w:ascii="Arial" w:cs="Arial" w:eastAsia="Arial" w:hAnsi="Arial"/>
          <w:sz w:val="18"/>
          <w:szCs w:val="18"/>
          <w:color w:val="231F20"/>
        </w:rPr>
      </w:pPr>
    </w:p>
    <w:p>
      <w:pPr>
        <w:ind w:left="980" w:right="120"/>
        <w:spacing w:after="0" w:line="324" w:lineRule="auto"/>
        <w:tabs>
          <w:tab w:leader="none" w:pos="13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25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Clearway Energy, Inc. (formerly NRG Yield, Inc.), together with its consolidated subsidiaries, or the Company, is a publicly-traded energy infrastructure investor in and owner of modern, sustainable and long-term contracted assets across North America. On August 31, 2018, NRG transferred its full ownership interest in the Company to Clearway Energy Group LLC, or CEG, the holder of NRG 's renewable energy development and operations platform, and NRG subsequently sold 100% of its interest in CEG to an affiliate of Global Infrastructure Partners III, or GIP, referred to hereinafter as the NRG Transaction. As a result of the NRG Transaction, GIP indirectly acquired a 45.2% economic interest in Clearway Energy LLC and a 55% voting interest in the Company.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Clearway Energy Group.</w:t>
      </w:r>
    </w:p>
    <w:p>
      <w:pPr>
        <w:spacing w:after="0" w:line="1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environmentally-sound asset portfolio includes over </w:t>
      </w:r>
      <w:r>
        <w:rPr>
          <w:rFonts w:ascii="Arial" w:cs="Arial" w:eastAsia="Arial" w:hAnsi="Arial"/>
          <w:sz w:val="18"/>
          <w:szCs w:val="18"/>
          <w:color w:val="231F20"/>
        </w:rPr>
        <w:t>5,272</w:t>
      </w:r>
      <w:r>
        <w:rPr>
          <w:rFonts w:ascii="Arial" w:cs="Arial" w:eastAsia="Arial" w:hAnsi="Arial"/>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w:t>
      </w:r>
      <w:r>
        <w:rPr>
          <w:rFonts w:ascii="Arial" w:cs="Arial" w:eastAsia="Arial" w:hAnsi="Arial"/>
          <w:sz w:val="18"/>
          <w:szCs w:val="18"/>
          <w:color w:val="231F20"/>
        </w:rPr>
        <w:t>Nearly all</w:t>
      </w:r>
      <w:r>
        <w:rPr>
          <w:rFonts w:ascii="Arial" w:cs="Arial" w:eastAsia="Arial" w:hAnsi="Arial"/>
          <w:sz w:val="18"/>
          <w:szCs w:val="18"/>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8"/>
          <w:szCs w:val="18"/>
          <w:color w:val="231F20"/>
        </w:rPr>
        <w:t>15 years as of</w:t>
      </w:r>
      <w:r>
        <w:rPr>
          <w:rFonts w:ascii="Arial" w:cs="Arial" w:eastAsia="Arial" w:hAnsi="Arial"/>
          <w:sz w:val="18"/>
          <w:szCs w:val="18"/>
          <w:color w:val="auto"/>
        </w:rPr>
        <w:t xml:space="preserve"> September 30, 2018 </w:t>
      </w:r>
      <w:r>
        <w:rPr>
          <w:rFonts w:ascii="Arial" w:cs="Arial" w:eastAsia="Arial" w:hAnsi="Arial"/>
          <w:sz w:val="18"/>
          <w:szCs w:val="18"/>
          <w:color w:val="231F20"/>
        </w:rPr>
        <w:t>based on CAFD. The</w:t>
      </w:r>
      <w:r>
        <w:rPr>
          <w:rFonts w:ascii="Arial" w:cs="Arial" w:eastAsia="Arial" w:hAnsi="Arial"/>
          <w:sz w:val="18"/>
          <w:szCs w:val="18"/>
          <w:color w:val="auto"/>
        </w:rPr>
        <w:t xml:space="preserve"> </w:t>
      </w:r>
      <w:r>
        <w:rPr>
          <w:rFonts w:ascii="Arial" w:cs="Arial" w:eastAsia="Arial" w:hAnsi="Arial"/>
          <w:sz w:val="18"/>
          <w:szCs w:val="18"/>
          <w:color w:val="231F20"/>
        </w:rPr>
        <w:t>Company also owns thermal infrastructure assets with an aggregate steam and chilled water capacity of 1,392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w:t>
      </w:r>
    </w:p>
    <w:p>
      <w:pPr>
        <w:spacing w:after="0" w:line="17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August 31, 2018, NRG transferred its full ownership interest in the Company to Clearway Energy Group LLC, or CEG, the holder of NRG's renewable energy development and operations platform and subsequently sold 100% of its interest in CEG to an affiliate of GIP. As a result of the NRG Transaction, GIP indirectly acquired a 45.2% economic interest in Clearway Energy LLC and a 55% voting interest in the Company as of August 31, 2018.</w:t>
      </w:r>
    </w:p>
    <w:p>
      <w:pPr>
        <w:spacing w:after="0" w:line="9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In connection with the NRG Transaction, the Company entered into a Consent and Indemnity Agreement with NRG and GIP setting forth key terms and conditions of the Company's consent to the NRG Transaction. The key provisions of the Consent and Indemnity Agreement are described in the Company's 2017 Form 10-K in Item 7, </w:t>
      </w:r>
      <w:r>
        <w:rPr>
          <w:rFonts w:ascii="Arial" w:cs="Arial" w:eastAsia="Arial" w:hAnsi="Arial"/>
          <w:sz w:val="17"/>
          <w:szCs w:val="17"/>
          <w:i w:val="1"/>
          <w:iCs w:val="1"/>
          <w:color w:val="auto"/>
        </w:rPr>
        <w:t>Management's Discussion and Analysis of Financial Condition and the Results of Operations.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Also in connection with the NRG Transaction, the Company entered into the following agreements on August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Master Services Agreements</w:t>
      </w:r>
    </w:p>
    <w:p>
      <w:pPr>
        <w:spacing w:after="0" w:line="171" w:lineRule="exact"/>
        <w:rPr>
          <w:sz w:val="20"/>
          <w:szCs w:val="20"/>
          <w:color w:val="auto"/>
        </w:rPr>
      </w:pPr>
    </w:p>
    <w:p>
      <w:pPr>
        <w:jc w:val="both"/>
        <w:ind w:left="80" w:firstLine="486"/>
        <w:spacing w:after="0" w:line="312" w:lineRule="auto"/>
        <w:rPr>
          <w:sz w:val="20"/>
          <w:szCs w:val="20"/>
          <w:color w:val="auto"/>
        </w:rPr>
      </w:pPr>
      <w:r>
        <w:rPr>
          <w:rFonts w:ascii="Arial" w:cs="Arial" w:eastAsia="Arial" w:hAnsi="Arial"/>
          <w:sz w:val="16"/>
          <w:szCs w:val="16"/>
          <w:color w:val="auto"/>
        </w:rPr>
        <w:t>The Company, along with Clearway Energy LLC and Clearway Energy Operating LLC, entered into Master Services Agreements with CEG, pursuant to which CEG and certain of its affiliates or third party service providers began providing certain services to the Company and certain of its subsidiaries, and the Company and certain of its subsidiaries began providing certain services to CEG, in exchange for the payment of fees in respect of such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ROFO Agreements</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entered into a ROFO Agreement with CEG, or the CEG ROFO Agreement, pursuant to which CEG granted the Company and its subsidiaries a right of first offer on any proposed sale or transfer of certain assets owned by CEG. The CEG ROFO Agreement also provides the Company the right to make an equity investment of up to $190 million in one or more distributed generation portfolios developed or owned by CEG or its subsidiaries after August 31, 2018.</w:t>
      </w:r>
    </w:p>
    <w:p>
      <w:pPr>
        <w:spacing w:after="0" w:line="133"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also entered into the Third Amended and Restated ROFO Agreement with NRG, pursuant to which NRG will provide the Company and its subsidiaries a right of first offer on any proposed sale or transfer of 100% of the membership interests in Agua Caliente Borrower 1 LLC.</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Voting and Governance Agreement</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entered into a Voting and Governance Agreement with CEG, relating to certain governance matters of the Company, including the composition of the board of directors of the Company, or the Board, implementation of a stockholder proposal at the next annual meeting of the Company to amend the restated certificate of incorporation of the Company to stagger the Board, and employment status of the CEO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Liability Company Agreement</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entered into the Fourth Amended and Restated Limited Liability Company Agreement of Clearway Energy LLC with CEG, which sets forth the rights and obligations of the Company, as managing member, and CEG, as member, of Clearway Energy LLC.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 Agreement</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entered into the NRG TSA, pursuant to which NRG or certain of its affiliates began providing certain services to the Company following the consummation of the NRG Transaction,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Credit Agreement</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August 31, 2018, the Company entered into a senior unsecured 364-day bridge credit agreement, or the Bridge Credit Agreement, which provides total borrowings of up to a maximum amount of $1.5 billion at a rate per annum equal to LIBOR or a base rate plus an applicable margin equal to 3.00% in the case of LIBOR loans and 2.00% in the case of base rate loans, in each case subject to an additional 0.25% on the 90th day following the effective date of the Bridge Credit Agreement, 0.25% on the 180th day following such effective date and 0.50% on each 90th day thereafter while any loans remain outstanding. The obligation of the lenders to fund loans under the Bridge Credit Agreement will expire on the date that is 110 days after the effective date of the Bridge Credit Agreement. Loans under the Bridge Credit Agreement will mature 364 days after the effective date of the agreement, provided that Clearway Energy Operating LLC may elect in its sole discretion to extend the maturity as provided for in the Bridge Credit Agreement. Borrowings under the Bridge Credit Agreement are guaranteed by Clearway Energy LLC and certain subsidiaries of Clearway Energy Operating LLC. As of September 30, 2018, there were no borrowings under the Bridge Credit Agreement.</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2018, the Company reduced the lenders' commitments under the bridge agreement from $1.5 billion to $867.5 million following the offering of the 2025 Senior Notes and the convertible notes tender offer results, each described below. On October 31, 2018, the Company terminated the Bridge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7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Significant Events During the Quarter</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significant events have occurred since the beginning of the third quarter of 2018, as further described within this Management's Discussion and Analysis and the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Sponsorship with GIP</w:t>
      </w:r>
    </w:p>
    <w:p>
      <w:pPr>
        <w:spacing w:after="0" w:line="171" w:lineRule="exact"/>
        <w:rPr>
          <w:sz w:val="20"/>
          <w:szCs w:val="20"/>
          <w:color w:val="auto"/>
        </w:rPr>
      </w:pPr>
    </w:p>
    <w:p>
      <w:pPr>
        <w:jc w:val="both"/>
        <w:ind w:left="340" w:hanging="332"/>
        <w:spacing w:after="0" w:line="312"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As discussed above, on August 31, 2018, NRG transferred its full ownership interest in the Company to CEG, the holder of NRG's renewable energy development and operations platform, and subsequently sold 100% of its interest in CEG to an affiliate of GIP. As a result of the NRG Transaction, GIP indirectly acquired a 45.2% economic interest in Clearway Energy LLC and a 55% voting interest in the Company as of August 31,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w:t>
      </w:r>
    </w:p>
    <w:p>
      <w:pPr>
        <w:spacing w:after="0" w:line="171" w:lineRule="exact"/>
        <w:rPr>
          <w:sz w:val="20"/>
          <w:szCs w:val="20"/>
          <w:color w:val="auto"/>
        </w:rPr>
      </w:pPr>
    </w:p>
    <w:p>
      <w:pPr>
        <w:jc w:val="both"/>
        <w:ind w:left="340" w:hanging="251"/>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August 2018, Clearway Energy, Inc. repurchased an aggregate principal amount of $16 million of the 2019 Convertible Notes in open market transactions. The repurchases were funded through a partial repayment of the intercompany note between Clearway Operating LLC and Clearway Energy, Inc., which was reduced by $16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w:t>
      </w:r>
    </w:p>
    <w:p>
      <w:pPr>
        <w:spacing w:after="0" w:line="171" w:lineRule="exact"/>
        <w:rPr>
          <w:sz w:val="20"/>
          <w:szCs w:val="20"/>
          <w:color w:val="auto"/>
        </w:rPr>
      </w:pPr>
    </w:p>
    <w:p>
      <w:pPr>
        <w:jc w:val="both"/>
        <w:ind w:left="340" w:hanging="332"/>
        <w:spacing w:after="0" w:line="255"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On September 10, 2018, pursuant to the terms of the 2019 Convertible Notes and the 2020 Convertible Notes indentures, the Company delivered to the holders of the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$220 million aggregate principal amount of the 2019 Convertible Notes remain outstanding and $45 million aggregate principal amount of the 2020 Convertible Notes remain outstanding.</w:t>
      </w:r>
    </w:p>
    <w:p>
      <w:pPr>
        <w:spacing w:after="0" w:line="135"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October 9, 2018, the Company received a notice of conversion with respect to $395,000 aggregate principal amount of the 2020 Convertible Notes. The Company elected, pursuant to the terms of the 2020 Convertible Notes indenture, to settle the conversion of such 2020 Convertible Notes in Class C common stock, par value $0.01 per share. The conversion of the 2020 Convertible Notes resulted in the issuance by the Company on October 12, 2018 of 14,363 shares of Class C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171" w:lineRule="exact"/>
        <w:rPr>
          <w:sz w:val="20"/>
          <w:szCs w:val="20"/>
          <w:color w:val="auto"/>
        </w:rPr>
      </w:pPr>
    </w:p>
    <w:p>
      <w:pPr>
        <w:jc w:val="both"/>
        <w:ind w:left="340" w:hanging="332"/>
        <w:spacing w:after="0" w:line="312" w:lineRule="auto"/>
        <w:tabs>
          <w:tab w:leader="none" w:pos="34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On September 27, 2018, Clearway Energy, Inc. issued and sold an additional 3,916,449 shares of Class C common stock for net proceeds of $75 million. The Company utilized the proceeds of the offering to acquire additional 3,916,449 Class C units of Clearway Energy LLC and, as a result, it currently owns 55.7% of the economic interests of Clearway Energy LLC, with GIP indirectly retaining 44.3% of the economic interests of Clearway Energy LLC.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Financings</w:t>
      </w:r>
    </w:p>
    <w:p>
      <w:pPr>
        <w:spacing w:after="0" w:line="171" w:lineRule="exact"/>
        <w:rPr>
          <w:sz w:val="20"/>
          <w:szCs w:val="20"/>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As discussed above, the Company entered into the Bridge Credit Agreement on August 31, 2018. On October 31, 2018, the Company terminated the Bridge Credit Agreement.</w:t>
      </w:r>
    </w:p>
    <w:p>
      <w:pPr>
        <w:spacing w:after="0" w:line="116" w:lineRule="exact"/>
        <w:rPr>
          <w:rFonts w:ascii="Arial" w:cs="Arial" w:eastAsia="Arial" w:hAnsi="Arial"/>
          <w:sz w:val="18"/>
          <w:szCs w:val="18"/>
          <w:i w:val="1"/>
          <w:iCs w:val="1"/>
          <w:color w:val="auto"/>
        </w:rPr>
      </w:pPr>
    </w:p>
    <w:p>
      <w:pPr>
        <w:jc w:val="both"/>
        <w:ind w:left="340" w:hanging="332"/>
        <w:spacing w:after="0" w:line="30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October 1, 2018, Clearway Energy Operating LLC issued $600 million of senior unsecured notes, or the 2025 Senior Notes. The 2025 Senior Notes bear interest at 5.750% and mature on October 15, 2025. Interest on the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August 31, 2018, the Company entered into a binding agreement with CEG to acquire 80 MW of utility-scale solar projects located in Kawailoa and Oahu, Hawaii for approximately $28 million in cash consideration, subject to customary working capital and other adjustments, as well as the assumption of non-recourse debt of $169 million. The transaction is expected to close in summer of 2019.</w:t>
      </w:r>
    </w:p>
    <w:p>
      <w:pPr>
        <w:spacing w:after="0" w:line="12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November 1, 2018, NRG offered the Company the opportunity to acquire Agua Caliente Borrower 1, which owns a 35% interest in Agua Caliente, a 290 MW utility-scale solar project located in Yuma, Arizona. The closing of this transaction is subject to customary closing conditions and is expected to be completed in the first quarter of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8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Repowering Partnership</w:t>
      </w:r>
    </w:p>
    <w:p>
      <w:pPr>
        <w:spacing w:after="0" w:line="171" w:lineRule="exact"/>
        <w:rPr>
          <w:sz w:val="20"/>
          <w:szCs w:val="20"/>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On August 30, 2018, Wind TE Holdco entered into a partnership with CEG in order to facilitate the repowering of the Elbow Creek and Wildorado facilities. As part of the repowering partnership, the Company agreed to buy out an existing tax equity partner of Wind TE Holdco for $19 million on January 2, 2019, subject to certain purchase price adjustments.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The Company’s environmental matters and regulatory matters are described in the Company’s 2017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and Item 1A,</w:t>
      </w:r>
      <w:r>
        <w:rPr>
          <w:rFonts w:ascii="Arial" w:cs="Arial" w:eastAsia="Arial" w:hAnsi="Arial"/>
          <w:sz w:val="18"/>
          <w:szCs w:val="18"/>
          <w:i w:val="1"/>
          <w:iCs w:val="1"/>
          <w:color w:val="auto"/>
        </w:rPr>
        <w:t xml:space="preserv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2017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center"/>
              <w:ind w:right="9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29"/>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Energy and capacity revenues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309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876</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Contract amortization</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Cost of fuels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Operations and maintenance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Other costs of operations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Impairment losses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Development costs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33"/>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(loss) income of Drop Down Assets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w w:val="92"/>
              </w:rPr>
              <w:t>Net Income Excluding Pre-acquisition Net Income of Drop Down Assets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Income attributable to noncontrolling interests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 Attributable to Clearway Energy, Inc.</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11"/>
          </w:tcPr>
          <w:p>
            <w:pPr>
              <w:jc w:val="center"/>
              <w:ind w:right="260"/>
              <w:spacing w:after="0"/>
              <w:rPr>
                <w:sz w:val="20"/>
                <w:szCs w:val="20"/>
                <w:color w:val="auto"/>
              </w:rPr>
            </w:pPr>
            <w:r>
              <w:rPr>
                <w:rFonts w:ascii="Arial" w:cs="Arial" w:eastAsia="Arial" w:hAnsi="Arial"/>
                <w:sz w:val="14"/>
                <w:szCs w:val="14"/>
                <w:b w:val="1"/>
                <w:bCs w:val="1"/>
                <w:color w:val="auto"/>
                <w:w w:val="91"/>
              </w:rPr>
              <w:t>Three months ended September 30,</w:t>
            </w:r>
          </w:p>
        </w:tc>
        <w:tc>
          <w:tcPr>
            <w:tcW w:w="220" w:type="dxa"/>
            <w:vAlign w:val="bottom"/>
          </w:tcPr>
          <w:p>
            <w:pPr>
              <w:spacing w:after="0"/>
              <w:rPr>
                <w:sz w:val="24"/>
                <w:szCs w:val="24"/>
                <w:color w:val="auto"/>
              </w:rPr>
            </w:pPr>
          </w:p>
        </w:tc>
        <w:tc>
          <w:tcPr>
            <w:tcW w:w="2720" w:type="dxa"/>
            <w:vAlign w:val="bottom"/>
            <w:gridSpan w:val="10"/>
          </w:tcPr>
          <w:p>
            <w:pPr>
              <w:jc w:val="center"/>
              <w:ind w:right="9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5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rPr>
              <w:t>2017</w:t>
            </w: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1,565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5,354</w:t>
            </w: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Thermal MWt sold (in thousands)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1,450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(b)</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70"/>
        </w:trPr>
        <w:tc>
          <w:tcPr>
            <w:tcW w:w="53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(a)(c)</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1,172</w:t>
            </w:r>
          </w:p>
        </w:tc>
      </w:tr>
      <w:tr>
        <w:trPr>
          <w:trHeight w:val="243"/>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97.0%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93.2%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28"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jc w:val="both"/>
        <w:ind w:right="720" w:firstLine="8"/>
        <w:spacing w:after="0" w:line="396" w:lineRule="auto"/>
        <w:tabs>
          <w:tab w:leader="none" w:pos="153" w:val="left"/>
        </w:tabs>
        <w:numPr>
          <w:ilvl w:val="0"/>
          <w:numId w:val="28"/>
        </w:numPr>
        <w:rPr>
          <w:rFonts w:ascii="Arial" w:cs="Arial" w:eastAsia="Arial" w:hAnsi="Arial"/>
          <w:sz w:val="17"/>
          <w:szCs w:val="17"/>
          <w:color w:val="auto"/>
          <w:vertAlign w:val="superscript"/>
        </w:rPr>
      </w:pPr>
      <w:r>
        <w:rPr>
          <w:rFonts w:ascii="Arial" w:cs="Arial" w:eastAsia="Arial" w:hAnsi="Arial"/>
          <w:sz w:val="12"/>
          <w:szCs w:val="12"/>
          <w:color w:val="auto"/>
        </w:rPr>
        <w:t xml:space="preserve">MWh sold do not include 56 MWh and 34 MWh during the three months ended September 30, 2018 and 2017, respectively, and 85 MWh and 52 MWh during the nine months ended September 30, 2018 and 2017, respectively, generated by Dover, a subsidiary of the Company, under the PPA with NRG Power Marketing, as further described in Note 12, </w:t>
      </w:r>
      <w:r>
        <w:rPr>
          <w:rFonts w:ascii="Arial" w:cs="Arial" w:eastAsia="Arial" w:hAnsi="Arial"/>
          <w:sz w:val="12"/>
          <w:szCs w:val="12"/>
          <w:i w:val="1"/>
          <w:iCs w:val="1"/>
          <w:color w:val="auto"/>
        </w:rPr>
        <w:t>Related Party</w:t>
      </w:r>
      <w:r>
        <w:rPr>
          <w:rFonts w:ascii="Arial" w:cs="Arial" w:eastAsia="Arial" w:hAnsi="Arial"/>
          <w:sz w:val="12"/>
          <w:szCs w:val="12"/>
          <w:color w:val="auto"/>
        </w:rPr>
        <w:t xml:space="preserve"> </w:t>
      </w:r>
      <w:r>
        <w:rPr>
          <w:rFonts w:ascii="Arial" w:cs="Arial" w:eastAsia="Arial" w:hAnsi="Arial"/>
          <w:sz w:val="12"/>
          <w:szCs w:val="12"/>
          <w:i w:val="1"/>
          <w:iCs w:val="1"/>
          <w:color w:val="auto"/>
        </w:rPr>
        <w:t>Transactions</w:t>
      </w:r>
      <w:r>
        <w:rPr>
          <w:rFonts w:ascii="Arial" w:cs="Arial" w:eastAsia="Arial" w:hAnsi="Arial"/>
          <w:sz w:val="12"/>
          <w:szCs w:val="12"/>
          <w:color w:val="auto"/>
        </w:rPr>
        <w:t>.</w:t>
      </w:r>
    </w:p>
    <w:p>
      <w:pPr>
        <w:ind w:left="160" w:hanging="152"/>
        <w:spacing w:after="0" w:line="207" w:lineRule="auto"/>
        <w:tabs>
          <w:tab w:leader="none" w:pos="16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8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September 30, 2018 and 2017</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Three months ended September 30, 2018</w:t>
            </w: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Contract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1"/>
        </w:trPr>
        <w:tc>
          <w:tcPr>
            <w:tcW w:w="6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Three months ended September 30, 2017</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6280" w:type="dxa"/>
            <w:vAlign w:val="bottom"/>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Gross margin increased by $18 million during the three months ended September 30, 2018, compared to the same period in 2017, due to a combination of the drivers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rPr>
              <w:t>Increase</w:t>
            </w:r>
          </w:p>
        </w:tc>
        <w:tc>
          <w:tcPr>
            <w:tcW w:w="34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w w:val="90"/>
              </w:rPr>
              <w:t>(Decrease)</w:t>
            </w:r>
          </w:p>
        </w:tc>
        <w:tc>
          <w:tcPr>
            <w:tcW w:w="34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Reason for Increase</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Increase of $11 million related to a 10% increase in wind generation volume, primarily at the Alta Wind projects,</w:t>
            </w:r>
          </w:p>
        </w:tc>
        <w:tc>
          <w:tcPr>
            <w:tcW w:w="0" w:type="dxa"/>
            <w:vAlign w:val="bottom"/>
          </w:tcPr>
          <w:p>
            <w:pPr>
              <w:spacing w:after="0"/>
              <w:rPr>
                <w:sz w:val="1"/>
                <w:szCs w:val="1"/>
                <w:color w:val="auto"/>
              </w:rPr>
            </w:pPr>
          </w:p>
        </w:tc>
      </w:tr>
      <w:tr>
        <w:trPr>
          <w:trHeight w:val="216"/>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$6 million in solar revenue attributable primarily to the Buckthorn Solar project, which achieved COD in July</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17</w:t>
            </w:r>
          </w:p>
        </w:tc>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9"/>
        </w:trPr>
        <w:tc>
          <w:tcPr>
            <w:tcW w:w="1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Thermal:</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w w:val="91"/>
              </w:rPr>
              <w:t>Revenues generated at the UPMC Thermal Project pursuant to the Energy Sales Agreement between the Company</w:t>
            </w: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8500" w:type="dxa"/>
            <w:vAlign w:val="bottom"/>
          </w:tcPr>
          <w:p>
            <w:pPr>
              <w:ind w:left="180"/>
              <w:spacing w:after="0"/>
              <w:rPr>
                <w:sz w:val="20"/>
                <w:szCs w:val="20"/>
                <w:color w:val="auto"/>
              </w:rPr>
            </w:pPr>
            <w:r>
              <w:rPr>
                <w:rFonts w:ascii="Arial" w:cs="Arial" w:eastAsia="Arial" w:hAnsi="Arial"/>
                <w:sz w:val="18"/>
                <w:szCs w:val="18"/>
                <w:color w:val="auto"/>
              </w:rPr>
              <w:t>and UPMC Mercy, which commenced operations in March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Conventional :</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Lower plant availability at Walnut Creek and El Segundo during the summer of 2018, partially offset by higher start</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vMerge w:val="continue"/>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(1)   revenues generated at El Segundo</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18</w:t>
            </w:r>
          </w:p>
        </w:tc>
        <w:tc>
          <w:tcPr>
            <w:tcW w:w="8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500" w:type="dxa"/>
            <w:vAlign w:val="bottom"/>
            <w:vMerge w:val="restart"/>
          </w:tcPr>
          <w:p>
            <w:pPr>
              <w:ind w:left="27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decreased by $2 million during the three months ended September 30, 2018, primarily driven by outages at Walnut Creek in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Depreciation and amortization expense decreased by $6 million during the three months ended September 30, 2018, compared to the same period in 2017, due to certain components being fully depreciated after the third quarter of 2017, as well as impairment of Forward in the fourth quarter of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 increased by $2 million during the three months ended September 30, 2018, primarily driven by additional employee expenses resulting from the NRG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Transaction and Integration Costs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Acquisition-related transaction and integration costs of $17 million during the three months ended September 30, 2018 primarily reflect fees paid to advisors and other costs associated with the NRG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Development costs increased by $1 million during the three months ended September 30, 2018, compared to the same period in 2017, primarily due to expenses incurred related to the implementation and evaluation of black start services at the Marsh Landing natural gas project.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Equity in earnings of unconsolidated affiliates increased by $4 million during the three months ended September 30, 2018, compared to the same period in 2017, primarily due to income allocated to the Company in DGPV Holdco 3, which was formed in September 2017. The HLBV method of accounting generally allocates more losses to the TE investors in the first several years after fund formation, and conversely, more income to the Company.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September 30, 2018, the Company recorded income tax expense of $11 million on pretax income of $60 million. For the same period in 2017, the Company recorded income tax expense of $8 million on pretax income of $39 million.</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For the three months ended September 30, 2018 and 2017, the overall effective tax rate was different than the statutory rate of 21% and 35%, respectively primarily due to production and investment tax credits generated from certain wind and solar assets, respectively, and earnings allocated to NRG for the period ended August 31, 2018 and CEG for the period September 1 through September 30, 2018 resulting from their interest in Clearway Energy LLC.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For the two months ended August 31, 2018, the Company had income of $14 million attributable to NRG's economic interest in Clearway Energy LLC. For the one month ended September 30, 2018, the Company had income of $15 million attributable to CEG's economic interest in Clearway Energy LLC and Repowering LLC. Additionally, for the three months ended September 30, 2018, the Company had a loss of $1 million attributable to noncontrolling interests with respect to its tax equity financing arrangements and the application of the HLBV method. For the three months ended September 30, 2017, the Company had income of $34 million attributable to NRG's interest in Clearway Energy LLC and a loss of $23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2018 and 2017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Nine months ended September 30, 2018</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Nine months ended September 30, 2017</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increased by $34 million during the nine months ended September 30, 2018, compared to the same period in 2017, due to a combination of the drivers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0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880" w:type="dxa"/>
            <w:vAlign w:val="bottom"/>
          </w:tcPr>
          <w:p>
            <w:pPr>
              <w:ind w:left="20"/>
              <w:spacing w:after="0"/>
              <w:rPr>
                <w:sz w:val="20"/>
                <w:szCs w:val="20"/>
                <w:color w:val="auto"/>
              </w:rPr>
            </w:pPr>
            <w:r>
              <w:rPr>
                <w:rFonts w:ascii="Arial" w:cs="Arial" w:eastAsia="Arial" w:hAnsi="Arial"/>
                <w:sz w:val="16"/>
                <w:szCs w:val="16"/>
                <w:b w:val="1"/>
                <w:bCs w:val="1"/>
                <w:color w:val="auto"/>
              </w:rPr>
              <w:t>Increase</w:t>
            </w:r>
          </w:p>
        </w:tc>
        <w:tc>
          <w:tcPr>
            <w:tcW w:w="540" w:type="dxa"/>
            <w:vAlign w:val="bottom"/>
          </w:tcPr>
          <w:p>
            <w:pPr>
              <w:spacing w:after="0"/>
              <w:rPr>
                <w:sz w:val="18"/>
                <w:szCs w:val="18"/>
                <w:color w:val="auto"/>
              </w:rPr>
            </w:pPr>
          </w:p>
        </w:tc>
        <w:tc>
          <w:tcPr>
            <w:tcW w:w="8300" w:type="dxa"/>
            <w:vAlign w:val="bottom"/>
          </w:tcPr>
          <w:p>
            <w:pPr>
              <w:ind w:left="40"/>
              <w:spacing w:after="0"/>
              <w:rPr>
                <w:sz w:val="20"/>
                <w:szCs w:val="20"/>
                <w:color w:val="auto"/>
              </w:rPr>
            </w:pPr>
            <w:r>
              <w:rPr>
                <w:rFonts w:ascii="Arial" w:cs="Arial" w:eastAsia="Arial" w:hAnsi="Arial"/>
                <w:sz w:val="16"/>
                <w:szCs w:val="16"/>
                <w:b w:val="1"/>
                <w:bCs w:val="1"/>
                <w:color w:val="auto"/>
              </w:rPr>
              <w:t>Reason for Increase</w:t>
            </w:r>
          </w:p>
        </w:tc>
        <w:tc>
          <w:tcPr>
            <w:tcW w:w="0" w:type="dxa"/>
            <w:vAlign w:val="bottom"/>
          </w:tcPr>
          <w:p>
            <w:pPr>
              <w:spacing w:after="0"/>
              <w:rPr>
                <w:sz w:val="1"/>
                <w:szCs w:val="1"/>
                <w:color w:val="auto"/>
              </w:rPr>
            </w:pPr>
          </w:p>
        </w:tc>
      </w:tr>
      <w:tr>
        <w:trPr>
          <w:trHeight w:val="33"/>
        </w:trPr>
        <w:tc>
          <w:tcPr>
            <w:tcW w:w="1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Increase of $15 million related to a 4% increase in wind generation volume, primarily at the Alta Wind projects,</w:t>
            </w:r>
          </w:p>
        </w:tc>
        <w:tc>
          <w:tcPr>
            <w:tcW w:w="0" w:type="dxa"/>
            <w:vAlign w:val="bottom"/>
          </w:tcPr>
          <w:p>
            <w:pPr>
              <w:spacing w:after="0"/>
              <w:rPr>
                <w:sz w:val="1"/>
                <w:szCs w:val="1"/>
                <w:color w:val="auto"/>
              </w:rPr>
            </w:pPr>
          </w:p>
        </w:tc>
      </w:tr>
      <w:tr>
        <w:trPr>
          <w:trHeight w:val="216"/>
        </w:trPr>
        <w:tc>
          <w:tcPr>
            <w:tcW w:w="170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Renewables: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and an increase of $10 million in solar revenue primarily related to the Buckthorn Solar project which achieved</w:t>
            </w: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8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COD in July 2018</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b w:val="1"/>
                <w:bCs w:val="1"/>
                <w:color w:val="auto"/>
              </w:rPr>
              <w:t>Conventional:</w:t>
            </w:r>
          </w:p>
        </w:tc>
        <w:tc>
          <w:tcPr>
            <w:tcW w:w="8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8300" w:type="dxa"/>
            <w:vAlign w:val="bottom"/>
          </w:tcPr>
          <w:p>
            <w:pPr>
              <w:ind w:left="40"/>
              <w:spacing w:after="0"/>
              <w:rPr>
                <w:sz w:val="20"/>
                <w:szCs w:val="20"/>
                <w:color w:val="auto"/>
              </w:rPr>
            </w:pPr>
            <w:r>
              <w:rPr>
                <w:rFonts w:ascii="Arial" w:cs="Arial" w:eastAsia="Arial" w:hAnsi="Arial"/>
                <w:sz w:val="18"/>
                <w:szCs w:val="18"/>
                <w:color w:val="auto"/>
                <w:w w:val="98"/>
              </w:rPr>
              <w:t>Higher plant availability at Walnut Creek and El Segundo due to lower outages in 2018 compared to 2017</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Thermal:</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Increased consumption across the portfolio in the third quarter of 2018, as well as revenues generated at the</w:t>
            </w:r>
          </w:p>
        </w:tc>
        <w:tc>
          <w:tcPr>
            <w:tcW w:w="0" w:type="dxa"/>
            <w:vAlign w:val="bottom"/>
          </w:tcPr>
          <w:p>
            <w:pPr>
              <w:spacing w:after="0"/>
              <w:rPr>
                <w:sz w:val="1"/>
                <w:szCs w:val="1"/>
                <w:color w:val="auto"/>
              </w:rPr>
            </w:pPr>
          </w:p>
        </w:tc>
      </w:tr>
      <w:tr>
        <w:trPr>
          <w:trHeight w:val="257"/>
        </w:trPr>
        <w:tc>
          <w:tcPr>
            <w:tcW w:w="1700" w:type="dxa"/>
            <w:vAlign w:val="bottom"/>
            <w:tcBorders>
              <w:bottom w:val="single" w:sz="8" w:color="CCEEFF"/>
            </w:tcBorders>
            <w:vMerge w:val="continue"/>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8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UPMC Thermal Project pursuant to the Energy Sales Agreement between the Company and UPMC Mercy</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w:t>
            </w:r>
          </w:p>
        </w:tc>
        <w:tc>
          <w:tcPr>
            <w:tcW w:w="8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300" w:type="dxa"/>
            <w:vAlign w:val="bottom"/>
            <w:vMerge w:val="restart"/>
          </w:tcPr>
          <w:p>
            <w:pPr>
              <w:ind w:left="25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Operations and maintenance expense decreased by $6 million during the nine months ended September 30, 2018, compared to the same period in 2017, primarily due to lower outages at El Segundo in 2018 compared to outages at Walnut Creek in 2017.</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General and administrative expense increased by $3 million during the nine months ended September 30, 2018, primarily driven by additional employee expenses resulting from the NRG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Transaction and Integration Costs</w:t>
      </w:r>
    </w:p>
    <w:p>
      <w:pPr>
        <w:spacing w:after="0" w:line="171"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 xml:space="preserve">Acquisition-related transaction and integration costs of $19 million during the nine months ended September 30, 2018, primarily reflect fees paid to advisors and other costs associated with the NRG Transaction, as well as fees paid in connection with the acquisitions that took place in 2018, as further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171"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Development costs increased by $1 million during the nine months ended September 30, 2018, compared to the same period in 2017, primarily due to expenses incurred related to the implementation and evaluation of black start services at the Marsh Landing natural gas project.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$2 million during the nine months ended September 30, 2018, compared to the same period in 2017, primarily driven by the increase in HLBV income allocated to the Company's interests in DGPV funds, partially offset by losses allocated to the Company in Utah Portfolio.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Interest expense decreased by $39 million during the nine months ended September 30, 2018, compared to the same period in 2017, primarily due to changes in the fair value of interest rate swaps during the first half of 2018 and lower project level debt balances in 2018 compared to 2017.</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nine months ended September 30, 2018, the Company recorded income tax expense of $17 million on pretax income of $162 million. For the same period in 2017, the Company recorded income tax expense of $15 million on pretax income of $88 million.</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For the nine months ended September 30, 2018 and 2017, the overall effective tax rate was different than the statutory rate of 21% and 35%, respectively, primarily due to production and investment tax credits generated from certain wind and solar assets, respectively, and earnings allocated to NRG for the period ended August 31, 2018 and CEG for the period September 1 through September 30, 2018 resulting from their interest in Clearway Energy LLC.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the eight months ended August 31, 2018, the Company had income of $104 million attributable to NRG's economic interest in Clearway Energy LLC. For the one month ended September 30, 2018, the Company had income of $15 million attributable to CEG's economic interest in Clearway Energy LLC and Repowering LLC. Additionally, for the nine months ended September 30, 2018, the Company had a loss of $94 million attributable to noncontrolling interests with respect to its tax equity financing arrangements and the application of the HLBV method. For the nine months ended September 30, 2017, the Company had income of $69 million attributable to NRG's economic interest in Clearway Energy LLC and a loss of $56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2018</w:t>
      </w:r>
      <w:r>
        <w:rPr>
          <w:rFonts w:ascii="Arial" w:cs="Arial" w:eastAsia="Arial" w:hAnsi="Arial"/>
          <w:sz w:val="17"/>
          <w:szCs w:val="17"/>
          <w:color w:val="231F20"/>
        </w:rPr>
        <w:t xml:space="preserve">, the Company had $425 million of available borrowings under its revolving credit facility. As of </w:t>
      </w:r>
      <w:r>
        <w:rPr>
          <w:rFonts w:ascii="Arial" w:cs="Arial" w:eastAsia="Arial" w:hAnsi="Arial"/>
          <w:sz w:val="17"/>
          <w:szCs w:val="17"/>
          <w:color w:val="000000"/>
        </w:rPr>
        <w:t>September 30, 2018</w:t>
      </w:r>
      <w:r>
        <w:rPr>
          <w:rFonts w:ascii="Arial" w:cs="Arial" w:eastAsia="Arial" w:hAnsi="Arial"/>
          <w:sz w:val="17"/>
          <w:szCs w:val="17"/>
          <w:color w:val="231F20"/>
        </w:rPr>
        <w:t xml:space="preserv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r>
        <w:rPr>
          <w:rFonts w:ascii="Arial" w:cs="Arial" w:eastAsia="Arial" w:hAnsi="Arial"/>
          <w:sz w:val="18"/>
          <w:szCs w:val="18"/>
          <w:color w:val="231F20"/>
        </w:rPr>
        <w:t>, the Company's liquidity was $814 million and $682 million, respectively, comprised of the following: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accounts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Revolving credit facility availability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liquidity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r>
      <w:tr>
        <w:trPr>
          <w:trHeight w:val="20"/>
        </w:trPr>
        <w:tc>
          <w:tcPr>
            <w:tcW w:w="7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2018</w:t>
      </w:r>
      <w:r>
        <w:rPr>
          <w:rFonts w:ascii="Arial" w:cs="Arial" w:eastAsia="Arial" w:hAnsi="Arial"/>
          <w:sz w:val="18"/>
          <w:szCs w:val="18"/>
          <w:color w:val="231F20"/>
        </w:rPr>
        <w:t>, there were no outstanding borrowings and $70 million of letters of credit outstanding under the Company's revolving credit facility. On October 9, 2018, the Company terminated certain letters of credit relating to certain project PPAs in exchange for a one-time payment, which reduced the outstanding letters of credit under the revolving credit facility to $45 million as of October 31, 2018.</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As described in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o</w:t>
      </w:r>
      <w:r>
        <w:rPr>
          <w:rFonts w:ascii="Arial" w:cs="Arial" w:eastAsia="Arial" w:hAnsi="Arial"/>
          <w:sz w:val="18"/>
          <w:szCs w:val="18"/>
          <w:color w:val="000000"/>
        </w:rPr>
        <w:t>n October 1, 2018, Clearway Energy Operating LLC issued $600 million of 2025 Senior Notes. Additionally,</w:t>
      </w:r>
      <w:r>
        <w:rPr>
          <w:rFonts w:ascii="Arial" w:cs="Arial" w:eastAsia="Arial" w:hAnsi="Arial"/>
          <w:sz w:val="18"/>
          <w:szCs w:val="18"/>
          <w:color w:val="231F20"/>
        </w:rPr>
        <w:t xml:space="preserve"> </w:t>
      </w:r>
      <w:r>
        <w:rPr>
          <w:rFonts w:ascii="Arial" w:cs="Arial" w:eastAsia="Arial" w:hAnsi="Arial"/>
          <w:sz w:val="18"/>
          <w:szCs w:val="18"/>
          <w:color w:val="000000"/>
        </w:rPr>
        <w:t>pursuant to the results of the tender offer for the 2019 Convertible Notes and 2020 Convertible Notes, which expired on October 9, 2018, the Company repurchased an aggregate principal amount of $109 million of the 2019 Convertible Notes and $243 million of the 2020 Convertible Notes. The Company partially financed the repurchases with the proceeds from the 2025 Senior Notes.</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88" w:right="239" w:bottom="144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September 30,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Clearway Energy, Inc.</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5.375% Senior Notes, due 2024</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5.000% Senior Notes, due 2026</w:t>
            </w:r>
          </w:p>
        </w:tc>
        <w:tc>
          <w:tcPr>
            <w:tcW w:w="16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7"/>
        </w:trPr>
        <w:tc>
          <w:tcPr>
            <w:tcW w:w="8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S&amp;P and Moody's reaffirmed the ratings outlook as stable on September 10, 2018 and October 18, 2018,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w:t>
      </w:r>
      <w:r>
        <w:rPr>
          <w:rFonts w:ascii="Arial" w:cs="Arial" w:eastAsia="Arial" w:hAnsi="Arial"/>
          <w:sz w:val="17"/>
          <w:szCs w:val="17"/>
          <w:color w:val="000000"/>
        </w:rPr>
        <w:t>Note 7</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w:t>
      </w:r>
      <w:r>
        <w:rPr>
          <w:rFonts w:ascii="Arial" w:cs="Arial" w:eastAsia="Arial" w:hAnsi="Arial"/>
          <w:sz w:val="17"/>
          <w:szCs w:val="17"/>
          <w:color w:val="231F20"/>
        </w:rPr>
        <w:t xml:space="preserve"> </w:t>
      </w:r>
      <w:r>
        <w:rPr>
          <w:rFonts w:ascii="Arial" w:cs="Arial" w:eastAsia="Arial" w:hAnsi="Arial"/>
          <w:sz w:val="17"/>
          <w:szCs w:val="17"/>
          <w:i w:val="1"/>
          <w:iCs w:val="1"/>
          <w:color w:val="000000"/>
        </w:rPr>
        <w:t>Debt</w:t>
      </w:r>
      <w:r>
        <w:rPr>
          <w:rFonts w:ascii="Arial" w:cs="Arial" w:eastAsia="Arial" w:hAnsi="Arial"/>
          <w:sz w:val="17"/>
          <w:szCs w:val="17"/>
          <w:color w:val="231F20"/>
        </w:rPr>
        <w:t>, and</w:t>
      </w:r>
      <w:r>
        <w:rPr>
          <w:rFonts w:ascii="Arial" w:cs="Arial" w:eastAsia="Arial" w:hAnsi="Arial"/>
          <w:sz w:val="17"/>
          <w:szCs w:val="17"/>
          <w:i w:val="1"/>
          <w:iCs w:val="1"/>
          <w:color w:val="000000"/>
        </w:rPr>
        <w:t xml:space="preserve"> </w:t>
      </w:r>
      <w:r>
        <w:rPr>
          <w:rFonts w:ascii="Arial" w:cs="Arial" w:eastAsia="Arial" w:hAnsi="Arial"/>
          <w:sz w:val="17"/>
          <w:szCs w:val="17"/>
          <w:color w:val="000000"/>
        </w:rPr>
        <w:t>Note 9</w:t>
      </w:r>
      <w:r>
        <w:rPr>
          <w:rFonts w:ascii="Arial" w:cs="Arial" w:eastAsia="Arial" w:hAnsi="Arial"/>
          <w:sz w:val="17"/>
          <w:szCs w:val="17"/>
          <w:color w:val="231F20"/>
        </w:rPr>
        <w:t>,</w:t>
      </w:r>
      <w:r>
        <w:rPr>
          <w:rFonts w:ascii="Arial" w:cs="Arial" w:eastAsia="Arial" w:hAnsi="Arial"/>
          <w:sz w:val="17"/>
          <w:szCs w:val="17"/>
          <w:i w:val="1"/>
          <w:iCs w:val="1"/>
          <w:color w:val="000000"/>
        </w:rPr>
        <w:t xml:space="preserve"> Changes in Capital Structure</w:t>
      </w:r>
      <w:r>
        <w:rPr>
          <w:rFonts w:ascii="Arial" w:cs="Arial" w:eastAsia="Arial" w:hAnsi="Arial"/>
          <w:sz w:val="17"/>
          <w:szCs w:val="17"/>
          <w:color w:val="231F20"/>
        </w:rPr>
        <w:t>, to this Form 10-Q and</w:t>
      </w:r>
      <w:r>
        <w:rPr>
          <w:rFonts w:ascii="Arial" w:cs="Arial" w:eastAsia="Arial" w:hAnsi="Arial"/>
          <w:sz w:val="17"/>
          <w:szCs w:val="17"/>
          <w:i w:val="1"/>
          <w:iCs w:val="1"/>
          <w:color w:val="000000"/>
        </w:rPr>
        <w:t xml:space="preserve"> </w:t>
      </w:r>
      <w:r>
        <w:rPr>
          <w:rFonts w:ascii="Arial" w:cs="Arial" w:eastAsia="Arial" w:hAnsi="Arial"/>
          <w:sz w:val="17"/>
          <w:szCs w:val="17"/>
          <w:color w:val="000000"/>
        </w:rPr>
        <w:t>Note 10</w:t>
      </w:r>
      <w:r>
        <w:rPr>
          <w:rFonts w:ascii="Arial" w:cs="Arial" w:eastAsia="Arial" w:hAnsi="Arial"/>
          <w:sz w:val="17"/>
          <w:szCs w:val="17"/>
          <w:color w:val="231F20"/>
        </w:rPr>
        <w:t>,</w:t>
      </w:r>
      <w:r>
        <w:rPr>
          <w:rFonts w:ascii="Arial" w:cs="Arial" w:eastAsia="Arial" w:hAnsi="Arial"/>
          <w:sz w:val="17"/>
          <w:szCs w:val="17"/>
          <w:i w:val="1"/>
          <w:iCs w:val="1"/>
          <w:color w:val="000000"/>
        </w:rPr>
        <w:t xml:space="preserve"> Long-term Debt</w:t>
      </w:r>
      <w:r>
        <w:rPr>
          <w:rFonts w:ascii="Arial" w:cs="Arial" w:eastAsia="Arial" w:hAnsi="Arial"/>
          <w:sz w:val="17"/>
          <w:szCs w:val="17"/>
          <w:color w:val="231F20"/>
        </w:rPr>
        <w:t>, to the consolidated financial statements included in the</w:t>
      </w:r>
      <w:r>
        <w:rPr>
          <w:rFonts w:ascii="Arial" w:cs="Arial" w:eastAsia="Arial" w:hAnsi="Arial"/>
          <w:sz w:val="17"/>
          <w:szCs w:val="17"/>
          <w:i w:val="1"/>
          <w:iCs w:val="1"/>
          <w:color w:val="000000"/>
        </w:rPr>
        <w:t xml:space="preserve"> </w:t>
      </w:r>
      <w:r>
        <w:rPr>
          <w:rFonts w:ascii="Arial" w:cs="Arial" w:eastAsia="Arial" w:hAnsi="Arial"/>
          <w:sz w:val="17"/>
          <w:szCs w:val="17"/>
          <w:color w:val="231F20"/>
        </w:rPr>
        <w:t xml:space="preserve">Company's 2017 </w:t>
      </w:r>
      <w:r>
        <w:rPr>
          <w:rFonts w:ascii="Arial" w:cs="Arial" w:eastAsia="Arial" w:hAnsi="Arial"/>
          <w:sz w:val="17"/>
          <w:szCs w:val="17"/>
          <w:color w:val="000000"/>
        </w:rPr>
        <w:t>Form 10-K</w:t>
      </w:r>
      <w:r>
        <w:rPr>
          <w:rFonts w:ascii="Arial" w:cs="Arial" w:eastAsia="Arial" w:hAnsi="Arial"/>
          <w:sz w:val="17"/>
          <w:szCs w:val="17"/>
          <w:color w:val="231F20"/>
        </w:rPr>
        <w:t>, the Company's financing arrangements consist of the equity offering of Class C common stock on September 27, 2018, bridge financing, the revolving credit facility, the Senior Notes, the ATM Program and project-level financings for its various assets.</w:t>
      </w:r>
    </w:p>
    <w:p>
      <w:pPr>
        <w:spacing w:after="0" w:line="11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2025 Senior Notes </w:t>
      </w:r>
      <w:r>
        <w:rPr>
          <w:rFonts w:ascii="Arial" w:cs="Arial" w:eastAsia="Arial" w:hAnsi="Arial"/>
          <w:sz w:val="16"/>
          <w:szCs w:val="16"/>
          <w:color w:val="auto"/>
        </w:rPr>
        <w:t>— On October 1, 2018, Clearway Energy Operating LLC issued $600 million of senior unsecured notes, or the 2025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The 2025 Senior Notes bear interest at 5.750% and mature on October 15, 2025. Interest on the notes is payable semi-annually on April 15 and October 15 of each year, and interest payments will commence on April 15, 2019. The 2025 Senior Notes are unsecured obligations of Clearway Energy Operating LLC and are guaranteed by Clearway Energy LLC and by certain of Clearway Energy Operating LLC's wholly owned current and future subsidiaries.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2018 Equity Offering </w:t>
      </w:r>
      <w:r>
        <w:rPr>
          <w:rFonts w:ascii="Arial" w:cs="Arial" w:eastAsia="Arial" w:hAnsi="Arial"/>
          <w:sz w:val="18"/>
          <w:szCs w:val="18"/>
          <w:color w:val="auto"/>
        </w:rPr>
        <w:t>— On September 27, 2018, Clearway Energy, Inc. issued and sold an additional 3,916,449 shares of Class C common stock for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$75 million. The Company utilized the proceeds of the offering to acquire 3,916,449 Class C units of Clearway Energy LLC and, as a result, it currently owns 55.7% of the economic interests of Clearway Energy LLC, with GIP indirectly retaining 44.3% of the economic interests of Clearway Energy LLC.</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On April 30, 2018, the Company closed on the refinancing of the revolving credit facility, which extended the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facility to April 28, 2023 and decreased the Company's overall cost of borrowing. The facility will continue to be used for general corporate purposes including financing of future acquisitions and posting letters of credit.</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 xml:space="preserve">ATM Sales </w:t>
      </w:r>
      <w:r>
        <w:rPr>
          <w:rFonts w:ascii="Arial" w:cs="Arial" w:eastAsia="Arial" w:hAnsi="Arial"/>
          <w:sz w:val="17"/>
          <w:szCs w:val="17"/>
          <w:color w:val="auto"/>
        </w:rPr>
        <w:t>— The Company sold a total of 4,392,583 of Class C common stock under the ATM program for gross proceeds of $77 million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ended September 30, 2018. The Company incurred commission fees of $762 thousand during the period ended September 30, 2018.</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31, 2018, approximately $38 million of Class C common stock remains available for issuance under the ATM Program.</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Thermal Notes </w:t>
      </w:r>
      <w:r>
        <w:rPr>
          <w:rFonts w:ascii="Arial" w:cs="Arial" w:eastAsia="Arial" w:hAnsi="Arial"/>
          <w:sz w:val="17"/>
          <w:szCs w:val="17"/>
          <w:color w:val="auto"/>
        </w:rPr>
        <w:t>— On June 19, 2018, Energy Center Minneapolis LLC, a subsidiary of the Company, completed the issuances of 4.80% Series E notes</w:t>
      </w:r>
      <w:r>
        <w:rPr>
          <w:rFonts w:ascii="Arial" w:cs="Arial" w:eastAsia="Arial" w:hAnsi="Arial"/>
          <w:sz w:val="17"/>
          <w:szCs w:val="17"/>
          <w:i w:val="1"/>
          <w:iCs w:val="1"/>
          <w:color w:val="auto"/>
        </w:rPr>
        <w:t xml:space="preserve"> </w:t>
      </w:r>
      <w:r>
        <w:rPr>
          <w:rFonts w:ascii="Arial" w:cs="Arial" w:eastAsia="Arial" w:hAnsi="Arial"/>
          <w:sz w:val="17"/>
          <w:szCs w:val="17"/>
          <w:color w:val="auto"/>
        </w:rPr>
        <w:t>due June 15, 2033, or the Series E Notes, and 4.60% Series F notes due March 15, 2033, or the Series F Notes, for gross proceeds of $80 million. The proceeds of the Series E Notes and Series F Notes were utilized to finance the acquisition of the UPMC Thermal Project. Also, on June 19, 2018, Energy Center Minneapolis LLC issued $83 million of 5.90% Series G notes due June 15, 2035, which were utilized to refinance its $83 million of outstanding Series C notes. Energy Center Minneapolis LLC also issued 4.83% Series H notes due June 15, 2037, or Series H Notes for proceeds of $40 million and established a private shelf facility for the future issuance of $40 million in additional notes.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cash dividends to investors.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49" w:name="page50"/>
    <w:bookmarkEnd w:id="49"/>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nine months ended </w:t>
      </w:r>
      <w:r>
        <w:rPr>
          <w:rFonts w:ascii="Arial" w:cs="Arial" w:eastAsia="Arial" w:hAnsi="Arial"/>
          <w:sz w:val="16"/>
          <w:szCs w:val="16"/>
          <w:color w:val="000000"/>
        </w:rPr>
        <w:t>September 30, 2018</w:t>
      </w:r>
      <w:r>
        <w:rPr>
          <w:rFonts w:ascii="Arial" w:cs="Arial" w:eastAsia="Arial" w:hAnsi="Arial"/>
          <w:sz w:val="16"/>
          <w:szCs w:val="16"/>
          <w:color w:val="231F20"/>
        </w:rPr>
        <w:t>, the Company used approximately $62 million to fund capital expenditures, including growth</w:t>
      </w:r>
      <w:r>
        <w:rPr>
          <w:rFonts w:ascii="Arial" w:cs="Arial" w:eastAsia="Arial" w:hAnsi="Arial"/>
          <w:sz w:val="16"/>
          <w:szCs w:val="16"/>
          <w:color w:val="000000"/>
        </w:rPr>
        <w:t xml:space="preserve"> expenditures of $33 million in the Renewables segment in connection with the construction of Buckthorn Solar Drop Down Asset. The $33 million includes $10 million incurred by NRG during the construction of the Buckthorn Solar project prior to its acquisition by the Company on March 30, 2018, as described below. </w:t>
      </w:r>
      <w:r>
        <w:rPr>
          <w:rFonts w:ascii="Arial" w:cs="Arial" w:eastAsia="Arial" w:hAnsi="Arial"/>
          <w:sz w:val="16"/>
          <w:szCs w:val="16"/>
          <w:color w:val="231F20"/>
        </w:rPr>
        <w:t>For the nine months</w:t>
      </w:r>
      <w:r>
        <w:rPr>
          <w:rFonts w:ascii="Arial" w:cs="Arial" w:eastAsia="Arial" w:hAnsi="Arial"/>
          <w:sz w:val="16"/>
          <w:szCs w:val="16"/>
          <w:color w:val="000000"/>
        </w:rPr>
        <w:t xml:space="preserve"> </w:t>
      </w:r>
      <w:r>
        <w:rPr>
          <w:rFonts w:ascii="Arial" w:cs="Arial" w:eastAsia="Arial" w:hAnsi="Arial"/>
          <w:sz w:val="16"/>
          <w:szCs w:val="16"/>
          <w:color w:val="231F20"/>
        </w:rPr>
        <w:t xml:space="preserve">ended September 30, 2017, the Company used approximately $102 million to fund capital expenditures, of which </w:t>
      </w:r>
      <w:r>
        <w:rPr>
          <w:rFonts w:ascii="Arial" w:cs="Arial" w:eastAsia="Arial" w:hAnsi="Arial"/>
          <w:sz w:val="16"/>
          <w:szCs w:val="16"/>
          <w:color w:val="000000"/>
        </w:rPr>
        <w:t>$79 million related to growth expenditures</w:t>
      </w:r>
      <w:r>
        <w:rPr>
          <w:rFonts w:ascii="Arial" w:cs="Arial" w:eastAsia="Arial" w:hAnsi="Arial"/>
          <w:sz w:val="16"/>
          <w:szCs w:val="16"/>
          <w:color w:val="231F20"/>
        </w:rPr>
        <w:t xml:space="preserve"> </w:t>
      </w:r>
      <w:r>
        <w:rPr>
          <w:rFonts w:ascii="Arial" w:cs="Arial" w:eastAsia="Arial" w:hAnsi="Arial"/>
          <w:sz w:val="16"/>
          <w:szCs w:val="16"/>
          <w:color w:val="000000"/>
        </w:rPr>
        <w:t xml:space="preserve">in the Renewables segment paid by NRG in connection with the construction of Buckthorn Solar. </w:t>
      </w:r>
      <w:r>
        <w:rPr>
          <w:rFonts w:ascii="Arial" w:cs="Arial" w:eastAsia="Arial" w:hAnsi="Arial"/>
          <w:sz w:val="16"/>
          <w:szCs w:val="16"/>
          <w:color w:val="231F20"/>
        </w:rPr>
        <w:t>The Company develops annual capital spending plans based</w:t>
      </w:r>
      <w:r>
        <w:rPr>
          <w:rFonts w:ascii="Arial" w:cs="Arial" w:eastAsia="Arial" w:hAnsi="Arial"/>
          <w:sz w:val="16"/>
          <w:szCs w:val="16"/>
          <w:color w:val="000000"/>
        </w:rPr>
        <w:t xml:space="preserve"> </w:t>
      </w:r>
      <w:r>
        <w:rPr>
          <w:rFonts w:ascii="Arial" w:cs="Arial" w:eastAsia="Arial" w:hAnsi="Arial"/>
          <w:sz w:val="16"/>
          <w:szCs w:val="16"/>
          <w:color w:val="231F20"/>
        </w:rPr>
        <w:t xml:space="preserve">on projected requirements for maintenance and growth capital. The Company estimates $38 million of maintenance expenditures for 2018. </w:t>
      </w:r>
      <w:r>
        <w:rPr>
          <w:rFonts w:ascii="Arial" w:cs="Arial" w:eastAsia="Arial" w:hAnsi="Arial"/>
          <w:sz w:val="16"/>
          <w:szCs w:val="16"/>
          <w:color w:val="000000"/>
        </w:rPr>
        <w:t>These estimates</w:t>
      </w:r>
      <w:r>
        <w:rPr>
          <w:rFonts w:ascii="Arial" w:cs="Arial" w:eastAsia="Arial" w:hAnsi="Arial"/>
          <w:sz w:val="16"/>
          <w:szCs w:val="16"/>
          <w:color w:val="231F20"/>
        </w:rPr>
        <w:t xml:space="preserve"> </w:t>
      </w:r>
      <w:r>
        <w:rPr>
          <w:rFonts w:ascii="Arial" w:cs="Arial" w:eastAsia="Arial" w:hAnsi="Arial"/>
          <w:sz w:val="16"/>
          <w:szCs w:val="16"/>
          <w:color w:val="000000"/>
        </w:rPr>
        <w:t>are subject to continuing review and adjustment and actual capital expenditures may vary from these estimates.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 The Company may also complete the remaining acquisition under the NRG ROFO Agreement.</w:t>
      </w:r>
    </w:p>
    <w:p>
      <w:pPr>
        <w:spacing w:after="0" w:line="107"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17"/>
          <w:szCs w:val="17"/>
          <w:b w:val="1"/>
          <w:bCs w:val="1"/>
          <w:i w:val="1"/>
          <w:iCs w:val="1"/>
          <w:color w:val="auto"/>
        </w:rPr>
        <w:t xml:space="preserve">UPMC Thermal Project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19, 2018, upon reaching substantial completion, the Company acquired from NRG the UPMC Thermal Project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consideration of $84 million, subject to working capital adjustments. The Company also recorded a payable of $5 million to be paid to NRG upon final completion of the project. The project adds 73 MWt of thermal equivalent capacity and 7.5 MW of emergency backup thermal capacity to the Company's portfolio. The transaction was accounted for as an asset acquisition and is reflected in the Company's Thermal segment.</w:t>
      </w:r>
    </w:p>
    <w:p>
      <w:pPr>
        <w:spacing w:after="0" w:line="111"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Central CA Fuel Cell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18, 2018, the Company acquired the Central CA Fuel Cell 1, LLC project in Tulare, California from FuelCell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8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Buckthorn Solar Drop Down Asset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30, 2018, the Company acquired 100% of NRG's interests in Buckthorn Renewables,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a 154 MW construction-stage utility-scale solar generation project, located in Texas, or the Buckthorn Solar Drop Down Asset, for cash consideration of approximately $42 million, subject to working capital adjustments. The project sells power under a 25-year PPA to the City of Georgetown, Texas which commenced in July 2018.</w:t>
      </w:r>
    </w:p>
    <w:p>
      <w:pPr>
        <w:spacing w:after="0" w:line="126"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i w:val="1"/>
          <w:iCs w:val="1"/>
          <w:color w:val="auto"/>
        </w:rPr>
        <w:t xml:space="preserve">Carlsbad Project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February 6, 2018, the Company entered into an agreement with NRG to purchase 100% of the membership interests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Carlsbad Energy Holdings LLC, which indirectly owns the Carlsbad project, a 527 MW natural gas fired project in Carlsbad, CA, pursuant to the NRG ROFO Agreement. The purchase price for the transaction is $380 million in cash consideration, subject to customary working capital and other adjustments, as well as the assumption of non-recourse debt of $601 million at completion. The transaction is expected to close during January 2019.</w:t>
      </w:r>
    </w:p>
    <w:p>
      <w:pPr>
        <w:spacing w:after="0" w:line="111"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Hawaii Solar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31, 2018, the Company entered into a binding agreement with CEG to acquire 80 MW of utility-scale solar projects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in Kawailoa and Oahu, Hawaii for cash consideration of $28 million, subject to customary working capital and other adjustments, as well as the assumption of non-recourse debt of $169 million. The transaction is expected to close in summer of 2019.</w:t>
      </w:r>
    </w:p>
    <w:p>
      <w:pPr>
        <w:spacing w:after="0" w:line="12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7"/>
          <w:szCs w:val="17"/>
          <w:b w:val="1"/>
          <w:bCs w:val="1"/>
          <w:i w:val="1"/>
          <w:iCs w:val="1"/>
          <w:color w:val="auto"/>
        </w:rPr>
        <w:t xml:space="preserve">Mylan Pharmaceuticals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November 1, 2018, the Company entered into an Energy Services Agreement with Mylan LLC to supply chilled water,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hot water and electricity through a dedicated combined heat and power facility to be constructed at Mylan's Caguas, Puerto Rico facility. The Company anticipates the project to total $11 million and is expected to commence commercial operations in the second quarter of 2019.</w:t>
      </w:r>
    </w:p>
    <w:p>
      <w:pPr>
        <w:spacing w:after="0" w:line="104"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Agua Caliente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2018, NRG offered the Company the opportunity to acquire Agua Caliente Borrower 1, which owns a 35%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Agua Caliente, a 290 MW utility-scale solar project located in Yuma, Arizona. The closing of this transaction is subject to customary closing conditions and is expected to be completed in the first quarter of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0" w:name="page51"/>
    <w:bookmarkEnd w:id="50"/>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period of January 1, 2018 to September 30, 2018, the Company invested $16 million in distributed generation partnerships with CEG.</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Open Market Repurchases and Tender Offer</w:t>
      </w:r>
    </w:p>
    <w:p>
      <w:pPr>
        <w:spacing w:after="0" w:line="333"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In August 2018, Clearway Energy, Inc. repurchased an aggregate principal amount of $16 million of the 2019 Convertible Notes in open market transactions. The repurchases were funded through a repayment of the intercompany note between Clearway Operating LLC and Clearway Energy, Inc. which was reduced by $16 million.</w:t>
      </w:r>
    </w:p>
    <w:p>
      <w:pPr>
        <w:spacing w:after="0" w:line="12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September 10, 2018, pursuant to the 2019 Convertible Notes and the 2020 Convertible Notes indentures, the Company delivered to the holders of the Convertible Notes a fundamental change notice and offer to repurchase any and all of the 2019 Convertible Notes and 2020 Convertible Notes for cash at a price equal to 100% of the principal amount of the Convertible Notes plus any accrued and unpaid interest. The tender offer expired on October 9, 2018. An aggregate principal amount of $109 million of the 2019 Convertible Notes and $243 million of the 2020 Convertible Notes were tendered on or prior to the expiration date and accepted by the Company for purchase. After the expiration of the tender offer, $220 million aggregate principal amount of the 2019 Convertible Notes remain outstanding and $45 million aggregate principal amount of the 2020 Convertible Notes remain outstanding.</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Wind TE Holdco Buyout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part of the repowering partnership, the Company agreed to buy out the existing tax equity partner of Wind TE Holdco for $19 million on January 2, 2019, subject to certain purchase price adjustments.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Clearway Energy, Inc.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7"/>
          <w:szCs w:val="17"/>
          <w:color w:val="000000"/>
        </w:rPr>
        <w:t>he Class A common stock and Class C common stock are subject to available</w:t>
      </w:r>
      <w:r>
        <w:rPr>
          <w:rFonts w:ascii="Arial" w:cs="Arial" w:eastAsia="Arial" w:hAnsi="Arial"/>
          <w:sz w:val="17"/>
          <w:szCs w:val="17"/>
          <w:color w:val="231F20"/>
        </w:rPr>
        <w:t xml:space="preserve"> </w:t>
      </w:r>
      <w:r>
        <w:rPr>
          <w:rFonts w:ascii="Arial" w:cs="Arial" w:eastAsia="Arial" w:hAnsi="Arial"/>
          <w:sz w:val="17"/>
          <w:szCs w:val="17"/>
          <w:color w:val="000000"/>
        </w:rPr>
        <w:t>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dividends paid on Clearway Energy, Inc.'s Class A common stock and Class C common stock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29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Third Quarter</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6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0.298</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0.320</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0.309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0.298</w:t>
            </w:r>
          </w:p>
        </w:tc>
      </w:tr>
    </w:tbl>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31, 2018, the Company declared quarterly dividends on its Class A common stock and Class C common stock of $0.331 per share payable on December 17, 2018, to stockholders of record as of December 3,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changes in cash flows for the nine months ended September 30, 2018,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196"/>
        </w:trPr>
        <w:tc>
          <w:tcPr>
            <w:tcW w:w="7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37"/>
              <w:spacing w:after="0"/>
              <w:rPr>
                <w:sz w:val="20"/>
                <w:szCs w:val="20"/>
                <w:color w:val="auto"/>
              </w:rPr>
            </w:pPr>
            <w:r>
              <w:rPr>
                <w:rFonts w:ascii="Arial" w:cs="Arial" w:eastAsia="Arial" w:hAnsi="Arial"/>
                <w:sz w:val="14"/>
                <w:szCs w:val="14"/>
                <w:b w:val="1"/>
                <w:bCs w:val="1"/>
                <w:color w:val="auto"/>
                <w:w w:val="99"/>
              </w:rPr>
              <w:t>(In millions)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(175)</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108</w:t>
            </w:r>
          </w:p>
        </w:tc>
      </w:tr>
      <w:tr>
        <w:trPr>
          <w:trHeight w:val="27"/>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r>
      <w:tr>
        <w:trPr>
          <w:trHeight w:val="27"/>
        </w:trPr>
        <w:tc>
          <w:tcPr>
            <w:tcW w:w="7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Changes to net cash provided by operating activities were primarily driven by an increase in operating income adjusted for non - cash items in the amount of $16 million, as well as higher distributions from unconsolidated affiliates in the amount of $6 million.</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016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2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Lower payments for the Buckthorn Solar Drop Down Asset and UPMC Thermal Project in 2018 compared to the payment made for the</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March 2017 Drop Down Assets in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5"/>
              </w:rPr>
              <w:t>Decrease in capital expenditures driven primarily by the substantial completion of the Buckthorn Solar Drop Down Asset in May 2018,</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which was acquired by the Company on March 31, 2018</w:t>
            </w:r>
          </w:p>
        </w:tc>
        <w:tc>
          <w:tcPr>
            <w:tcW w:w="2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Increase in capital expenditures in the Thermal segment related primarily to maintenance expense partially offset by lower capital</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expenditures at Walnut Creek due to outages in 2017</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Lower net investment in unconsolidated affiliates primarily in the DGPV partnerships with NRG during 2018</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to acquire Central CA Fuel Cell 1, LLC in 2018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0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Conversion of the Buckthorn Solar Portfolio, LLC Construction Loan to a term loan in 2018, as well as higher project level debt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in 2018 compared to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w w:val="94"/>
              </w:rPr>
              <w:t xml:space="preserve">Net proceeds from the refinancing of the Thermal note purchase and private shelf agreement, as described in Note 7, </w:t>
            </w:r>
            <w:r>
              <w:rPr>
                <w:rFonts w:ascii="Arial" w:cs="Arial" w:eastAsia="Arial" w:hAnsi="Arial"/>
                <w:sz w:val="18"/>
                <w:szCs w:val="18"/>
                <w:i w:val="1"/>
                <w:iCs w:val="1"/>
                <w:color w:val="auto"/>
                <w:w w:val="94"/>
              </w:rPr>
              <w:t>Long-term Debt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Increase in net contributions from noncontrolling interests primarily from Buckthorn Holdings, LLC's Class A member in 2018, as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described in Note 3, </w:t>
            </w:r>
            <w:r>
              <w:rPr>
                <w:rFonts w:ascii="Arial" w:cs="Arial" w:eastAsia="Arial" w:hAnsi="Arial"/>
                <w:sz w:val="18"/>
                <w:szCs w:val="18"/>
                <w:i w:val="1"/>
                <w:iCs w:val="1"/>
                <w:color w:val="auto"/>
              </w:rPr>
              <w:t>Business Acquisitions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Net proceeds from the Clearway Energy, Inc.'s equity offering in September 2018</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the revolving credit facility in 2018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w w:val="99"/>
              </w:rPr>
              <w:t>Higher net proceeds from the Clearway Energy, Inc. common stock offering under the ATM Program in 2018 compared to 2017</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Lower distributions, net of contributions to NRG for the Drop Down Assets relating to the pre-acquisition period in 2018 compared to 2017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dividends paid to common stockholders from 2017 to 2018</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8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December 31, 2017, the Company has a cumulative federal NOL carry forward balance of $961 million based on the latest income tax filing for financial statement purposes, which will begin expiring in 2033, and does not anticipate any federal income tax payments for 2018. As a result of the Company's tax position, and based on current forecasts, the Company does not anticipate significant income tax payments for state and local jurisdictions in 2018.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in 2018 or later subject to an 80% limitation against future taxable income pursuant to the Tax Act.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is subject to examination by taxing authorities for income tax returns filed in the U.S. federal jurisdiction and various state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subject to U.S. federal or state income tax examinations for years prior to 2013.</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uncertain tax benefits.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September 30, 2018, the Company has several investments with an ownership interest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50% or 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pro-rata share of non-recourse debt held by unconsolidated affiliates was approximately $816 million as of September 30, 2018. This indebtedness may restrict the ability of these subsidiaries to issue dividends or distributions to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2017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2018</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2018</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2017</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September 30, 2018</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182"/>
              <w:spacing w:after="0"/>
              <w:rPr>
                <w:sz w:val="20"/>
                <w:szCs w:val="20"/>
                <w:color w:val="auto"/>
              </w:rPr>
            </w:pPr>
            <w:r>
              <w:rPr>
                <w:rFonts w:ascii="Arial" w:cs="Arial" w:eastAsia="Arial" w:hAnsi="Arial"/>
                <w:sz w:val="14"/>
                <w:szCs w:val="14"/>
                <w:b w:val="1"/>
                <w:bCs w:val="1"/>
                <w:color w:val="auto"/>
                <w:w w:val="92"/>
              </w:rPr>
              <w:t>Fair value of contracts as of September 30, 2018</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rPr>
              <w:t>Maturity</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2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60" w:type="dxa"/>
            <w:vAlign w:val="bottom"/>
          </w:tcPr>
          <w:p>
            <w:pPr>
              <w:spacing w:after="0"/>
              <w:rPr>
                <w:sz w:val="13"/>
                <w:szCs w:val="13"/>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8"/>
              </w:rPr>
              <w:t>Greater Than</w:t>
            </w:r>
          </w:p>
        </w:tc>
        <w:tc>
          <w:tcPr>
            <w:tcW w:w="300" w:type="dxa"/>
            <w:vAlign w:val="bottom"/>
          </w:tcPr>
          <w:p>
            <w:pPr>
              <w:spacing w:after="0"/>
              <w:rPr>
                <w:sz w:val="13"/>
                <w:szCs w:val="13"/>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3"/>
              </w:rPr>
              <w:t>1 Year or Less</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8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3"/>
                <w:szCs w:val="13"/>
                <w:color w:val="auto"/>
              </w:rPr>
            </w:pPr>
          </w:p>
        </w:tc>
        <w:tc>
          <w:tcPr>
            <w:tcW w:w="110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1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6"/>
          <w:szCs w:val="16"/>
          <w:color w:val="000000"/>
        </w:rPr>
        <w:t>The following disclosures about market risk provide an update to, and</w:t>
      </w:r>
      <w:r>
        <w:rPr>
          <w:rFonts w:ascii="Arial" w:cs="Arial" w:eastAsia="Arial" w:hAnsi="Arial"/>
          <w:sz w:val="16"/>
          <w:szCs w:val="16"/>
          <w:color w:val="231F20"/>
        </w:rPr>
        <w:t xml:space="preserve"> </w:t>
      </w:r>
      <w:r>
        <w:rPr>
          <w:rFonts w:ascii="Arial" w:cs="Arial" w:eastAsia="Arial" w:hAnsi="Arial"/>
          <w:sz w:val="16"/>
          <w:szCs w:val="16"/>
          <w:color w:val="000000"/>
        </w:rPr>
        <w:t xml:space="preserve">should be read in conjunction with, Item 7A — </w:t>
      </w:r>
      <w:r>
        <w:rPr>
          <w:rFonts w:ascii="Arial" w:cs="Arial" w:eastAsia="Arial" w:hAnsi="Arial"/>
          <w:sz w:val="16"/>
          <w:szCs w:val="16"/>
          <w:i w:val="1"/>
          <w:iCs w:val="1"/>
          <w:color w:val="000000"/>
        </w:rPr>
        <w:t>Quantitative and Qualitative Disclosures About Market Risk,</w:t>
      </w:r>
      <w:r>
        <w:rPr>
          <w:rFonts w:ascii="Arial" w:cs="Arial" w:eastAsia="Arial" w:hAnsi="Arial"/>
          <w:sz w:val="16"/>
          <w:szCs w:val="16"/>
          <w:color w:val="000000"/>
        </w:rPr>
        <w:t xml:space="preserve"> of the Company's 2017 Form 10-K.</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 </w:t>
      </w:r>
      <w:r>
        <w:rPr>
          <w:rFonts w:ascii="Arial" w:cs="Arial" w:eastAsia="Arial" w:hAnsi="Arial"/>
          <w:sz w:val="17"/>
          <w:szCs w:val="17"/>
          <w:color w:val="000000"/>
        </w:rPr>
        <w:t>—</w:t>
      </w:r>
      <w:r>
        <w:rPr>
          <w:rFonts w:ascii="Arial" w:cs="Arial" w:eastAsia="Arial" w:hAnsi="Arial"/>
          <w:sz w:val="17"/>
          <w:szCs w:val="17"/>
          <w:color w:val="231F20"/>
        </w:rPr>
        <w:t xml:space="preserve"> </w:t>
      </w:r>
      <w:r>
        <w:rPr>
          <w:rFonts w:ascii="Arial" w:cs="Arial" w:eastAsia="Arial" w:hAnsi="Arial"/>
          <w:sz w:val="17"/>
          <w:szCs w:val="17"/>
          <w:color w:val="000000"/>
        </w:rPr>
        <w:t>Note 6</w:t>
      </w:r>
      <w:r>
        <w:rPr>
          <w:rFonts w:ascii="Arial" w:cs="Arial" w:eastAsia="Arial" w:hAnsi="Arial"/>
          <w:sz w:val="17"/>
          <w:szCs w:val="17"/>
          <w:color w:val="231F20"/>
        </w:rPr>
        <w:t>,</w:t>
      </w:r>
      <w:r>
        <w:rPr>
          <w:rFonts w:ascii="Arial" w:cs="Arial" w:eastAsia="Arial" w:hAnsi="Arial"/>
          <w:sz w:val="17"/>
          <w:szCs w:val="17"/>
          <w:color w:val="000000"/>
        </w:rPr>
        <w:t xml:space="preserve"> </w:t>
      </w:r>
      <w:r>
        <w:rPr>
          <w:rFonts w:ascii="Arial" w:cs="Arial" w:eastAsia="Arial" w:hAnsi="Arial"/>
          <w:sz w:val="17"/>
          <w:szCs w:val="17"/>
          <w:i w:val="1"/>
          <w:iCs w:val="1"/>
          <w:color w:val="000000"/>
        </w:rPr>
        <w:t>Accounting for Derivative Instruments and Hedging Activities</w:t>
      </w:r>
      <w:r>
        <w:rPr>
          <w:rFonts w:ascii="Arial" w:cs="Arial" w:eastAsia="Arial" w:hAnsi="Arial"/>
          <w:sz w:val="17"/>
          <w:szCs w:val="17"/>
          <w:color w:val="231F20"/>
        </w:rPr>
        <w:t>, for more information.</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8"/>
          <w:szCs w:val="18"/>
          <w:color w:val="000000"/>
        </w:rPr>
        <w:t>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i w:val="1"/>
          <w:iCs w:val="1"/>
          <w:color w:val="231F20"/>
        </w:rPr>
        <w:t>,</w:t>
      </w:r>
      <w:r>
        <w:rPr>
          <w:rFonts w:ascii="Arial" w:cs="Arial" w:eastAsia="Arial" w:hAnsi="Arial"/>
          <w:sz w:val="18"/>
          <w:szCs w:val="18"/>
          <w:color w:val="231F20"/>
        </w:rPr>
        <w:t xml:space="preserve"> to the Company's </w:t>
      </w:r>
      <w:r>
        <w:rPr>
          <w:rFonts w:ascii="Arial" w:cs="Arial" w:eastAsia="Arial" w:hAnsi="Arial"/>
          <w:sz w:val="18"/>
          <w:szCs w:val="18"/>
          <w:color w:val="000000"/>
        </w:rPr>
        <w:t>audited consolidated financial statements for the year ended December 31, 2017 included</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2017 Form 10-K </w:t>
      </w:r>
      <w:r>
        <w:rPr>
          <w:rFonts w:ascii="Arial" w:cs="Arial" w:eastAsia="Arial" w:hAnsi="Arial"/>
          <w:sz w:val="18"/>
          <w:szCs w:val="18"/>
          <w:color w:val="231F20"/>
        </w:rPr>
        <w:t>for more information about interest rate swaps of the Company's project subsidiaries.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September 30, 2018</w:t>
      </w:r>
      <w:r>
        <w:rPr>
          <w:rFonts w:ascii="Arial" w:cs="Arial" w:eastAsia="Arial" w:hAnsi="Arial"/>
          <w:sz w:val="18"/>
          <w:szCs w:val="18"/>
          <w:color w:val="231F20"/>
        </w:rPr>
        <w:t xml:space="preserve">, the counterparties would have owed the Company </w:t>
      </w:r>
      <w:r>
        <w:rPr>
          <w:rFonts w:ascii="Arial" w:cs="Arial" w:eastAsia="Arial" w:hAnsi="Arial"/>
          <w:sz w:val="18"/>
          <w:szCs w:val="18"/>
          <w:color w:val="000000"/>
        </w:rPr>
        <w:t>$17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2018</w:t>
      </w:r>
      <w:r>
        <w:rPr>
          <w:rFonts w:ascii="Arial" w:cs="Arial" w:eastAsia="Arial" w:hAnsi="Arial"/>
          <w:sz w:val="17"/>
          <w:szCs w:val="17"/>
          <w:color w:val="231F20"/>
        </w:rPr>
        <w:t>, a 1% change in interest rates would result in an approximately $3 million change in market interest expense on a rolling twelve-month basis.</w:t>
      </w:r>
    </w:p>
    <w:p>
      <w:pPr>
        <w:spacing w:after="0" w:line="16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2018</w:t>
      </w:r>
      <w:r>
        <w:rPr>
          <w:rFonts w:ascii="Arial" w:cs="Arial" w:eastAsia="Arial" w:hAnsi="Arial"/>
          <w:sz w:val="17"/>
          <w:szCs w:val="17"/>
          <w:color w:val="231F20"/>
        </w:rPr>
        <w:t xml:space="preserve">, the fair value of the Company's debt was $5,835 million and the carrying value was $5,860 million. The Company estimates that a 1% decrease in market interest rates would have increased the fair value of its long-term debt by approximately </w:t>
      </w:r>
      <w:r>
        <w:rPr>
          <w:rFonts w:ascii="Arial" w:cs="Arial" w:eastAsia="Arial" w:hAnsi="Arial"/>
          <w:sz w:val="17"/>
          <w:szCs w:val="17"/>
          <w:color w:val="000000"/>
        </w:rPr>
        <w:t>$287 million</w:t>
      </w:r>
      <w:r>
        <w:rPr>
          <w:rFonts w:ascii="Arial" w:cs="Arial" w:eastAsia="Arial" w:hAnsi="Arial"/>
          <w:sz w:val="17"/>
          <w:szCs w:val="17"/>
          <w:color w:val="231F20"/>
        </w:rPr>
        <w: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7"/>
          <w:szCs w:val="17"/>
          <w:color w:val="000000"/>
        </w:rPr>
        <w:t>$1 million</w:t>
      </w:r>
      <w:r>
        <w:rPr>
          <w:rFonts w:ascii="Arial" w:cs="Arial" w:eastAsia="Arial" w:hAnsi="Arial"/>
          <w:sz w:val="17"/>
          <w:szCs w:val="17"/>
          <w:color w:val="231F20"/>
        </w:rPr>
        <w:t xml:space="preserve"> to the net value of derivatives as of </w:t>
      </w:r>
      <w:r>
        <w:rPr>
          <w:rFonts w:ascii="Arial" w:cs="Arial" w:eastAsia="Arial" w:hAnsi="Arial"/>
          <w:sz w:val="17"/>
          <w:szCs w:val="17"/>
          <w:color w:val="000000"/>
        </w:rPr>
        <w:t>September 30, 2018</w:t>
      </w:r>
      <w:r>
        <w:rPr>
          <w:rFonts w:ascii="Arial" w:cs="Arial" w:eastAsia="Arial" w:hAnsi="Arial"/>
          <w:sz w:val="17"/>
          <w:szCs w:val="17"/>
          <w:color w:val="231F20"/>
        </w:rPr>
        <w: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8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NRG Energy, Inc.'s transaction with GIP effective August 31, 2018, the Company entered into a Transition Services Agreement pursuant to which NRG Energy, Inc. will continue to provide information technology, systems, applications, and business processes to the Company. Under the Transition Services Agreement with NRG Energy, Inc., the Company will continue to review, document and evaluate the internal controls over financial reporting through 2018. There were no other changes in the Company’s internal control over financial reporting (as such term is defined in Rule 13a-15(f) under the Exchange Act) during the quarter ended September 30, 2018,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8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2018, see Note 13,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2017 Form 10-K. Except as presented below, there have been no material changes in the Company's risk factors since those reported in its 2017 Form 10-K.</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a "controlled company," controlled by GIP, whose interest in the Company’s business may be different than the holders of the Company's Class A or Class C common stock.</w:t>
      </w:r>
    </w:p>
    <w:p>
      <w:pPr>
        <w:spacing w:after="0" w:line="197"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6"/>
          <w:szCs w:val="16"/>
          <w:color w:val="auto"/>
        </w:rPr>
        <w:t>GIP controls approximately 55.0%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to be independent,</w:t>
      </w:r>
    </w:p>
    <w:p>
      <w:pPr>
        <w:ind w:left="280" w:hanging="272"/>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the Company establish a compensation committee and a nominating and governance committee, each comprised entirely of independent directors, or</w:t>
      </w:r>
    </w:p>
    <w:p>
      <w:pPr>
        <w:spacing w:after="0" w:line="32" w:lineRule="exact"/>
        <w:rPr>
          <w:rFonts w:ascii="Arial" w:cs="Arial" w:eastAsia="Arial" w:hAnsi="Arial"/>
          <w:sz w:val="16"/>
          <w:szCs w:val="16"/>
          <w:color w:val="auto"/>
        </w:rPr>
      </w:pPr>
    </w:p>
    <w:p>
      <w:pPr>
        <w:jc w:val="both"/>
        <w:ind w:firstLine="8"/>
        <w:spacing w:after="0" w:line="269" w:lineRule="auto"/>
        <w:tabs>
          <w:tab w:leader="none" w:pos="338"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annual performance evaluation of the nominating and governance and compensation committees. The NYSE listing requirements are intended to ensure that directors who meet the independence standard are free of any conflicting interest that could influence their actions as directors. While the Company has elected to have a Compensation Committee and a Corporate Governance, Conflicts and Nominating Committee consisting entirely of independent directors and to conduct an annual performance evaluation of these committees, the majority of the members of the Company’s Board are not considered independent. Therefore, the Company’s stockholders may not have the same protections afforded to stockholders of companies that are subject to all of the applicable NYSE listing requirements. It is also possible that the interests of GIP may in some circumstances conflict with the Company’s interests and the interests of holders of the Company’s Class A or Class C common stock.</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is a holding company and its only material asset is its interest in Clearway Energy LLC, and the Company is accordingly dependent upon distributions from Clearway Energy LLC and its subsidiaries to pay dividends and taxes and other expenses.</w:t>
      </w:r>
    </w:p>
    <w:p>
      <w:pPr>
        <w:spacing w:after="0" w:line="174" w:lineRule="exact"/>
        <w:rPr>
          <w:sz w:val="20"/>
          <w:szCs w:val="20"/>
          <w:color w:val="auto"/>
        </w:rPr>
      </w:pPr>
    </w:p>
    <w:p>
      <w:pPr>
        <w:jc w:val="both"/>
        <w:ind w:firstLine="444"/>
        <w:spacing w:after="0" w:line="288" w:lineRule="auto"/>
        <w:rPr>
          <w:sz w:val="20"/>
          <w:szCs w:val="20"/>
          <w:color w:val="auto"/>
        </w:rPr>
      </w:pPr>
      <w:r>
        <w:rPr>
          <w:rFonts w:ascii="Arial" w:cs="Arial" w:eastAsia="Arial" w:hAnsi="Arial"/>
          <w:sz w:val="16"/>
          <w:szCs w:val="16"/>
          <w:color w:val="auto"/>
        </w:rPr>
        <w:t>The Company is a holding company and has no material assets other than its ownership of membership interests in Clearway Energy LLC, a holding company that has no material assets other than its interest in Clearway Energy Operating LLC, whose sole material assets are the project companies. None of the Company, Clearway Energy LLC, nor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common stock or the Company’s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its Class A common stock or its Class C common stock.</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the Company’s Class A common stock or Class C common stock by GIP may cause the price of the Company’s Class A common stock or Class C common stock to fall.</w:t>
      </w:r>
    </w:p>
    <w:p>
      <w:pPr>
        <w:spacing w:after="0" w:line="197" w:lineRule="exact"/>
        <w:rPr>
          <w:sz w:val="20"/>
          <w:szCs w:val="20"/>
          <w:color w:val="auto"/>
        </w:rPr>
      </w:pPr>
    </w:p>
    <w:p>
      <w:pPr>
        <w:jc w:val="both"/>
        <w:ind w:firstLine="542"/>
        <w:spacing w:after="0" w:line="289" w:lineRule="auto"/>
        <w:rPr>
          <w:sz w:val="20"/>
          <w:szCs w:val="20"/>
          <w:color w:val="auto"/>
        </w:rPr>
      </w:pPr>
      <w:r>
        <w:rPr>
          <w:rFonts w:ascii="Arial" w:cs="Arial" w:eastAsia="Arial" w:hAnsi="Arial"/>
          <w:sz w:val="16"/>
          <w:szCs w:val="16"/>
          <w:color w:val="auto"/>
        </w:rPr>
        <w:t>The market price of the Company’s Class A common stock or Class C common stock could decline as a result of sales by GIP of shares of the Company’s Class C common stock (issuable to GIP upon the exchange of some or all of its Clearway Energy LLC Class D units) or shares of the Company’s Class A common stock (issuable to GIP upon the exchange of some or all of its Clearway Energy LLC Class B units) in the market, or the perception that these sales could occur. The market price of the Company’s Class A common stock or Class C common stock may also decline as a result of GIP disposing or transferring some or all of the Company’s outstanding Class B or Class D common stock, which disposals or transfers would reduce GIP's ownership interest in, and voting control over, the Company. These sales might also make it more difficult for the Company to sell equity securities at a time and price that the Company deems appropriate. GIP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88"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market, as a result of the exercise of such registration rights, may have a material adverse effect on the market price of the Company's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the price of the Company’s Class A and Class C common stock.</w:t>
      </w:r>
    </w:p>
    <w:p>
      <w:pPr>
        <w:spacing w:after="0" w:line="171" w:lineRule="exact"/>
        <w:rPr>
          <w:sz w:val="20"/>
          <w:szCs w:val="20"/>
          <w:color w:val="auto"/>
        </w:rPr>
      </w:pPr>
    </w:p>
    <w:p>
      <w:pPr>
        <w:jc w:val="both"/>
        <w:ind w:firstLine="363"/>
        <w:spacing w:after="0" w:line="271" w:lineRule="auto"/>
        <w:rPr>
          <w:sz w:val="20"/>
          <w:szCs w:val="20"/>
          <w:color w:val="auto"/>
        </w:rPr>
      </w:pPr>
      <w:r>
        <w:rPr>
          <w:rFonts w:ascii="Arial" w:cs="Arial" w:eastAsia="Arial" w:hAnsi="Arial"/>
          <w:sz w:val="17"/>
          <w:szCs w:val="17"/>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the Company’s quarterly operating results or dividends; changes in the Company’s investments or asset composition; write-downs or perceived credit or liquidity issues affecting the Company’s assets; market perception of GIP or the NRG Transaction, the Company’s business and the Company’s assets; the Company’s level of indebtedness and/or adverse market reaction to any indebtedness that the Company may incur in the future; the Company’s ability to raise capital on favorable terms or at all; loss of any major funding source; additions or departures of the Company’s executive officers or key personnel; changes in market valuations of similar power generation companies; and speculation in the press or investment community regarding the Company, GIP or the NRG Transaction.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Securities markets in general have experienced extreme volatility that has often been unrelated to the operating performance of particular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broad market fluctuations may adversely affect the trading price of the Company's Class A and Class C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of market conditions may increase certain of the risks the Company faces.</w:t>
      </w:r>
    </w:p>
    <w:p>
      <w:pPr>
        <w:spacing w:after="0" w:line="252" w:lineRule="exact"/>
        <w:rPr>
          <w:sz w:val="20"/>
          <w:szCs w:val="20"/>
          <w:color w:val="auto"/>
        </w:rPr>
      </w:pPr>
    </w:p>
    <w:p>
      <w:pPr>
        <w:jc w:val="both"/>
        <w:ind w:firstLine="382"/>
        <w:spacing w:after="0" w:line="312" w:lineRule="auto"/>
        <w:rPr>
          <w:sz w:val="20"/>
          <w:szCs w:val="20"/>
          <w:color w:val="auto"/>
        </w:rPr>
      </w:pPr>
      <w:r>
        <w:rPr>
          <w:rFonts w:ascii="Arial" w:cs="Arial" w:eastAsia="Arial" w:hAnsi="Arial"/>
          <w:sz w:val="16"/>
          <w:szCs w:val="16"/>
          <w:color w:val="auto"/>
        </w:rPr>
        <w:t>The capital markets in general are often subject to volatility that is unrelated to the operating performance of particular companies. Market volatility can affect the plans and perspectives of various market participants, including operating entities, consumers and financing providers, and may increase uncertainty and heighten some of the risks the Company faces. The Company and other companies may have to adjust their plans and priorities in light of such volatility.</w:t>
      </w:r>
    </w:p>
    <w:p>
      <w:pPr>
        <w:spacing w:after="0" w:line="174" w:lineRule="exact"/>
        <w:rPr>
          <w:sz w:val="20"/>
          <w:szCs w:val="20"/>
          <w:color w:val="auto"/>
        </w:rPr>
      </w:pPr>
    </w:p>
    <w:p>
      <w:pPr>
        <w:jc w:val="both"/>
        <w:ind w:firstLine="413"/>
        <w:spacing w:after="0" w:line="271" w:lineRule="auto"/>
        <w:rPr>
          <w:sz w:val="20"/>
          <w:szCs w:val="20"/>
          <w:color w:val="auto"/>
        </w:rPr>
      </w:pPr>
      <w:r>
        <w:rPr>
          <w:rFonts w:ascii="Arial" w:cs="Arial" w:eastAsia="Arial" w:hAnsi="Arial"/>
          <w:sz w:val="17"/>
          <w:szCs w:val="17"/>
          <w:color w:val="auto"/>
        </w:rPr>
        <w:t>Risks that may increase as a result of market volatility include, but are not limited to, risks related to access to capital and liquidity and risks related to the performance of third parties, including GIP. The Company has significant relationships with, and in certain areas depends significantly on, NRG, GIP and CEG. Following the NRG Transaction, the Company’s growth strategy depends on its ability to identify and acquire additional facilities from GIP (through CEG) and unaffiliated third parties. The Company interacts with or depends on GIP (through CEG) for many third-party acquisition opportunities and on CEG and NRG for operations and maintenance support on various pending and completed transactions. As a result, the Company’s financial and operating performance and prospects, including the Company’s ability to grow its dividend per share, may be affected by the performance, prospects, and priorities of NRG, GIP and CEG, and material adverse developments at NRG, GIP or CEG, or changes in their strategic priorities may materially affect the Company’s business, financial condition and results of operations.</w:t>
      </w:r>
    </w:p>
    <w:p>
      <w:pPr>
        <w:spacing w:after="0" w:line="206" w:lineRule="exact"/>
        <w:rPr>
          <w:sz w:val="20"/>
          <w:szCs w:val="20"/>
          <w:color w:val="auto"/>
        </w:rPr>
      </w:pPr>
    </w:p>
    <w:p>
      <w:pPr>
        <w:jc w:val="both"/>
        <w:ind w:firstLine="436"/>
        <w:spacing w:after="0" w:line="257" w:lineRule="auto"/>
        <w:rPr>
          <w:sz w:val="20"/>
          <w:szCs w:val="20"/>
          <w:color w:val="auto"/>
        </w:rPr>
      </w:pPr>
      <w:r>
        <w:rPr>
          <w:rFonts w:ascii="Arial" w:cs="Arial" w:eastAsia="Arial" w:hAnsi="Arial"/>
          <w:sz w:val="18"/>
          <w:szCs w:val="18"/>
          <w:color w:val="auto"/>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Company’s ability to grow its project portfolio may be limited, which could have a material adverse effect on the Company’s ability to implement its growth strategy and, ultimately, its business, financial condition, results of operations and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7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 EXHIBITS</w:t>
      </w:r>
    </w:p>
    <w:p>
      <w:pPr>
        <w:sectPr>
          <w:pgSz w:w="11900" w:h="16838" w:orient="portrait"/>
          <w:cols w:equalWidth="0" w:num="1">
            <w:col w:w="11380"/>
          </w:cols>
          <w:pgMar w:left="240" w:top="688" w:right="279" w:bottom="1440" w:gutter="0" w:footer="0" w:header="0"/>
        </w:sectPr>
      </w:pPr>
    </w:p>
    <w:p>
      <w:pPr>
        <w:spacing w:after="0" w:line="351" w:lineRule="exact"/>
        <w:rPr>
          <w:sz w:val="20"/>
          <w:szCs w:val="20"/>
          <w:color w:val="auto"/>
        </w:rPr>
      </w:pPr>
    </w:p>
    <w:p>
      <w:pPr>
        <w:ind w:left="40"/>
        <w:spacing w:after="0" w:line="409" w:lineRule="auto"/>
        <w:rPr>
          <w:sz w:val="20"/>
          <w:szCs w:val="20"/>
          <w:color w:val="auto"/>
        </w:rPr>
      </w:pPr>
      <w:r>
        <w:rPr>
          <w:rFonts w:ascii="Arial" w:cs="Arial" w:eastAsia="Arial" w:hAnsi="Arial"/>
          <w:sz w:val="15"/>
          <w:szCs w:val="15"/>
          <w:b w:val="1"/>
          <w:bCs w:val="1"/>
          <w:color w:val="auto"/>
        </w:rPr>
        <w:t xml:space="preserve">Number </w:t>
      </w:r>
      <w:r>
        <w:rPr>
          <w:rFonts w:ascii="Arial" w:cs="Arial" w:eastAsia="Arial" w:hAnsi="Arial"/>
          <w:sz w:val="15"/>
          <w:szCs w:val="15"/>
          <w:color w:val="auto"/>
        </w:rPr>
        <w:t>3.1</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77" w:lineRule="exact"/>
        <w:rPr>
          <w:sz w:val="20"/>
          <w:szCs w:val="20"/>
          <w:color w:val="auto"/>
        </w:rPr>
      </w:pPr>
    </w:p>
    <w:p>
      <w:pPr>
        <w:jc w:val="both"/>
        <w:spacing w:after="0" w:line="293" w:lineRule="auto"/>
        <w:rPr>
          <w:rFonts w:ascii="Arial" w:cs="Arial" w:eastAsia="Arial" w:hAnsi="Arial"/>
          <w:sz w:val="16"/>
          <w:szCs w:val="16"/>
          <w:u w:val="single" w:color="auto"/>
          <w:color w:val="0000FF"/>
        </w:rPr>
      </w:pPr>
      <w:hyperlink r:id="rId36">
        <w:r>
          <w:rPr>
            <w:rFonts w:ascii="Arial" w:cs="Arial" w:eastAsia="Arial" w:hAnsi="Arial"/>
            <w:sz w:val="16"/>
            <w:szCs w:val="16"/>
            <w:u w:val="single" w:color="auto"/>
            <w:color w:val="0000FF"/>
          </w:rPr>
          <w:t>Certificate of Amendment for the Restated Certificate of Incorporation of Clearway</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Energy, Inc., dated August 31, 2018.</w:t>
        </w:r>
      </w:hyperlink>
    </w:p>
    <w:p>
      <w:pPr>
        <w:spacing w:after="0" w:line="213" w:lineRule="exact"/>
        <w:rPr>
          <w:sz w:val="20"/>
          <w:szCs w:val="20"/>
          <w:color w:val="auto"/>
        </w:rPr>
      </w:pPr>
    </w:p>
    <w:p>
      <w:pPr>
        <w:spacing w:after="0"/>
        <w:rPr>
          <w:rFonts w:ascii="Arial" w:cs="Arial" w:eastAsia="Arial" w:hAnsi="Arial"/>
          <w:sz w:val="14"/>
          <w:szCs w:val="14"/>
          <w:u w:val="single" w:color="auto"/>
          <w:color w:val="0000FF"/>
        </w:rPr>
      </w:pPr>
      <w:hyperlink r:id="rId37">
        <w:r>
          <w:rPr>
            <w:rFonts w:ascii="Arial" w:cs="Arial" w:eastAsia="Arial" w:hAnsi="Arial"/>
            <w:sz w:val="14"/>
            <w:szCs w:val="14"/>
            <w:u w:val="single" w:color="auto"/>
            <w:color w:val="0000FF"/>
          </w:rPr>
          <w:t>Fourth Amended and Restated Bylaws of Clearway Energy, Inc., dated August 31, 2018.</w:t>
        </w:r>
      </w:hyperlink>
    </w:p>
    <w:p>
      <w:pPr>
        <w:spacing w:after="0" w:line="200" w:lineRule="exact"/>
        <w:rPr>
          <w:sz w:val="20"/>
          <w:szCs w:val="20"/>
          <w:color w:val="auto"/>
        </w:rPr>
      </w:pPr>
    </w:p>
    <w:p>
      <w:pPr>
        <w:spacing w:after="0" w:line="382" w:lineRule="exact"/>
        <w:rPr>
          <w:sz w:val="20"/>
          <w:szCs w:val="20"/>
          <w:color w:val="auto"/>
        </w:rPr>
      </w:pPr>
    </w:p>
    <w:p>
      <w:pPr>
        <w:jc w:val="both"/>
        <w:spacing w:after="0" w:line="278" w:lineRule="auto"/>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Eighth Supplemental Indenture, dated as of August 30, 2018, among NRG Yield</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Operating LLC, the guarantors named therein and Delaware Trust Company (as successor</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in interest to Law Debenture Trust Company of New York).</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31"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rFonts w:ascii="Arial" w:cs="Arial" w:eastAsia="Arial" w:hAnsi="Arial"/>
          <w:sz w:val="16"/>
          <w:szCs w:val="16"/>
          <w:u w:val="single" w:color="auto"/>
          <w:color w:val="0000FF"/>
        </w:rPr>
      </w:pPr>
    </w:p>
    <w:p>
      <w:pPr>
        <w:spacing w:after="0" w:line="369" w:lineRule="auto"/>
        <w:rPr>
          <w:sz w:val="20"/>
          <w:szCs w:val="20"/>
          <w:color w:val="auto"/>
        </w:rPr>
      </w:pPr>
      <w:r>
        <w:rPr>
          <w:rFonts w:ascii="Arial" w:cs="Arial" w:eastAsia="Arial" w:hAnsi="Arial"/>
          <w:sz w:val="14"/>
          <w:szCs w:val="14"/>
          <w:color w:val="auto"/>
        </w:rPr>
        <w:t>Incorporated herein by reference to Exhibit 3.1 to the Registrant's Current Report on Form 8-K filed on September 5, 2018.</w:t>
      </w:r>
    </w:p>
    <w:p>
      <w:pPr>
        <w:spacing w:after="0" w:line="167" w:lineRule="exact"/>
        <w:rPr>
          <w:rFonts w:ascii="Arial" w:cs="Arial" w:eastAsia="Arial" w:hAnsi="Arial"/>
          <w:sz w:val="16"/>
          <w:szCs w:val="16"/>
          <w:u w:val="single" w:color="auto"/>
          <w:color w:val="0000FF"/>
        </w:rPr>
      </w:pPr>
    </w:p>
    <w:p>
      <w:pPr>
        <w:spacing w:after="0" w:line="369" w:lineRule="auto"/>
        <w:rPr>
          <w:sz w:val="20"/>
          <w:szCs w:val="20"/>
          <w:color w:val="auto"/>
        </w:rPr>
      </w:pPr>
      <w:r>
        <w:rPr>
          <w:rFonts w:ascii="Arial" w:cs="Arial" w:eastAsia="Arial" w:hAnsi="Arial"/>
          <w:sz w:val="14"/>
          <w:szCs w:val="14"/>
          <w:color w:val="auto"/>
        </w:rPr>
        <w:t>Incorporated herein by reference to Exhibit 3.2 to the Registrant's Current Report on Form 8-K filed on September 5, 2018.</w:t>
      </w:r>
    </w:p>
    <w:p>
      <w:pPr>
        <w:spacing w:after="0" w:line="167" w:lineRule="exact"/>
        <w:rPr>
          <w:rFonts w:ascii="Arial" w:cs="Arial" w:eastAsia="Arial" w:hAnsi="Arial"/>
          <w:sz w:val="16"/>
          <w:szCs w:val="16"/>
          <w:u w:val="single" w:color="auto"/>
          <w:color w:val="0000FF"/>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Registrant's Current Report on Form 8-K filed on September 6, 2018.</w:t>
      </w:r>
    </w:p>
    <w:p>
      <w:pPr>
        <w:spacing w:after="0" w:line="328" w:lineRule="exact"/>
        <w:rPr>
          <w:rFonts w:ascii="Arial" w:cs="Arial" w:eastAsia="Arial" w:hAnsi="Arial"/>
          <w:sz w:val="16"/>
          <w:szCs w:val="16"/>
          <w:u w:val="single" w:color="auto"/>
          <w:color w:val="0000FF"/>
        </w:rPr>
      </w:pPr>
    </w:p>
    <w:p>
      <w:pPr>
        <w:sectPr>
          <w:pgSz w:w="11900" w:h="16838" w:orient="portrait"/>
          <w:cols w:equalWidth="0" w:num="3">
            <w:col w:w="620" w:space="460"/>
            <w:col w:w="5860" w:space="180"/>
            <w:col w:w="426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4.2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6"/>
        </w:trPr>
        <w:tc>
          <w:tcPr>
            <w:tcW w:w="5880" w:type="dxa"/>
            <w:vAlign w:val="bottom"/>
            <w:tcBorders>
              <w:bottom w:val="single" w:sz="8" w:color="0000FF"/>
            </w:tcBorders>
            <w:gridSpan w:val="3"/>
          </w:tcPr>
          <w:p>
            <w:pPr>
              <w:spacing w:after="0"/>
              <w:rPr>
                <w:rFonts w:ascii="Arial" w:cs="Arial" w:eastAsia="Arial" w:hAnsi="Arial"/>
                <w:sz w:val="16"/>
                <w:szCs w:val="16"/>
                <w:color w:val="0000FF"/>
              </w:rPr>
            </w:pPr>
            <w:hyperlink r:id="rId39">
              <w:r>
                <w:rPr>
                  <w:rFonts w:ascii="Arial" w:cs="Arial" w:eastAsia="Arial" w:hAnsi="Arial"/>
                  <w:sz w:val="16"/>
                  <w:szCs w:val="16"/>
                  <w:color w:val="0000FF"/>
                </w:rPr>
                <w:t>Fourth Supplemental Indenture, dated as of August 30, 2018, among NRG Yield</w:t>
              </w:r>
            </w:hyperlink>
          </w:p>
        </w:tc>
        <w:tc>
          <w:tcPr>
            <w:tcW w:w="60" w:type="dxa"/>
            <w:vAlign w:val="bottom"/>
          </w:tcPr>
          <w:p>
            <w:pPr>
              <w:spacing w:after="0"/>
              <w:rPr>
                <w:sz w:val="21"/>
                <w:szCs w:val="21"/>
                <w:color w:val="auto"/>
              </w:rPr>
            </w:pPr>
          </w:p>
        </w:tc>
        <w:tc>
          <w:tcPr>
            <w:tcW w:w="436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4.2 to the Registrant's</w:t>
            </w:r>
          </w:p>
        </w:tc>
      </w:tr>
      <w:tr>
        <w:trPr>
          <w:trHeight w:val="189"/>
        </w:trPr>
        <w:tc>
          <w:tcPr>
            <w:tcW w:w="5860" w:type="dxa"/>
            <w:vAlign w:val="bottom"/>
            <w:tcBorders>
              <w:bottom w:val="single" w:sz="8" w:color="0000FF"/>
            </w:tcBorders>
            <w:gridSpan w:val="2"/>
          </w:tcPr>
          <w:p>
            <w:pPr>
              <w:spacing w:after="0"/>
              <w:rPr>
                <w:rFonts w:ascii="Arial" w:cs="Arial" w:eastAsia="Arial" w:hAnsi="Arial"/>
                <w:sz w:val="16"/>
                <w:szCs w:val="16"/>
                <w:color w:val="0000FF"/>
                <w:w w:val="90"/>
              </w:rPr>
            </w:pPr>
            <w:hyperlink r:id="rId39">
              <w:r>
                <w:rPr>
                  <w:rFonts w:ascii="Arial" w:cs="Arial" w:eastAsia="Arial" w:hAnsi="Arial"/>
                  <w:sz w:val="16"/>
                  <w:szCs w:val="16"/>
                  <w:color w:val="0000FF"/>
                  <w:w w:val="90"/>
                </w:rPr>
                <w:t>Operating LLC, the guarantors named therein and Delaware Trust Company (as successor</w:t>
              </w:r>
            </w:hyperlink>
          </w:p>
        </w:tc>
        <w:tc>
          <w:tcPr>
            <w:tcW w:w="80" w:type="dxa"/>
            <w:vAlign w:val="bottom"/>
            <w:gridSpan w:val="2"/>
          </w:tcPr>
          <w:p>
            <w:pPr>
              <w:spacing w:after="0"/>
              <w:rPr>
                <w:sz w:val="16"/>
                <w:szCs w:val="16"/>
                <w:color w:val="auto"/>
              </w:rPr>
            </w:pPr>
          </w:p>
        </w:tc>
        <w:tc>
          <w:tcPr>
            <w:tcW w:w="4360" w:type="dxa"/>
            <w:vAlign w:val="bottom"/>
          </w:tcPr>
          <w:p>
            <w:pPr>
              <w:ind w:left="100"/>
              <w:spacing w:after="0" w:line="176" w:lineRule="exact"/>
              <w:rPr>
                <w:sz w:val="20"/>
                <w:szCs w:val="20"/>
                <w:color w:val="auto"/>
              </w:rPr>
            </w:pPr>
            <w:r>
              <w:rPr>
                <w:rFonts w:ascii="Arial" w:cs="Arial" w:eastAsia="Arial" w:hAnsi="Arial"/>
                <w:sz w:val="16"/>
                <w:szCs w:val="16"/>
                <w:color w:val="auto"/>
              </w:rPr>
              <w:t>Current Report on Form 8-K filed on September 6, 2018.</w:t>
            </w:r>
          </w:p>
        </w:tc>
      </w:tr>
      <w:tr>
        <w:trPr>
          <w:trHeight w:val="183"/>
        </w:trPr>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39">
              <w:r>
                <w:rPr>
                  <w:rFonts w:ascii="Arial" w:cs="Arial" w:eastAsia="Arial" w:hAnsi="Arial"/>
                  <w:sz w:val="16"/>
                  <w:szCs w:val="16"/>
                  <w:color w:val="0000FF"/>
                  <w:w w:val="92"/>
                </w:rPr>
                <w:t>in interest to Law Debenture Trust Company of New York).</w:t>
              </w:r>
            </w:hyperlink>
          </w:p>
        </w:tc>
        <w:tc>
          <w:tcPr>
            <w:tcW w:w="2060" w:type="dxa"/>
            <w:vAlign w:val="bottom"/>
            <w:gridSpan w:val="3"/>
          </w:tcPr>
          <w:p>
            <w:pPr>
              <w:spacing w:after="0"/>
              <w:rPr>
                <w:sz w:val="15"/>
                <w:szCs w:val="15"/>
                <w:color w:val="auto"/>
              </w:rPr>
            </w:pPr>
          </w:p>
        </w:tc>
        <w:tc>
          <w:tcPr>
            <w:tcW w:w="4360" w:type="dxa"/>
            <w:vAlign w:val="bottom"/>
          </w:tcPr>
          <w:p>
            <w:pPr>
              <w:spacing w:after="0"/>
              <w:rPr>
                <w:sz w:val="15"/>
                <w:szCs w:val="15"/>
                <w:color w:val="auto"/>
              </w:rPr>
            </w:pPr>
          </w:p>
        </w:tc>
      </w:tr>
    </w:tbl>
    <w:p>
      <w:pPr>
        <w:spacing w:after="0" w:line="152" w:lineRule="exact"/>
        <w:rPr>
          <w:sz w:val="20"/>
          <w:szCs w:val="20"/>
          <w:color w:val="auto"/>
        </w:rPr>
      </w:pPr>
    </w:p>
    <w:p>
      <w:pPr>
        <w:sectPr>
          <w:pgSz w:w="11900" w:h="16838" w:orient="portrait"/>
          <w:cols w:equalWidth="0" w:num="2">
            <w:col w:w="360" w:space="720"/>
            <w:col w:w="1030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4.4</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93" w:lineRule="auto"/>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Indenture, dated October 1, 2018, among Clearway Energy Operating LLC, the guarantors</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named therein and Delaware Trust Company, as trustee.</w:t>
        </w:r>
      </w:hyperlink>
    </w:p>
    <w:p>
      <w:pPr>
        <w:spacing w:after="0" w:line="172" w:lineRule="exact"/>
        <w:rPr>
          <w:sz w:val="20"/>
          <w:szCs w:val="20"/>
          <w:color w:val="auto"/>
        </w:rPr>
      </w:pPr>
    </w:p>
    <w:p>
      <w:pPr>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Form of 5.750% Senior Notes due 2025</w:t>
        </w:r>
      </w:hyperlink>
    </w:p>
    <w:p>
      <w:pPr>
        <w:spacing w:after="0" w:line="275" w:lineRule="exact"/>
        <w:rPr>
          <w:sz w:val="20"/>
          <w:szCs w:val="20"/>
          <w:color w:val="auto"/>
        </w:rPr>
      </w:pPr>
    </w:p>
    <w:p>
      <w:pPr>
        <w:jc w:val="both"/>
        <w:spacing w:after="0" w:line="278" w:lineRule="auto"/>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Registration Rights Agreement, dated October 1, 2018, among Clearway Energy</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Operating LLC, the guarantors named therein and RBC Capital Markets, LLC, as</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representative of the initial purchasers.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69" w:lineRule="auto"/>
        <w:rPr>
          <w:sz w:val="20"/>
          <w:szCs w:val="20"/>
          <w:color w:val="auto"/>
        </w:rPr>
      </w:pPr>
      <w:r>
        <w:rPr>
          <w:rFonts w:ascii="Arial" w:cs="Arial" w:eastAsia="Arial" w:hAnsi="Arial"/>
          <w:sz w:val="14"/>
          <w:szCs w:val="14"/>
          <w:color w:val="auto"/>
        </w:rPr>
        <w:t>Incorporated herein by reference to Exhibit 4.1 to the Registrant's Current Report on Form 8-K filed on October 2, 2018.</w:t>
      </w:r>
    </w:p>
    <w:p>
      <w:pPr>
        <w:spacing w:after="0" w:line="126" w:lineRule="exact"/>
        <w:rPr>
          <w:rFonts w:ascii="Arial" w:cs="Arial" w:eastAsia="Arial" w:hAnsi="Arial"/>
          <w:sz w:val="16"/>
          <w:szCs w:val="16"/>
          <w:u w:val="single" w:color="auto"/>
          <w:color w:val="0000FF"/>
        </w:rPr>
      </w:pPr>
    </w:p>
    <w:p>
      <w:pPr>
        <w:spacing w:after="0" w:line="342" w:lineRule="auto"/>
        <w:rPr>
          <w:sz w:val="20"/>
          <w:szCs w:val="20"/>
          <w:color w:val="auto"/>
        </w:rPr>
      </w:pPr>
      <w:r>
        <w:rPr>
          <w:rFonts w:ascii="Arial" w:cs="Arial" w:eastAsia="Arial" w:hAnsi="Arial"/>
          <w:sz w:val="14"/>
          <w:szCs w:val="14"/>
          <w:color w:val="auto"/>
        </w:rPr>
        <w:t>Incorporated herein by reference to Exhibit 4.2 to the Registrant's Current Report on Form 8-K filed on October 2, 2018.</w:t>
      </w:r>
    </w:p>
    <w:p>
      <w:pPr>
        <w:spacing w:after="0" w:line="369" w:lineRule="auto"/>
        <w:rPr>
          <w:sz w:val="20"/>
          <w:szCs w:val="20"/>
          <w:color w:val="auto"/>
        </w:rPr>
      </w:pPr>
      <w:r>
        <w:rPr>
          <w:rFonts w:ascii="Arial" w:cs="Arial" w:eastAsia="Arial" w:hAnsi="Arial"/>
          <w:sz w:val="14"/>
          <w:szCs w:val="14"/>
          <w:color w:val="auto"/>
        </w:rPr>
        <w:t>Incorporated herein by reference to Exhibit 4.3 to the Registrant's Current Report on Form 8-K filed on October 2, 2018.</w:t>
      </w:r>
    </w:p>
    <w:p>
      <w:pPr>
        <w:spacing w:after="0" w:line="328" w:lineRule="exact"/>
        <w:rPr>
          <w:rFonts w:ascii="Arial" w:cs="Arial" w:eastAsia="Arial" w:hAnsi="Arial"/>
          <w:sz w:val="16"/>
          <w:szCs w:val="16"/>
          <w:u w:val="single" w:color="auto"/>
          <w:color w:val="0000FF"/>
        </w:rPr>
      </w:pPr>
    </w:p>
    <w:p>
      <w:pPr>
        <w:sectPr>
          <w:pgSz w:w="11900" w:h="16838" w:orient="portrait"/>
          <w:cols w:equalWidth="0" w:num="3">
            <w:col w:w="360" w:space="720"/>
            <w:col w:w="5860" w:space="180"/>
            <w:col w:w="426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4.6</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63" w:lineRule="exact"/>
        <w:rPr>
          <w:rFonts w:ascii="Arial" w:cs="Arial" w:eastAsia="Arial" w:hAnsi="Arial"/>
          <w:sz w:val="16"/>
          <w:szCs w:val="16"/>
          <w:u w:val="single" w:color="auto"/>
          <w:color w:val="0000FF"/>
        </w:rPr>
      </w:pPr>
    </w:p>
    <w:p>
      <w:pPr>
        <w:ind w:left="40"/>
        <w:spacing w:after="0"/>
        <w:rPr>
          <w:sz w:val="20"/>
          <w:szCs w:val="20"/>
          <w:color w:val="auto"/>
        </w:rPr>
      </w:pPr>
      <w:r>
        <w:rPr>
          <w:rFonts w:ascii="Arial" w:cs="Arial" w:eastAsia="Arial" w:hAnsi="Arial"/>
          <w:sz w:val="14"/>
          <w:szCs w:val="14"/>
          <w:color w:val="auto"/>
        </w:rPr>
        <w:t>4.7</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6"/>
        </w:trPr>
        <w:tc>
          <w:tcPr>
            <w:tcW w:w="5880" w:type="dxa"/>
            <w:vAlign w:val="bottom"/>
            <w:tcBorders>
              <w:bottom w:val="single" w:sz="8" w:color="0000FF"/>
            </w:tcBorders>
            <w:gridSpan w:val="3"/>
          </w:tcPr>
          <w:p>
            <w:pPr>
              <w:spacing w:after="0"/>
              <w:rPr>
                <w:rFonts w:ascii="Arial" w:cs="Arial" w:eastAsia="Arial" w:hAnsi="Arial"/>
                <w:sz w:val="16"/>
                <w:szCs w:val="16"/>
                <w:color w:val="0000FF"/>
                <w:w w:val="95"/>
              </w:rPr>
            </w:pPr>
            <w:hyperlink r:id="rId42">
              <w:r>
                <w:rPr>
                  <w:rFonts w:ascii="Arial" w:cs="Arial" w:eastAsia="Arial" w:hAnsi="Arial"/>
                  <w:sz w:val="16"/>
                  <w:szCs w:val="16"/>
                  <w:color w:val="0000FF"/>
                  <w:w w:val="95"/>
                </w:rPr>
                <w:t>Ninth Supplemental Indenture, dated as of October 25, 2018, among Clearway Energy</w:t>
              </w:r>
            </w:hyperlink>
          </w:p>
        </w:tc>
        <w:tc>
          <w:tcPr>
            <w:tcW w:w="80" w:type="dxa"/>
            <w:vAlign w:val="bottom"/>
          </w:tcPr>
          <w:p>
            <w:pPr>
              <w:spacing w:after="0"/>
              <w:rPr>
                <w:sz w:val="21"/>
                <w:szCs w:val="21"/>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w w:val="91"/>
              </w:rPr>
              <w:t>Incorporated herein by reference to Exhibit 4.1 to the Registrant's</w:t>
            </w:r>
          </w:p>
        </w:tc>
      </w:tr>
      <w:tr>
        <w:trPr>
          <w:trHeight w:val="189"/>
        </w:trPr>
        <w:tc>
          <w:tcPr>
            <w:tcW w:w="5860" w:type="dxa"/>
            <w:vAlign w:val="bottom"/>
            <w:tcBorders>
              <w:bottom w:val="single" w:sz="8" w:color="0000FF"/>
            </w:tcBorders>
            <w:gridSpan w:val="2"/>
          </w:tcPr>
          <w:p>
            <w:pPr>
              <w:spacing w:after="0"/>
              <w:rPr>
                <w:rFonts w:ascii="Arial" w:cs="Arial" w:eastAsia="Arial" w:hAnsi="Arial"/>
                <w:sz w:val="16"/>
                <w:szCs w:val="16"/>
                <w:color w:val="0000FF"/>
                <w:w w:val="90"/>
              </w:rPr>
            </w:pPr>
            <w:hyperlink r:id="rId42">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2"/>
          </w:tcPr>
          <w:p>
            <w:pPr>
              <w:spacing w:after="0"/>
              <w:rPr>
                <w:sz w:val="16"/>
                <w:szCs w:val="16"/>
                <w:color w:val="auto"/>
              </w:rPr>
            </w:pPr>
          </w:p>
        </w:tc>
        <w:tc>
          <w:tcPr>
            <w:tcW w:w="4340" w:type="dxa"/>
            <w:vAlign w:val="bottom"/>
          </w:tcPr>
          <w:p>
            <w:pPr>
              <w:ind w:left="80"/>
              <w:spacing w:after="0" w:line="176" w:lineRule="exact"/>
              <w:rPr>
                <w:sz w:val="20"/>
                <w:szCs w:val="20"/>
                <w:color w:val="auto"/>
              </w:rPr>
            </w:pPr>
            <w:r>
              <w:rPr>
                <w:rFonts w:ascii="Arial" w:cs="Arial" w:eastAsia="Arial" w:hAnsi="Arial"/>
                <w:sz w:val="16"/>
                <w:szCs w:val="16"/>
                <w:color w:val="auto"/>
              </w:rPr>
              <w:t>Current Report on Form 8-K filed on October 31, 2018.</w:t>
            </w:r>
          </w:p>
        </w:tc>
      </w:tr>
      <w:tr>
        <w:trPr>
          <w:trHeight w:val="183"/>
        </w:trPr>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42">
              <w:r>
                <w:rPr>
                  <w:rFonts w:ascii="Arial" w:cs="Arial" w:eastAsia="Arial" w:hAnsi="Arial"/>
                  <w:sz w:val="16"/>
                  <w:szCs w:val="16"/>
                  <w:color w:val="0000FF"/>
                  <w:w w:val="92"/>
                </w:rPr>
                <w:t>in interest to Law Debenture Trust Company of New York).</w:t>
              </w:r>
            </w:hyperlink>
          </w:p>
        </w:tc>
        <w:tc>
          <w:tcPr>
            <w:tcW w:w="208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392"/>
        </w:trPr>
        <w:tc>
          <w:tcPr>
            <w:tcW w:w="5880" w:type="dxa"/>
            <w:vAlign w:val="bottom"/>
            <w:tcBorders>
              <w:bottom w:val="single" w:sz="8" w:color="0000FF"/>
            </w:tcBorders>
            <w:gridSpan w:val="3"/>
          </w:tcPr>
          <w:p>
            <w:pPr>
              <w:spacing w:after="0"/>
              <w:rPr>
                <w:rFonts w:ascii="Arial" w:cs="Arial" w:eastAsia="Arial" w:hAnsi="Arial"/>
                <w:sz w:val="16"/>
                <w:szCs w:val="16"/>
                <w:color w:val="0000FF"/>
                <w:w w:val="96"/>
              </w:rPr>
            </w:pPr>
            <w:hyperlink r:id="rId43">
              <w:r>
                <w:rPr>
                  <w:rFonts w:ascii="Arial" w:cs="Arial" w:eastAsia="Arial" w:hAnsi="Arial"/>
                  <w:sz w:val="16"/>
                  <w:szCs w:val="16"/>
                  <w:color w:val="0000FF"/>
                  <w:w w:val="96"/>
                </w:rPr>
                <w:t>Fifth Supplemental Indenture, dated as of October 25, 2018, among Clearway Energy</w:t>
              </w:r>
            </w:hyperlink>
          </w:p>
        </w:tc>
        <w:tc>
          <w:tcPr>
            <w:tcW w:w="80" w:type="dxa"/>
            <w:vAlign w:val="bottom"/>
          </w:tcPr>
          <w:p>
            <w:pPr>
              <w:spacing w:after="0"/>
              <w:rPr>
                <w:sz w:val="24"/>
                <w:szCs w:val="24"/>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w w:val="91"/>
              </w:rPr>
              <w:t>Incorporated herein by reference to Exhibit 4.2 to the Registrant's</w:t>
            </w:r>
          </w:p>
        </w:tc>
      </w:tr>
      <w:tr>
        <w:trPr>
          <w:trHeight w:val="189"/>
        </w:trPr>
        <w:tc>
          <w:tcPr>
            <w:tcW w:w="5860" w:type="dxa"/>
            <w:vAlign w:val="bottom"/>
            <w:tcBorders>
              <w:bottom w:val="single" w:sz="8" w:color="0000FF"/>
            </w:tcBorders>
            <w:gridSpan w:val="2"/>
          </w:tcPr>
          <w:p>
            <w:pPr>
              <w:spacing w:after="0"/>
              <w:rPr>
                <w:rFonts w:ascii="Arial" w:cs="Arial" w:eastAsia="Arial" w:hAnsi="Arial"/>
                <w:sz w:val="16"/>
                <w:szCs w:val="16"/>
                <w:color w:val="0000FF"/>
                <w:w w:val="90"/>
              </w:rPr>
            </w:pPr>
            <w:hyperlink r:id="rId43">
              <w:r>
                <w:rPr>
                  <w:rFonts w:ascii="Arial" w:cs="Arial" w:eastAsia="Arial" w:hAnsi="Arial"/>
                  <w:sz w:val="16"/>
                  <w:szCs w:val="16"/>
                  <w:color w:val="0000FF"/>
                  <w:w w:val="90"/>
                </w:rPr>
                <w:t>Operating LLC, the guarantors named therein and Delaware Trust Company (as successor</w:t>
              </w:r>
            </w:hyperlink>
          </w:p>
        </w:tc>
        <w:tc>
          <w:tcPr>
            <w:tcW w:w="100" w:type="dxa"/>
            <w:vAlign w:val="bottom"/>
            <w:gridSpan w:val="2"/>
          </w:tcPr>
          <w:p>
            <w:pPr>
              <w:spacing w:after="0"/>
              <w:rPr>
                <w:sz w:val="16"/>
                <w:szCs w:val="16"/>
                <w:color w:val="auto"/>
              </w:rPr>
            </w:pPr>
          </w:p>
        </w:tc>
        <w:tc>
          <w:tcPr>
            <w:tcW w:w="4340" w:type="dxa"/>
            <w:vAlign w:val="bottom"/>
          </w:tcPr>
          <w:p>
            <w:pPr>
              <w:ind w:left="80"/>
              <w:spacing w:after="0" w:line="176" w:lineRule="exact"/>
              <w:rPr>
                <w:sz w:val="20"/>
                <w:szCs w:val="20"/>
                <w:color w:val="auto"/>
              </w:rPr>
            </w:pPr>
            <w:r>
              <w:rPr>
                <w:rFonts w:ascii="Arial" w:cs="Arial" w:eastAsia="Arial" w:hAnsi="Arial"/>
                <w:sz w:val="16"/>
                <w:szCs w:val="16"/>
                <w:color w:val="auto"/>
              </w:rPr>
              <w:t>Current Report on Form 8-K filed on October 31, 2018.</w:t>
            </w:r>
          </w:p>
        </w:tc>
      </w:tr>
      <w:tr>
        <w:trPr>
          <w:trHeight w:val="183"/>
        </w:trPr>
        <w:tc>
          <w:tcPr>
            <w:tcW w:w="3880" w:type="dxa"/>
            <w:vAlign w:val="bottom"/>
            <w:tcBorders>
              <w:bottom w:val="single" w:sz="8" w:color="0000FF"/>
            </w:tcBorders>
          </w:tcPr>
          <w:p>
            <w:pPr>
              <w:spacing w:after="0" w:line="183" w:lineRule="exact"/>
              <w:rPr>
                <w:rFonts w:ascii="Arial" w:cs="Arial" w:eastAsia="Arial" w:hAnsi="Arial"/>
                <w:sz w:val="16"/>
                <w:szCs w:val="16"/>
                <w:color w:val="0000FF"/>
                <w:w w:val="92"/>
              </w:rPr>
            </w:pPr>
            <w:hyperlink r:id="rId43">
              <w:r>
                <w:rPr>
                  <w:rFonts w:ascii="Arial" w:cs="Arial" w:eastAsia="Arial" w:hAnsi="Arial"/>
                  <w:sz w:val="16"/>
                  <w:szCs w:val="16"/>
                  <w:color w:val="0000FF"/>
                  <w:w w:val="92"/>
                </w:rPr>
                <w:t>in interest to Law Debenture Trust Company of New York).</w:t>
              </w:r>
            </w:hyperlink>
          </w:p>
        </w:tc>
        <w:tc>
          <w:tcPr>
            <w:tcW w:w="208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bl>
    <w:p>
      <w:pPr>
        <w:spacing w:after="0" w:line="152" w:lineRule="exact"/>
        <w:rPr>
          <w:sz w:val="20"/>
          <w:szCs w:val="20"/>
          <w:color w:val="auto"/>
        </w:rPr>
      </w:pPr>
    </w:p>
    <w:p>
      <w:pPr>
        <w:sectPr>
          <w:pgSz w:w="11900" w:h="16838" w:orient="portrait"/>
          <w:cols w:equalWidth="0" w:num="2">
            <w:col w:w="360" w:space="720"/>
            <w:col w:w="1030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4.8</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br w:type="column"/>
      </w:r>
    </w:p>
    <w:p>
      <w:pPr>
        <w:spacing w:after="0" w:line="329" w:lineRule="auto"/>
        <w:rPr>
          <w:rFonts w:ascii="Arial" w:cs="Arial" w:eastAsia="Arial" w:hAnsi="Arial"/>
          <w:sz w:val="15"/>
          <w:szCs w:val="15"/>
          <w:u w:val="single" w:color="auto"/>
          <w:color w:val="0000FF"/>
        </w:rPr>
      </w:pPr>
      <w:hyperlink r:id="rId44">
        <w:r>
          <w:rPr>
            <w:rFonts w:ascii="Arial" w:cs="Arial" w:eastAsia="Arial" w:hAnsi="Arial"/>
            <w:sz w:val="15"/>
            <w:szCs w:val="15"/>
            <w:u w:val="single" w:color="auto"/>
            <w:color w:val="0000FF"/>
          </w:rPr>
          <w:t>First Supplemental Indenture, dated as of October 25, 2018, among Clearway Energy</w:t>
        </w:r>
      </w:hyperlink>
      <w:r>
        <w:rPr>
          <w:rFonts w:ascii="Arial" w:cs="Arial" w:eastAsia="Arial" w:hAnsi="Arial"/>
          <w:sz w:val="15"/>
          <w:szCs w:val="15"/>
          <w:u w:val="single" w:color="auto"/>
          <w:color w:val="0000FF"/>
        </w:rPr>
        <w:t xml:space="preserve"> </w:t>
      </w:r>
      <w:hyperlink r:id="rId44">
        <w:r>
          <w:rPr>
            <w:rFonts w:ascii="Arial" w:cs="Arial" w:eastAsia="Arial" w:hAnsi="Arial"/>
            <w:sz w:val="15"/>
            <w:szCs w:val="15"/>
            <w:u w:val="single" w:color="auto"/>
            <w:color w:val="0000FF"/>
          </w:rPr>
          <w:t>Operating LLC, the guarantors named therein and Delaware Trust Company.</w:t>
        </w:r>
      </w:hyperlink>
    </w:p>
    <w:p>
      <w:pPr>
        <w:spacing w:after="0" w:line="67" w:lineRule="exact"/>
        <w:rPr>
          <w:sz w:val="20"/>
          <w:szCs w:val="20"/>
          <w:color w:val="auto"/>
        </w:rPr>
      </w:pPr>
    </w:p>
    <w:p>
      <w:pPr>
        <w:spacing w:after="0" w:line="329" w:lineRule="auto"/>
        <w:rPr>
          <w:rFonts w:ascii="Arial" w:cs="Arial" w:eastAsia="Arial" w:hAnsi="Arial"/>
          <w:sz w:val="15"/>
          <w:szCs w:val="15"/>
          <w:u w:val="single" w:color="auto"/>
          <w:color w:val="0000FF"/>
        </w:rPr>
      </w:pPr>
      <w:hyperlink r:id="rId45">
        <w:r>
          <w:rPr>
            <w:rFonts w:ascii="Arial" w:cs="Arial" w:eastAsia="Arial" w:hAnsi="Arial"/>
            <w:sz w:val="15"/>
            <w:szCs w:val="15"/>
            <w:u w:val="single" w:color="auto"/>
            <w:color w:val="0000FF"/>
          </w:rPr>
          <w:t>Master Services Agreement, dated as of August 31, 2018, by and among NRG Yield, Inc.,</w:t>
        </w:r>
      </w:hyperlink>
      <w:r>
        <w:rPr>
          <w:rFonts w:ascii="Arial" w:cs="Arial" w:eastAsia="Arial" w:hAnsi="Arial"/>
          <w:sz w:val="15"/>
          <w:szCs w:val="15"/>
          <w:u w:val="single" w:color="auto"/>
          <w:color w:val="0000FF"/>
        </w:rPr>
        <w:t xml:space="preserve"> </w:t>
      </w:r>
      <w:hyperlink r:id="rId45">
        <w:r>
          <w:rPr>
            <w:rFonts w:ascii="Arial" w:cs="Arial" w:eastAsia="Arial" w:hAnsi="Arial"/>
            <w:sz w:val="15"/>
            <w:szCs w:val="15"/>
            <w:u w:val="single" w:color="auto"/>
            <w:color w:val="0000FF"/>
          </w:rPr>
          <w:t>NRG Yield LLC, NRG Yield Operating LLC and Zephyr Renewables LLC.</w:t>
        </w:r>
      </w:hyperlink>
    </w:p>
    <w:p>
      <w:pPr>
        <w:spacing w:after="0" w:line="20" w:lineRule="exact"/>
        <w:rPr>
          <w:sz w:val="20"/>
          <w:szCs w:val="20"/>
          <w:color w:val="auto"/>
        </w:rPr>
      </w:pPr>
      <w:r>
        <w:rPr>
          <w:sz w:val="20"/>
          <w:szCs w:val="20"/>
          <w:color w:val="auto"/>
        </w:rPr>
        <w:br w:type="column"/>
      </w:r>
    </w:p>
    <w:p>
      <w:pPr>
        <w:jc w:val="both"/>
        <w:spacing w:after="0" w:line="342" w:lineRule="auto"/>
        <w:rPr>
          <w:sz w:val="20"/>
          <w:szCs w:val="20"/>
          <w:color w:val="auto"/>
        </w:rPr>
      </w:pPr>
      <w:r>
        <w:rPr>
          <w:rFonts w:ascii="Arial" w:cs="Arial" w:eastAsia="Arial" w:hAnsi="Arial"/>
          <w:sz w:val="14"/>
          <w:szCs w:val="14"/>
          <w:color w:val="auto"/>
        </w:rPr>
        <w:t>Incorporated herein by reference to Exhibit 4.3 to the Registrant's Current Report on Form 8-K filed on October 31, 2018.</w:t>
      </w:r>
    </w:p>
    <w:p>
      <w:pPr>
        <w:jc w:val="both"/>
        <w:spacing w:after="0" w:line="278" w:lineRule="auto"/>
        <w:rPr>
          <w:sz w:val="20"/>
          <w:szCs w:val="20"/>
          <w:color w:val="auto"/>
        </w:rPr>
      </w:pPr>
      <w:r>
        <w:rPr>
          <w:rFonts w:ascii="Arial" w:cs="Arial" w:eastAsia="Arial" w:hAnsi="Arial"/>
          <w:sz w:val="16"/>
          <w:szCs w:val="16"/>
          <w:color w:val="auto"/>
        </w:rPr>
        <w:t>Incorporated herein by reference to Exhibit 10.1 to the Registrant's Current Report on Form 8-K filed on September 5, 2018.</w:t>
      </w:r>
    </w:p>
    <w:p>
      <w:pPr>
        <w:spacing w:after="0" w:line="184" w:lineRule="exact"/>
        <w:rPr>
          <w:sz w:val="20"/>
          <w:szCs w:val="20"/>
          <w:color w:val="auto"/>
        </w:rPr>
      </w:pPr>
    </w:p>
    <w:p>
      <w:pPr>
        <w:sectPr>
          <w:pgSz w:w="11900" w:h="16838" w:orient="portrait"/>
          <w:cols w:equalWidth="0" w:num="3">
            <w:col w:w="360" w:space="720"/>
            <w:col w:w="5860" w:space="180"/>
            <w:col w:w="4260"/>
          </w:cols>
          <w:pgMar w:left="240" w:top="688" w:right="279" w:bottom="1440" w:gutter="0" w:footer="0" w:header="0"/>
          <w:type w:val="continuous"/>
        </w:sectPr>
      </w:pPr>
    </w:p>
    <w:tbl>
      <w:tblPr>
        <w:tblLayout w:type="fixed"/>
        <w:tblInd w:w="40"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10.2</w:t>
            </w:r>
          </w:p>
        </w:tc>
        <w:tc>
          <w:tcPr>
            <w:tcW w:w="5860" w:type="dxa"/>
            <w:vAlign w:val="bottom"/>
            <w:gridSpan w:val="2"/>
            <w:vMerge w:val="restart"/>
          </w:tcPr>
          <w:p>
            <w:pPr>
              <w:spacing w:after="0"/>
              <w:rPr>
                <w:rFonts w:ascii="Arial" w:cs="Arial" w:eastAsia="Arial" w:hAnsi="Arial"/>
                <w:sz w:val="16"/>
                <w:szCs w:val="16"/>
                <w:color w:val="0000FF"/>
              </w:rPr>
            </w:pPr>
            <w:hyperlink r:id="rId46">
              <w:r>
                <w:rPr>
                  <w:rFonts w:ascii="Arial" w:cs="Arial" w:eastAsia="Arial" w:hAnsi="Arial"/>
                  <w:sz w:val="16"/>
                  <w:szCs w:val="16"/>
                  <w:color w:val="0000FF"/>
                </w:rPr>
                <w:t>Master Services Agreement, dated as of August 31, 2018, by and among Zephyr</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6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560" w:type="dxa"/>
            <w:vAlign w:val="bottom"/>
            <w:tcBorders>
              <w:bottom w:val="single" w:sz="8" w:color="0000FF"/>
            </w:tcBorders>
          </w:tcPr>
          <w:p>
            <w:pPr>
              <w:spacing w:after="0" w:line="183" w:lineRule="exact"/>
              <w:rPr>
                <w:rFonts w:ascii="Arial" w:cs="Arial" w:eastAsia="Arial" w:hAnsi="Arial"/>
                <w:sz w:val="16"/>
                <w:szCs w:val="16"/>
                <w:color w:val="0000FF"/>
                <w:w w:val="94"/>
              </w:rPr>
            </w:pPr>
            <w:hyperlink r:id="rId46">
              <w:r>
                <w:rPr>
                  <w:rFonts w:ascii="Arial" w:cs="Arial" w:eastAsia="Arial" w:hAnsi="Arial"/>
                  <w:sz w:val="16"/>
                  <w:szCs w:val="16"/>
                  <w:color w:val="0000FF"/>
                  <w:w w:val="94"/>
                </w:rPr>
                <w:t>Renewables LLC, NRG Yield, Inc., NRG Yield LLC, and NRG Yield Operating LLC</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6"/>
          <w:szCs w:val="16"/>
          <w:color w:val="auto"/>
        </w:rPr>
        <w:t>Incorporated herein by reference to Exhibit 10.2 to the Registrant's Current Report on Form 8-K filed on September 5, 2018.</w:t>
      </w:r>
    </w:p>
    <w:p>
      <w:pPr>
        <w:spacing w:after="0" w:line="172" w:lineRule="exact"/>
        <w:rPr>
          <w:sz w:val="20"/>
          <w:szCs w:val="20"/>
          <w:color w:val="auto"/>
        </w:rPr>
      </w:pPr>
    </w:p>
    <w:p>
      <w:pPr>
        <w:sectPr>
          <w:pgSz w:w="11900" w:h="16838" w:orient="portrait"/>
          <w:cols w:equalWidth="0" w:num="2">
            <w:col w:w="6940" w:space="180"/>
            <w:col w:w="4260"/>
          </w:cols>
          <w:pgMar w:left="240" w:top="688" w:right="27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10.3</w:t>
            </w:r>
          </w:p>
        </w:tc>
        <w:tc>
          <w:tcPr>
            <w:tcW w:w="5860" w:type="dxa"/>
            <w:vAlign w:val="bottom"/>
            <w:tcBorders>
              <w:bottom w:val="single" w:sz="8" w:color="0000FF"/>
            </w:tcBorders>
            <w:gridSpan w:val="3"/>
          </w:tcPr>
          <w:p>
            <w:pPr>
              <w:spacing w:after="0"/>
              <w:rPr>
                <w:rFonts w:ascii="Arial" w:cs="Arial" w:eastAsia="Arial" w:hAnsi="Arial"/>
                <w:sz w:val="16"/>
                <w:szCs w:val="16"/>
                <w:color w:val="0000FF"/>
                <w:w w:val="94"/>
              </w:rPr>
            </w:pPr>
            <w:hyperlink r:id="rId47">
              <w:r>
                <w:rPr>
                  <w:rFonts w:ascii="Arial" w:cs="Arial" w:eastAsia="Arial" w:hAnsi="Arial"/>
                  <w:sz w:val="16"/>
                  <w:szCs w:val="16"/>
                  <w:color w:val="0000FF"/>
                  <w:w w:val="94"/>
                </w:rPr>
                <w:t>Right of First Offer Agreement, dated as of August 31, 2018, by and among NRG Yield,</w:t>
              </w:r>
            </w:hyperlink>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3"/>
          </w:tcPr>
          <w:p>
            <w:pPr>
              <w:spacing w:after="0" w:line="183" w:lineRule="exact"/>
              <w:rPr>
                <w:rFonts w:ascii="Arial" w:cs="Arial" w:eastAsia="Arial" w:hAnsi="Arial"/>
                <w:sz w:val="16"/>
                <w:szCs w:val="16"/>
                <w:color w:val="0000FF"/>
                <w:w w:val="98"/>
              </w:rPr>
            </w:pPr>
            <w:hyperlink r:id="rId47">
              <w:r>
                <w:rPr>
                  <w:rFonts w:ascii="Arial" w:cs="Arial" w:eastAsia="Arial" w:hAnsi="Arial"/>
                  <w:sz w:val="16"/>
                  <w:szCs w:val="16"/>
                  <w:color w:val="0000FF"/>
                  <w:w w:val="98"/>
                </w:rPr>
                <w:t>Inc., Zephyr Renewables LLC and solely for purposes of Section 2.4, GIP III Zephyr</w:t>
              </w:r>
            </w:hyperlink>
          </w:p>
        </w:tc>
      </w:tr>
      <w:tr>
        <w:trPr>
          <w:trHeight w:val="183"/>
        </w:trPr>
        <w:tc>
          <w:tcPr>
            <w:tcW w:w="1040" w:type="dxa"/>
            <w:vAlign w:val="bottom"/>
          </w:tcPr>
          <w:p>
            <w:pPr>
              <w:spacing w:after="0"/>
              <w:rPr>
                <w:sz w:val="15"/>
                <w:szCs w:val="15"/>
                <w:color w:val="auto"/>
              </w:rPr>
            </w:pPr>
          </w:p>
        </w:tc>
        <w:tc>
          <w:tcPr>
            <w:tcW w:w="166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47">
              <w:r>
                <w:rPr>
                  <w:rFonts w:ascii="Arial" w:cs="Arial" w:eastAsia="Arial" w:hAnsi="Arial"/>
                  <w:sz w:val="16"/>
                  <w:szCs w:val="16"/>
                  <w:color w:val="0000FF"/>
                  <w:w w:val="91"/>
                </w:rPr>
                <w:t>Acquisition Partners, L.P.</w:t>
              </w:r>
            </w:hyperlink>
          </w:p>
        </w:tc>
        <w:tc>
          <w:tcPr>
            <w:tcW w:w="4200" w:type="dxa"/>
            <w:vAlign w:val="bottom"/>
            <w:gridSpan w:val="2"/>
          </w:tcPr>
          <w:p>
            <w:pPr>
              <w:spacing w:after="0"/>
              <w:rPr>
                <w:sz w:val="15"/>
                <w:szCs w:val="15"/>
                <w:color w:val="auto"/>
              </w:rPr>
            </w:pPr>
          </w:p>
        </w:tc>
      </w:tr>
      <w:tr>
        <w:trPr>
          <w:trHeight w:val="439"/>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10.4</w:t>
            </w:r>
          </w:p>
        </w:tc>
        <w:tc>
          <w:tcPr>
            <w:tcW w:w="5860" w:type="dxa"/>
            <w:vAlign w:val="bottom"/>
            <w:tcBorders>
              <w:bottom w:val="single" w:sz="8" w:color="0000FF"/>
            </w:tcBorders>
            <w:gridSpan w:val="3"/>
          </w:tcPr>
          <w:p>
            <w:pPr>
              <w:spacing w:after="0"/>
              <w:rPr>
                <w:rFonts w:ascii="Arial" w:cs="Arial" w:eastAsia="Arial" w:hAnsi="Arial"/>
                <w:sz w:val="16"/>
                <w:szCs w:val="16"/>
                <w:color w:val="0000FF"/>
                <w:w w:val="91"/>
              </w:rPr>
            </w:pPr>
            <w:hyperlink r:id="rId48">
              <w:r>
                <w:rPr>
                  <w:rFonts w:ascii="Arial" w:cs="Arial" w:eastAsia="Arial" w:hAnsi="Arial"/>
                  <w:sz w:val="16"/>
                  <w:szCs w:val="16"/>
                  <w:color w:val="0000FF"/>
                  <w:w w:val="91"/>
                </w:rPr>
                <w:t>Zephyr Voting and Governance Agreement, dated as of August 31, 2018, by and between</w:t>
              </w:r>
            </w:hyperlink>
          </w:p>
        </w:tc>
      </w:tr>
      <w:tr>
        <w:trPr>
          <w:trHeight w:val="183"/>
        </w:trPr>
        <w:tc>
          <w:tcPr>
            <w:tcW w:w="1040" w:type="dxa"/>
            <w:vAlign w:val="bottom"/>
          </w:tcPr>
          <w:p>
            <w:pPr>
              <w:spacing w:after="0"/>
              <w:rPr>
                <w:sz w:val="15"/>
                <w:szCs w:val="15"/>
                <w:color w:val="auto"/>
              </w:rPr>
            </w:pPr>
          </w:p>
        </w:tc>
        <w:tc>
          <w:tcPr>
            <w:tcW w:w="3060" w:type="dxa"/>
            <w:vAlign w:val="bottom"/>
            <w:tcBorders>
              <w:bottom w:val="single" w:sz="8" w:color="0000FF"/>
            </w:tcBorders>
            <w:gridSpan w:val="2"/>
          </w:tcPr>
          <w:p>
            <w:pPr>
              <w:spacing w:after="0" w:line="183" w:lineRule="exact"/>
              <w:rPr>
                <w:rFonts w:ascii="Arial" w:cs="Arial" w:eastAsia="Arial" w:hAnsi="Arial"/>
                <w:sz w:val="16"/>
                <w:szCs w:val="16"/>
                <w:color w:val="0000FF"/>
                <w:w w:val="93"/>
              </w:rPr>
            </w:pPr>
            <w:hyperlink r:id="rId48">
              <w:r>
                <w:rPr>
                  <w:rFonts w:ascii="Arial" w:cs="Arial" w:eastAsia="Arial" w:hAnsi="Arial"/>
                  <w:sz w:val="16"/>
                  <w:szCs w:val="16"/>
                  <w:color w:val="0000FF"/>
                  <w:w w:val="93"/>
                </w:rPr>
                <w:t>NRG Yield, Inc. and Zephyr Renewables LLC.</w:t>
              </w:r>
            </w:hyperlink>
          </w:p>
        </w:tc>
        <w:tc>
          <w:tcPr>
            <w:tcW w:w="28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6"/>
          <w:szCs w:val="16"/>
          <w:color w:val="auto"/>
        </w:rPr>
        <w:t>Incorporated herein by reference to Exhibit 10.3 to the Registrant's Current Report on Form 8-K filed on September 5, 2018.</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10.4 to the Registrant's Current Report on Form 8-K filed on September 5, 2018.</w:t>
      </w:r>
    </w:p>
    <w:p>
      <w:pPr>
        <w:spacing w:after="0" w:line="200" w:lineRule="exact"/>
        <w:rPr>
          <w:sz w:val="20"/>
          <w:szCs w:val="20"/>
          <w:color w:val="auto"/>
        </w:rPr>
      </w:pPr>
    </w:p>
    <w:p>
      <w:pPr>
        <w:sectPr>
          <w:pgSz w:w="11900" w:h="16838" w:orient="portrait"/>
          <w:cols w:equalWidth="0" w:num="2">
            <w:col w:w="6940" w:space="180"/>
            <w:col w:w="4260"/>
          </w:cols>
          <w:pgMar w:left="240" w:top="688" w:right="279" w:bottom="1440" w:gutter="0" w:footer="0" w:header="0"/>
          <w:type w:val="continuous"/>
        </w:sect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80"/>
          </w:cols>
          <w:pgMar w:left="240" w:top="688" w:right="279" w:bottom="1440" w:gutter="0" w:footer="0" w:header="0"/>
          <w:type w:val="continuous"/>
        </w:sectPr>
      </w:pPr>
    </w:p>
    <w:bookmarkStart w:id="59" w:name="page60"/>
    <w:bookmarkEnd w:id="59"/>
    <w:tbl>
      <w:tblPr>
        <w:tblLayout w:type="fixed"/>
        <w:tblInd w:w="5" w:type="dxa"/>
        <w:tblCellMar>
          <w:top w:w="0" w:type="dxa"/>
          <w:left w:w="0" w:type="dxa"/>
          <w:bottom w:w="0" w:type="dxa"/>
          <w:right w:w="0" w:type="dxa"/>
        </w:tblCellMar>
      </w:tblPr>
      <w:tr>
        <w:trPr>
          <w:trHeight w:val="206"/>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10.5</w:t>
            </w:r>
          </w:p>
        </w:tc>
        <w:tc>
          <w:tcPr>
            <w:tcW w:w="5860" w:type="dxa"/>
            <w:vAlign w:val="bottom"/>
            <w:gridSpan w:val="8"/>
            <w:vMerge w:val="restart"/>
          </w:tcPr>
          <w:p>
            <w:pPr>
              <w:spacing w:after="0"/>
              <w:rPr>
                <w:rFonts w:ascii="Arial" w:cs="Arial" w:eastAsia="Arial" w:hAnsi="Arial"/>
                <w:sz w:val="16"/>
                <w:szCs w:val="16"/>
                <w:color w:val="0000FF"/>
                <w:w w:val="98"/>
              </w:rPr>
            </w:pPr>
            <w:hyperlink r:id="rId49">
              <w:r>
                <w:rPr>
                  <w:rFonts w:ascii="Arial" w:cs="Arial" w:eastAsia="Arial" w:hAnsi="Arial"/>
                  <w:sz w:val="16"/>
                  <w:szCs w:val="16"/>
                  <w:color w:val="0000FF"/>
                  <w:w w:val="98"/>
                </w:rPr>
                <w:t>Third Amended and Restated Right of First Offer Agreement, dated as of August 31,</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60" w:type="dxa"/>
            <w:vAlign w:val="bottom"/>
            <w:tcBorders>
              <w:bottom w:val="single" w:sz="8" w:color="0000FF"/>
            </w:tcBorders>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8"/>
          </w:tcPr>
          <w:p>
            <w:pPr>
              <w:spacing w:after="0" w:line="183" w:lineRule="exact"/>
              <w:rPr>
                <w:rFonts w:ascii="Arial" w:cs="Arial" w:eastAsia="Arial" w:hAnsi="Arial"/>
                <w:sz w:val="16"/>
                <w:szCs w:val="16"/>
                <w:color w:val="0000FF"/>
              </w:rPr>
            </w:pPr>
            <w:hyperlink r:id="rId49">
              <w:r>
                <w:rPr>
                  <w:rFonts w:ascii="Arial" w:cs="Arial" w:eastAsia="Arial" w:hAnsi="Arial"/>
                  <w:sz w:val="16"/>
                  <w:szCs w:val="16"/>
                  <w:color w:val="0000FF"/>
                </w:rPr>
                <w:t>2018, by and between NRG Yield, Inc. and NRG Energy, Inc.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679"/>
              <w:spacing w:after="0"/>
              <w:rPr>
                <w:sz w:val="20"/>
                <w:szCs w:val="20"/>
                <w:color w:val="auto"/>
              </w:rPr>
            </w:pPr>
            <w:r>
              <w:rPr>
                <w:rFonts w:ascii="Arial" w:cs="Arial" w:eastAsia="Arial" w:hAnsi="Arial"/>
                <w:sz w:val="16"/>
                <w:szCs w:val="16"/>
                <w:color w:val="auto"/>
                <w:w w:val="83"/>
              </w:rPr>
              <w:t>10.6</w:t>
            </w: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860" w:type="dxa"/>
            <w:vAlign w:val="bottom"/>
            <w:gridSpan w:val="8"/>
            <w:vMerge w:val="restart"/>
          </w:tcPr>
          <w:p>
            <w:pPr>
              <w:spacing w:after="0"/>
              <w:rPr>
                <w:rFonts w:ascii="Arial" w:cs="Arial" w:eastAsia="Arial" w:hAnsi="Arial"/>
                <w:sz w:val="16"/>
                <w:szCs w:val="16"/>
                <w:color w:val="0000FF"/>
                <w:w w:val="99"/>
              </w:rPr>
            </w:pPr>
            <w:hyperlink r:id="rId50">
              <w:r>
                <w:rPr>
                  <w:rFonts w:ascii="Arial" w:cs="Arial" w:eastAsia="Arial" w:hAnsi="Arial"/>
                  <w:sz w:val="16"/>
                  <w:szCs w:val="16"/>
                  <w:color w:val="0000FF"/>
                  <w:w w:val="99"/>
                </w:rPr>
                <w:t>Fourth Amended and Restated Limited Liability Company Agreement of NRG Yield</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60" w:type="dxa"/>
            <w:vAlign w:val="bottom"/>
            <w:tcBorders>
              <w:bottom w:val="single" w:sz="8" w:color="0000FF"/>
            </w:tcBorders>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8"/>
          </w:tcPr>
          <w:p>
            <w:pPr>
              <w:spacing w:after="0" w:line="183" w:lineRule="exact"/>
              <w:rPr>
                <w:rFonts w:ascii="Arial" w:cs="Arial" w:eastAsia="Arial" w:hAnsi="Arial"/>
                <w:sz w:val="16"/>
                <w:szCs w:val="16"/>
                <w:color w:val="0000FF"/>
              </w:rPr>
            </w:pPr>
            <w:hyperlink r:id="rId50">
              <w:r>
                <w:rPr>
                  <w:rFonts w:ascii="Arial" w:cs="Arial" w:eastAsia="Arial" w:hAnsi="Arial"/>
                  <w:sz w:val="16"/>
                  <w:szCs w:val="16"/>
                  <w:color w:val="0000FF"/>
                </w:rPr>
                <w:t>LLC, dated as of August 31, 2018, by and between NRG Yield, Inc. and Zephyr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8"/>
          </w:tcPr>
          <w:p>
            <w:pPr>
              <w:spacing w:after="0" w:line="183" w:lineRule="exact"/>
              <w:rPr>
                <w:rFonts w:ascii="Arial" w:cs="Arial" w:eastAsia="Arial" w:hAnsi="Arial"/>
                <w:sz w:val="16"/>
                <w:szCs w:val="16"/>
                <w:color w:val="0000FF"/>
              </w:rPr>
            </w:pPr>
            <w:hyperlink r:id="rId50">
              <w:r>
                <w:rPr>
                  <w:rFonts w:ascii="Arial" w:cs="Arial" w:eastAsia="Arial" w:hAnsi="Arial"/>
                  <w:sz w:val="16"/>
                  <w:szCs w:val="16"/>
                  <w:color w:val="0000FF"/>
                </w:rPr>
                <w:t>Renewables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679"/>
              <w:spacing w:after="0"/>
              <w:rPr>
                <w:sz w:val="20"/>
                <w:szCs w:val="20"/>
                <w:color w:val="auto"/>
              </w:rPr>
            </w:pPr>
            <w:r>
              <w:rPr>
                <w:rFonts w:ascii="Arial" w:cs="Arial" w:eastAsia="Arial" w:hAnsi="Arial"/>
                <w:sz w:val="16"/>
                <w:szCs w:val="16"/>
                <w:color w:val="auto"/>
                <w:w w:val="83"/>
              </w:rPr>
              <w:t>10.7</w:t>
            </w:r>
          </w:p>
        </w:tc>
        <w:tc>
          <w:tcPr>
            <w:tcW w:w="1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860" w:type="dxa"/>
            <w:vAlign w:val="bottom"/>
            <w:gridSpan w:val="8"/>
            <w:vMerge w:val="restart"/>
          </w:tcPr>
          <w:p>
            <w:pPr>
              <w:spacing w:after="0"/>
              <w:rPr>
                <w:rFonts w:ascii="Arial" w:cs="Arial" w:eastAsia="Arial" w:hAnsi="Arial"/>
                <w:sz w:val="16"/>
                <w:szCs w:val="16"/>
                <w:color w:val="0000FF"/>
                <w:w w:val="93"/>
              </w:rPr>
            </w:pPr>
            <w:hyperlink r:id="rId51">
              <w:r>
                <w:rPr>
                  <w:rFonts w:ascii="Arial" w:cs="Arial" w:eastAsia="Arial" w:hAnsi="Arial"/>
                  <w:sz w:val="16"/>
                  <w:szCs w:val="16"/>
                  <w:color w:val="0000FF"/>
                  <w:w w:val="93"/>
                </w:rPr>
                <w:t>Transition Services Agreement, dated August 31, 2018, by and between NRG Yield, Inc.</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60" w:type="dxa"/>
            <w:vAlign w:val="bottom"/>
            <w:tcBorders>
              <w:bottom w:val="single" w:sz="8" w:color="0000FF"/>
            </w:tcBorders>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440" w:type="dxa"/>
            <w:vAlign w:val="bottom"/>
            <w:tcBorders>
              <w:bottom w:val="single" w:sz="8" w:color="0000FF"/>
            </w:tcBorders>
            <w:gridSpan w:val="2"/>
          </w:tcPr>
          <w:p>
            <w:pPr>
              <w:spacing w:after="0" w:line="183" w:lineRule="exact"/>
              <w:rPr>
                <w:rFonts w:ascii="Arial" w:cs="Arial" w:eastAsia="Arial" w:hAnsi="Arial"/>
                <w:sz w:val="16"/>
                <w:szCs w:val="16"/>
                <w:color w:val="0000FF"/>
                <w:w w:val="90"/>
              </w:rPr>
            </w:pPr>
            <w:hyperlink r:id="rId51">
              <w:r>
                <w:rPr>
                  <w:rFonts w:ascii="Arial" w:cs="Arial" w:eastAsia="Arial" w:hAnsi="Arial"/>
                  <w:sz w:val="16"/>
                  <w:szCs w:val="16"/>
                  <w:color w:val="0000FF"/>
                  <w:w w:val="90"/>
                </w:rPr>
                <w:t>and NRG Energy, Inc.</w:t>
              </w:r>
            </w:hyperlink>
          </w:p>
        </w:tc>
        <w:tc>
          <w:tcPr>
            <w:tcW w:w="44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10.8</w:t>
            </w:r>
          </w:p>
        </w:tc>
        <w:tc>
          <w:tcPr>
            <w:tcW w:w="5860" w:type="dxa"/>
            <w:vAlign w:val="bottom"/>
            <w:tcBorders>
              <w:bottom w:val="single" w:sz="8" w:color="0000FF"/>
            </w:tcBorders>
            <w:gridSpan w:val="8"/>
          </w:tcPr>
          <w:p>
            <w:pPr>
              <w:spacing w:after="0"/>
              <w:rPr>
                <w:rFonts w:ascii="Arial" w:cs="Arial" w:eastAsia="Arial" w:hAnsi="Arial"/>
                <w:sz w:val="16"/>
                <w:szCs w:val="16"/>
                <w:color w:val="0000FF"/>
                <w:w w:val="95"/>
              </w:rPr>
            </w:pPr>
            <w:hyperlink r:id="rId52">
              <w:r>
                <w:rPr>
                  <w:rFonts w:ascii="Arial" w:cs="Arial" w:eastAsia="Arial" w:hAnsi="Arial"/>
                  <w:sz w:val="16"/>
                  <w:szCs w:val="16"/>
                  <w:color w:val="0000FF"/>
                  <w:w w:val="95"/>
                </w:rPr>
                <w:t>364-Day Bridge Credit Agreement, dated August 31, 2018, by and between NRG Yield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8"/>
          </w:tcPr>
          <w:p>
            <w:pPr>
              <w:spacing w:after="0" w:line="183" w:lineRule="exact"/>
              <w:rPr>
                <w:rFonts w:ascii="Arial" w:cs="Arial" w:eastAsia="Arial" w:hAnsi="Arial"/>
                <w:sz w:val="16"/>
                <w:szCs w:val="16"/>
                <w:color w:val="0000FF"/>
                <w:w w:val="94"/>
              </w:rPr>
            </w:pPr>
            <w:hyperlink r:id="rId52">
              <w:r>
                <w:rPr>
                  <w:rFonts w:ascii="Arial" w:cs="Arial" w:eastAsia="Arial" w:hAnsi="Arial"/>
                  <w:sz w:val="16"/>
                  <w:szCs w:val="16"/>
                  <w:color w:val="0000FF"/>
                  <w:w w:val="94"/>
                </w:rPr>
                <w:t>Operating LLC, as borrower, NRG Yield LLC, as holdings, the lenders party thereto and</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8"/>
          </w:tcPr>
          <w:p>
            <w:pPr>
              <w:spacing w:after="0" w:line="183" w:lineRule="exact"/>
              <w:rPr>
                <w:rFonts w:ascii="Arial" w:cs="Arial" w:eastAsia="Arial" w:hAnsi="Arial"/>
                <w:sz w:val="16"/>
                <w:szCs w:val="16"/>
                <w:color w:val="0000FF"/>
              </w:rPr>
            </w:pPr>
            <w:hyperlink r:id="rId52">
              <w:r>
                <w:rPr>
                  <w:rFonts w:ascii="Arial" w:cs="Arial" w:eastAsia="Arial" w:hAnsi="Arial"/>
                  <w:sz w:val="16"/>
                  <w:szCs w:val="16"/>
                  <w:color w:val="0000FF"/>
                </w:rPr>
                <w:t>Royal Bank of Canada, as administrative agent.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10.9</w:t>
            </w:r>
          </w:p>
        </w:tc>
        <w:tc>
          <w:tcPr>
            <w:tcW w:w="5860" w:type="dxa"/>
            <w:vAlign w:val="bottom"/>
            <w:tcBorders>
              <w:bottom w:val="single" w:sz="8" w:color="0000FF"/>
            </w:tcBorders>
            <w:gridSpan w:val="8"/>
          </w:tcPr>
          <w:p>
            <w:pPr>
              <w:spacing w:after="0"/>
              <w:rPr>
                <w:rFonts w:ascii="Arial" w:cs="Arial" w:eastAsia="Arial" w:hAnsi="Arial"/>
                <w:sz w:val="16"/>
                <w:szCs w:val="16"/>
                <w:color w:val="0000FF"/>
                <w:w w:val="96"/>
              </w:rPr>
            </w:pPr>
            <w:hyperlink r:id="rId53">
              <w:r>
                <w:rPr>
                  <w:rFonts w:ascii="Arial" w:cs="Arial" w:eastAsia="Arial" w:hAnsi="Arial"/>
                  <w:sz w:val="16"/>
                  <w:szCs w:val="16"/>
                  <w:color w:val="0000FF"/>
                  <w:w w:val="96"/>
                </w:rPr>
                <w:t>Termination Agreement, dated as of August 31, 2018, by and among NRG Yield, Inc.,</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8"/>
          </w:tcPr>
          <w:p>
            <w:pPr>
              <w:spacing w:after="0" w:line="183" w:lineRule="exact"/>
              <w:rPr>
                <w:rFonts w:ascii="Arial" w:cs="Arial" w:eastAsia="Arial" w:hAnsi="Arial"/>
                <w:sz w:val="16"/>
                <w:szCs w:val="16"/>
                <w:color w:val="0000FF"/>
              </w:rPr>
            </w:pPr>
            <w:hyperlink r:id="rId53">
              <w:r>
                <w:rPr>
                  <w:rFonts w:ascii="Arial" w:cs="Arial" w:eastAsia="Arial" w:hAnsi="Arial"/>
                  <w:sz w:val="16"/>
                  <w:szCs w:val="16"/>
                  <w:color w:val="0000FF"/>
                </w:rPr>
                <w:t>NRG Yield LLC, NRG Yield Operating LLC and NRG Energy, Inc.</w:t>
              </w:r>
            </w:hyperlink>
          </w:p>
        </w:tc>
        <w:tc>
          <w:tcPr>
            <w:tcW w:w="0" w:type="dxa"/>
            <w:vAlign w:val="bottom"/>
          </w:tcPr>
          <w:p>
            <w:pPr>
              <w:spacing w:after="0"/>
              <w:rPr>
                <w:sz w:val="1"/>
                <w:szCs w:val="1"/>
                <w:color w:val="auto"/>
              </w:rPr>
            </w:pPr>
          </w:p>
        </w:tc>
      </w:tr>
      <w:tr>
        <w:trPr>
          <w:trHeight w:val="453"/>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31.1</w:t>
            </w:r>
          </w:p>
        </w:tc>
        <w:tc>
          <w:tcPr>
            <w:tcW w:w="408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2"/>
              </w:rPr>
            </w:pPr>
            <w:hyperlink w:anchor="page62">
              <w:r>
                <w:rPr>
                  <w:rFonts w:ascii="Arial" w:cs="Arial" w:eastAsia="Arial" w:hAnsi="Arial"/>
                  <w:sz w:val="16"/>
                  <w:szCs w:val="16"/>
                  <w:color w:val="0000FF"/>
                  <w:w w:val="92"/>
                </w:rPr>
                <w:t>Rule 13a-14(a)/15d-14(a) certification of Christopher S. Sotos.</w:t>
              </w:r>
            </w:hyperlink>
          </w:p>
        </w:tc>
        <w:tc>
          <w:tcPr>
            <w:tcW w:w="32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31.2</w:t>
            </w:r>
          </w:p>
        </w:tc>
        <w:tc>
          <w:tcPr>
            <w:tcW w:w="5860" w:type="dxa"/>
            <w:vAlign w:val="bottom"/>
            <w:gridSpan w:val="8"/>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Rule 13a-14(a)/15d-14(a) certification of Chad Plotkin.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jc w:val="right"/>
              <w:ind w:right="679"/>
              <w:spacing w:after="0"/>
              <w:rPr>
                <w:sz w:val="20"/>
                <w:szCs w:val="20"/>
                <w:color w:val="auto"/>
              </w:rPr>
            </w:pPr>
            <w:r>
              <w:rPr>
                <w:rFonts w:ascii="Arial" w:cs="Arial" w:eastAsia="Arial" w:hAnsi="Arial"/>
                <w:sz w:val="16"/>
                <w:szCs w:val="16"/>
                <w:color w:val="auto"/>
                <w:w w:val="83"/>
              </w:rPr>
              <w:t>31.3</w:t>
            </w:r>
          </w:p>
        </w:tc>
        <w:tc>
          <w:tcPr>
            <w:tcW w:w="4000" w:type="dxa"/>
            <w:vAlign w:val="bottom"/>
            <w:tcBorders>
              <w:bottom w:val="single" w:sz="8" w:color="0000FF"/>
            </w:tcBorders>
            <w:gridSpan w:val="5"/>
          </w:tcPr>
          <w:p>
            <w:pPr>
              <w:spacing w:after="0"/>
              <w:rPr>
                <w:rFonts w:ascii="Arial" w:cs="Arial" w:eastAsia="Arial" w:hAnsi="Arial"/>
                <w:sz w:val="16"/>
                <w:szCs w:val="16"/>
                <w:color w:val="0000FF"/>
                <w:w w:val="94"/>
              </w:rPr>
            </w:pPr>
            <w:hyperlink w:anchor="page64">
              <w:r>
                <w:rPr>
                  <w:rFonts w:ascii="Arial" w:cs="Arial" w:eastAsia="Arial" w:hAnsi="Arial"/>
                  <w:sz w:val="16"/>
                  <w:szCs w:val="16"/>
                  <w:color w:val="0000FF"/>
                  <w:w w:val="94"/>
                </w:rPr>
                <w:t>Rule 13a-14(a)/15d-14(a) certification of Mary-Lee Stillwell.</w:t>
              </w:r>
            </w:hyperlink>
          </w:p>
        </w:tc>
        <w:tc>
          <w:tcPr>
            <w:tcW w:w="18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45" w:hanging="1045"/>
        <w:spacing w:after="0"/>
        <w:tabs>
          <w:tab w:leader="none" w:pos="1045" w:val="left"/>
        </w:tabs>
        <w:numPr>
          <w:ilvl w:val="0"/>
          <w:numId w:val="30"/>
        </w:numPr>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Section 1350 Certification.</w:t>
        </w:r>
      </w:hyperlink>
    </w:p>
    <w:p>
      <w:pPr>
        <w:spacing w:after="0" w:line="86" w:lineRule="exact"/>
        <w:rPr>
          <w:sz w:val="20"/>
          <w:szCs w:val="20"/>
          <w:color w:val="auto"/>
        </w:rPr>
      </w:pPr>
    </w:p>
    <w:tbl>
      <w:tblPr>
        <w:tblLayout w:type="fixed"/>
        <w:tblInd w:w="5" w:type="dxa"/>
        <w:tblCellMar>
          <w:top w:w="0" w:type="dxa"/>
          <w:left w:w="0" w:type="dxa"/>
          <w:bottom w:w="0" w:type="dxa"/>
          <w:right w:w="0" w:type="dxa"/>
        </w:tblCellMar>
      </w:tblPr>
      <w:tr>
        <w:trPr>
          <w:trHeight w:val="206"/>
        </w:trPr>
        <w:tc>
          <w:tcPr>
            <w:tcW w:w="820" w:type="dxa"/>
            <w:vAlign w:val="bottom"/>
            <w:gridSpan w:val="2"/>
          </w:tcPr>
          <w:p>
            <w:pPr>
              <w:spacing w:after="0"/>
              <w:rPr>
                <w:sz w:val="20"/>
                <w:szCs w:val="20"/>
                <w:color w:val="auto"/>
              </w:rPr>
            </w:pPr>
            <w:r>
              <w:rPr>
                <w:rFonts w:ascii="Arial" w:cs="Arial" w:eastAsia="Arial" w:hAnsi="Arial"/>
                <w:sz w:val="16"/>
                <w:szCs w:val="16"/>
                <w:color w:val="auto"/>
              </w:rPr>
              <w:t>101 INS</w:t>
            </w:r>
          </w:p>
        </w:tc>
        <w:tc>
          <w:tcPr>
            <w:tcW w:w="3580" w:type="dxa"/>
            <w:vAlign w:val="bottom"/>
          </w:tcPr>
          <w:p>
            <w:pPr>
              <w:ind w:left="220"/>
              <w:spacing w:after="0"/>
              <w:rPr>
                <w:sz w:val="20"/>
                <w:szCs w:val="20"/>
                <w:color w:val="auto"/>
              </w:rPr>
            </w:pPr>
            <w:r>
              <w:rPr>
                <w:rFonts w:ascii="Arial" w:cs="Arial" w:eastAsia="Arial" w:hAnsi="Arial"/>
                <w:sz w:val="16"/>
                <w:szCs w:val="16"/>
                <w:color w:val="auto"/>
              </w:rPr>
              <w:t>XBRL Instance Document.</w:t>
            </w:r>
          </w:p>
        </w:tc>
      </w:tr>
      <w:tr>
        <w:trPr>
          <w:trHeight w:val="270"/>
        </w:trPr>
        <w:tc>
          <w:tcPr>
            <w:tcW w:w="82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58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3580" w:type="dxa"/>
            <w:vAlign w:val="bottom"/>
          </w:tcPr>
          <w:p>
            <w:pPr>
              <w:ind w:left="220"/>
              <w:spacing w:after="0"/>
              <w:rPr>
                <w:sz w:val="20"/>
                <w:szCs w:val="20"/>
                <w:color w:val="auto"/>
              </w:rPr>
            </w:pPr>
            <w:r>
              <w:rPr>
                <w:rFonts w:ascii="Arial" w:cs="Arial" w:eastAsia="Arial" w:hAnsi="Arial"/>
                <w:sz w:val="16"/>
                <w:szCs w:val="16"/>
                <w:color w:val="auto"/>
                <w:w w:val="94"/>
              </w:rPr>
              <w:t>XBRL Taxonomy Extension Calculation Linkbase.</w:t>
            </w:r>
          </w:p>
        </w:tc>
      </w:tr>
      <w:tr>
        <w:trPr>
          <w:trHeight w:val="270"/>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3580" w:type="dxa"/>
            <w:vAlign w:val="bottom"/>
          </w:tcPr>
          <w:p>
            <w:pPr>
              <w:ind w:left="220"/>
              <w:spacing w:after="0"/>
              <w:rPr>
                <w:sz w:val="20"/>
                <w:szCs w:val="20"/>
                <w:color w:val="auto"/>
              </w:rPr>
            </w:pPr>
            <w:r>
              <w:rPr>
                <w:rFonts w:ascii="Arial" w:cs="Arial" w:eastAsia="Arial" w:hAnsi="Arial"/>
                <w:sz w:val="16"/>
                <w:szCs w:val="16"/>
                <w:color w:val="auto"/>
                <w:w w:val="98"/>
              </w:rPr>
              <w:t>XBRL Taxonomy Extension Definition Linkbase.</w:t>
            </w:r>
          </w:p>
        </w:tc>
      </w:tr>
      <w:tr>
        <w:trPr>
          <w:trHeight w:val="270"/>
        </w:trPr>
        <w:tc>
          <w:tcPr>
            <w:tcW w:w="820" w:type="dxa"/>
            <w:vAlign w:val="bottom"/>
            <w:gridSpan w:val="2"/>
          </w:tcPr>
          <w:p>
            <w:pPr>
              <w:spacing w:after="0"/>
              <w:rPr>
                <w:sz w:val="20"/>
                <w:szCs w:val="20"/>
                <w:color w:val="auto"/>
              </w:rPr>
            </w:pPr>
            <w:r>
              <w:rPr>
                <w:rFonts w:ascii="Arial" w:cs="Arial" w:eastAsia="Arial" w:hAnsi="Arial"/>
                <w:sz w:val="16"/>
                <w:szCs w:val="16"/>
                <w:color w:val="auto"/>
              </w:rPr>
              <w:t>101 LAB</w:t>
            </w:r>
          </w:p>
        </w:tc>
        <w:tc>
          <w:tcPr>
            <w:tcW w:w="358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3580" w:type="dxa"/>
            <w:vAlign w:val="bottom"/>
          </w:tcPr>
          <w:p>
            <w:pPr>
              <w:ind w:left="220"/>
              <w:spacing w:after="0"/>
              <w:rPr>
                <w:sz w:val="20"/>
                <w:szCs w:val="20"/>
                <w:color w:val="auto"/>
              </w:rPr>
            </w:pPr>
            <w:r>
              <w:rPr>
                <w:rFonts w:ascii="Arial" w:cs="Arial" w:eastAsia="Arial" w:hAnsi="Arial"/>
                <w:sz w:val="16"/>
                <w:szCs w:val="16"/>
                <w:color w:val="auto"/>
                <w:w w:val="92"/>
              </w:rPr>
              <w:t>XBRL Taxonomy Extension Presentation Linkbase.</w:t>
            </w:r>
          </w:p>
        </w:tc>
      </w:tr>
    </w:tbl>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6"/>
          <w:szCs w:val="16"/>
          <w:color w:val="auto"/>
        </w:rPr>
        <w:t>Incorporated herein by reference to Exhibit 10.5 to the Registrant's Current Report on Form 8-K filed on September 5, 2018.</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10.6 to the Registrant's Current Report on Form 8-K filed on September 5, 2018.</w:t>
      </w:r>
    </w:p>
    <w:p>
      <w:pPr>
        <w:spacing w:after="0" w:line="38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10.7 to the Registrant's Current Report on Form 8-K filed on September 5, 2018.</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10.8 to the Registrant's Current Report on Form 8-K filed on September 5, 2018.</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Incorporated herein by reference to Exhibit 10.9 to the Registrant's Current Report on Form 8-K filed on September 5, 2018.</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22" w:lineRule="exact"/>
        <w:rPr>
          <w:sz w:val="20"/>
          <w:szCs w:val="20"/>
          <w:color w:val="auto"/>
        </w:rPr>
      </w:pPr>
    </w:p>
    <w:p>
      <w:pPr>
        <w:sectPr>
          <w:pgSz w:w="11900" w:h="16838" w:orient="portrait"/>
          <w:cols w:equalWidth="0" w:num="2">
            <w:col w:w="6905" w:space="180"/>
            <w:col w:w="4260"/>
          </w:cols>
          <w:pgMar w:left="275" w:top="859" w:right="279" w:bottom="1440" w:gutter="0" w:footer="0" w:header="0"/>
        </w:sectPr>
      </w:pPr>
    </w:p>
    <w:p>
      <w:pPr>
        <w:spacing w:after="0" w:line="38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45"/>
          </w:cols>
          <w:pgMar w:left="275" w:top="859" w:right="27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CLEARWAY ENERGY, INC.</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MARY-LEE STILLWELL</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Mary-Lee Stillwell</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6, 2018</w:t>
            </w: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68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auto"/>
              </w:rPr>
              <w:t>61</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1" w:name="page62"/>
    <w:bookmarkEnd w:id="61"/>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31750</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ectPr>
          <w:pgSz w:w="11900" w:h="16838" w:orient="portrait"/>
          <w:cols w:equalWidth="0" w:num="1">
            <w:col w:w="11420"/>
          </w:cols>
          <w:pgMar w:left="240" w:top="661" w:right="239" w:bottom="1440" w:gutter="0" w:footer="0" w:header="0"/>
        </w:sectPr>
      </w:pPr>
    </w:p>
    <w:bookmarkStart w:id="62" w:name="page63"/>
    <w:bookmarkEnd w:id="62"/>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ectPr>
          <w:pgSz w:w="11900" w:h="16838" w:orient="portrait"/>
          <w:cols w:equalWidth="0" w:num="1">
            <w:col w:w="11420"/>
          </w:cols>
          <w:pgMar w:left="240" w:top="661" w:right="239" w:bottom="1440" w:gutter="0" w:footer="0" w:header="0"/>
        </w:sectPr>
      </w:pPr>
    </w:p>
    <w:bookmarkStart w:id="63" w:name="page64"/>
    <w:bookmarkEnd w:id="63"/>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Clearway Energy, Inc. on Form 10-Q for the quarter ended September 30, 2018,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2"/>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Roman"/>
      <w:start w:val="5"/>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Roman"/>
      <w:start w:val="2"/>
    </w:lvl>
  </w:abstractNum>
  <w:abstractNum w:abstractNumId="29">
    <w:nsid w:val="6CEAF087"/>
    <w:multiLevelType w:val="hybridMultilevel"/>
    <w:lvl w:ilvl="0">
      <w:lvlJc w:val="left"/>
      <w:lvlText w:val="%1"/>
      <w:numFmt w:val="decimal"/>
      <w:start w:val="3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36" Type="http://schemas.openxmlformats.org/officeDocument/2006/relationships/hyperlink" Target="http://www.sec.gov/Archives/edgar/data/1567683/000110465918055334/a18-24111_1ex3d1.htm#Exhibit3_1_040838" TargetMode="External"/><Relationship Id="rId37" Type="http://schemas.openxmlformats.org/officeDocument/2006/relationships/hyperlink" Target="http://www.sec.gov/Archives/edgar/data/1567683/000110465918055334/a18-24111_1ex3d2.htm#Exhibit3_2_042157" TargetMode="External"/><Relationship Id="rId38" Type="http://schemas.openxmlformats.org/officeDocument/2006/relationships/hyperlink" Target="http://www.sec.gov/Archives/edgar/data/1567683/000110465918055585/a18-27020_1ex4d1.htm#Exhibit4_1_065610" TargetMode="External"/><Relationship Id="rId39" Type="http://schemas.openxmlformats.org/officeDocument/2006/relationships/hyperlink" Target="http://www.sec.gov/Archives/edgar/data/1567683/000110465918055585/a18-27020_1ex4d2.htm#Exhibit4_2_070017" TargetMode="External"/><Relationship Id="rId40" Type="http://schemas.openxmlformats.org/officeDocument/2006/relationships/hyperlink" Target="http://www.sec.gov/Archives/edgar/data/1567683/000110465918060026/a18-36222_1ex4d1.htm#Exhibit4_1_070903" TargetMode="External"/><Relationship Id="rId41" Type="http://schemas.openxmlformats.org/officeDocument/2006/relationships/hyperlink" Target="http://www.sec.gov/Archives/edgar/data/1567683/000110465918060026/a18-36222_1ex4d3.htm#Exhibit4_3_105106" TargetMode="External"/><Relationship Id="rId42" Type="http://schemas.openxmlformats.org/officeDocument/2006/relationships/hyperlink" Target="http://www.sec.gov/Archives/edgar/data/1567683/000110465918065131/a18-38184_1ex4d1.htm#Exhibit4_1_084653" TargetMode="External"/><Relationship Id="rId43" Type="http://schemas.openxmlformats.org/officeDocument/2006/relationships/hyperlink" Target="http://www.sec.gov/Archives/edgar/data/1567683/000110465918065131/a18-38184_1ex4d2.htm#Exhibit4_2_085140" TargetMode="External"/><Relationship Id="rId44" Type="http://schemas.openxmlformats.org/officeDocument/2006/relationships/hyperlink" Target="http://www.sec.gov/Archives/edgar/data/1567683/000110465918065131/a18-38184_1ex4d3.htm#Exhibit4_3_084706" TargetMode="External"/><Relationship Id="rId45" Type="http://schemas.openxmlformats.org/officeDocument/2006/relationships/hyperlink" Target="http://www.sec.gov/Archives/edgar/data/1567683/000110465918055334/a18-24111_1ex10d1.htm#Exhibit10_1_072506" TargetMode="External"/><Relationship Id="rId46" Type="http://schemas.openxmlformats.org/officeDocument/2006/relationships/hyperlink" Target="http://www.sec.gov/Archives/edgar/data/1567683/000110465918055334/a18-24111_1ex10d2.htm#Exhibit10_2_072636" TargetMode="External"/><Relationship Id="rId47" Type="http://schemas.openxmlformats.org/officeDocument/2006/relationships/hyperlink" Target="http://www.sec.gov/Archives/edgar/data/1567683/000110465918055334/a18-24111_1ex10d3.htm#Exhibit10_3_095433" TargetMode="External"/><Relationship Id="rId48" Type="http://schemas.openxmlformats.org/officeDocument/2006/relationships/hyperlink" Target="http://www.sec.gov/Archives/edgar/data/1567683/000110465918055334/a18-24111_1ex10d4.htm#Exhibit10_4_041820" TargetMode="External"/><Relationship Id="rId49" Type="http://schemas.openxmlformats.org/officeDocument/2006/relationships/hyperlink" Target="http://www.sec.gov/Archives/edgar/data/1567683/000110465918055334/a18-24111_1ex10d5.htm#EXHIBIT10_5_051412" TargetMode="External"/><Relationship Id="rId50" Type="http://schemas.openxmlformats.org/officeDocument/2006/relationships/hyperlink" Target="http://www.sec.gov/Archives/edgar/data/1567683/000110465918055334/a18-24111_1ex10d6.htm#Exhibit10_6_052216" TargetMode="External"/><Relationship Id="rId51" Type="http://schemas.openxmlformats.org/officeDocument/2006/relationships/hyperlink" Target="http://www.sec.gov/Archives/edgar/data/1567683/000110465918055334/a18-24111_1ex10d7.htm#Exhibit10_7_114008" TargetMode="External"/><Relationship Id="rId52" Type="http://schemas.openxmlformats.org/officeDocument/2006/relationships/hyperlink" Target="http://www.sec.gov/Archives/edgar/data/1567683/000110465918055334/a18-24111_1ex10d8.htm#Exhibit10_8_114021" TargetMode="External"/><Relationship Id="rId53" Type="http://schemas.openxmlformats.org/officeDocument/2006/relationships/hyperlink" Target="http://www.sec.gov/Archives/edgar/data/1567683/000110465918055334/a18-24111_1ex10d9.htm#EXHIBIT10_9_0532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2019-12-28T18:13:09Z</dcterms:created>
  <dcterms:modified xsi:type="dcterms:W3CDTF">2019-12-28T18:13:09Z</dcterms:modified>
</cp:coreProperties>
</file>