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972185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877570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880" w:right="2840" w:hanging="1397"/>
        <w:spacing w:after="0" w:line="657" w:lineRule="auto"/>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2016</w:t>
      </w:r>
    </w:p>
    <w:p>
      <w:pPr>
        <w:spacing w:after="0" w:line="1" w:lineRule="exact"/>
        <w:rPr>
          <w:sz w:val="24"/>
          <w:szCs w:val="24"/>
          <w:color w:val="auto"/>
        </w:rPr>
      </w:pPr>
    </w:p>
    <w:p>
      <w:pPr>
        <w:ind w:left="4240" w:right="2800" w:hanging="3757"/>
        <w:spacing w:after="0" w:line="510" w:lineRule="auto"/>
        <w:tabs>
          <w:tab w:leader="none" w:pos="18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333-203369</w:t>
      </w:r>
    </w:p>
    <w:p>
      <w:pPr>
        <w:jc w:val="center"/>
        <w:spacing w:after="0"/>
        <w:rPr>
          <w:sz w:val="20"/>
          <w:szCs w:val="20"/>
          <w:color w:val="auto"/>
        </w:rPr>
      </w:pPr>
      <w:r>
        <w:rPr>
          <w:rFonts w:ascii="Arial" w:cs="Arial" w:eastAsia="Arial" w:hAnsi="Arial"/>
          <w:sz w:val="43"/>
          <w:szCs w:val="43"/>
          <w:b w:val="1"/>
          <w:bCs w:val="1"/>
          <w:color w:val="auto"/>
        </w:rPr>
        <w:t>NRG Yield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5040" w:type="dxa"/>
            <w:vAlign w:val="bottom"/>
          </w:tcPr>
          <w:p>
            <w:pPr>
              <w:jc w:val="center"/>
              <w:ind w:right="155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150"/>
              <w:spacing w:after="0"/>
              <w:rPr>
                <w:sz w:val="20"/>
                <w:szCs w:val="20"/>
                <w:color w:val="auto"/>
              </w:rPr>
            </w:pPr>
            <w:r>
              <w:rPr>
                <w:rFonts w:ascii="Arial" w:cs="Arial" w:eastAsia="Arial" w:hAnsi="Arial"/>
                <w:sz w:val="18"/>
                <w:szCs w:val="18"/>
                <w:b w:val="1"/>
                <w:bCs w:val="1"/>
                <w:color w:val="auto"/>
              </w:rPr>
              <w:t>32-0407370</w:t>
            </w:r>
          </w:p>
        </w:tc>
      </w:tr>
      <w:tr>
        <w:trPr>
          <w:trHeight w:val="216"/>
        </w:trPr>
        <w:tc>
          <w:tcPr>
            <w:tcW w:w="5040" w:type="dxa"/>
            <w:vAlign w:val="bottom"/>
          </w:tcPr>
          <w:p>
            <w:pPr>
              <w:jc w:val="center"/>
              <w:ind w:right="1550"/>
              <w:spacing w:after="0"/>
              <w:rPr>
                <w:sz w:val="20"/>
                <w:szCs w:val="20"/>
                <w:color w:val="auto"/>
              </w:rPr>
            </w:pPr>
            <w:r>
              <w:rPr>
                <w:rFonts w:ascii="Arial" w:cs="Arial" w:eastAsia="Arial" w:hAnsi="Arial"/>
                <w:sz w:val="18"/>
                <w:szCs w:val="18"/>
                <w:color w:val="auto"/>
                <w:w w:val="91"/>
              </w:rPr>
              <w:t>(State or other jurisdiction</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3"/>
              </w:rPr>
              <w:t>(I.R.S. Employer</w:t>
            </w:r>
          </w:p>
        </w:tc>
      </w:tr>
      <w:tr>
        <w:trPr>
          <w:trHeight w:val="230"/>
        </w:trPr>
        <w:tc>
          <w:tcPr>
            <w:tcW w:w="5040" w:type="dxa"/>
            <w:vAlign w:val="bottom"/>
          </w:tcPr>
          <w:p>
            <w:pPr>
              <w:jc w:val="center"/>
              <w:ind w:right="1550"/>
              <w:spacing w:after="0"/>
              <w:rPr>
                <w:sz w:val="20"/>
                <w:szCs w:val="20"/>
                <w:color w:val="auto"/>
              </w:rPr>
            </w:pPr>
            <w:r>
              <w:rPr>
                <w:rFonts w:ascii="Arial" w:cs="Arial" w:eastAsia="Arial" w:hAnsi="Arial"/>
                <w:sz w:val="18"/>
                <w:szCs w:val="18"/>
                <w:color w:val="auto"/>
                <w:w w:val="92"/>
              </w:rPr>
              <w:t>of incorporation or organization)</w:t>
            </w:r>
          </w:p>
        </w:tc>
        <w:tc>
          <w:tcPr>
            <w:tcW w:w="3000" w:type="dxa"/>
            <w:vAlign w:val="bottom"/>
          </w:tcPr>
          <w:p>
            <w:pPr>
              <w:jc w:val="center"/>
              <w:ind w:left="157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5040" w:type="dxa"/>
            <w:vAlign w:val="bottom"/>
          </w:tcPr>
          <w:p>
            <w:pPr>
              <w:jc w:val="center"/>
              <w:ind w:right="1570"/>
              <w:spacing w:after="0"/>
              <w:rPr>
                <w:sz w:val="20"/>
                <w:szCs w:val="20"/>
                <w:color w:val="auto"/>
              </w:rPr>
            </w:pPr>
            <w:r>
              <w:rPr>
                <w:rFonts w:ascii="Arial" w:cs="Arial" w:eastAsia="Arial" w:hAnsi="Arial"/>
                <w:sz w:val="18"/>
                <w:szCs w:val="18"/>
                <w:b w:val="1"/>
                <w:bCs w:val="1"/>
                <w:color w:val="auto"/>
                <w:w w:val="89"/>
              </w:rPr>
              <w:t>804 Carnegie Center, Princeton, New Jersey</w:t>
            </w:r>
          </w:p>
        </w:tc>
        <w:tc>
          <w:tcPr>
            <w:tcW w:w="3000" w:type="dxa"/>
            <w:vAlign w:val="bottom"/>
          </w:tcPr>
          <w:p>
            <w:pPr>
              <w:jc w:val="right"/>
              <w:ind w:right="370"/>
              <w:spacing w:after="0"/>
              <w:rPr>
                <w:sz w:val="20"/>
                <w:szCs w:val="20"/>
                <w:color w:val="auto"/>
              </w:rPr>
            </w:pPr>
            <w:r>
              <w:rPr>
                <w:rFonts w:ascii="Arial" w:cs="Arial" w:eastAsia="Arial" w:hAnsi="Arial"/>
                <w:sz w:val="18"/>
                <w:szCs w:val="18"/>
                <w:b w:val="1"/>
                <w:bCs w:val="1"/>
                <w:color w:val="auto"/>
              </w:rPr>
              <w:t>08540</w:t>
            </w:r>
          </w:p>
        </w:tc>
      </w:tr>
      <w:tr>
        <w:trPr>
          <w:trHeight w:val="230"/>
        </w:trPr>
        <w:tc>
          <w:tcPr>
            <w:tcW w:w="5040" w:type="dxa"/>
            <w:vAlign w:val="bottom"/>
          </w:tcPr>
          <w:p>
            <w:pPr>
              <w:jc w:val="center"/>
              <w:ind w:right="157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7"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w:t>
      </w:r>
    </w:p>
    <w:p>
      <w:pPr>
        <w:spacing w:after="0" w:line="80" w:lineRule="exact"/>
        <w:rPr>
          <w:sz w:val="24"/>
          <w:szCs w:val="24"/>
          <w:color w:val="auto"/>
        </w:rPr>
      </w:pPr>
    </w:p>
    <w:p>
      <w:pPr>
        <w:ind w:left="6880"/>
        <w:spacing w:after="0"/>
        <w:tabs>
          <w:tab w:leader="none" w:pos="746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sz w:val="20"/>
          <w:szCs w:val="20"/>
          <w:color w:val="auto"/>
        </w:rPr>
        <w:tab/>
      </w:r>
      <w:r>
        <w:rPr>
          <w:rFonts w:ascii="Arial" w:cs="Arial" w:eastAsia="Arial" w:hAnsi="Arial"/>
          <w:sz w:val="14"/>
          <w:szCs w:val="14"/>
          <w:b w:val="1"/>
          <w:bCs w:val="1"/>
          <w:color w:val="auto"/>
        </w:rPr>
        <w:t xml:space="preserve">No </w:t>
      </w:r>
      <w:r>
        <w:rPr>
          <w:rFonts w:ascii="Arial" w:cs="Arial" w:eastAsia="Arial" w:hAnsi="Arial"/>
          <w:sz w:val="14"/>
          <w:szCs w:val="14"/>
          <w:color w:val="auto"/>
        </w:rPr>
        <w:t>o</w:t>
      </w:r>
    </w:p>
    <w:p>
      <w:pPr>
        <w:spacing w:after="0" w:line="117"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1" w:lineRule="exact"/>
        <w:rPr>
          <w:sz w:val="24"/>
          <w:szCs w:val="24"/>
          <w:color w:val="auto"/>
        </w:rPr>
      </w:pPr>
    </w:p>
    <w:p>
      <w:pPr>
        <w:ind w:left="6880"/>
        <w:spacing w:after="0"/>
        <w:tabs>
          <w:tab w:leader="none" w:pos="746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Arial" w:cs="Arial" w:eastAsia="Arial" w:hAnsi="Arial"/>
          <w:sz w:val="14"/>
          <w:szCs w:val="14"/>
          <w:b w:val="1"/>
          <w:bCs w:val="1"/>
          <w:color w:val="auto"/>
        </w:rPr>
        <w:t xml:space="preserve">No </w:t>
      </w:r>
      <w:r>
        <w:rPr>
          <w:rFonts w:ascii="Arial" w:cs="Arial" w:eastAsia="Arial" w:hAnsi="Arial"/>
          <w:sz w:val="14"/>
          <w:szCs w:val="14"/>
          <w:color w:val="auto"/>
        </w:rPr>
        <w:t>o</w:t>
      </w:r>
    </w:p>
    <w:p>
      <w:pPr>
        <w:spacing w:after="0" w:line="117" w:lineRule="exact"/>
        <w:rPr>
          <w:sz w:val="24"/>
          <w:szCs w:val="24"/>
          <w:color w:val="auto"/>
        </w:rPr>
      </w:pPr>
    </w:p>
    <w:p>
      <w:pPr>
        <w:jc w:val="both"/>
        <w:ind w:right="20" w:firstLine="27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8" w:lineRule="exact"/>
        <w:rPr>
          <w:sz w:val="24"/>
          <w:szCs w:val="24"/>
          <w:color w:val="auto"/>
        </w:rPr>
      </w:pPr>
    </w:p>
    <w:p>
      <w:pPr>
        <w:ind w:left="360"/>
        <w:spacing w:after="0"/>
        <w:tabs>
          <w:tab w:leader="none" w:pos="2820" w:val="left"/>
          <w:tab w:leader="none" w:pos="5660" w:val="left"/>
          <w:tab w:leader="none" w:pos="8880" w:val="left"/>
        </w:tabs>
        <w:rPr>
          <w:sz w:val="20"/>
          <w:szCs w:val="20"/>
          <w:color w:val="auto"/>
        </w:rPr>
      </w:pPr>
      <w:r>
        <w:rPr>
          <w:rFonts w:ascii="Arial" w:cs="Arial" w:eastAsia="Arial" w:hAnsi="Arial"/>
          <w:sz w:val="16"/>
          <w:szCs w:val="16"/>
          <w:b w:val="1"/>
          <w:bCs w:val="1"/>
          <w:color w:val="auto"/>
        </w:rPr>
        <w:t xml:space="preserve">Large accelerated filer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 xml:space="preserve">Accelerated filer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Non-accelerated filer x</w:t>
      </w:r>
      <w:r>
        <w:rPr>
          <w:sz w:val="20"/>
          <w:szCs w:val="20"/>
          <w:color w:val="auto"/>
        </w:rPr>
        <w:tab/>
      </w:r>
      <w:r>
        <w:rPr>
          <w:rFonts w:ascii="Arial" w:cs="Arial" w:eastAsia="Arial" w:hAnsi="Arial"/>
          <w:sz w:val="14"/>
          <w:szCs w:val="14"/>
          <w:b w:val="1"/>
          <w:bCs w:val="1"/>
          <w:color w:val="auto"/>
        </w:rPr>
        <w:t xml:space="preserve">Smaller reporting company </w:t>
      </w:r>
      <w:r>
        <w:rPr>
          <w:rFonts w:ascii="Arial" w:cs="Arial" w:eastAsia="Arial" w:hAnsi="Arial"/>
          <w:sz w:val="14"/>
          <w:szCs w:val="14"/>
          <w:color w:val="auto"/>
        </w:rPr>
        <w:t>o</w:t>
      </w:r>
    </w:p>
    <w:p>
      <w:pPr>
        <w:spacing w:after="0" w:line="77" w:lineRule="exact"/>
        <w:rPr>
          <w:sz w:val="24"/>
          <w:szCs w:val="24"/>
          <w:color w:val="auto"/>
        </w:rPr>
      </w:pPr>
    </w:p>
    <w:p>
      <w:pPr>
        <w:ind w:left="4980"/>
        <w:spacing w:after="0"/>
        <w:rPr>
          <w:sz w:val="20"/>
          <w:szCs w:val="20"/>
          <w:color w:val="auto"/>
        </w:rPr>
      </w:pPr>
      <w:r>
        <w:rPr>
          <w:rFonts w:ascii="Arial" w:cs="Arial" w:eastAsia="Arial" w:hAnsi="Arial"/>
          <w:sz w:val="16"/>
          <w:szCs w:val="16"/>
          <w:color w:val="auto"/>
        </w:rPr>
        <w:t>(Do not check if a smaller reporting company)</w:t>
      </w:r>
    </w:p>
    <w:p>
      <w:pPr>
        <w:spacing w:after="0" w:line="167"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09" w:lineRule="exact"/>
        <w:rPr>
          <w:sz w:val="24"/>
          <w:szCs w:val="24"/>
          <w:color w:val="auto"/>
        </w:rPr>
      </w:pPr>
    </w:p>
    <w:p>
      <w:pPr>
        <w:jc w:val="center"/>
        <w:ind w:right="-19"/>
        <w:spacing w:after="0"/>
        <w:tabs>
          <w:tab w:leader="none" w:pos="26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17" w:lineRule="exact"/>
        <w:rPr>
          <w:sz w:val="24"/>
          <w:szCs w:val="24"/>
          <w:color w:val="auto"/>
        </w:rPr>
      </w:pPr>
    </w:p>
    <w:p>
      <w:pPr>
        <w:jc w:val="both"/>
        <w:ind w:firstLine="270"/>
        <w:spacing w:after="0" w:line="275" w:lineRule="auto"/>
        <w:rPr>
          <w:sz w:val="20"/>
          <w:szCs w:val="20"/>
          <w:color w:val="auto"/>
        </w:rPr>
      </w:pPr>
      <w:r>
        <w:rPr>
          <w:rFonts w:ascii="Arial" w:cs="Arial" w:eastAsia="Arial" w:hAnsi="Arial"/>
          <w:sz w:val="16"/>
          <w:szCs w:val="16"/>
          <w:color w:val="auto"/>
        </w:rPr>
        <w:t>As of July 31, 2016, there were 34,586,250 Class A units outstanding, 42,738,750 Class B units outstanding, 62,784,250 Class C units outstanding, and 42,738,750 Class D units outstanding. There is no public market for the registrant's outstanding units.</w:t>
      </w:r>
    </w:p>
    <w:p>
      <w:pPr>
        <w:spacing w:after="0" w:line="38"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NOTE: WHEREAS NRG YIELD LLC MEETS THE CONDITIONS SET FORTH IN GENERAL INSTRUCTION H(1)(a) AND (b) OF FORM 10-Q, THIS FORM 10-Q IS BEING FILED WITH THE REDUCED DISCLOSURE FORMAT PURSUANT TO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201295</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115570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1" w:name="page2"/>
    <w:bookmarkEnd w:id="1"/>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10"/>
          </w:tcPr>
          <w:p>
            <w:pPr>
              <w:spacing w:after="0"/>
              <w:rPr>
                <w:sz w:val="21"/>
                <w:szCs w:val="21"/>
                <w:color w:val="auto"/>
              </w:rPr>
            </w:pPr>
          </w:p>
        </w:tc>
        <w:tc>
          <w:tcPr>
            <w:tcW w:w="438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ITEM 1 — FINANCIAL STATEMENTS AND NOTES</w:t>
            </w:r>
          </w:p>
        </w:tc>
        <w:tc>
          <w:tcPr>
            <w:tcW w:w="68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240" w:type="dxa"/>
            <w:vAlign w:val="bottom"/>
          </w:tcPr>
          <w:p>
            <w:pPr>
              <w:spacing w:after="0"/>
              <w:rPr>
                <w:sz w:val="21"/>
                <w:szCs w:val="21"/>
                <w:color w:val="auto"/>
              </w:rPr>
            </w:pPr>
          </w:p>
        </w:tc>
        <w:tc>
          <w:tcPr>
            <w:tcW w:w="86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w:t>
            </w: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OPERATIONS</w:t>
            </w:r>
          </w:p>
        </w:tc>
        <w:tc>
          <w:tcPr>
            <w:tcW w:w="878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41</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80" w:type="dxa"/>
            <w:vAlign w:val="bottom"/>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54</w:t>
              </w:r>
            </w:hyperlink>
          </w:p>
        </w:tc>
      </w:tr>
      <w:tr>
        <w:trPr>
          <w:trHeight w:val="250"/>
        </w:trPr>
        <w:tc>
          <w:tcPr>
            <w:tcW w:w="240" w:type="dxa"/>
            <w:vAlign w:val="bottom"/>
          </w:tcPr>
          <w:p>
            <w:pPr>
              <w:spacing w:after="0"/>
              <w:rPr>
                <w:sz w:val="21"/>
                <w:szCs w:val="21"/>
                <w:color w:val="auto"/>
              </w:rPr>
            </w:pPr>
          </w:p>
        </w:tc>
        <w:tc>
          <w:tcPr>
            <w:tcW w:w="69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ITEM 4 — CONTROLS AND PROCEDURES</w:t>
            </w:r>
          </w:p>
        </w:tc>
        <w:tc>
          <w:tcPr>
            <w:tcW w:w="396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54</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II — OTHER INFORMATION</w:t>
            </w:r>
          </w:p>
        </w:tc>
        <w:tc>
          <w:tcPr>
            <w:tcW w:w="180" w:type="dxa"/>
            <w:vAlign w:val="bottom"/>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5"/>
              </w:rPr>
              <w:t>ITEM 1 — LEGAL PROCEEDINGS</w:t>
            </w:r>
          </w:p>
        </w:tc>
        <w:tc>
          <w:tcPr>
            <w:tcW w:w="822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55</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1A — RISK FACTORS</w:t>
            </w:r>
          </w:p>
        </w:tc>
        <w:tc>
          <w:tcPr>
            <w:tcW w:w="180" w:type="dxa"/>
            <w:vAlign w:val="bottom"/>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55</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40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55</w:t>
              </w:r>
            </w:hyperlink>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10340" w:type="dxa"/>
            <w:vAlign w:val="bottom"/>
            <w:gridSpan w:val="18"/>
          </w:tcPr>
          <w:p>
            <w:pPr>
              <w:ind w:left="20"/>
              <w:spacing w:after="0"/>
              <w:rPr>
                <w:sz w:val="20"/>
                <w:szCs w:val="20"/>
                <w:color w:val="auto"/>
              </w:rPr>
            </w:pPr>
            <w:r>
              <w:rPr>
                <w:rFonts w:ascii="Arial" w:cs="Arial" w:eastAsia="Arial" w:hAnsi="Arial"/>
                <w:sz w:val="18"/>
                <w:szCs w:val="18"/>
                <w:color w:val="0000EE"/>
              </w:rPr>
              <w:t>— DEFAULTS UPON SENIOR SECURITIES</w:t>
            </w:r>
          </w:p>
        </w:tc>
        <w:tc>
          <w:tcPr>
            <w:tcW w:w="180" w:type="dxa"/>
            <w:vAlign w:val="bottom"/>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55</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tcBorders>
              <w:top w:val="single" w:sz="8" w:color="0000EE"/>
            </w:tcBorders>
            <w:gridSpan w:val="12"/>
          </w:tcPr>
          <w:p>
            <w:pPr>
              <w:ind w:left="20"/>
              <w:spacing w:after="0"/>
              <w:rPr>
                <w:sz w:val="20"/>
                <w:szCs w:val="20"/>
                <w:color w:val="auto"/>
              </w:rPr>
            </w:pPr>
            <w:r>
              <w:rPr>
                <w:rFonts w:ascii="Arial" w:cs="Arial" w:eastAsia="Arial" w:hAnsi="Arial"/>
                <w:sz w:val="18"/>
                <w:szCs w:val="18"/>
                <w:color w:val="0000EE"/>
              </w:rPr>
              <w:t>— MINE SAFETY DISCLOSURES</w:t>
            </w:r>
          </w:p>
        </w:tc>
        <w:tc>
          <w:tcPr>
            <w:tcW w:w="69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55</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tcBorders>
              <w:top w:val="single" w:sz="8" w:color="0000EE"/>
            </w:tcBorders>
            <w:gridSpan w:val="10"/>
          </w:tcPr>
          <w:p>
            <w:pPr>
              <w:ind w:left="20"/>
              <w:spacing w:after="0"/>
              <w:rPr>
                <w:sz w:val="20"/>
                <w:szCs w:val="20"/>
                <w:color w:val="auto"/>
              </w:rPr>
            </w:pPr>
            <w:r>
              <w:rPr>
                <w:rFonts w:ascii="Arial" w:cs="Arial" w:eastAsia="Arial" w:hAnsi="Arial"/>
                <w:sz w:val="18"/>
                <w:szCs w:val="18"/>
                <w:color w:val="0000EE"/>
              </w:rPr>
              <w:t>— OTHER INFORMATION</w:t>
            </w:r>
          </w:p>
        </w:tc>
        <w:tc>
          <w:tcPr>
            <w:tcW w:w="7660" w:type="dxa"/>
            <w:vAlign w:val="bottom"/>
            <w:gridSpan w:val="8"/>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55</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tcBorders>
              <w:top w:val="single" w:sz="8" w:color="0000EE"/>
            </w:tcBorders>
            <w:gridSpan w:val="8"/>
          </w:tcPr>
          <w:p>
            <w:pPr>
              <w:ind w:left="20"/>
              <w:spacing w:after="0"/>
              <w:rPr>
                <w:sz w:val="20"/>
                <w:szCs w:val="20"/>
                <w:color w:val="auto"/>
              </w:rPr>
            </w:pPr>
            <w:r>
              <w:rPr>
                <w:rFonts w:ascii="Arial" w:cs="Arial" w:eastAsia="Arial" w:hAnsi="Arial"/>
                <w:sz w:val="18"/>
                <w:szCs w:val="18"/>
                <w:color w:val="0000EE"/>
              </w:rPr>
              <w:t>— EXHIBITS</w:t>
            </w:r>
          </w:p>
        </w:tc>
        <w:tc>
          <w:tcPr>
            <w:tcW w:w="8220" w:type="dxa"/>
            <w:vAlign w:val="bottom"/>
            <w:gridSpan w:val="10"/>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56</w:t>
              </w:r>
            </w:hyperlink>
          </w:p>
        </w:tc>
      </w:tr>
      <w:tr>
        <w:trPr>
          <w:trHeight w:val="250"/>
        </w:trPr>
        <w:tc>
          <w:tcPr>
            <w:tcW w:w="240" w:type="dxa"/>
            <w:vAlign w:val="bottom"/>
          </w:tcPr>
          <w:p>
            <w:pPr>
              <w:spacing w:after="0"/>
              <w:rPr>
                <w:sz w:val="21"/>
                <w:szCs w:val="21"/>
                <w:color w:val="auto"/>
              </w:rPr>
            </w:pPr>
          </w:p>
        </w:tc>
        <w:tc>
          <w:tcPr>
            <w:tcW w:w="11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Borders>
              <w:top w:val="single" w:sz="8" w:color="0000EE"/>
            </w:tcBorders>
          </w:tcPr>
          <w:p>
            <w:pPr>
              <w:spacing w:after="0"/>
              <w:rPr>
                <w:sz w:val="21"/>
                <w:szCs w:val="21"/>
                <w:color w:val="auto"/>
              </w:rPr>
            </w:pPr>
          </w:p>
        </w:tc>
        <w:tc>
          <w:tcPr>
            <w:tcW w:w="9280" w:type="dxa"/>
            <w:vAlign w:val="bottom"/>
            <w:gridSpan w:val="15"/>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57</w:t>
              </w:r>
            </w:hyperlink>
          </w:p>
        </w:tc>
      </w:tr>
      <w:tr>
        <w:trPr>
          <w:trHeight w:val="831"/>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60" w:type="dxa"/>
            <w:vAlign w:val="bottom"/>
            <w:gridSpan w:val="14"/>
          </w:tcPr>
          <w:p>
            <w:pPr>
              <w:ind w:left="47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1440" w:right="259" w:bottom="1440" w:gutter="0" w:footer="0" w:header="0"/>
        </w:sectPr>
      </w:pPr>
    </w:p>
    <w:bookmarkStart w:id="2" w:name="page3"/>
    <w:bookmarkEnd w:id="2"/>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This Quarterly Report on Form 10-Q of NRG Yield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Item 1A of the Company's Annual Report on Form 10-K for the year ended December 31, 2015, and the following:</w:t>
      </w:r>
    </w:p>
    <w:p>
      <w:pPr>
        <w:spacing w:after="0" w:line="1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NRG;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NRG Yield Operating LLC amended and restated revolving credit facility and in the indentures governing the Senior Notes; and</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3" w:name="page4"/>
    <w:bookmarkEnd w:id="3"/>
    <w:p>
      <w:pPr>
        <w:ind w:left="4700"/>
        <w:spacing w:after="0"/>
        <w:rPr>
          <w:sz w:val="20"/>
          <w:szCs w:val="20"/>
          <w:color w:val="auto"/>
        </w:rPr>
      </w:pPr>
      <w:r>
        <w:rPr>
          <w:rFonts w:ascii="Arial" w:cs="Arial" w:eastAsia="Arial" w:hAnsi="Arial"/>
          <w:sz w:val="18"/>
          <w:szCs w:val="18"/>
          <w:b w:val="1"/>
          <w:bCs w:val="1"/>
          <w:color w:val="auto"/>
        </w:rPr>
        <w:t>GLOSSARY OF TERMS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When the following terms and abbreviations appear in the text of this report, they have the meanings indicated below:</w:t>
      </w:r>
    </w:p>
    <w:p>
      <w:pPr>
        <w:sectPr>
          <w:pgSz w:w="11900" w:h="16838" w:orient="portrait"/>
          <w:cols w:equalWidth="0" w:num="1">
            <w:col w:w="11360"/>
          </w:cols>
          <w:pgMar w:left="280" w:top="1121" w:right="259" w:bottom="1143"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2015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AOCL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ASC</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NRG Yield LLC's Annual Report on Form 10-K for the year ended December 31, 2015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Asset Retirement Obligation</w:t>
      </w:r>
    </w:p>
    <w:p>
      <w:pPr>
        <w:spacing w:after="0" w:line="63" w:lineRule="exact"/>
        <w:rPr>
          <w:sz w:val="20"/>
          <w:szCs w:val="20"/>
          <w:color w:val="auto"/>
        </w:rPr>
      </w:pPr>
    </w:p>
    <w:p>
      <w:pPr>
        <w:ind w:right="1760"/>
        <w:spacing w:after="0" w:line="277" w:lineRule="auto"/>
        <w:rPr>
          <w:sz w:val="20"/>
          <w:szCs w:val="20"/>
          <w:color w:val="auto"/>
        </w:rPr>
      </w:pPr>
      <w:r>
        <w:rPr>
          <w:rFonts w:ascii="Arial" w:cs="Arial" w:eastAsia="Arial" w:hAnsi="Arial"/>
          <w:sz w:val="18"/>
          <w:szCs w:val="18"/>
          <w:color w:val="auto"/>
        </w:rPr>
        <w:t>The FASB Accounting Standards Codification, which the FASB established as the source of authoritative GAAP</w:t>
      </w:r>
    </w:p>
    <w:p>
      <w:pPr>
        <w:spacing w:after="0" w:line="8" w:lineRule="exact"/>
        <w:rPr>
          <w:sz w:val="20"/>
          <w:szCs w:val="20"/>
          <w:color w:val="auto"/>
        </w:rPr>
      </w:pPr>
    </w:p>
    <w:p>
      <w:pPr>
        <w:sectPr>
          <w:pgSz w:w="11900" w:h="16838" w:orient="portrait"/>
          <w:cols w:equalWidth="0" w:num="2">
            <w:col w:w="2240" w:space="720"/>
            <w:col w:w="8400"/>
          </w:cols>
          <w:pgMar w:left="280" w:top="1121" w:right="259" w:bottom="1143"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ASU</w:t>
            </w:r>
          </w:p>
        </w:tc>
        <w:tc>
          <w:tcPr>
            <w:tcW w:w="8680" w:type="dxa"/>
            <w:vAlign w:val="bottom"/>
          </w:tcPr>
          <w:p>
            <w:pPr>
              <w:ind w:left="28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Buffalo Bear</w:t>
            </w:r>
          </w:p>
        </w:tc>
        <w:tc>
          <w:tcPr>
            <w:tcW w:w="8680" w:type="dxa"/>
            <w:vAlign w:val="bottom"/>
          </w:tcPr>
          <w:p>
            <w:pPr>
              <w:ind w:left="280"/>
              <w:spacing w:after="0"/>
              <w:rPr>
                <w:sz w:val="20"/>
                <w:szCs w:val="20"/>
                <w:color w:val="auto"/>
              </w:rPr>
            </w:pPr>
            <w:r>
              <w:rPr>
                <w:rFonts w:ascii="Arial" w:cs="Arial" w:eastAsia="Arial" w:hAnsi="Arial"/>
                <w:sz w:val="18"/>
                <w:szCs w:val="18"/>
                <w:color w:val="auto"/>
              </w:rPr>
              <w:t>Buffalo Bear, LLC, the operating subsidiary of Tapestry Wind LLC, which owns the Buffalo Bear project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CAFD</w:t>
            </w:r>
          </w:p>
        </w:tc>
        <w:tc>
          <w:tcPr>
            <w:tcW w:w="8680" w:type="dxa"/>
            <w:vAlign w:val="bottom"/>
          </w:tcPr>
          <w:p>
            <w:pPr>
              <w:ind w:left="280"/>
              <w:spacing w:after="0"/>
              <w:rPr>
                <w:sz w:val="20"/>
                <w:szCs w:val="20"/>
                <w:color w:val="auto"/>
              </w:rPr>
            </w:pPr>
            <w:r>
              <w:rPr>
                <w:rFonts w:ascii="Arial" w:cs="Arial" w:eastAsia="Arial" w:hAnsi="Arial"/>
                <w:sz w:val="18"/>
                <w:szCs w:val="18"/>
                <w:color w:val="auto"/>
                <w:w w:val="92"/>
              </w:rPr>
              <w:t xml:space="preserve">Cash Available For Distribution, which the Company </w:t>
            </w:r>
            <w:r>
              <w:rPr>
                <w:rFonts w:ascii="Arial" w:cs="Arial" w:eastAsia="Arial" w:hAnsi="Arial"/>
                <w:sz w:val="18"/>
                <w:szCs w:val="18"/>
                <w:color w:val="231F20"/>
                <w:w w:val="92"/>
              </w:rPr>
              <w:t>defines as net income before interest expense, income taxes,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w w:val="96"/>
              </w:rPr>
              <w:t>depreciation and amortization, plus cash distributions from unconsolidated affiliates, less cash distributions to</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w w:val="93"/>
              </w:rPr>
              <w:t>noncontrolling interests, maintenance capital expenditures, pro-rata EBITDA from unconsolidated affiliates, cash</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rPr>
              <w:t>interest paid, income taxes paid, principal amortization of indebtedness and changes in other assets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COD</w:t>
            </w:r>
          </w:p>
        </w:tc>
        <w:tc>
          <w:tcPr>
            <w:tcW w:w="8680" w:type="dxa"/>
            <w:vAlign w:val="bottom"/>
          </w:tcPr>
          <w:p>
            <w:pPr>
              <w:ind w:left="280"/>
              <w:spacing w:after="0"/>
              <w:rPr>
                <w:sz w:val="20"/>
                <w:szCs w:val="20"/>
                <w:color w:val="auto"/>
              </w:rPr>
            </w:pPr>
            <w:r>
              <w:rPr>
                <w:rFonts w:ascii="Arial" w:cs="Arial" w:eastAsia="Arial" w:hAnsi="Arial"/>
                <w:sz w:val="18"/>
                <w:szCs w:val="18"/>
                <w:color w:val="auto"/>
              </w:rPr>
              <w:t>Commercial Operations Date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Company</w:t>
            </w:r>
          </w:p>
        </w:tc>
        <w:tc>
          <w:tcPr>
            <w:tcW w:w="8680" w:type="dxa"/>
            <w:vAlign w:val="bottom"/>
          </w:tcPr>
          <w:p>
            <w:pPr>
              <w:ind w:left="280"/>
              <w:spacing w:after="0"/>
              <w:rPr>
                <w:sz w:val="20"/>
                <w:szCs w:val="20"/>
                <w:color w:val="auto"/>
              </w:rPr>
            </w:pPr>
            <w:r>
              <w:rPr>
                <w:rFonts w:ascii="Arial" w:cs="Arial" w:eastAsia="Arial" w:hAnsi="Arial"/>
                <w:sz w:val="18"/>
                <w:szCs w:val="18"/>
                <w:color w:val="auto"/>
              </w:rPr>
              <w:t>NRG Yield LLC, together with its consolidated subsidiaries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w:t>
            </w:r>
          </w:p>
        </w:tc>
        <w:tc>
          <w:tcPr>
            <w:tcW w:w="8680" w:type="dxa"/>
            <w:vAlign w:val="bottom"/>
          </w:tcPr>
          <w:p>
            <w:pPr>
              <w:ind w:left="28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 Holdco</w:t>
            </w:r>
          </w:p>
        </w:tc>
        <w:tc>
          <w:tcPr>
            <w:tcW w:w="8680" w:type="dxa"/>
            <w:vAlign w:val="bottom"/>
          </w:tcPr>
          <w:p>
            <w:pPr>
              <w:ind w:left="28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DGPV Holdco 1</w:t>
            </w:r>
          </w:p>
        </w:tc>
        <w:tc>
          <w:tcPr>
            <w:tcW w:w="8680" w:type="dxa"/>
            <w:vAlign w:val="bottom"/>
          </w:tcPr>
          <w:p>
            <w:pPr>
              <w:ind w:left="280"/>
              <w:spacing w:after="0"/>
              <w:rPr>
                <w:sz w:val="20"/>
                <w:szCs w:val="20"/>
                <w:color w:val="auto"/>
              </w:rPr>
            </w:pPr>
            <w:r>
              <w:rPr>
                <w:rFonts w:ascii="Arial" w:cs="Arial" w:eastAsia="Arial" w:hAnsi="Arial"/>
                <w:sz w:val="18"/>
                <w:szCs w:val="18"/>
                <w:color w:val="auto"/>
              </w:rPr>
              <w:t>NRG DGPV Holdco 1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DGPV Holdco 2</w:t>
            </w:r>
          </w:p>
        </w:tc>
        <w:tc>
          <w:tcPr>
            <w:tcW w:w="8680" w:type="dxa"/>
            <w:vAlign w:val="bottom"/>
          </w:tcPr>
          <w:p>
            <w:pPr>
              <w:ind w:left="280"/>
              <w:spacing w:after="0"/>
              <w:rPr>
                <w:sz w:val="20"/>
                <w:szCs w:val="20"/>
                <w:color w:val="auto"/>
              </w:rPr>
            </w:pPr>
            <w:r>
              <w:rPr>
                <w:rFonts w:ascii="Arial" w:cs="Arial" w:eastAsia="Arial" w:hAnsi="Arial"/>
                <w:sz w:val="18"/>
                <w:szCs w:val="18"/>
                <w:color w:val="auto"/>
              </w:rPr>
              <w:t>NRG DGPV Holdco 2 LLC</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Distributed Solar</w:t>
            </w:r>
          </w:p>
        </w:tc>
        <w:tc>
          <w:tcPr>
            <w:tcW w:w="8680" w:type="dxa"/>
            <w:vAlign w:val="bottom"/>
          </w:tcPr>
          <w:p>
            <w:pPr>
              <w:ind w:left="280"/>
              <w:spacing w:after="0"/>
              <w:rPr>
                <w:sz w:val="20"/>
                <w:szCs w:val="20"/>
                <w:color w:val="auto"/>
              </w:rPr>
            </w:pPr>
            <w:r>
              <w:rPr>
                <w:rFonts w:ascii="Arial" w:cs="Arial" w:eastAsia="Arial" w:hAnsi="Arial"/>
                <w:sz w:val="18"/>
                <w:szCs w:val="18"/>
                <w:color w:val="auto"/>
                <w:w w:val="93"/>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Drop Down Assets</w:t>
            </w:r>
          </w:p>
        </w:tc>
        <w:tc>
          <w:tcPr>
            <w:tcW w:w="8680" w:type="dxa"/>
            <w:vAlign w:val="bottom"/>
          </w:tcPr>
          <w:p>
            <w:pPr>
              <w:ind w:left="280"/>
              <w:spacing w:after="0"/>
              <w:rPr>
                <w:sz w:val="20"/>
                <w:szCs w:val="20"/>
                <w:color w:val="auto"/>
              </w:rPr>
            </w:pPr>
            <w:r>
              <w:rPr>
                <w:rFonts w:ascii="Arial" w:cs="Arial" w:eastAsia="Arial" w:hAnsi="Arial"/>
                <w:sz w:val="18"/>
                <w:szCs w:val="18"/>
                <w:color w:val="auto"/>
              </w:rPr>
              <w:t>Collectively, the January 2015 Drop Down Assets and the November 2015 Drop Down Assets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Economic Gross Margin</w:t>
            </w:r>
          </w:p>
        </w:tc>
        <w:tc>
          <w:tcPr>
            <w:tcW w:w="8680" w:type="dxa"/>
            <w:vAlign w:val="bottom"/>
          </w:tcPr>
          <w:p>
            <w:pPr>
              <w:ind w:left="280"/>
              <w:spacing w:after="0"/>
              <w:rPr>
                <w:sz w:val="20"/>
                <w:szCs w:val="20"/>
                <w:color w:val="auto"/>
              </w:rPr>
            </w:pPr>
            <w:r>
              <w:rPr>
                <w:rFonts w:ascii="Arial" w:cs="Arial" w:eastAsia="Arial" w:hAnsi="Arial"/>
                <w:sz w:val="18"/>
                <w:szCs w:val="18"/>
                <w:color w:val="auto"/>
              </w:rPr>
              <w:t>Energy and capacity revenue less cost of fuels</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El Segundo</w:t>
            </w:r>
          </w:p>
        </w:tc>
        <w:tc>
          <w:tcPr>
            <w:tcW w:w="8680" w:type="dxa"/>
            <w:vAlign w:val="bottom"/>
          </w:tcPr>
          <w:p>
            <w:pPr>
              <w:ind w:left="280"/>
              <w:spacing w:after="0"/>
              <w:rPr>
                <w:sz w:val="20"/>
                <w:szCs w:val="20"/>
                <w:color w:val="auto"/>
              </w:rPr>
            </w:pPr>
            <w:r>
              <w:rPr>
                <w:rFonts w:ascii="Arial" w:cs="Arial" w:eastAsia="Arial" w:hAnsi="Arial"/>
                <w:sz w:val="18"/>
                <w:szCs w:val="18"/>
                <w:color w:val="auto"/>
                <w:w w:val="95"/>
              </w:rPr>
              <w:t>NRG West Holdings LLC, the subsidiary of Natural Gas Repowering LLC, which owns the El Segundo Energy</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Center project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ERCOT</w:t>
            </w:r>
          </w:p>
        </w:tc>
        <w:tc>
          <w:tcPr>
            <w:tcW w:w="8680" w:type="dxa"/>
            <w:vAlign w:val="bottom"/>
          </w:tcPr>
          <w:p>
            <w:pPr>
              <w:ind w:left="280"/>
              <w:spacing w:after="0"/>
              <w:rPr>
                <w:sz w:val="20"/>
                <w:szCs w:val="20"/>
                <w:color w:val="auto"/>
              </w:rPr>
            </w:pPr>
            <w:r>
              <w:rPr>
                <w:rFonts w:ascii="Arial" w:cs="Arial" w:eastAsia="Arial" w:hAnsi="Arial"/>
                <w:sz w:val="18"/>
                <w:szCs w:val="18"/>
                <w:color w:val="auto"/>
                <w:w w:val="98"/>
              </w:rPr>
              <w:t>Electric Reliability Council of Texas, the ISO and the regional reliability coordinator of the various electricity</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systems within Texas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EWG</w:t>
            </w:r>
          </w:p>
        </w:tc>
        <w:tc>
          <w:tcPr>
            <w:tcW w:w="8680" w:type="dxa"/>
            <w:vAlign w:val="bottom"/>
          </w:tcPr>
          <w:p>
            <w:pPr>
              <w:ind w:left="280"/>
              <w:spacing w:after="0"/>
              <w:rPr>
                <w:sz w:val="20"/>
                <w:szCs w:val="20"/>
                <w:color w:val="auto"/>
              </w:rPr>
            </w:pPr>
            <w:r>
              <w:rPr>
                <w:rFonts w:ascii="Arial" w:cs="Arial" w:eastAsia="Arial" w:hAnsi="Arial"/>
                <w:sz w:val="18"/>
                <w:szCs w:val="18"/>
                <w:color w:val="auto"/>
              </w:rPr>
              <w:t>Exempt Wholesale Generator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Exchange Act</w:t>
            </w:r>
          </w:p>
        </w:tc>
        <w:tc>
          <w:tcPr>
            <w:tcW w:w="8680" w:type="dxa"/>
            <w:vAlign w:val="bottom"/>
          </w:tcPr>
          <w:p>
            <w:pPr>
              <w:ind w:left="28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FASB</w:t>
            </w:r>
          </w:p>
        </w:tc>
        <w:tc>
          <w:tcPr>
            <w:tcW w:w="8680" w:type="dxa"/>
            <w:vAlign w:val="bottom"/>
          </w:tcPr>
          <w:p>
            <w:pPr>
              <w:ind w:left="28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FERC</w:t>
            </w:r>
          </w:p>
        </w:tc>
        <w:tc>
          <w:tcPr>
            <w:tcW w:w="8680" w:type="dxa"/>
            <w:vAlign w:val="bottom"/>
          </w:tcPr>
          <w:p>
            <w:pPr>
              <w:ind w:left="28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GAAP</w:t>
            </w:r>
          </w:p>
        </w:tc>
        <w:tc>
          <w:tcPr>
            <w:tcW w:w="8680" w:type="dxa"/>
            <w:vAlign w:val="bottom"/>
          </w:tcPr>
          <w:p>
            <w:pPr>
              <w:ind w:left="28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GenConn</w:t>
            </w:r>
          </w:p>
        </w:tc>
        <w:tc>
          <w:tcPr>
            <w:tcW w:w="8680" w:type="dxa"/>
            <w:vAlign w:val="bottom"/>
          </w:tcPr>
          <w:p>
            <w:pPr>
              <w:ind w:left="28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HLBV</w:t>
            </w:r>
          </w:p>
        </w:tc>
        <w:tc>
          <w:tcPr>
            <w:tcW w:w="8680" w:type="dxa"/>
            <w:vAlign w:val="bottom"/>
          </w:tcPr>
          <w:p>
            <w:pPr>
              <w:ind w:left="28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IASB</w:t>
            </w:r>
          </w:p>
        </w:tc>
        <w:tc>
          <w:tcPr>
            <w:tcW w:w="8680" w:type="dxa"/>
            <w:vAlign w:val="bottom"/>
          </w:tcPr>
          <w:p>
            <w:pPr>
              <w:ind w:left="280"/>
              <w:spacing w:after="0"/>
              <w:rPr>
                <w:sz w:val="20"/>
                <w:szCs w:val="20"/>
                <w:color w:val="auto"/>
              </w:rPr>
            </w:pPr>
            <w:r>
              <w:rPr>
                <w:rFonts w:ascii="Arial" w:cs="Arial" w:eastAsia="Arial" w:hAnsi="Arial"/>
                <w:sz w:val="18"/>
                <w:szCs w:val="18"/>
                <w:color w:val="auto"/>
              </w:rPr>
              <w:t>International Accounting Standards Board</w:t>
            </w: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ISO</w:t>
            </w:r>
          </w:p>
        </w:tc>
        <w:tc>
          <w:tcPr>
            <w:tcW w:w="8680" w:type="dxa"/>
            <w:vAlign w:val="bottom"/>
          </w:tcPr>
          <w:p>
            <w:pPr>
              <w:ind w:left="280"/>
              <w:spacing w:after="0"/>
              <w:rPr>
                <w:sz w:val="20"/>
                <w:szCs w:val="20"/>
                <w:color w:val="auto"/>
              </w:rPr>
            </w:pPr>
            <w:r>
              <w:rPr>
                <w:rFonts w:ascii="Arial" w:cs="Arial" w:eastAsia="Arial" w:hAnsi="Arial"/>
                <w:sz w:val="18"/>
                <w:szCs w:val="18"/>
                <w:color w:val="auto"/>
              </w:rPr>
              <w:t>Independent System Operator, also referred to as RTO</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January 2015 Drop Down Assets</w:t>
            </w:r>
          </w:p>
        </w:tc>
        <w:tc>
          <w:tcPr>
            <w:tcW w:w="8680" w:type="dxa"/>
            <w:vAlign w:val="bottom"/>
            <w:vMerge w:val="restart"/>
          </w:tcPr>
          <w:p>
            <w:pPr>
              <w:ind w:left="280"/>
              <w:spacing w:after="0"/>
              <w:rPr>
                <w:sz w:val="20"/>
                <w:szCs w:val="20"/>
                <w:color w:val="auto"/>
              </w:rPr>
            </w:pPr>
            <w:r>
              <w:rPr>
                <w:rFonts w:ascii="Arial" w:cs="Arial" w:eastAsia="Arial" w:hAnsi="Arial"/>
                <w:sz w:val="18"/>
                <w:szCs w:val="18"/>
                <w:color w:val="auto"/>
                <w:w w:val="93"/>
              </w:rPr>
              <w:t>The Laredo Ridge, Tapestry and Walnut Creek projects, which were acquired by Yield Operating LLC from NRG</w:t>
            </w:r>
          </w:p>
        </w:tc>
        <w:tc>
          <w:tcPr>
            <w:tcW w:w="0" w:type="dxa"/>
            <w:vAlign w:val="bottom"/>
          </w:tcPr>
          <w:p>
            <w:pPr>
              <w:spacing w:after="0"/>
              <w:rPr>
                <w:sz w:val="1"/>
                <w:szCs w:val="1"/>
                <w:color w:val="auto"/>
              </w:rPr>
            </w:pPr>
          </w:p>
        </w:tc>
      </w:tr>
      <w:tr>
        <w:trPr>
          <w:trHeight w:val="67"/>
        </w:trPr>
        <w:tc>
          <w:tcPr>
            <w:tcW w:w="2680" w:type="dxa"/>
            <w:vAlign w:val="bottom"/>
          </w:tcPr>
          <w:p>
            <w:pPr>
              <w:spacing w:after="0"/>
              <w:rPr>
                <w:sz w:val="5"/>
                <w:szCs w:val="5"/>
                <w:color w:val="auto"/>
              </w:rPr>
            </w:pPr>
          </w:p>
        </w:tc>
        <w:tc>
          <w:tcPr>
            <w:tcW w:w="8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on January 2, 2015</w:t>
            </w:r>
          </w:p>
        </w:tc>
        <w:tc>
          <w:tcPr>
            <w:tcW w:w="0" w:type="dxa"/>
            <w:vAlign w:val="bottom"/>
          </w:tcPr>
          <w:p>
            <w:pPr>
              <w:spacing w:after="0"/>
              <w:rPr>
                <w:sz w:val="1"/>
                <w:szCs w:val="1"/>
                <w:color w:val="auto"/>
              </w:rPr>
            </w:pPr>
          </w:p>
        </w:tc>
      </w:tr>
      <w:tr>
        <w:trPr>
          <w:trHeight w:val="337"/>
        </w:trPr>
        <w:tc>
          <w:tcPr>
            <w:tcW w:w="2680" w:type="dxa"/>
            <w:vAlign w:val="bottom"/>
          </w:tcPr>
          <w:p>
            <w:pPr>
              <w:spacing w:after="0"/>
              <w:rPr>
                <w:sz w:val="20"/>
                <w:szCs w:val="20"/>
                <w:color w:val="auto"/>
              </w:rPr>
            </w:pPr>
            <w:r>
              <w:rPr>
                <w:rFonts w:ascii="Arial" w:cs="Arial" w:eastAsia="Arial" w:hAnsi="Arial"/>
                <w:sz w:val="18"/>
                <w:szCs w:val="18"/>
                <w:color w:val="auto"/>
              </w:rPr>
              <w:t>Kansas South</w:t>
            </w:r>
          </w:p>
        </w:tc>
        <w:tc>
          <w:tcPr>
            <w:tcW w:w="8680" w:type="dxa"/>
            <w:vAlign w:val="bottom"/>
          </w:tcPr>
          <w:p>
            <w:pPr>
              <w:ind w:left="280"/>
              <w:spacing w:after="0"/>
              <w:rPr>
                <w:sz w:val="20"/>
                <w:szCs w:val="20"/>
                <w:color w:val="auto"/>
              </w:rPr>
            </w:pPr>
            <w:r>
              <w:rPr>
                <w:rFonts w:ascii="Arial" w:cs="Arial" w:eastAsia="Arial" w:hAnsi="Arial"/>
                <w:sz w:val="18"/>
                <w:szCs w:val="18"/>
                <w:color w:val="auto"/>
                <w:w w:val="94"/>
              </w:rPr>
              <w:t>NRG Solar Kansas South LLC, the operating subsidiary of NRG Solar Kansas South Holdings LLC, which owns</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the Kansas South project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Laredo Ridge</w:t>
            </w:r>
          </w:p>
        </w:tc>
        <w:tc>
          <w:tcPr>
            <w:tcW w:w="8680" w:type="dxa"/>
            <w:vAlign w:val="bottom"/>
          </w:tcPr>
          <w:p>
            <w:pPr>
              <w:ind w:left="280"/>
              <w:spacing w:after="0"/>
              <w:rPr>
                <w:sz w:val="20"/>
                <w:szCs w:val="20"/>
                <w:color w:val="auto"/>
              </w:rPr>
            </w:pPr>
            <w:r>
              <w:rPr>
                <w:rFonts w:ascii="Arial" w:cs="Arial" w:eastAsia="Arial" w:hAnsi="Arial"/>
                <w:sz w:val="18"/>
                <w:szCs w:val="18"/>
                <w:color w:val="auto"/>
                <w:w w:val="95"/>
              </w:rPr>
              <w:t>Laredo Ridge Wind, LLC, the operating subsidiary of Mission Wind Laredo, LLC, which owns the Laredo Ridge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project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LIBOR</w:t>
            </w:r>
          </w:p>
        </w:tc>
        <w:tc>
          <w:tcPr>
            <w:tcW w:w="8680" w:type="dxa"/>
            <w:vAlign w:val="bottom"/>
          </w:tcPr>
          <w:p>
            <w:pPr>
              <w:ind w:left="28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Marsh Landing</w:t>
            </w:r>
          </w:p>
        </w:tc>
        <w:tc>
          <w:tcPr>
            <w:tcW w:w="8680" w:type="dxa"/>
            <w:vAlign w:val="bottom"/>
          </w:tcPr>
          <w:p>
            <w:pPr>
              <w:ind w:left="280"/>
              <w:spacing w:after="0"/>
              <w:rPr>
                <w:sz w:val="20"/>
                <w:szCs w:val="20"/>
                <w:color w:val="auto"/>
              </w:rPr>
            </w:pPr>
            <w:r>
              <w:rPr>
                <w:rFonts w:ascii="Arial" w:cs="Arial" w:eastAsia="Arial" w:hAnsi="Arial"/>
                <w:sz w:val="18"/>
                <w:szCs w:val="18"/>
                <w:color w:val="auto"/>
              </w:rPr>
              <w:t>NRG Marsh Landing LLC, formerly GenOn Marsh Landing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MMBtu</w:t>
            </w:r>
          </w:p>
        </w:tc>
        <w:tc>
          <w:tcPr>
            <w:tcW w:w="8680" w:type="dxa"/>
            <w:vAlign w:val="bottom"/>
          </w:tcPr>
          <w:p>
            <w:pPr>
              <w:ind w:left="28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MW</w:t>
            </w:r>
          </w:p>
        </w:tc>
        <w:tc>
          <w:tcPr>
            <w:tcW w:w="8680" w:type="dxa"/>
            <w:vAlign w:val="bottom"/>
          </w:tcPr>
          <w:p>
            <w:pPr>
              <w:ind w:left="280"/>
              <w:spacing w:after="0"/>
              <w:rPr>
                <w:sz w:val="20"/>
                <w:szCs w:val="20"/>
                <w:color w:val="auto"/>
              </w:rPr>
            </w:pPr>
            <w:r>
              <w:rPr>
                <w:rFonts w:ascii="Arial" w:cs="Arial" w:eastAsia="Arial" w:hAnsi="Arial"/>
                <w:sz w:val="18"/>
                <w:szCs w:val="18"/>
                <w:color w:val="auto"/>
              </w:rPr>
              <w:t>Megawatts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MWh</w:t>
            </w:r>
          </w:p>
        </w:tc>
        <w:tc>
          <w:tcPr>
            <w:tcW w:w="8680" w:type="dxa"/>
            <w:vAlign w:val="bottom"/>
          </w:tcPr>
          <w:p>
            <w:pPr>
              <w:ind w:left="28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MWt</w:t>
            </w:r>
          </w:p>
        </w:tc>
        <w:tc>
          <w:tcPr>
            <w:tcW w:w="8680" w:type="dxa"/>
            <w:vAlign w:val="bottom"/>
          </w:tcPr>
          <w:p>
            <w:pPr>
              <w:ind w:left="28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NERC</w:t>
            </w:r>
          </w:p>
        </w:tc>
        <w:tc>
          <w:tcPr>
            <w:tcW w:w="8680" w:type="dxa"/>
            <w:vAlign w:val="bottom"/>
          </w:tcPr>
          <w:p>
            <w:pPr>
              <w:ind w:left="280"/>
              <w:spacing w:after="0"/>
              <w:rPr>
                <w:sz w:val="20"/>
                <w:szCs w:val="20"/>
                <w:color w:val="auto"/>
              </w:rPr>
            </w:pPr>
            <w:r>
              <w:rPr>
                <w:rFonts w:ascii="Arial" w:cs="Arial" w:eastAsia="Arial" w:hAnsi="Arial"/>
                <w:sz w:val="18"/>
                <w:szCs w:val="18"/>
                <w:color w:val="auto"/>
              </w:rPr>
              <w:t>North American Electric Reliability Corporation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Net Exposure</w:t>
            </w:r>
          </w:p>
        </w:tc>
        <w:tc>
          <w:tcPr>
            <w:tcW w:w="8680" w:type="dxa"/>
            <w:vAlign w:val="bottom"/>
          </w:tcPr>
          <w:p>
            <w:pPr>
              <w:ind w:left="280"/>
              <w:spacing w:after="0"/>
              <w:rPr>
                <w:sz w:val="20"/>
                <w:szCs w:val="20"/>
                <w:color w:val="auto"/>
              </w:rPr>
            </w:pPr>
            <w:r>
              <w:rPr>
                <w:rFonts w:ascii="Arial" w:cs="Arial" w:eastAsia="Arial" w:hAnsi="Arial"/>
                <w:sz w:val="18"/>
                <w:szCs w:val="18"/>
                <w:color w:val="auto"/>
              </w:rPr>
              <w:t>Counterparty credit exposure to NRG Yield, Inc. net of collateral</w:t>
            </w:r>
          </w:p>
        </w:tc>
        <w:tc>
          <w:tcPr>
            <w:tcW w:w="0" w:type="dxa"/>
            <w:vAlign w:val="bottom"/>
          </w:tcPr>
          <w:p>
            <w:pPr>
              <w:spacing w:after="0"/>
              <w:rPr>
                <w:sz w:val="1"/>
                <w:szCs w:val="1"/>
                <w:color w:val="auto"/>
              </w:rPr>
            </w:pPr>
          </w:p>
        </w:tc>
      </w:tr>
      <w:tr>
        <w:trPr>
          <w:trHeight w:val="486"/>
        </w:trPr>
        <w:tc>
          <w:tcPr>
            <w:tcW w:w="2680" w:type="dxa"/>
            <w:vAlign w:val="bottom"/>
          </w:tcPr>
          <w:p>
            <w:pPr>
              <w:spacing w:after="0"/>
              <w:rPr>
                <w:sz w:val="24"/>
                <w:szCs w:val="24"/>
                <w:color w:val="auto"/>
              </w:rPr>
            </w:pPr>
          </w:p>
        </w:tc>
        <w:tc>
          <w:tcPr>
            <w:tcW w:w="8680" w:type="dxa"/>
            <w:vAlign w:val="bottom"/>
          </w:tcPr>
          <w:p>
            <w:pPr>
              <w:ind w:left="29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1121" w:right="259" w:bottom="1143"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November 2015 Drop Down Assets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75% of the Class B interests of NRG Wind TE Holdco, which owns a portfolio of 12 wind facilities totaling 814 net MW, which was acquired by Yield Operating LLC from NRG on November 3, 2015</w:t>
      </w:r>
    </w:p>
    <w:p>
      <w:pPr>
        <w:spacing w:after="0" w:line="8" w:lineRule="exact"/>
        <w:rPr>
          <w:sz w:val="20"/>
          <w:szCs w:val="20"/>
          <w:color w:val="auto"/>
        </w:rPr>
      </w:pPr>
    </w:p>
    <w:p>
      <w:pPr>
        <w:sectPr>
          <w:pgSz w:w="11900" w:h="16838" w:orient="portrait"/>
          <w:cols w:equalWidth="0" w:num="2">
            <w:col w:w="2580" w:space="380"/>
            <w:col w:w="8380"/>
          </w:cols>
          <w:pgMar w:left="280" w:top="1287" w:right="279" w:bottom="1440" w:gutter="0" w:footer="0" w:header="0"/>
        </w:sectPr>
      </w:pPr>
    </w:p>
    <w:p>
      <w:pPr>
        <w:spacing w:after="0"/>
        <w:rPr>
          <w:sz w:val="20"/>
          <w:szCs w:val="20"/>
          <w:color w:val="auto"/>
        </w:rPr>
      </w:pPr>
      <w:r>
        <w:rPr>
          <w:rFonts w:ascii="Arial" w:cs="Arial" w:eastAsia="Arial" w:hAnsi="Arial"/>
          <w:sz w:val="17"/>
          <w:szCs w:val="17"/>
          <w:color w:val="auto"/>
        </w:rPr>
        <w:t>NRG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Energy, Inc.</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7"/>
          <w:szCs w:val="17"/>
          <w:color w:val="auto"/>
        </w:rPr>
        <w:t>NRG 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Wind TE Holdco LLC</w:t>
      </w:r>
    </w:p>
    <w:p>
      <w:pPr>
        <w:spacing w:after="0" w:line="75"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7"/>
          <w:szCs w:val="17"/>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Other comprehensive income/loss</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Pinnacle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Pinnacle Wind, LLC, the operating subsidiary of Tapestry Wind LLC, which owns the Pinnacle project</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4"/>
          <w:szCs w:val="14"/>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Power Purchase Agreement</w:t>
      </w:r>
    </w:p>
    <w:p>
      <w:pPr>
        <w:spacing w:after="0" w:line="98"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PUCT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Public Utility Commission of Texas</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5"/>
          <w:szCs w:val="15"/>
          <w:color w:val="auto"/>
        </w:rPr>
        <w:t>QF</w:t>
      </w:r>
    </w:p>
    <w:p>
      <w:pPr>
        <w:spacing w:after="0" w:line="20" w:lineRule="exact"/>
        <w:rPr>
          <w:sz w:val="20"/>
          <w:szCs w:val="20"/>
          <w:color w:val="auto"/>
        </w:rPr>
      </w:pPr>
      <w:r>
        <w:rPr>
          <w:sz w:val="20"/>
          <w:szCs w:val="20"/>
          <w:color w:val="auto"/>
        </w:rPr>
        <w:br w:type="column"/>
      </w:r>
    </w:p>
    <w:p>
      <w:pPr>
        <w:jc w:val="center"/>
        <w:ind w:right="2900"/>
        <w:spacing w:after="0"/>
        <w:rPr>
          <w:sz w:val="20"/>
          <w:szCs w:val="20"/>
          <w:color w:val="auto"/>
        </w:rPr>
      </w:pPr>
      <w:r>
        <w:rPr>
          <w:rFonts w:ascii="Arial" w:cs="Arial" w:eastAsia="Arial" w:hAnsi="Arial"/>
          <w:sz w:val="16"/>
          <w:szCs w:val="16"/>
          <w:color w:val="auto"/>
        </w:rPr>
        <w:t>Qualifying Facility under the Public Utility Regulatory Policies Act of 1978</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RPV Holdco 1 LLC</w:t>
      </w:r>
    </w:p>
    <w:p>
      <w:pPr>
        <w:spacing w:after="0" w:line="75"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Regional Transmission Organization</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5"/>
          <w:szCs w:val="15"/>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Securities and Exchange Commission</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Yield Operating LLC's $500 million of 5.375% unsecured senior notes due 2024</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TA High Desert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TA-High Desert LLC, the operating subsidiary of NRG Solar Mayfair LLC, which owns the TA High Desert project</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5"/>
          <w:szCs w:val="15"/>
          <w:color w:val="auto"/>
        </w:rPr>
        <w:t>Taloga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Taloga Wind, LLC, the operating subsidiary of Tapestry Wind LLC, which owns the Taloga project</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5"/>
          <w:szCs w:val="15"/>
          <w:color w:val="auto"/>
        </w:rPr>
        <w:t>Tapestry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Collection of the Pinnacle, Buffalo Bear and Taloga projects</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5"/>
          <w:szCs w:val="15"/>
          <w:color w:val="auto"/>
        </w:rPr>
        <w:t>Thermal Business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9"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Walnut Creek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Walnut Creek, LLC, the operating subsidiary of WCEP Holdings, LLC, which owns the Walnut Creek project</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Yield,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Yield, Inc.</w:t>
      </w:r>
    </w:p>
    <w:p>
      <w:pPr>
        <w:spacing w:after="0" w:line="75"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7"/>
          <w:szCs w:val="17"/>
          <w:color w:val="auto"/>
        </w:rPr>
        <w:t>Yield Operating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Yield Operating LLC, the holder of the project assets that belong to NRG Yield LLC</w:t>
      </w:r>
    </w:p>
    <w:p>
      <w:pPr>
        <w:spacing w:after="0" w:line="211"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80" w:top="1287" w:right="2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(a)</w:t>
            </w:r>
          </w:p>
        </w:tc>
        <w:tc>
          <w:tcPr>
            <w:tcW w:w="340" w:type="dxa"/>
            <w:vAlign w:val="bottom"/>
          </w:tcPr>
          <w:p>
            <w:pPr>
              <w:spacing w:after="0"/>
              <w:rPr>
                <w:sz w:val="19"/>
                <w:szCs w:val="19"/>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71"/>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40" w:type="dxa"/>
            <w:vAlign w:val="bottom"/>
          </w:tcPr>
          <w:p>
            <w:pPr>
              <w:spacing w:after="0"/>
              <w:rPr>
                <w:sz w:val="20"/>
                <w:szCs w:val="20"/>
                <w:color w:val="auto"/>
              </w:rPr>
            </w:pPr>
          </w:p>
        </w:tc>
        <w:tc>
          <w:tcPr>
            <w:tcW w:w="558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33"/>
        </w:trPr>
        <w:tc>
          <w:tcPr>
            <w:tcW w:w="5620" w:type="dxa"/>
            <w:vAlign w:val="bottom"/>
            <w:gridSpan w:val="3"/>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31"/>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8"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29"/>
        </w:trPr>
        <w:tc>
          <w:tcPr>
            <w:tcW w:w="63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0"/>
              <w:spacing w:after="0" w:line="229" w:lineRule="exact"/>
              <w:rPr>
                <w:sz w:val="20"/>
                <w:szCs w:val="20"/>
                <w:color w:val="auto"/>
              </w:rPr>
            </w:pPr>
            <w:r>
              <w:rPr>
                <w:rFonts w:ascii="Arial" w:cs="Arial" w:eastAsia="Arial" w:hAnsi="Arial"/>
                <w:sz w:val="18"/>
                <w:szCs w:val="18"/>
                <w:b w:val="1"/>
                <w:bCs w:val="1"/>
                <w:color w:val="auto"/>
                <w:w w:val="91"/>
              </w:rPr>
              <w:t xml:space="preserve">2015 </w:t>
            </w:r>
            <w:r>
              <w:rPr>
                <w:rFonts w:ascii="Arial" w:cs="Arial" w:eastAsia="Arial" w:hAnsi="Arial"/>
                <w:sz w:val="25"/>
                <w:szCs w:val="25"/>
                <w:b w:val="1"/>
                <w:bCs w:val="1"/>
                <w:color w:val="auto"/>
                <w:w w:val="91"/>
                <w:vertAlign w:val="superscript"/>
              </w:rPr>
              <w:t>(a)</w:t>
            </w:r>
          </w:p>
        </w:tc>
        <w:tc>
          <w:tcPr>
            <w:tcW w:w="280" w:type="dxa"/>
            <w:vAlign w:val="bottom"/>
          </w:tcPr>
          <w:p>
            <w:pPr>
              <w:spacing w:after="0"/>
              <w:rPr>
                <w:sz w:val="19"/>
                <w:szCs w:val="19"/>
                <w:color w:val="auto"/>
              </w:rPr>
            </w:pPr>
          </w:p>
        </w:tc>
        <w:tc>
          <w:tcPr>
            <w:tcW w:w="940" w:type="dxa"/>
            <w:vAlign w:val="bottom"/>
          </w:tcPr>
          <w:p>
            <w:pPr>
              <w:jc w:val="right"/>
              <w:ind w:right="352"/>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230"/>
              <w:spacing w:after="0" w:line="229" w:lineRule="exact"/>
              <w:rPr>
                <w:sz w:val="20"/>
                <w:szCs w:val="20"/>
                <w:color w:val="auto"/>
              </w:rPr>
            </w:pPr>
            <w:r>
              <w:rPr>
                <w:rFonts w:ascii="Arial" w:cs="Arial" w:eastAsia="Arial" w:hAnsi="Arial"/>
                <w:sz w:val="18"/>
                <w:szCs w:val="18"/>
                <w:b w:val="1"/>
                <w:bCs w:val="1"/>
                <w:color w:val="auto"/>
                <w:w w:val="97"/>
              </w:rPr>
              <w:t xml:space="preserve">2015 </w:t>
            </w:r>
            <w:r>
              <w:rPr>
                <w:rFonts w:ascii="Arial" w:cs="Arial" w:eastAsia="Arial" w:hAnsi="Arial"/>
                <w:sz w:val="25"/>
                <w:szCs w:val="25"/>
                <w:b w:val="1"/>
                <w:bCs w:val="1"/>
                <w:color w:val="auto"/>
                <w:w w:val="97"/>
                <w:vertAlign w:val="superscript"/>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r>
      <w:tr>
        <w:trPr>
          <w:trHeight w:val="243"/>
        </w:trPr>
        <w:tc>
          <w:tcPr>
            <w:tcW w:w="632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(Loss) Income</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(loss) gain on derivatives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37"/>
        </w:trPr>
        <w:tc>
          <w:tcPr>
            <w:tcW w:w="40" w:type="dxa"/>
            <w:vAlign w:val="bottom"/>
          </w:tcPr>
          <w:p>
            <w:pPr>
              <w:spacing w:after="0"/>
              <w:rPr>
                <w:sz w:val="20"/>
                <w:szCs w:val="20"/>
                <w:color w:val="auto"/>
              </w:rPr>
            </w:pPr>
          </w:p>
        </w:tc>
        <w:tc>
          <w:tcPr>
            <w:tcW w:w="6280" w:type="dxa"/>
            <w:vAlign w:val="bottom"/>
            <w:gridSpan w:val="2"/>
          </w:tcPr>
          <w:p>
            <w:pPr>
              <w:ind w:left="560"/>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r>
      <w:tr>
        <w:trPr>
          <w:trHeight w:val="237"/>
        </w:trPr>
        <w:tc>
          <w:tcPr>
            <w:tcW w:w="40" w:type="dxa"/>
            <w:vAlign w:val="bottom"/>
          </w:tcPr>
          <w:p>
            <w:pPr>
              <w:spacing w:after="0"/>
              <w:rPr>
                <w:sz w:val="20"/>
                <w:szCs w:val="20"/>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NRG Yield LLC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121"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2016</w:t>
            </w:r>
          </w:p>
        </w:tc>
        <w:tc>
          <w:tcPr>
            <w:tcW w:w="200" w:type="dxa"/>
            <w:vAlign w:val="bottom"/>
          </w:tcPr>
          <w:p>
            <w:pPr>
              <w:spacing w:after="0"/>
              <w:rPr>
                <w:sz w:val="14"/>
                <w:szCs w:val="14"/>
                <w:color w:val="auto"/>
              </w:rPr>
            </w:pPr>
          </w:p>
        </w:tc>
        <w:tc>
          <w:tcPr>
            <w:tcW w:w="1500" w:type="dxa"/>
            <w:vAlign w:val="bottom"/>
          </w:tcPr>
          <w:p>
            <w:pPr>
              <w:jc w:val="right"/>
              <w:ind w:right="190"/>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7100" w:type="dxa"/>
            <w:vAlign w:val="bottom"/>
            <w:vMerge w:val="restart"/>
          </w:tcPr>
          <w:p>
            <w:pPr>
              <w:jc w:val="center"/>
              <w:ind w:right="710"/>
              <w:spacing w:after="0"/>
              <w:rPr>
                <w:sz w:val="20"/>
                <w:szCs w:val="20"/>
                <w:color w:val="auto"/>
              </w:rPr>
            </w:pPr>
            <w:r>
              <w:rPr>
                <w:rFonts w:ascii="Arial" w:cs="Arial" w:eastAsia="Arial" w:hAnsi="Arial"/>
                <w:sz w:val="18"/>
                <w:szCs w:val="18"/>
                <w:b w:val="1"/>
                <w:bCs w:val="1"/>
                <w:color w:val="auto"/>
                <w:w w:val="91"/>
              </w:rPr>
              <w:t>ASSETS</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10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Accounts receivable — trade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Notes receivable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Prepayments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 of accumulated depreciation of $832 and $701</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investments in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Notes receivable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Intangible assets, net of accumulated amortization of $132 and $93</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7,437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7,608</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jc w:val="center"/>
              <w:ind w:right="710"/>
              <w:spacing w:after="0"/>
              <w:rPr>
                <w:sz w:val="20"/>
                <w:szCs w:val="20"/>
                <w:color w:val="auto"/>
              </w:rPr>
            </w:pPr>
            <w:r>
              <w:rPr>
                <w:rFonts w:ascii="Arial" w:cs="Arial" w:eastAsia="Arial" w:hAnsi="Arial"/>
                <w:sz w:val="18"/>
                <w:szCs w:val="18"/>
                <w:b w:val="1"/>
                <w:bCs w:val="1"/>
                <w:color w:val="auto"/>
              </w:rPr>
              <w:t>LIABILITIES AND MEMBERS'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 — external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Accounts payable — trade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860" w:type="dxa"/>
            <w:vAlign w:val="bottom"/>
            <w:gridSpan w:val="2"/>
          </w:tcPr>
          <w:p>
            <w:pPr>
              <w:ind w:left="2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Long-term debt — external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debt —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Accounts payable — affiliate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37"/>
        </w:trPr>
        <w:tc>
          <w:tcPr>
            <w:tcW w:w="79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b w:val="1"/>
                <w:bCs w:val="1"/>
                <w:color w:val="auto"/>
              </w:rPr>
              <w:t>Members' Equity</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Contributed capital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Members'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57"/>
        </w:trPr>
        <w:tc>
          <w:tcPr>
            <w:tcW w:w="79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Liabilities and Members’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7,437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21" w:right="239" w:bottom="1045"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(a)</w:t>
            </w:r>
          </w:p>
        </w:tc>
        <w:tc>
          <w:tcPr>
            <w:tcW w:w="460" w:type="dxa"/>
            <w:vAlign w:val="bottom"/>
            <w:tcBorders>
              <w:bottom w:val="single" w:sz="8" w:color="auto"/>
            </w:tcBorders>
          </w:tcPr>
          <w:p>
            <w:pPr>
              <w:spacing w:after="0"/>
              <w:rPr>
                <w:sz w:val="22"/>
                <w:szCs w:val="22"/>
                <w:color w:val="auto"/>
              </w:rPr>
            </w:pPr>
          </w:p>
        </w:tc>
      </w:tr>
      <w:tr>
        <w:trPr>
          <w:trHeight w:val="250"/>
        </w:trPr>
        <w:tc>
          <w:tcPr>
            <w:tcW w:w="8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0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 and debt discounts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for debt extinguishment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derivative instruments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Disposal of asset components and ARO accretion</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prepaid and accrued capacity payments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working capital</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 of businesses, net of cash acquired</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Drop Down Assets, net of cash acquired</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(489)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restricted cash</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Decrease in notes receivable</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(328)</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(839)</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NRG for NRG Wind TE Holdco</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the issuance of Class C and Class A units</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distributions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issuance of long-term debt — affiliate</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debt issuance costs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borrowings from the revolving credit facility</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payments of long-term debt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(582)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(178)</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429</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(a) </w:t>
      </w:r>
      <w:r>
        <w:rPr>
          <w:rFonts w:ascii="Arial" w:cs="Arial" w:eastAsia="Arial" w:hAnsi="Arial"/>
          <w:sz w:val="14"/>
          <w:szCs w:val="14"/>
          <w:color w:val="auto"/>
        </w:rPr>
        <w:t>Retrospectively adjusted as discussed in Note 1,</w:t>
      </w:r>
      <w:r>
        <w:rPr>
          <w:rFonts w:ascii="Arial" w:cs="Arial" w:eastAsia="Arial" w:hAnsi="Arial"/>
          <w:sz w:val="9"/>
          <w:szCs w:val="9"/>
          <w:color w:val="auto"/>
        </w:rPr>
        <w:t xml:space="preserve">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NRG Yield LLC, together with its consolidated subsidiaries, or the Company, was formed by NRG as a Delaware limited liability company on March 5, 2013, to serve as the primary vehicle through which NRG owns, operates and acquires contracted renewable and conventional generation and thermal infrastructure assets. NRG owns 100% of NRG Yield LLC's Class B units and Class D units and receives distributions through its ownership of these units. Yield, Inc. owns 100% of NRG Yield LLC's Class A units and Class C units. NRG Yield LLC, through its wholly owned subsidiary Yield Operating LLC, holds a portfolio of renewable and conventional generation and thermal infrastructure assets, primarily located in the Northeast, Southwest and California regions of the U.S.</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29, 2015, Yield, Inc. issued 28,198,000 shares of Class C common stock for net proceeds of $599 million. Yield, Inc. utilized the proceeds of the offering to acquire 28,198,000 Class C units of NRG Yield LLC, increasing its voting interest to 44.9% and its economic interest to 53.3%. Yield, Inc. consolidates the results of the Company through its controlling interest as sole managing member.</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the structure of the Company as of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14605</wp:posOffset>
            </wp:positionV>
            <wp:extent cx="5848985" cy="4322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432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21" w:right="239" w:bottom="1440" w:gutter="0" w:footer="0" w:header="0"/>
        </w:sectPr>
      </w:pPr>
    </w:p>
    <w:bookmarkStart w:id="10" w:name="page11"/>
    <w:bookmarkEnd w:id="10"/>
    <w:p>
      <w:pPr>
        <w:ind w:left="420"/>
        <w:spacing w:after="0"/>
        <w:rPr>
          <w:sz w:val="20"/>
          <w:szCs w:val="20"/>
          <w:color w:val="auto"/>
        </w:rPr>
      </w:pPr>
      <w:r>
        <w:rPr>
          <w:rFonts w:ascii="Arial" w:cs="Arial" w:eastAsia="Arial" w:hAnsi="Arial"/>
          <w:sz w:val="18"/>
          <w:szCs w:val="18"/>
          <w:color w:val="auto"/>
        </w:rPr>
        <w:t>As of June 30, 2016, the Company's operating assets are comprised of the following projects: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 Segundo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GenConn Middletown</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Alpine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Avenal</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Avra Valley</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Tucson Electric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Blythe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Borrego</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San Diego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CVSR</w:t>
            </w:r>
          </w:p>
        </w:tc>
        <w:tc>
          <w:tcPr>
            <w:tcW w:w="1180" w:type="dxa"/>
            <w:vAlign w:val="bottom"/>
          </w:tcPr>
          <w:p>
            <w:pPr>
              <w:jc w:val="right"/>
              <w:spacing w:after="0"/>
              <w:rPr>
                <w:sz w:val="20"/>
                <w:szCs w:val="20"/>
                <w:color w:val="auto"/>
              </w:rPr>
            </w:pPr>
            <w:r>
              <w:rPr>
                <w:rFonts w:ascii="Arial" w:cs="Arial" w:eastAsia="Arial" w:hAnsi="Arial"/>
                <w:sz w:val="14"/>
                <w:szCs w:val="14"/>
                <w:color w:val="auto"/>
              </w:rPr>
              <w:t>48.95%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Desert Sunlight 250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Desert Sunlight 300</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Kansas South</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Roadrunner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TA High Desert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Distributed Solar</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AZ DG Solar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2025 - 2033</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PFMG DG Solar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Wind</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III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V</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Buffalo Bear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Western Farmers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Crosswinds</w:t>
            </w:r>
          </w:p>
        </w:tc>
        <w:tc>
          <w:tcPr>
            <w:tcW w:w="118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Corn Belt Power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Elbow Creek</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Elkhorn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Forward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Constellation NewEnergy, Inc.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Goat Wind</w:t>
            </w:r>
          </w:p>
        </w:tc>
        <w:tc>
          <w:tcPr>
            <w:tcW w:w="118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Dow Pipeline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Hardin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Interstate Power and Light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Laredo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Lookout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Odin</w:t>
            </w:r>
          </w:p>
        </w:tc>
        <w:tc>
          <w:tcPr>
            <w:tcW w:w="118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Maryland Department of General Services and</w:t>
            </w: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Pinnacle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San Juan Mesa</w:t>
            </w:r>
          </w:p>
        </w:tc>
        <w:tc>
          <w:tcPr>
            <w:tcW w:w="118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Sleeping Bear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South Trent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AEP Energy Partners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Spanish Fork</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Taloga</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Oklahoma Gas &amp;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Wildorado</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5" w:right="239" w:bottom="238"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125"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4"/>
            <w:shd w:val="clear" w:color="auto" w:fill="CCEEFF"/>
          </w:tcPr>
          <w:p>
            <w:pPr>
              <w:ind w:left="40"/>
              <w:spacing w:after="0"/>
              <w:rPr>
                <w:sz w:val="20"/>
                <w:szCs w:val="20"/>
                <w:color w:val="auto"/>
              </w:rPr>
            </w:pPr>
            <w:r>
              <w:rPr>
                <w:rFonts w:ascii="Arial" w:cs="Arial" w:eastAsia="Arial" w:hAnsi="Arial"/>
                <w:sz w:val="14"/>
                <w:szCs w:val="14"/>
                <w:i w:val="1"/>
                <w:iCs w:val="1"/>
                <w:color w:val="auto"/>
              </w:rPr>
              <w:t>Thermal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300" w:type="dxa"/>
            <w:vAlign w:val="bottom"/>
            <w:gridSpan w:val="3"/>
          </w:tcPr>
          <w:p>
            <w:pPr>
              <w:ind w:left="240"/>
              <w:spacing w:after="0"/>
              <w:rPr>
                <w:sz w:val="20"/>
                <w:szCs w:val="20"/>
                <w:color w:val="auto"/>
              </w:rPr>
            </w:pPr>
            <w:r>
              <w:rPr>
                <w:rFonts w:ascii="Arial" w:cs="Arial" w:eastAsia="Arial" w:hAnsi="Arial"/>
                <w:sz w:val="14"/>
                <w:szCs w:val="14"/>
                <w:color w:val="auto"/>
              </w:rPr>
              <w:t xml:space="preserve">Thermal equivalent MWt </w:t>
            </w:r>
            <w:r>
              <w:rPr>
                <w:rFonts w:ascii="Arial" w:cs="Arial" w:eastAsia="Arial" w:hAnsi="Arial"/>
                <w:sz w:val="8"/>
                <w:szCs w:val="8"/>
                <w:color w:val="auto"/>
              </w:rPr>
              <w:t>(c)</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1,315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3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NRG Dover Energy Center LLC</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300" w:type="dxa"/>
            <w:vAlign w:val="bottom"/>
            <w:tcBorders>
              <w:bottom w:val="single" w:sz="8" w:color="CCEEFF"/>
            </w:tcBorders>
            <w:gridSpan w:val="3"/>
          </w:tcPr>
          <w:p>
            <w:pPr>
              <w:ind w:left="240"/>
              <w:spacing w:after="0"/>
              <w:rPr>
                <w:sz w:val="20"/>
                <w:szCs w:val="20"/>
                <w:color w:val="auto"/>
              </w:rPr>
            </w:pPr>
            <w:r>
              <w:rPr>
                <w:rFonts w:ascii="Arial" w:cs="Arial" w:eastAsia="Arial" w:hAnsi="Arial"/>
                <w:sz w:val="14"/>
                <w:szCs w:val="14"/>
                <w:color w:val="auto"/>
              </w:rPr>
              <w:t>Thermal generation</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27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Total net capacity (excluding equivalent MWt)</w:t>
            </w:r>
          </w:p>
        </w:tc>
        <w:tc>
          <w:tcPr>
            <w:tcW w:w="1500" w:type="dxa"/>
            <w:vAlign w:val="bottom"/>
            <w:shd w:val="clear" w:color="auto" w:fill="CCEEFF"/>
          </w:tcPr>
          <w:p>
            <w:pPr>
              <w:spacing w:after="0"/>
              <w:rPr>
                <w:sz w:val="20"/>
                <w:szCs w:val="20"/>
                <w:color w:val="auto"/>
              </w:rPr>
            </w:pPr>
            <w:r>
              <w:rPr>
                <w:rFonts w:ascii="Arial" w:cs="Arial" w:eastAsia="Arial" w:hAnsi="Arial"/>
                <w:sz w:val="9"/>
                <w:szCs w:val="9"/>
                <w:color w:val="auto"/>
                <w:shd w:val="clear" w:color="auto" w:fill="CCEEFF"/>
              </w:rPr>
              <w:t>(d)</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4,558</w:t>
            </w:r>
          </w:p>
        </w:tc>
        <w:tc>
          <w:tcPr>
            <w:tcW w:w="100" w:type="dxa"/>
            <w:vAlign w:val="bottom"/>
            <w:shd w:val="clear" w:color="auto" w:fill="CCEEFF"/>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40" w:type="dxa"/>
            <w:vAlign w:val="bottom"/>
            <w:tcBorders>
              <w:bottom w:val="single" w:sz="8" w:color="CCEEFF"/>
            </w:tcBorders>
            <w:shd w:val="clear" w:color="auto" w:fill="CCEEFF"/>
          </w:tcPr>
          <w:p>
            <w:pPr>
              <w:spacing w:after="0"/>
              <w:rPr>
                <w:sz w:val="4"/>
                <w:szCs w:val="4"/>
                <w:color w:val="auto"/>
              </w:rPr>
            </w:pPr>
          </w:p>
        </w:tc>
        <w:tc>
          <w:tcPr>
            <w:tcW w:w="2700" w:type="dxa"/>
            <w:vAlign w:val="bottom"/>
            <w:tcBorders>
              <w:bottom w:val="single" w:sz="8" w:color="CCEEFF"/>
            </w:tcBorders>
            <w:vMerge w:val="continue"/>
            <w:shd w:val="clear" w:color="auto" w:fill="CCEEFF"/>
          </w:tcPr>
          <w:p>
            <w:pPr>
              <w:spacing w:after="0"/>
              <w:rPr>
                <w:sz w:val="4"/>
                <w:szCs w:val="4"/>
                <w:color w:val="auto"/>
              </w:rPr>
            </w:pPr>
          </w:p>
        </w:tc>
        <w:tc>
          <w:tcPr>
            <w:tcW w:w="15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3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8"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June 30, 2016.</w:t>
      </w:r>
    </w:p>
    <w:p>
      <w:pPr>
        <w:ind w:left="140" w:hanging="132"/>
        <w:spacing w:after="0" w:line="201" w:lineRule="auto"/>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Projects are part of tax equity arrangements</w:t>
      </w:r>
      <w:r>
        <w:rPr>
          <w:rFonts w:ascii="Arial" w:cs="Arial" w:eastAsia="Arial" w:hAnsi="Arial"/>
          <w:sz w:val="14"/>
          <w:szCs w:val="14"/>
          <w:i w:val="1"/>
          <w:iCs w:val="1"/>
          <w:color w:val="auto"/>
        </w:rPr>
        <w:t>.</w:t>
      </w:r>
    </w:p>
    <w:p>
      <w:pPr>
        <w:ind w:right="540" w:firstLine="8"/>
        <w:spacing w:after="0" w:line="201" w:lineRule="auto"/>
        <w:tabs>
          <w:tab w:leader="none" w:pos="136" w:val="left"/>
        </w:tabs>
        <w:numPr>
          <w:ilvl w:val="0"/>
          <w:numId w:val="6"/>
        </w:numPr>
        <w:rPr>
          <w:rFonts w:ascii="Arial" w:cs="Arial" w:eastAsia="Arial" w:hAnsi="Arial"/>
          <w:sz w:val="9"/>
          <w:szCs w:val="9"/>
          <w:color w:val="auto"/>
        </w:rPr>
      </w:pPr>
      <w:r>
        <w:rPr>
          <w:rFonts w:ascii="Arial" w:cs="Arial" w:eastAsia="Arial" w:hAnsi="Arial"/>
          <w:sz w:val="14"/>
          <w:szCs w:val="14"/>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right="360" w:firstLine="8"/>
        <w:spacing w:after="0" w:line="227" w:lineRule="auto"/>
        <w:tabs>
          <w:tab w:leader="none" w:pos="141" w:val="left"/>
        </w:tabs>
        <w:numPr>
          <w:ilvl w:val="0"/>
          <w:numId w:val="6"/>
        </w:numPr>
        <w:rPr>
          <w:rFonts w:ascii="Arial" w:cs="Arial" w:eastAsia="Arial" w:hAnsi="Arial"/>
          <w:sz w:val="9"/>
          <w:szCs w:val="9"/>
          <w:color w:val="auto"/>
        </w:rPr>
      </w:pPr>
      <w:r>
        <w:rPr>
          <w:rFonts w:ascii="Arial" w:cs="Arial" w:eastAsia="Arial" w:hAnsi="Arial"/>
          <w:sz w:val="14"/>
          <w:szCs w:val="14"/>
          <w:color w:val="auto"/>
        </w:rPr>
        <w:t xml:space="preserve">Total net capacity excludes 55 MW for RPV Holdco and 45 MW for DGPV Holdco 1 and DGPV Holdco 2, which are consolidated by NRG, as further described in Note 4, </w:t>
      </w:r>
      <w:r>
        <w:rPr>
          <w:rFonts w:ascii="Arial" w:cs="Arial" w:eastAsia="Arial" w:hAnsi="Arial"/>
          <w:sz w:val="14"/>
          <w:szCs w:val="14"/>
          <w:i w:val="1"/>
          <w:iCs w:val="1"/>
          <w:color w:val="auto"/>
        </w:rPr>
        <w:t>Variable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Entities, or VIEs</w:t>
      </w:r>
      <w:r>
        <w:rPr>
          <w:rFonts w:ascii="Arial" w:cs="Arial" w:eastAsia="Arial" w:hAnsi="Arial"/>
          <w:sz w:val="14"/>
          <w:szCs w:val="14"/>
          <w:color w:val="auto"/>
        </w:rPr>
        <w:t>.</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Three out of the fourteen district energy systems are subject to rate regulation by state public utility commissions while the other district energy systems have rates determined by negotiated bilateral contracts.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As described in Note 9,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Company has a management services agreement with NRG for various services, including human resources, accounting, tax, legal, information systems, treasury, and risk management.</w:t>
      </w:r>
    </w:p>
    <w:p>
      <w:pPr>
        <w:spacing w:after="0" w:line="7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As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on November 3, 2015, the Company acquired 75% of the Class B interests of NRG Wind TE Holdco, or the November 2015 Drop Down Assets, from NRG for cash consideration of $209 million. In February 2016, NRG made a final working capital payment of $2 million, reducing total cash consideration to $207 million. Additionally, on January 2, 2015, the Company acquired the Laredo Ridge, Tapestry, and Walnut Creek projects, or the January 2015 Drop Down Assets, for total cash consideration of $489 million, including $9 million for working capital. The acquisitions of the November 2015 Drop Down Assets and the January 2015 Drop Down Assets, or collectively, the Drop Down Assets, were accounted for as transfers of entities under common control. The accounting guidance requires retrospective combination of the entities for all periods presented as if the combination has been in effect since the inception of common control. Accordingly,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 which was April 1, 2014 for the January Drop Down Assets and the majority of the November 2015 Drop Down Assets. With respect to the November 2015 Drop Down Assets, the Company has recorded all minority interests in NRG Wind TE Holdco as noncontrolling interest in the Consolidated Financial Statements for all periods presented.</w:t>
      </w:r>
    </w:p>
    <w:p>
      <w:pPr>
        <w:spacing w:after="0" w:line="1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the SEC’s regulations for interim financial information. Accordingly, they do not include all of the information and notes required by GAAP for complete financial statements. The following notes should be read in conjunction with the accounting policies and other disclosures as set forth in the notes to the Company's audited consolidated financial statements for the year ended December 31, 2015. Interim results are not necessarily indicative of results for a full year.</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2016, and the results of operations, comprehensive income and cash flows for the six months ended June 30, 2016, and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 of assets and liabilities and disclosures of contingent assets and liabilities as of the date of the consolidated financial statements. They also impact the reported amount of net earnings during the reporting period. Actual results could be different from these estimates.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changes in the Company's noncontrolling interest balance: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6"/>
                <w:szCs w:val="16"/>
                <w:b w:val="1"/>
                <w:bCs w:val="1"/>
                <w:color w:val="auto"/>
              </w:rPr>
              <w:t>(In millions)</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contributions from tax equity investors, net of distributions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Distributions to NRG for NRG Wind TE Holdco</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Balance as of June 30, 2016</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427</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the distributions paid on NRG Yield LLC's Class A, B, C and D units during the six months ended June 30, 2016:</w:t>
      </w:r>
    </w:p>
    <w:p>
      <w:pPr>
        <w:spacing w:after="0" w:line="31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Second Quarter</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 2016</w:t>
            </w:r>
          </w:p>
        </w:tc>
        <w:tc>
          <w:tcPr>
            <w:tcW w:w="0" w:type="dxa"/>
            <w:vAlign w:val="bottom"/>
          </w:tcPr>
          <w:p>
            <w:pPr>
              <w:spacing w:after="0"/>
              <w:rPr>
                <w:sz w:val="1"/>
                <w:szCs w:val="1"/>
                <w:color w:val="auto"/>
              </w:rPr>
            </w:pPr>
          </w:p>
        </w:tc>
      </w:tr>
      <w:tr>
        <w:trPr>
          <w:trHeight w:val="192"/>
        </w:trPr>
        <w:tc>
          <w:tcPr>
            <w:tcW w:w="60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B, C and D unit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0.225</w:t>
            </w:r>
          </w:p>
        </w:tc>
        <w:tc>
          <w:tcPr>
            <w:tcW w:w="0" w:type="dxa"/>
            <w:vAlign w:val="bottom"/>
          </w:tcPr>
          <w:p>
            <w:pPr>
              <w:spacing w:after="0"/>
              <w:rPr>
                <w:sz w:val="1"/>
                <w:szCs w:val="1"/>
                <w:color w:val="auto"/>
              </w:rPr>
            </w:pPr>
          </w:p>
        </w:tc>
      </w:tr>
      <w:tr>
        <w:trPr>
          <w:trHeight w:val="27"/>
        </w:trPr>
        <w:tc>
          <w:tcPr>
            <w:tcW w:w="6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July 26, 2016, the Company declared a distribution on its Class A, Class B, Class C and Class D units of $0.24 per unit payable on September 15, 2016 to unit holders of record as of September 1,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ASU 2016-07 </w:t>
      </w:r>
      <w:r>
        <w:rPr>
          <w:rFonts w:ascii="Arial" w:cs="Arial" w:eastAsia="Arial" w:hAnsi="Arial"/>
          <w:sz w:val="16"/>
          <w:szCs w:val="16"/>
          <w:color w:val="auto"/>
        </w:rPr>
        <w:t>— In March 2016, the FASB issued ASU No. 2016-07,</w:t>
      </w:r>
      <w:r>
        <w:rPr>
          <w:rFonts w:ascii="Arial" w:cs="Arial" w:eastAsia="Arial" w:hAnsi="Arial"/>
          <w:sz w:val="16"/>
          <w:szCs w:val="16"/>
          <w:i w:val="1"/>
          <w:iCs w:val="1"/>
          <w:color w:val="auto"/>
        </w:rPr>
        <w:t xml:space="preserve"> Investments - Equity Method and Joint Ventures </w:t>
      </w:r>
      <w:r>
        <w:rPr>
          <w:rFonts w:ascii="Arial" w:cs="Arial" w:eastAsia="Arial" w:hAnsi="Arial"/>
          <w:sz w:val="16"/>
          <w:szCs w:val="16"/>
          <w:color w:val="auto"/>
        </w:rPr>
        <w:t>(Topic 323), or ASU No. 2016-</w:t>
      </w:r>
    </w:p>
    <w:p>
      <w:pPr>
        <w:spacing w:after="0" w:line="46" w:lineRule="exact"/>
        <w:rPr>
          <w:sz w:val="20"/>
          <w:szCs w:val="20"/>
          <w:color w:val="auto"/>
        </w:rPr>
      </w:pPr>
    </w:p>
    <w:p>
      <w:pPr>
        <w:jc w:val="both"/>
        <w:ind w:firstLine="8"/>
        <w:spacing w:after="0" w:line="268" w:lineRule="auto"/>
        <w:tabs>
          <w:tab w:leader="none" w:pos="27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amendments of ASU No. 2016-07 eliminate the requirement that when an investment qualifies for use of the 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with no retroactive adjustment to the investment. In addition, ASU No. 2016-07 requires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guidance in ASU No. 2016-07 is effective for fiscal years beginning after December 15, 2016, and interim periods within those annual periods. The adoption of ASU No. 2016-07 is required to be applied prospectively and early adoption is permitted. The Company does not expect the standard to have a material impact on its results of operations, cash flows and financial position.</w:t>
      </w:r>
    </w:p>
    <w:p>
      <w:pPr>
        <w:spacing w:after="0" w:line="9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i w:val="1"/>
          <w:iCs w:val="1"/>
          <w:color w:val="auto"/>
        </w:rPr>
        <w:t xml:space="preserve">ASU 2016-02 </w:t>
      </w:r>
      <w:r>
        <w:rPr>
          <w:rFonts w:ascii="Arial" w:cs="Arial" w:eastAsia="Arial" w:hAnsi="Arial"/>
          <w:sz w:val="16"/>
          <w:szCs w:val="16"/>
          <w:color w:val="auto"/>
        </w:rPr>
        <w:t>— In February 2016, the FASB issued ASU No. 2016-02,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(Topic 842), or ASU No. 2016-02. The amendments of ASU No. 2016-02 complete the joint effort between the FASB and the International Accounting Standards Board, or IASB, to develop a common leasing standard for GAAP and International Financial Reporting Standards, or IFRS, with the objective to increase transparency and comparability among organizations by recognizing lease assets and lease liabilities on the balance sheet and to improve financial reporting. The guidance in ASU No. 2016-02 provides that a lessee that may have previously accounted for a lease as an operating lease under current GAAP should recognize the assets and liabilities that arise from a lease on the balance sheet. In addition, ASU No. 2016-02 expands the required quantitative and qualitative disclosures with regards to lease arrangements. The guidance in ASU No. 2016-02 is effective for fiscal years beginning after December 15, 2018, and interim periods within those annual periods. The adoption of ASU No. 2016-02 is required to be applied using a modified retrospective approach for the earliest period presented and early adoption is permitted. The Company is currently evaluating the impact of the standard on the Company's results of operations, cash flows and financial position.</w:t>
      </w:r>
    </w:p>
    <w:p>
      <w:pPr>
        <w:spacing w:after="0" w:line="11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ASU 2016-01 </w:t>
      </w:r>
      <w:r>
        <w:rPr>
          <w:rFonts w:ascii="Arial" w:cs="Arial" w:eastAsia="Arial" w:hAnsi="Arial"/>
          <w:sz w:val="18"/>
          <w:szCs w:val="18"/>
          <w:color w:val="auto"/>
        </w:rPr>
        <w:t>— In January 2016, the FASB issued ASU No. 2016-01,</w:t>
      </w:r>
      <w:r>
        <w:rPr>
          <w:rFonts w:ascii="Arial" w:cs="Arial" w:eastAsia="Arial" w:hAnsi="Arial"/>
          <w:sz w:val="18"/>
          <w:szCs w:val="18"/>
          <w:i w:val="1"/>
          <w:iCs w:val="1"/>
          <w:color w:val="auto"/>
        </w:rPr>
        <w:t xml:space="preserve"> Financial Instruments - Overall (Subtopic 825-10): Recognition and Measurement of Financial Assets and Financial Liabilities</w:t>
      </w:r>
      <w:r>
        <w:rPr>
          <w:rFonts w:ascii="Arial" w:cs="Arial" w:eastAsia="Arial" w:hAnsi="Arial"/>
          <w:sz w:val="18"/>
          <w:szCs w:val="18"/>
          <w:color w:val="auto"/>
        </w:rPr>
        <w:t>, or ASU No. 2016-01. The amendments of ASU No. 2016-01 eliminate available-for-sale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equity investments and require that equity investments (except those accounted for under the equity method of accounting, or those that result in consolidation of the investee) to be generally measured at fair value with changes in fair value recognized in net income. Further, the amendments require financial assets and financial liabilities to be presented separately in the notes to the financial statements, grouped by measurement category and form of financial asset. The guidance in ASU No. 2016-01 is effective for financial statements issued for fiscal years beginning after December 15, 2017, and interim periods within those annual periods. The Company is currently evaluating the impact of the standard on the Company's results of operations, cash flows and financial position.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25" w:right="239" w:bottom="1440" w:gutter="0" w:footer="0" w:header="0"/>
        </w:sectPr>
      </w:pPr>
    </w:p>
    <w:bookmarkStart w:id="14" w:name="page15"/>
    <w:bookmarkEnd w:id="14"/>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ASU 2015-16 </w:t>
      </w:r>
      <w:r>
        <w:rPr>
          <w:rFonts w:ascii="Arial" w:cs="Arial" w:eastAsia="Arial" w:hAnsi="Arial"/>
          <w:sz w:val="18"/>
          <w:szCs w:val="18"/>
          <w:color w:val="auto"/>
        </w:rPr>
        <w:t>— In September 2015, the FASB issued ASU No. 2015-16,</w:t>
      </w:r>
      <w:r>
        <w:rPr>
          <w:rFonts w:ascii="Arial" w:cs="Arial" w:eastAsia="Arial" w:hAnsi="Arial"/>
          <w:sz w:val="18"/>
          <w:szCs w:val="18"/>
          <w:i w:val="1"/>
          <w:iCs w:val="1"/>
          <w:color w:val="auto"/>
        </w:rPr>
        <w:t xml:space="preserve"> Business Combinations (Topic 805): Simplifying the Accounting for Measurement-Period Adjustments</w:t>
      </w:r>
      <w:r>
        <w:rPr>
          <w:rFonts w:ascii="Arial" w:cs="Arial" w:eastAsia="Arial" w:hAnsi="Arial"/>
          <w:sz w:val="18"/>
          <w:szCs w:val="18"/>
          <w:color w:val="auto"/>
        </w:rPr>
        <w:t>, or ASU No. 2015-16. The amendments of ASU No. 2015-16 require that an acquirer recognize measurement period</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the provisional amounts recognized in a business combination in the reporting period during which the adjustments are determined. Additionally, the amendments of ASU No. 2015-16 require the acquirer to record in the same period's financial statements the effect on earnings of changes in depreciation, amortization or other income effects, if any, as a result of the measurement period adjustment, calculated as if the accounting had been completed at the acquisition date as well as disclosing on either the face of the income statement or in the notes the portion of the amount recorded in current period earnings that would have been recorded in previous reporting periods. The guidance in ASU No. 2015-16 is effective for financial statements issued for fiscal years beginning after December 15, 2015, and interim periods within those fiscal years. The amendments should be applied prospectively. The Company adopted this standard on January 1, 2016, and the adoption of this standard did not impact the Company's results of operations, cash flows or financial position.</w:t>
      </w:r>
    </w:p>
    <w:p>
      <w:pPr>
        <w:spacing w:after="0" w:line="14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ASU 2014-09 </w:t>
      </w:r>
      <w:r>
        <w:rPr>
          <w:rFonts w:ascii="Arial" w:cs="Arial" w:eastAsia="Arial" w:hAnsi="Arial"/>
          <w:sz w:val="17"/>
          <w:szCs w:val="17"/>
          <w:color w:val="auto"/>
        </w:rPr>
        <w:t>— In May 2014, the FASB issued ASU No. 2014-09,</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(Topic 606), or ASU No. 2014-09.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of ASU No. 2014-09 complete the joint effort between the FASB and the International Accounting Standards Board, or IASB, to develop a common revenue standard for GAAP and International Financial Reporting Standards, or IFRS, and to improve financial reporting. The guidance in ASU No. 2014-09 provides that an entity should recognize revenue to depict the transfer of goods or services to customers in an amount that reflects the consideration to which the entity expects to be entitled to in exchange for the goods or services provided and establishes the following steps to be applied by an entity: (1) identify the contract with a customer; (2) identify the performance obligations in the contract; (3) determine the transaction price; (4) allocate the transaction price to the performance obligations in the contract; and (5) recognize revenue when (or as) the entity satisfies the performance obligation. In August 2015, the FASB issued ASU 2015-14, which formally deferred the effective date by one year to make the guidance of ASU No. 2014-09 effective for annual reporting periods beginning after December 15, 2017, including interim periods therein. Early adoption is permitted, but not prior to the original effective date, which was for annual reporting periods beginning after December 15, 2016.</w:t>
      </w:r>
    </w:p>
    <w:p>
      <w:pPr>
        <w:spacing w:after="0" w:line="124"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In addition to ASU No. 2014-09, the FASB has issued additional guidance which provides further clarification on Topic 606. In March 2016, the FASB issued ASU No. 2016-08,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or ASU No. 2016-08. The amendments of ASU No. 2016-08 clarify how to apply the implementation guidance on principal versus agent considerations related to the sale of goods or services to a customer as updated by ASU No. 2014-09. In April 2016, the FASB issued ASU No. 2016-10,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or ASU No. 2016-10. The amendments of ASU No. 2016-10 provide further clarification on contract revenue recognition as updated by ASU No. 2014-09, specifically related to the identification of separately identifiable performance obligations and the implementation of licensing contracts. In May 2016, the FASB issued ASU No. 2016-12,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Contracts with Customers </w:t>
      </w:r>
      <w:r>
        <w:rPr>
          <w:rFonts w:ascii="Arial" w:cs="Arial" w:eastAsia="Arial" w:hAnsi="Arial"/>
          <w:sz w:val="16"/>
          <w:szCs w:val="16"/>
          <w:color w:val="auto"/>
        </w:rPr>
        <w:t>(Topic 606), or ASU No. 2016-12. The amendments of ASU No. 2016-12 provide further clarification on contract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as updated by ASU No. 2014-09, specifically related to collectability, the presentation of tax collected from customers, and non-cash consideration, as well as offering practical expedients. The Company is working through an adoption plan which includes the evaluation of revenue contracts compared to the new standard and evaluating the impact of Topic 606 on the Company's results of operations, cash flows and financial position.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Acquisitions</w:t>
      </w:r>
    </w:p>
    <w:p>
      <w:pPr>
        <w:spacing w:after="0" w:line="16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CVSR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8, 2016, the Company and NRG entered into a definitive agreement regarding the acquisition of the remaining 51.05% interest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CVSR project for total expected cash consideration of $78.5 million plus assumed debt and working capital adjustments to be calculated at close. The sale is subject to customary closing conditions and is expected to close during the third quarter of 2016. The Company expects to fund the acquisition with drawings under the Company's revolving credit facility.</w:t>
      </w:r>
    </w:p>
    <w:p>
      <w:pPr>
        <w:spacing w:after="0" w:line="13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acquisition will be accounted for as a transfer of entities under common control. The accounting guidance requires retrospective combination of the entities for all periods presented as if the combination has been in effect since the inception of common control. Accordingly, the Company will prepare its consolidated financial statements to reflect the transfer as if it had taken place from the beginning of the financial statements period or from the date the entities were under common control (if later than the beginning of the financial statements period), which would be January 1, 2015. The recast would not affect net income attributable to NRG Yield, Inc., weighted average number of shares outstanding, earnings per share or dividends.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Acquisitions</w:t>
      </w:r>
    </w:p>
    <w:p>
      <w:pPr>
        <w:spacing w:after="0" w:line="221"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November 2015 Drop Down Assets from NRG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3, 2015, the Company acquired the November 2015 Drop Down Assets, a portfolio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 wind facilities totaling 814 net MW, from NRG for cash consideration of $209 million, subject to working capital adjustments. In February 2016, NRG made a final working capital payment of $2 million, reducing total cash</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25" w:right="2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consideration to $207 million. The Company is responsible for its pro-rata share of non-recourse project debt of $193 million and noncontrolling interest associated with a tax equity structure of $159 million (as of the acquisition date).</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funded the acquisition with borrowings from its revolving credit facility. The assets and liabilities transferred to the Company relate to interests under common control by NRG and were recorded at historical cost. The difference between the cash paid and historical value of the entities' equity was recorded as a distribution from NRG with the offset to contributed capital.</w:t>
      </w:r>
    </w:p>
    <w:p>
      <w:pPr>
        <w:spacing w:after="0" w:line="12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Class A interests of NRG Wind TE Holdco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8.53%. The Company generally receives 75% of CAFD until the flip point, at which time the allocations to the Company of CAFD change to 68.60%. If the flip point has not occurred by a specified date, 100% of CAFD is allocated to the TE Investor until the flip point occurs. NRG Wind TE Holdco is a VIE and the Company is the primary beneficiary, through its position as managing member, and consolidates NRG Wind TE Holdco.</w:t>
      </w:r>
    </w:p>
    <w:p>
      <w:pPr>
        <w:spacing w:after="0" w:line="100"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i w:val="1"/>
          <w:iCs w:val="1"/>
          <w:color w:val="auto"/>
        </w:rPr>
        <w:t xml:space="preserve">Desert Sunlight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29, 2015, the Company acquired 25% of the membership interest in Desert Sunlight Investment Holdings, LLC,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owns two solar photovoltaic facilities that total 550 MW, located in Desert Center, California from EFS Desert Sun, LLC, an affiliate of GE Energy Financial Services for a purchase price of $285 million. Power generated by the facilities is sold to Southern California Edison and Pacific Gas and Electric under long-term PPAs with approximately 20 years and 25 years of remaining contract life, respectively. The Company accounts for its 25% investment as an equity method investment.</w:t>
      </w:r>
    </w:p>
    <w:p>
      <w:pPr>
        <w:spacing w:after="0" w:line="13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Spring Canyon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7, 2015, the Company acquired a 90.1% interest in Spring Canyon II, a 32 MW wind facility, and Spring Canyon III, a 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MW wind facility, each located in Logan County, Colorado, from Invenergy Wind Global LLC. The purchase price was funded with cash on hand. Power generated by Spring Canyon II and Spring Canyon III is sold to Platte River Power Authority under long-term PPAs with approximately 24 years of remaining contract life.</w:t>
      </w:r>
    </w:p>
    <w:p>
      <w:pPr>
        <w:spacing w:after="0" w:line="126"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University of Bridgeport Fuel Cell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30, 2015, the Company completed the acquisition of the University of Bridgeport Fuel Cell project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Bridgeport, Connecticut from FuelCell Energy, Inc. The project added an additional 1.4 MW of thermal capacity to the Company's portfolio, with a 12-year contract, with the option for a 7-year extension. The acquisition is reflected in the Company's Thermal segment.</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January 2015 Drop Down Assets from NRG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2, 2015, the Company acquired the following projects from NRG: (i) Laredo Ridge, an 80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MW wind facility located in Petersburg, Nebraska, (ii) Tapestry, which includes Buffalo Bear, a 19 MW wind facility in Buffalo, Oklahoma; Taloga, a 130 MW wind facility in Putnam, Oklahoma; and Pinnacle, a 55 MW wind facility in Keyser, West Virginia, and (iii) Walnut Creek, a 485 MW natural gas facility located in City of Industry, California, for total cash consideration of $489 million, including $9 million for working capital, plus assumed project-level debt of $737 million. The Company funded the acquisition with cash on hand and drawings under its revolving credit facility. The assets and liabilities transferred to the Company relate to interests under common control by NRG and were recorded at historical cost. The difference between the cash paid and the historical value of the entities' equity of $61 million, as well as $23 million of AOCL, was recorded as a distribution to NRG and reduced the balance of its contributed capital.</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Variable Interest Entities, or VIEs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Company's audited consolidated financial statements included in the 2015 Form 10-K.</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25"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June 30, 2016:</w:t>
      </w:r>
    </w:p>
    <w:p>
      <w:pPr>
        <w:spacing w:after="0" w:line="150"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NRG Wind TE</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Alta Wind TE</w:t>
            </w:r>
          </w:p>
        </w:tc>
        <w:tc>
          <w:tcPr>
            <w:tcW w:w="140" w:type="dxa"/>
            <w:vAlign w:val="bottom"/>
          </w:tcPr>
          <w:p>
            <w:pPr>
              <w:spacing w:after="0"/>
              <w:rPr>
                <w:sz w:val="14"/>
                <w:szCs w:val="14"/>
                <w:color w:val="auto"/>
              </w:rPr>
            </w:pPr>
          </w:p>
        </w:tc>
        <w:tc>
          <w:tcPr>
            <w:tcW w:w="11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4"/>
              </w:rPr>
              <w:t>Spring Canyon</w:t>
            </w:r>
          </w:p>
        </w:tc>
        <w:tc>
          <w:tcPr>
            <w:tcW w:w="0" w:type="dxa"/>
            <w:vAlign w:val="bottom"/>
          </w:tcPr>
          <w:p>
            <w:pPr>
              <w:spacing w:after="0"/>
              <w:rPr>
                <w:sz w:val="1"/>
                <w:szCs w:val="1"/>
                <w:color w:val="auto"/>
              </w:rPr>
            </w:pPr>
          </w:p>
        </w:tc>
      </w:tr>
      <w:tr>
        <w:trPr>
          <w:trHeight w:val="192"/>
        </w:trPr>
        <w:tc>
          <w:tcPr>
            <w:tcW w:w="4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Holdco</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Holdco</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96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7"/>
        </w:trPr>
        <w:tc>
          <w:tcPr>
            <w:tcW w:w="4960" w:type="dxa"/>
            <w:vAlign w:val="bottom"/>
          </w:tcPr>
          <w:p>
            <w:pPr>
              <w:ind w:left="460"/>
              <w:spacing w:after="0"/>
              <w:rPr>
                <w:sz w:val="20"/>
                <w:szCs w:val="20"/>
                <w:color w:val="auto"/>
              </w:rPr>
            </w:pPr>
            <w:r>
              <w:rPr>
                <w:rFonts w:ascii="Arial" w:cs="Arial" w:eastAsia="Arial" w:hAnsi="Arial"/>
                <w:sz w:val="18"/>
                <w:szCs w:val="18"/>
                <w:color w:val="auto"/>
              </w:rPr>
              <w:t>Net assets less noncontrolling interests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3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7"/>
          <w:szCs w:val="17"/>
          <w:i w:val="1"/>
          <w:iCs w:val="1"/>
          <w:color w:val="auto"/>
        </w:rPr>
        <w:t>Investments Accounted for by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Method and Variable Interest Entities, </w:t>
      </w:r>
      <w:r>
        <w:rPr>
          <w:rFonts w:ascii="Arial" w:cs="Arial" w:eastAsia="Arial" w:hAnsi="Arial"/>
          <w:sz w:val="17"/>
          <w:szCs w:val="17"/>
          <w:color w:val="auto"/>
        </w:rPr>
        <w:t>to the Company's audited consolidated financial statements included in the 2015 Form 10-K.</w:t>
      </w:r>
    </w:p>
    <w:p>
      <w:pPr>
        <w:spacing w:after="0" w:line="5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NRG DGPV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NRG, maintain a partnership, NRG DGPV Holdco 1 LLC, or DGPV Holdco 1, the purpose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to own or purchase solar power generation projects and other ancillary related assets from NRG Renew LLC or its subsidiaries, via intermediate funds, including: (i) a tax equity-financed portfolio of 10 recently completed community solar projects representing approximately 8 MW with a weighted average remaining PPA term of 20 years; and (ii) a tax equity-financed portfolio of approximately 12 commercial photovoltaic systems representing approximately 37 MW with a weighted average remaining PPA term of 19 years. Both of these investments relate to the Company's $100 million commitment to distributed solar projects in partnership with NRG.</w:t>
      </w:r>
    </w:p>
    <w:p>
      <w:pPr>
        <w:spacing w:after="0" w:line="134"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NRG DGPV Holdco 2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February 29, 2016, the Company and NRG entered into an additional partnership by forming NRG DGPV Holdco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or DGPV Holdco 2, to own or purchase solar power generation projects and other ancillary related assets from NRG Renew LLC or its subsidiaries, via intermediate funds. Under this partnership, the Company committed to fund up to $50 million of capital.</w:t>
      </w:r>
    </w:p>
    <w:p>
      <w:pPr>
        <w:spacing w:after="0" w:line="12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is limited to its equity investment in DGPV Holdco 1 and DGPV Holdco 2, which was $78 million on a combined basis as of June 30, 2016.</w:t>
      </w:r>
    </w:p>
    <w:p>
      <w:pPr>
        <w:spacing w:after="0" w:line="11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NRG RPV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NRG Residential Solar Solutions LLC, a subsidiary of NRG, maintain a partnership, NRG RPV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Holdco 1 LLC, or RPV Holdco, that holds operating portfolios of residential solar assets developed by NRG Home Solar, a subsidiary of NRG, including: (i) an existing, unlevered portfolio of over 2,200 leases across nine states representing approximately 17 MW with a weighted average remaining lease term of approximately 17 years; and (ii) a tax equity-financed portfolio of approximately 5,500 leases representing approximately 38 MW, with an average lease term for the existing and new leases of approximately 17 to 20 years. Under this partnership, the Company had previously committed to fund up to $150 million of capital, which was reduced to $100 million in February 2016.</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maximum exposure to loss is limited to its equity investment, which was $67 million as of June 30, 2016.</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August 5, 2016, the Company and NRG amended the RPV Holdco partnership to further reduce the aggregate commitment of $100 million to $60 million in connection with NRG’s change in business model approach in the residential solar business.</w:t>
      </w:r>
    </w:p>
    <w:p>
      <w:pPr>
        <w:spacing w:after="0" w:line="112"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GenConn Energy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a 50% interest in GCE Holding LLC, the owner of GenConn, which owns and operates two 190 MW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peaking generation facilities in Connecticut at the Devon and Middletown sites. As of June 30, 2016, the Company's investment in GenConn was $108 million and its maximum exposure to loss is limited to its equity investment.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25" w:right="2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color w:val="auto"/>
        </w:rPr>
        <w:t>The following table presents summarized financial information for GCE Holding LLC:</w:t>
      </w:r>
    </w:p>
    <w:p>
      <w:pPr>
        <w:spacing w:after="0" w:line="284" w:lineRule="exact"/>
        <w:rPr>
          <w:sz w:val="20"/>
          <w:szCs w:val="20"/>
          <w:color w:val="auto"/>
        </w:rPr>
      </w:pPr>
    </w:p>
    <w:tbl>
      <w:tblPr>
        <w:tblLayout w:type="fixed"/>
        <w:tblInd w:w="118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8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90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1220" w:type="dxa"/>
            <w:vAlign w:val="bottom"/>
            <w:tcBorders>
              <w:bottom w:val="single" w:sz="8" w:color="CCEEFF"/>
            </w:tcBorders>
            <w:gridSpan w:val="3"/>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0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90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20" w:type="dxa"/>
            <w:vAlign w:val="bottom"/>
            <w:tcBorders>
              <w:bottom w:val="single" w:sz="8" w:color="CCEEFF"/>
            </w:tcBorders>
            <w:gridSpan w:val="3"/>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0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r>
      <w:tr>
        <w:trPr>
          <w:trHeight w:val="453"/>
        </w:trPr>
        <w:tc>
          <w:tcPr>
            <w:tcW w:w="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w w:val="92"/>
              </w:rPr>
              <w:t>June 30, 2016</w:t>
            </w: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95"/>
              </w:rPr>
              <w:t>December 31, 2015</w:t>
            </w:r>
          </w:p>
        </w:tc>
        <w:tc>
          <w:tcPr>
            <w:tcW w:w="20" w:type="dxa"/>
            <w:vAlign w:val="bottom"/>
            <w:tcBorders>
              <w:bottom w:val="single" w:sz="8" w:color="auto"/>
            </w:tcBorders>
          </w:tcPr>
          <w:p>
            <w:pPr>
              <w:spacing w:after="0"/>
              <w:rPr>
                <w:sz w:val="24"/>
                <w:szCs w:val="24"/>
                <w:color w:val="auto"/>
              </w:rPr>
            </w:pPr>
          </w:p>
        </w:tc>
      </w:tr>
      <w:tr>
        <w:trPr>
          <w:trHeight w:val="251"/>
        </w:trPr>
        <w:tc>
          <w:tcPr>
            <w:tcW w:w="348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Data:</w:t>
            </w: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3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3480" w:type="dxa"/>
            <w:vAlign w:val="bottom"/>
            <w:gridSpan w:val="2"/>
          </w:tcPr>
          <w:p>
            <w:pPr>
              <w:ind w:left="40"/>
              <w:spacing w:after="0"/>
              <w:rPr>
                <w:sz w:val="20"/>
                <w:szCs w:val="20"/>
                <w:color w:val="auto"/>
              </w:rPr>
            </w:pPr>
            <w:r>
              <w:rPr>
                <w:rFonts w:ascii="Arial" w:cs="Arial" w:eastAsia="Arial" w:hAnsi="Arial"/>
                <w:sz w:val="18"/>
                <w:szCs w:val="18"/>
                <w:color w:val="auto"/>
              </w:rPr>
              <w:t>Non-current assets</w:t>
            </w: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408</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21"/>
                <w:szCs w:val="21"/>
                <w:color w:val="auto"/>
              </w:rPr>
            </w:pPr>
          </w:p>
        </w:tc>
      </w:tr>
      <w:tr>
        <w:trPr>
          <w:trHeight w:val="27"/>
        </w:trPr>
        <w:tc>
          <w:tcPr>
            <w:tcW w:w="348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gridSpan w:val="2"/>
          </w:tcPr>
          <w:p>
            <w:pPr>
              <w:ind w:left="40"/>
              <w:spacing w:after="0"/>
              <w:rPr>
                <w:sz w:val="20"/>
                <w:szCs w:val="20"/>
                <w:color w:val="auto"/>
              </w:rPr>
            </w:pPr>
            <w:r>
              <w:rPr>
                <w:rFonts w:ascii="Arial" w:cs="Arial" w:eastAsia="Arial" w:hAnsi="Arial"/>
                <w:sz w:val="18"/>
                <w:szCs w:val="18"/>
                <w:color w:val="auto"/>
              </w:rPr>
              <w:t>Non-current liabilities</w:t>
            </w: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21"/>
                <w:szCs w:val="2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cash and cash equivalents, restricted cash, accounts receivable, accounts receivable — affiliate, accounts payable, accounts payable — affiliate, accrued expenses and other liabilities, the carrying amounts approximate fair value because of the short-term maturity of those instruments and are classified as Level 1 within the fair value hierarchy.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As of June 30, 2016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As of December 31, 2015</w:t>
            </w:r>
          </w:p>
        </w:tc>
      </w:tr>
      <w:tr>
        <w:trPr>
          <w:trHeight w:val="263"/>
        </w:trPr>
        <w:tc>
          <w:tcPr>
            <w:tcW w:w="604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Notes receivable, including current portion</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w:t>
            </w:r>
          </w:p>
        </w:tc>
      </w:tr>
      <w:tr>
        <w:trPr>
          <w:trHeight w:val="27"/>
        </w:trPr>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44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618</w:t>
            </w:r>
          </w:p>
        </w:tc>
        <w:tc>
          <w:tcPr>
            <w:tcW w:w="3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553</w:t>
            </w:r>
          </w:p>
        </w:tc>
      </w:tr>
      <w:tr>
        <w:trPr>
          <w:trHeight w:val="27"/>
        </w:trPr>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 external, including current portion</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4,171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4,267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4,181</w:t>
            </w:r>
          </w:p>
        </w:tc>
      </w:tr>
      <w:tr>
        <w:trPr>
          <w:trHeight w:val="27"/>
        </w:trPr>
        <w:tc>
          <w:tcPr>
            <w:tcW w:w="6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fair value of notes receivable and long-term debt are based on expected future cash flows discounted at market interest rates, or current interest rates for similar instruments, and are classified as Level 3 within the fair value hierarchy.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records its derivative assets and liabilities at fair value on its consolidated balance sheet. There were no derivative asset positions on the Company's consolidated balance sheet as of December 31, 2015. The following table presents assets and liabilities measured and recorded at fair value on the Company's consolidated balance sheets on a recurring basis and their level within the fair value hierarchy: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As of June 30, 2016</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92"/>
        </w:trPr>
        <w:tc>
          <w:tcPr>
            <w:tcW w:w="8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64"/>
        </w:trPr>
        <w:tc>
          <w:tcPr>
            <w:tcW w:w="8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0" w:type="dxa"/>
            <w:vAlign w:val="bottom"/>
          </w:tcPr>
          <w:p>
            <w:pPr>
              <w:spacing w:after="0"/>
              <w:rPr>
                <w:sz w:val="1"/>
                <w:szCs w:val="1"/>
                <w:color w:val="auto"/>
              </w:rPr>
            </w:pPr>
          </w:p>
        </w:tc>
      </w:tr>
      <w:tr>
        <w:trPr>
          <w:trHeight w:val="250"/>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140" w:type="dxa"/>
            <w:vAlign w:val="bottom"/>
          </w:tcPr>
          <w:p>
            <w:pPr>
              <w:spacing w:after="0"/>
              <w:rPr>
                <w:sz w:val="21"/>
                <w:szCs w:val="21"/>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Level 2</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Commodity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Interest rate contracts</w:t>
            </w: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85" w:lineRule="exact"/>
        <w:rPr>
          <w:sz w:val="20"/>
          <w:szCs w:val="20"/>
          <w:color w:val="auto"/>
        </w:rPr>
      </w:pP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There were no assets or liabilities classified as Level 1 or Level 3 as of June 30, 2016, and December 31, 2015.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12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2016, the credit reserve resulted in a $5 million increase in fair value, which was composed of a $4 million gain in OCI and $1 million gain in interest expense. It is possible that future market prices could vary from those used in recording assets and liabilities and such variations could be material.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 xml:space="preserve">In addition to the credit risk discussion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color w:val="231F20"/>
        </w:rPr>
        <w:t>to the Company's audited consolidated financial</w:t>
      </w:r>
      <w:r>
        <w:rPr>
          <w:rFonts w:ascii="Arial" w:cs="Arial" w:eastAsia="Arial" w:hAnsi="Arial"/>
          <w:sz w:val="16"/>
          <w:szCs w:val="16"/>
          <w:color w:val="auto"/>
        </w:rPr>
        <w:t xml:space="preserve"> </w:t>
      </w:r>
      <w:r>
        <w:rPr>
          <w:rFonts w:ascii="Arial" w:cs="Arial" w:eastAsia="Arial" w:hAnsi="Arial"/>
          <w:sz w:val="16"/>
          <w:szCs w:val="16"/>
          <w:color w:val="231F20"/>
        </w:rPr>
        <w:t>statements included in the Company's 2015 Form 10-K</w:t>
      </w:r>
      <w:r>
        <w:rPr>
          <w:rFonts w:ascii="Arial" w:cs="Arial" w:eastAsia="Arial" w:hAnsi="Arial"/>
          <w:sz w:val="16"/>
          <w:szCs w:val="16"/>
          <w:color w:val="000000"/>
        </w:rPr>
        <w:t>, the following is a discussion of the concentration of credit risk for the Company's financial</w:t>
      </w:r>
      <w:r>
        <w:rPr>
          <w:rFonts w:ascii="Arial" w:cs="Arial" w:eastAsia="Arial" w:hAnsi="Arial"/>
          <w:sz w:val="16"/>
          <w:szCs w:val="16"/>
          <w:color w:val="231F20"/>
        </w:rPr>
        <w:t xml:space="preserve"> </w:t>
      </w:r>
      <w:r>
        <w:rPr>
          <w:rFonts w:ascii="Arial" w:cs="Arial" w:eastAsia="Arial" w:hAnsi="Arial"/>
          <w:sz w:val="16"/>
          <w:szCs w:val="16"/>
          <w:color w:val="000000"/>
        </w:rPr>
        <w:t>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25" w:right="239" w:bottom="1440" w:gutter="0" w:footer="0" w:header="0"/>
        </w:sectPr>
      </w:pPr>
    </w:p>
    <w:bookmarkStart w:id="19" w:name="page20"/>
    <w:bookmarkEnd w:id="19"/>
    <w:p>
      <w:pPr>
        <w:jc w:val="both"/>
        <w:ind w:firstLine="405"/>
        <w:spacing w:after="0" w:line="271" w:lineRule="auto"/>
        <w:rPr>
          <w:sz w:val="20"/>
          <w:szCs w:val="20"/>
          <w:color w:val="auto"/>
        </w:rPr>
      </w:pPr>
      <w:r>
        <w:rPr>
          <w:rFonts w:ascii="Arial" w:cs="Arial" w:eastAsia="Arial" w:hAnsi="Arial"/>
          <w:sz w:val="17"/>
          <w:szCs w:val="17"/>
          <w:color w:val="auto"/>
        </w:rPr>
        <w:t xml:space="preserve">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June 30, 2016, credit risk exposure to these counterparties attributable to the Company's ownership interests was approximately $2.5 billion for the next five years. The majority of these power contracts are with utilities with strong credit quality and public utility commission or other regulatory support, as further described in Note 11, </w:t>
      </w:r>
      <w:r>
        <w:rPr>
          <w:rFonts w:ascii="Arial" w:cs="Arial" w:eastAsia="Arial" w:hAnsi="Arial"/>
          <w:sz w:val="17"/>
          <w:szCs w:val="17"/>
          <w:i w:val="1"/>
          <w:iCs w:val="1"/>
          <w:color w:val="auto"/>
        </w:rPr>
        <w:t>Segment Reporting</w:t>
      </w:r>
      <w:r>
        <w:rPr>
          <w:rFonts w:ascii="Arial" w:cs="Arial" w:eastAsia="Arial" w:hAnsi="Arial"/>
          <w:sz w:val="17"/>
          <w:szCs w:val="17"/>
          <w:i w:val="1"/>
          <w:iCs w:val="1"/>
          <w:color w:val="231F20"/>
        </w:rPr>
        <w:t>,</w:t>
      </w:r>
      <w:r>
        <w:rPr>
          <w:rFonts w:ascii="Arial" w:cs="Arial" w:eastAsia="Arial" w:hAnsi="Arial"/>
          <w:sz w:val="17"/>
          <w:szCs w:val="17"/>
          <w:color w:val="auto"/>
        </w:rPr>
        <w:t xml:space="preserve"> </w:t>
      </w:r>
      <w:r>
        <w:rPr>
          <w:rFonts w:ascii="Arial" w:cs="Arial" w:eastAsia="Arial" w:hAnsi="Arial"/>
          <w:sz w:val="17"/>
          <w:szCs w:val="17"/>
          <w:color w:val="231F20"/>
        </w:rPr>
        <w:t>to the Company's audited consolidated</w:t>
      </w:r>
      <w:r>
        <w:rPr>
          <w:rFonts w:ascii="Arial" w:cs="Arial" w:eastAsia="Arial" w:hAnsi="Arial"/>
          <w:sz w:val="17"/>
          <w:szCs w:val="17"/>
          <w:color w:val="auto"/>
        </w:rPr>
        <w:t xml:space="preserve"> </w:t>
      </w:r>
      <w:r>
        <w:rPr>
          <w:rFonts w:ascii="Arial" w:cs="Arial" w:eastAsia="Arial" w:hAnsi="Arial"/>
          <w:sz w:val="17"/>
          <w:szCs w:val="17"/>
          <w:color w:val="231F20"/>
        </w:rPr>
        <w:t>financial statements included in the Company's 2015 Form 10-K</w:t>
      </w:r>
      <w:r>
        <w:rPr>
          <w:rFonts w:ascii="Arial" w:cs="Arial" w:eastAsia="Arial" w:hAnsi="Arial"/>
          <w:sz w:val="17"/>
          <w:szCs w:val="17"/>
          <w:color w:val="000000"/>
        </w:rPr>
        <w:t>. However, such regulated utility counterparties can be impacted by changes in government</w:t>
      </w:r>
      <w:r>
        <w:rPr>
          <w:rFonts w:ascii="Arial" w:cs="Arial" w:eastAsia="Arial" w:hAnsi="Arial"/>
          <w:sz w:val="17"/>
          <w:szCs w:val="17"/>
          <w:color w:val="231F20"/>
        </w:rPr>
        <w:t xml:space="preserve"> </w:t>
      </w:r>
      <w:r>
        <w:rPr>
          <w:rFonts w:ascii="Arial" w:cs="Arial" w:eastAsia="Arial" w:hAnsi="Arial"/>
          <w:sz w:val="17"/>
          <w:szCs w:val="17"/>
          <w:color w:val="000000"/>
        </w:rPr>
        <w:t>regulations, which the Company is unable to predict.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Accounting for Derivative Instruments and Hedging Activities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7,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i w:val="1"/>
          <w:iCs w:val="1"/>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 xml:space="preserve">to the Company's audited consolidated financial statements </w:t>
      </w:r>
      <w:r>
        <w:rPr>
          <w:rFonts w:ascii="Arial" w:cs="Arial" w:eastAsia="Arial" w:hAnsi="Arial"/>
          <w:sz w:val="18"/>
          <w:szCs w:val="18"/>
          <w:color w:val="000000"/>
        </w:rPr>
        <w:t>included in the Company's 2015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As of June 30, 2016, the Company had forward contracts for the purchase of fuel commodities relating to the forecasted usage of the Company’s district energy centers extending through 2018. At June 30, 2016, these contracts were not designated as cash flow or fair value hedges.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June 30, 2016, the Company had interest rate derivative instruments on non-recourse debt extending through 2031, most of which are designated as cash flow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net notional volume buy/(sell) of the Company's open derivative transactions broken out by commodity as of June 30, 2016, and December 31,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June 30, 2016</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December 31, 2015</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8"/>
                <w:szCs w:val="18"/>
                <w:color w:val="auto"/>
              </w:rPr>
            </w:pPr>
          </w:p>
        </w:tc>
        <w:tc>
          <w:tcPr>
            <w:tcW w:w="344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624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1"/>
              <w:spacing w:after="0"/>
              <w:rPr>
                <w:sz w:val="20"/>
                <w:szCs w:val="20"/>
                <w:color w:val="auto"/>
              </w:rPr>
            </w:pPr>
            <w:r>
              <w:rPr>
                <w:rFonts w:ascii="Arial" w:cs="Arial" w:eastAsia="Arial" w:hAnsi="Arial"/>
                <w:sz w:val="18"/>
                <w:szCs w:val="18"/>
                <w:color w:val="auto"/>
              </w:rPr>
              <w:t>1,932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1,991</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4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There were no derivative asset positions on the balance sheet as of December 31, 2015. The following table summarizes the fair value within the derivative instrument valuation on the balance sheet: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0"/>
              </w:rPr>
              <w:t>Derivative Assets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2016</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2016</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4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4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4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14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14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vMerge w:val="restart"/>
          </w:tcPr>
          <w:p>
            <w:pPr>
              <w:jc w:val="right"/>
              <w:ind w:right="510"/>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9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5" w:right="239" w:bottom="1440" w:gutter="0" w:footer="0" w:header="0"/>
        </w:sectPr>
      </w:pPr>
    </w:p>
    <w:bookmarkStart w:id="20" w:name="page21"/>
    <w:bookmarkEnd w:id="20"/>
    <w:p>
      <w:pPr>
        <w:jc w:val="both"/>
        <w:ind w:firstLine="405"/>
        <w:spacing w:after="0" w:line="264"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master agreement level. As of June 30, 2016, and December 31, 2015, there were no offsetting amounts at the counterparty master agreement level or outstanding collateral paid or received.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r>
      <w:tr>
        <w:trPr>
          <w:trHeight w:val="250"/>
        </w:trPr>
        <w:tc>
          <w:tcPr>
            <w:tcW w:w="6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(95)</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6060" w:type="dxa"/>
            <w:vAlign w:val="bottom"/>
          </w:tcPr>
          <w:p>
            <w:pPr>
              <w:ind w:left="200"/>
              <w:spacing w:after="0"/>
              <w:rPr>
                <w:sz w:val="20"/>
                <w:szCs w:val="20"/>
                <w:color w:val="auto"/>
              </w:rPr>
            </w:pPr>
            <w:r>
              <w:rPr>
                <w:rFonts w:ascii="Arial" w:cs="Arial" w:eastAsia="Arial" w:hAnsi="Arial"/>
                <w:sz w:val="18"/>
                <w:szCs w:val="18"/>
                <w:color w:val="auto"/>
                <w:w w:val="94"/>
              </w:rPr>
              <w:t>Reclassified from accumulated OCL to income due to realization of previously</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deferred amounts</w:t>
            </w:r>
          </w:p>
        </w:tc>
        <w:tc>
          <w:tcPr>
            <w:tcW w:w="80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w:t>
            </w: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(154)</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(68)</w:t>
            </w:r>
          </w:p>
        </w:tc>
        <w:tc>
          <w:tcPr>
            <w:tcW w:w="10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(154)</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NRG Yield LLC</w:t>
            </w: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(142)</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(65)</w:t>
            </w:r>
          </w:p>
        </w:tc>
        <w:tc>
          <w:tcPr>
            <w:tcW w:w="10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(142)</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r>
      <w:tr>
        <w:trPr>
          <w:trHeight w:val="27"/>
        </w:trPr>
        <w:tc>
          <w:tcPr>
            <w:tcW w:w="60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Amounts reclassified from accumulated OCL into income and amounts recognized in income from the ineffective portion of cash flow hedges are recorded to interest expense. There was no ineffectiveness for the six months ended June 30, 2016, and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Income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three months ended June 30, 2016, and 2015, the impact to the consolidated statements of income was a loss of $2 million and a gain of $31 million, respectively. For the six months ended June 30, 2016, and 2015, the impact to the consolidated statements of income was a loss of $9 million and a gain of $19 million, respectively.</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income for these contracts.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Commodity contracts also hedged the forecasted sale of power for Elbow Creek, Alta X and Alta XI in 2015 until the start of the PPAs. The effect of these commodity hedges was recorded to operating revenues. For the three and six months ended June 30, 2015, the impact to the consolidated statements of income was an unrealized loss of $4 million and an unrealized gain of $3 million,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9,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w:t>
      </w:r>
      <w:r>
        <w:rPr>
          <w:rFonts w:ascii="Arial" w:cs="Arial" w:eastAsia="Arial" w:hAnsi="Arial"/>
          <w:sz w:val="18"/>
          <w:szCs w:val="18"/>
          <w:color w:val="231F20"/>
        </w:rPr>
        <w:t>Company's</w:t>
      </w:r>
      <w:r>
        <w:rPr>
          <w:rFonts w:ascii="Arial" w:cs="Arial" w:eastAsia="Arial" w:hAnsi="Arial"/>
          <w:sz w:val="18"/>
          <w:szCs w:val="18"/>
          <w:color w:val="auto"/>
        </w:rPr>
        <w:t xml:space="preserve"> audited consolidated financial statements included in the 2015 Form 10-K. Long-term debt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8"/>
              </w:rPr>
              <w:t>December 31,</w:t>
            </w:r>
          </w:p>
        </w:tc>
        <w:tc>
          <w:tcPr>
            <w:tcW w:w="19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June 30, 2016, interest</w:t>
            </w:r>
          </w:p>
        </w:tc>
        <w:tc>
          <w:tcPr>
            <w:tcW w:w="140" w:type="dxa"/>
            <w:vAlign w:val="bottom"/>
          </w:tcPr>
          <w:p>
            <w:pPr>
              <w:spacing w:after="0"/>
              <w:rPr>
                <w:sz w:val="14"/>
                <w:szCs w:val="14"/>
                <w:color w:val="auto"/>
              </w:rPr>
            </w:pPr>
          </w:p>
        </w:tc>
        <w:tc>
          <w:tcPr>
            <w:tcW w:w="1220" w:type="dxa"/>
            <w:vAlign w:val="bottom"/>
          </w:tcPr>
          <w:p>
            <w:pPr>
              <w:jc w:val="center"/>
              <w:ind w:right="51"/>
              <w:spacing w:after="0"/>
              <w:rPr>
                <w:sz w:val="20"/>
                <w:szCs w:val="20"/>
                <w:color w:val="auto"/>
              </w:rPr>
            </w:pPr>
            <w:r>
              <w:rPr>
                <w:rFonts w:ascii="Arial" w:cs="Arial" w:eastAsia="Arial" w:hAnsi="Arial"/>
                <w:sz w:val="14"/>
                <w:szCs w:val="14"/>
                <w:b w:val="1"/>
                <w:bCs w:val="1"/>
                <w:color w:val="auto"/>
                <w:w w:val="96"/>
              </w:rPr>
              <w:t>Letters of Credit</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June 30, 2016</w:t>
            </w:r>
          </w:p>
        </w:tc>
        <w:tc>
          <w:tcPr>
            <w:tcW w:w="102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Outstanding at June</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8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 xml:space="preserve">rate % </w:t>
            </w:r>
            <w:r>
              <w:rPr>
                <w:rFonts w:ascii="Arial" w:cs="Arial" w:eastAsia="Arial" w:hAnsi="Arial"/>
                <w:sz w:val="8"/>
                <w:szCs w:val="8"/>
                <w:b w:val="1"/>
                <w:bCs w:val="1"/>
                <w:color w:val="auto"/>
              </w:rPr>
              <w:t>(a)</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1"/>
              </w:rPr>
              <w:t>30, 2016</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40" w:type="dxa"/>
            <w:vAlign w:val="bottom"/>
            <w:gridSpan w:val="4"/>
          </w:tcPr>
          <w:p>
            <w:pPr>
              <w:ind w:left="60"/>
              <w:spacing w:after="0"/>
              <w:rPr>
                <w:sz w:val="20"/>
                <w:szCs w:val="20"/>
                <w:color w:val="auto"/>
              </w:rPr>
            </w:pPr>
            <w:r>
              <w:rPr>
                <w:rFonts w:ascii="Arial" w:cs="Arial" w:eastAsia="Arial" w:hAnsi="Arial"/>
                <w:sz w:val="14"/>
                <w:szCs w:val="14"/>
                <w:b w:val="1"/>
                <w:bCs w:val="1"/>
                <w:color w:val="auto"/>
              </w:rPr>
              <w:t>(In millions, except rates)</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 affiliate, due 2019</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Long-term debt - affiliate, due 2020</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800" w:type="dxa"/>
            <w:vAlign w:val="bottom"/>
          </w:tcPr>
          <w:p>
            <w:pPr>
              <w:jc w:val="right"/>
              <w:spacing w:after="0"/>
              <w:rPr>
                <w:sz w:val="20"/>
                <w:szCs w:val="20"/>
                <w:color w:val="auto"/>
              </w:rPr>
            </w:pPr>
            <w:r>
              <w:rPr>
                <w:rFonts w:ascii="Arial" w:cs="Arial" w:eastAsia="Arial" w:hAnsi="Arial"/>
                <w:sz w:val="18"/>
                <w:szCs w:val="18"/>
                <w:color w:val="auto"/>
              </w:rPr>
              <w:t>3.325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2024</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40"/>
              <w:spacing w:after="0"/>
              <w:rPr>
                <w:sz w:val="20"/>
                <w:szCs w:val="20"/>
                <w:color w:val="auto"/>
              </w:rPr>
            </w:pPr>
            <w:r>
              <w:rPr>
                <w:rFonts w:ascii="Arial" w:cs="Arial" w:eastAsia="Arial" w:hAnsi="Arial"/>
                <w:sz w:val="18"/>
                <w:szCs w:val="18"/>
                <w:color w:val="auto"/>
                <w:w w:val="96"/>
              </w:rPr>
              <w:t>NRG Yield LLC and NRG Yield Operating LLC Revolving Credit Facility, due</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96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5"/>
                <w:szCs w:val="25"/>
                <w:color w:val="auto"/>
                <w:vertAlign w:val="superscript"/>
              </w:rPr>
              <w:t>(b)</w:t>
            </w:r>
          </w:p>
        </w:tc>
        <w:tc>
          <w:tcPr>
            <w:tcW w:w="32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306</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L+2.75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97"/>
        </w:trPr>
        <w:tc>
          <w:tcPr>
            <w:tcW w:w="5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Project-level debt:</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Alpine, due 2022</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L+1.75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Alta Wind I, lease financing arrangement, due 2034</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1800" w:type="dxa"/>
            <w:vAlign w:val="bottom"/>
          </w:tcPr>
          <w:p>
            <w:pPr>
              <w:jc w:val="right"/>
              <w:spacing w:after="0"/>
              <w:rPr>
                <w:sz w:val="20"/>
                <w:szCs w:val="20"/>
                <w:color w:val="auto"/>
              </w:rPr>
            </w:pPr>
            <w:r>
              <w:rPr>
                <w:rFonts w:ascii="Arial" w:cs="Arial" w:eastAsia="Arial" w:hAnsi="Arial"/>
                <w:sz w:val="18"/>
                <w:szCs w:val="18"/>
                <w:color w:val="auto"/>
              </w:rPr>
              <w:t>7.015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Wind II, lease financing arrangement, due 2034</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Alta Wind III, lease financing arrangement, due 2034</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800" w:type="dxa"/>
            <w:vAlign w:val="bottom"/>
          </w:tcPr>
          <w:p>
            <w:pPr>
              <w:jc w:val="right"/>
              <w:spacing w:after="0"/>
              <w:rPr>
                <w:sz w:val="20"/>
                <w:szCs w:val="20"/>
                <w:color w:val="auto"/>
              </w:rPr>
            </w:pPr>
            <w:r>
              <w:rPr>
                <w:rFonts w:ascii="Arial" w:cs="Arial" w:eastAsia="Arial" w:hAnsi="Arial"/>
                <w:sz w:val="18"/>
                <w:szCs w:val="18"/>
                <w:color w:val="auto"/>
              </w:rPr>
              <w:t>6.067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Wind IV, lease financing arrangement, due 2034</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Alta Wind V, lease financing arrangement, due 2035</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1800" w:type="dxa"/>
            <w:vAlign w:val="bottom"/>
          </w:tcPr>
          <w:p>
            <w:pPr>
              <w:jc w:val="right"/>
              <w:spacing w:after="0"/>
              <w:rPr>
                <w:sz w:val="20"/>
                <w:szCs w:val="20"/>
                <w:color w:val="auto"/>
              </w:rPr>
            </w:pPr>
            <w:r>
              <w:rPr>
                <w:rFonts w:ascii="Arial" w:cs="Arial" w:eastAsia="Arial" w:hAnsi="Arial"/>
                <w:sz w:val="18"/>
                <w:szCs w:val="18"/>
                <w:color w:val="auto"/>
              </w:rPr>
              <w:t>6.071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Realty Investments, due 2031</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Alta Wind Asset Management, due 2031</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L+2.375</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Avra Valley, due 2031</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L+1.75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Blythe, due 2028</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L+1.625</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Borrego, due 2025 and 2038</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L+ 2.50/5.65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El Segundo Energy Center, due 2023</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485</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L+1.625 - L+2.25</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Center Minneapolis, due 2017 and 2025</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5.95 -7.25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Kansas South, due 2031</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L+2.00</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Laredo Ridge, due 2028</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L+1.875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Marsh Landing, due 2017 and 2023</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418</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L+1.75 - L+1.875</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PFMG and related subsidiaries financing agreement, due 2030</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Roadrunner, due 2031</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L+1.625</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Trent Wind, due 2020</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L+1.625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TA High Desert, due 2020 and 2032</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L+2.50/5.15</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Tapestry, due 2021</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L+1.625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Viento, due 2023</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L+2.75</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Walnut Creek, due 2023</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L+1.625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WCEP Holdings, due 2023</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L+3.00</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various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Subtotal project-level debt:</w:t>
            </w: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3,461</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4,885</w:t>
            </w: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20"/>
              <w:spacing w:after="0"/>
              <w:rPr>
                <w:sz w:val="20"/>
                <w:szCs w:val="20"/>
                <w:color w:val="auto"/>
              </w:rPr>
            </w:pPr>
            <w:r>
              <w:rPr>
                <w:rFonts w:ascii="Arial" w:cs="Arial" w:eastAsia="Arial" w:hAnsi="Arial"/>
                <w:sz w:val="18"/>
                <w:szCs w:val="18"/>
                <w:color w:val="auto"/>
              </w:rPr>
              <w:t>Less current maturities</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deferred financing costs</w:t>
            </w: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960" w:type="dxa"/>
            <w:vAlign w:val="bottom"/>
          </w:tcPr>
          <w:p>
            <w:pPr>
              <w:ind w:left="180"/>
              <w:spacing w:after="0"/>
              <w:rPr>
                <w:sz w:val="20"/>
                <w:szCs w:val="20"/>
                <w:color w:val="auto"/>
              </w:rPr>
            </w:pPr>
            <w:r>
              <w:rPr>
                <w:rFonts w:ascii="Arial" w:cs="Arial" w:eastAsia="Arial" w:hAnsi="Arial"/>
                <w:sz w:val="18"/>
                <w:szCs w:val="18"/>
                <w:color w:val="auto"/>
              </w:rPr>
              <w:t>Total long-term debt</w:t>
            </w: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4,491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4,594</w:t>
            </w: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7959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48" w:lineRule="exact"/>
        <w:rPr>
          <w:sz w:val="20"/>
          <w:szCs w:val="20"/>
          <w:color w:val="auto"/>
        </w:rPr>
      </w:pPr>
    </w:p>
    <w:p>
      <w:pPr>
        <w:ind w:left="80" w:hanging="4"/>
        <w:spacing w:after="0"/>
        <w:tabs>
          <w:tab w:leader="none" w:pos="24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As of June 30, 2016, L+ equals 3 month LIBOR plus x%, except for the Marsh Landing term loan, Walnut Creek term loan, and NRG Yield LLC and NRG Yield Operating LLC Revolving Credit Facility, where L+ equals 1 month LIBOR plus x% and Kansas South, where L+ equals 6 month LIBOR plus x%.</w:t>
      </w:r>
    </w:p>
    <w:p>
      <w:pPr>
        <w:spacing w:after="0" w:line="1" w:lineRule="exact"/>
        <w:rPr>
          <w:rFonts w:ascii="Arial" w:cs="Arial" w:eastAsia="Arial" w:hAnsi="Arial"/>
          <w:sz w:val="19"/>
          <w:szCs w:val="19"/>
          <w:color w:val="auto"/>
          <w:vertAlign w:val="superscript"/>
        </w:rPr>
      </w:pPr>
    </w:p>
    <w:p>
      <w:pPr>
        <w:ind w:left="240" w:hanging="164"/>
        <w:spacing w:after="0" w:line="211" w:lineRule="auto"/>
        <w:tabs>
          <w:tab w:leader="none" w:pos="24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Applicable rate is determined by the Borrower Leverage Ratio, as defined in the credit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21" w:right="239" w:bottom="1440" w:gutter="0" w:footer="0" w:header="0"/>
        </w:sectPr>
      </w:pPr>
    </w:p>
    <w:bookmarkStart w:id="22" w:name="page23"/>
    <w:bookmarkEnd w:id="22"/>
    <w:p>
      <w:pPr>
        <w:jc w:val="both"/>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June 30, 2016, the Company was in compliance with all of the required covenants.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or additions of long-term debt for the six months ended June 30, 2016.</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231F20"/>
        </w:rPr>
        <w:t>CVSR Holdco Financing Arrangement</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On July 15, 2016, CVSR Holdco, the indirect owner of the CVSR project, which is 48.95% owned by the Company, issued $200 million of senior secured notes that bear interest at 4.68% and mature on March 31, 2037. The Company’s pro-rata share of the borrowings was </w:t>
      </w:r>
      <w:r>
        <w:rPr>
          <w:rFonts w:ascii="Arial" w:cs="Arial" w:eastAsia="Arial" w:hAnsi="Arial"/>
          <w:sz w:val="18"/>
          <w:szCs w:val="18"/>
          <w:color w:val="000000"/>
        </w:rPr>
        <w:t>$97.5 million</w:t>
      </w:r>
      <w:r>
        <w:rPr>
          <w:rFonts w:ascii="Arial" w:cs="Arial" w:eastAsia="Arial" w:hAnsi="Arial"/>
          <w:sz w:val="18"/>
          <w:szCs w:val="18"/>
          <w:color w:val="231F20"/>
        </w:rPr>
        <w:t xml:space="preserve">. Net proceeds of </w:t>
      </w:r>
      <w:r>
        <w:rPr>
          <w:rFonts w:ascii="Arial" w:cs="Arial" w:eastAsia="Arial" w:hAnsi="Arial"/>
          <w:sz w:val="18"/>
          <w:szCs w:val="18"/>
          <w:color w:val="000000"/>
        </w:rPr>
        <w:t>$97.5 million</w:t>
      </w:r>
      <w:r>
        <w:rPr>
          <w:rFonts w:ascii="Arial" w:cs="Arial" w:eastAsia="Arial" w:hAnsi="Arial"/>
          <w:sz w:val="18"/>
          <w:szCs w:val="18"/>
          <w:color w:val="231F20"/>
        </w:rPr>
        <w:t xml:space="preserve"> were distributed to NRG Yield Operating LLC based on its pro-rata ownership.</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NRG Yield LLC and NRG Yield Operating LLC Revolving Credit Facility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borrowed $60 million from the revolving credit facility and repaid $48 million during the six months ended June 30, 2016. As of </w:t>
      </w:r>
      <w:r>
        <w:rPr>
          <w:rFonts w:ascii="Arial" w:cs="Arial" w:eastAsia="Arial" w:hAnsi="Arial"/>
          <w:sz w:val="18"/>
          <w:szCs w:val="18"/>
          <w:color w:val="000000"/>
        </w:rPr>
        <w:t>June 30,</w:t>
      </w:r>
      <w:r>
        <w:rPr>
          <w:rFonts w:ascii="Arial" w:cs="Arial" w:eastAsia="Arial" w:hAnsi="Arial"/>
          <w:sz w:val="18"/>
          <w:szCs w:val="18"/>
          <w:color w:val="231F20"/>
        </w:rPr>
        <w:t xml:space="preserve"> </w:t>
      </w:r>
      <w:r>
        <w:rPr>
          <w:rFonts w:ascii="Arial" w:cs="Arial" w:eastAsia="Arial" w:hAnsi="Arial"/>
          <w:sz w:val="18"/>
          <w:szCs w:val="18"/>
          <w:color w:val="000000"/>
        </w:rPr>
        <w:t>2016</w:t>
      </w:r>
      <w:r>
        <w:rPr>
          <w:rFonts w:ascii="Arial" w:cs="Arial" w:eastAsia="Arial" w:hAnsi="Arial"/>
          <w:sz w:val="18"/>
          <w:szCs w:val="18"/>
          <w:color w:val="231F20"/>
        </w:rPr>
        <w:t>, $318 million of borrowings and $67 million of letters of credit were outstanding. The Company used its pro rata proceeds of</w:t>
      </w:r>
      <w:r>
        <w:rPr>
          <w:rFonts w:ascii="Arial" w:cs="Arial" w:eastAsia="Arial" w:hAnsi="Arial"/>
          <w:sz w:val="18"/>
          <w:szCs w:val="18"/>
          <w:color w:val="000000"/>
        </w:rPr>
        <w:t xml:space="preserve"> $97.5 million </w:t>
      </w:r>
      <w:r>
        <w:rPr>
          <w:rFonts w:ascii="Arial" w:cs="Arial" w:eastAsia="Arial" w:hAnsi="Arial"/>
          <w:sz w:val="18"/>
          <w:szCs w:val="18"/>
          <w:color w:val="231F20"/>
        </w:rPr>
        <w:t>from the</w:t>
      </w:r>
      <w:r>
        <w:rPr>
          <w:rFonts w:ascii="Arial" w:cs="Arial" w:eastAsia="Arial" w:hAnsi="Arial"/>
          <w:sz w:val="18"/>
          <w:szCs w:val="18"/>
          <w:color w:val="000000"/>
        </w:rPr>
        <w:t xml:space="preserve"> </w:t>
      </w:r>
      <w:r>
        <w:rPr>
          <w:rFonts w:ascii="Arial" w:cs="Arial" w:eastAsia="Arial" w:hAnsi="Arial"/>
          <w:sz w:val="18"/>
          <w:szCs w:val="18"/>
          <w:color w:val="231F20"/>
        </w:rPr>
        <w:t xml:space="preserve">CVSR Holdco Financing Arrangement, as described above, along with </w:t>
      </w:r>
      <w:r>
        <w:rPr>
          <w:rFonts w:ascii="Arial" w:cs="Arial" w:eastAsia="Arial" w:hAnsi="Arial"/>
          <w:sz w:val="18"/>
          <w:szCs w:val="18"/>
          <w:color w:val="000000"/>
        </w:rPr>
        <w:t>$28 million</w:t>
      </w:r>
      <w:r>
        <w:rPr>
          <w:rFonts w:ascii="Arial" w:cs="Arial" w:eastAsia="Arial" w:hAnsi="Arial"/>
          <w:sz w:val="18"/>
          <w:szCs w:val="18"/>
          <w:color w:val="231F20"/>
        </w:rPr>
        <w:t xml:space="preserve"> of cash on hand, to reduce borrowings under the Company’s revolving credit facility. As of July 31, 2016, $193 million of borrowings were outstanding.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primarily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depreciation and amortization, or Adjusted EBITDA, and CAFD, as well as economic gross margin and net income (loss).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1"/>
              </w:rPr>
              <w:t>Three months ended June 30, 2016</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2,037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4,961</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7,437</w:t>
            </w: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1"/>
              </w:rPr>
              <w:t xml:space="preserve">Three months ended June 30, 2015 </w:t>
            </w:r>
            <w:r>
              <w:rPr>
                <w:rFonts w:ascii="Arial" w:cs="Arial" w:eastAsia="Arial" w:hAnsi="Arial"/>
                <w:sz w:val="8"/>
                <w:szCs w:val="8"/>
                <w:b w:val="1"/>
                <w:bCs w:val="1"/>
                <w:color w:val="auto"/>
                <w:w w:val="91"/>
              </w:rPr>
              <w:t>(a)</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Loss on debt extinguishment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89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50"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Six months ended June 30, 2016</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2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rPr>
              <w:t xml:space="preserve">Six months ended June 30, 2015 </w:t>
            </w:r>
            <w:r>
              <w:rPr>
                <w:rFonts w:ascii="Arial" w:cs="Arial" w:eastAsia="Arial" w:hAnsi="Arial"/>
                <w:sz w:val="8"/>
                <w:szCs w:val="8"/>
                <w:b w:val="1"/>
                <w:bCs w:val="1"/>
                <w:color w:val="auto"/>
              </w:rPr>
              <w:t>(a)</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debt extinguishment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89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Retrospectively adjusted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to the transactions and relationships described elsewhere in these notes to the consolidated financial statements, NRG and certain subsidiaries of NRG provide services to the Company and its project entities. Amounts due to NRG subsidiaries are recorded as accounts payable - affiliate and amounts due to the Company from NRG or its subsidiaries are recorded as accounts receivable - affiliate in the Company's balance sheet.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Hedge Contracts by and between Renewables segment Entities and NRG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NRG Wind TE Holdco entities, which are subsidiaries in the Renewables segment, entered into power hedge contracts with NRG Texas Power LLC and generated $12 million during the six months ended June 30, 2015. Effective October 2015, Elbow Creek, one of the NRG Wind TE Holdco entities, entered into a PPA with NRG Power Marketing LLC, or NRG Power Marketing, as further described below, and the hedge agreement between Elbow Creek and NRG Texas Power LLC was terminated.</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Additionally, Alta X and Alta XI entered into a hedge agreement with NRG Power Marketing, as further described in Note 6, </w:t>
      </w:r>
      <w:r>
        <w:rPr>
          <w:rFonts w:ascii="Arial" w:cs="Arial" w:eastAsia="Arial" w:hAnsi="Arial"/>
          <w:sz w:val="18"/>
          <w:szCs w:val="18"/>
          <w:i w:val="1"/>
          <w:iCs w:val="1"/>
          <w:color w:val="auto"/>
        </w:rPr>
        <w:t>Accounting for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and Hedging Activities</w:t>
      </w:r>
      <w:r>
        <w:rPr>
          <w:rFonts w:ascii="Arial" w:cs="Arial" w:eastAsia="Arial" w:hAnsi="Arial"/>
          <w:sz w:val="18"/>
          <w:szCs w:val="18"/>
          <w:color w:val="auto"/>
        </w:rPr>
        <w:t>, to hedge the forecasted sale of power until the start of the PPAs on January 1, 2016.</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Purchase Agreement by and between Elbow Creek and NRG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October 2015, Elbow Creek, the Company's subsidiary in the Renewables segment, entered into a PPA with NRG Power Marketing for the sale of energy and environmental attributes with the effective date of November 1, 2015, and expiring on October 31, 2022. Elbow Creek generated $4 million of revenue during the six months ended June 30, 2016.</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Operation and Maintenance (O&amp;M) Services Agreements by and between Thermal Entities and NRG</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Certain wholly-owned subsidiaries of the Company are party to a Plant O&amp;M Services Agreement with NRG, pursuant to which NRG provides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Total fees incurred under the agreements were $15 million for the six months ended June 30, 2016, and 2015. There was a balance of $27 million and $29 million due to NRG in accounts payable — affiliate as of June 30, 2016, and December 31, 2015, respectively. As of June 30, 2016, $7 million of the balance was recorded in the current liabilities of the consolidated balance sheet and $20 million was recorded in long term liabilities of the consolidated balance sheet. Subsequent to June 30, 2016, $4 million of the outstanding balance has been paid.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Purchase Agreement by and between NRG Energy Center Dover LLC and NRG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2016, NRG Energy Center Dover LLC, or NRG Dover, a subsidiary of the Company, entered into a PPA with NRG Power Marketing for the sale of energy and environmental attributes with an effective date of February 1, 2016 and expiration date of December 31, 2018. NRG Dover generated $2 million of revenue during the six months ended June 30, 2016. The agreement in place is additive to the existing Power Sales and Services Agreement as described further below.</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46" w:right="239" w:bottom="1440" w:gutter="0" w:footer="0" w:header="0"/>
        </w:sectPr>
      </w:pPr>
    </w:p>
    <w:bookmarkStart w:id="25" w:name="page26"/>
    <w:bookmarkEnd w:id="25"/>
    <w:p>
      <w:pPr>
        <w:ind w:left="420"/>
        <w:spacing w:after="0"/>
        <w:rPr>
          <w:sz w:val="20"/>
          <w:szCs w:val="20"/>
          <w:color w:val="auto"/>
        </w:rPr>
      </w:pPr>
      <w:r>
        <w:rPr>
          <w:rFonts w:ascii="Arial" w:cs="Arial" w:eastAsia="Arial" w:hAnsi="Arial"/>
          <w:sz w:val="18"/>
          <w:szCs w:val="18"/>
          <w:b w:val="1"/>
          <w:bCs w:val="1"/>
          <w:i w:val="1"/>
          <w:iCs w:val="1"/>
          <w:color w:val="auto"/>
        </w:rPr>
        <w:t>Power Sales and Services Agreement by and between NRG Energy Center Dover LLC and NRG</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NRG Energy Center Dover LLC, or NRG Dover, a subsidiary of the Company, is party to a Power Sales and Services Agreement with NRG Power Marketing. The agreement is automatically renewed on a month-to-month basis unless terminated by either party upon at least 30 days written notice. Under the agreement, NRG Power Marketing has the exclusive right to (i) manage, market and sell power, (ii) procure fuel and fuel transportation for operation of the Dover generating facility, to include for purposes other than generating power, (iii) procure transmission services required for the sale of power, and (iv) procure and market emissions credits for operation of the Dover generating facility.</w:t>
      </w:r>
    </w:p>
    <w:p>
      <w:pPr>
        <w:spacing w:after="0" w:line="11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addition, NRG Power Marketing has the exclusive right and obligation to direct the output from the generating facility, in accordance with and to meet the terms of any power sales contracts executed against the power generation of the Dover facility. Under the agreement, NRG Power Marketing pays NRG Dover gross receipts generated through sales, less costs incurred by NRG Power Marketing related to providing such services as transmission and delivery costs, as well as fuel costs. In July 2013, the coal-fueled plant was converted to a natural gas facility. For the six months ended June 30, 2016, and 2015, NRG Dover purchased $1 million and $3 million, respectively, of natural gas from NRG Power Marketing.</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Marketing Services Agreement by and between NRG Energy Center Minneapolis LLC and NRG</w:t>
      </w:r>
    </w:p>
    <w:p>
      <w:pPr>
        <w:spacing w:after="0" w:line="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NRG Energy Center Minneapolis LLC, or NRG Minneapolis, a subsidiary of the Company is party to an Energy Marketing Services Agreement with NRG Power Marketing, a wholly-owned subsidiary of NRG. Under the agreement, NRG Power Marketing procures fuel and fuel transportation for the operation of the Minneapolis generating facility. For the six months ended June 30, 2016, and 2015, NRG Minneapolis purchased $4 million and $5 million, respectively, of natural gas from NRG Power Marketing.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GenConn incurs fees under two O&amp;M services agreements with wholly-owned subsidiaries of NRG. The fees incurred under the agreements were $3 million and $2 million for the six months ended June 30, 2016, and 2015,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 by and between El Segundo and NRG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El Segundo incurs fees under an O&amp;M services agreement with NRG El Segundo Operations, Inc., a wholly-owned subsidiary of NRG. Under the O&amp;M services agreement, NRG El Segundo Operations, Inc. manages, operates and maintains the El Segundo facility for an initial term of ten years following the commercial operations date. For the six months ended June 30, 2016, and 2015, the costs incurred under the agreement were $2 million. There was a balance of $1 million due to NRG El Segundo in accounts payable — affiliate as of June 30, 2016, and December 31, 2015.</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25" w:right="239" w:bottom="1440" w:gutter="0" w:footer="0" w:header="0"/>
        </w:sectPr>
      </w:pPr>
    </w:p>
    <w:bookmarkStart w:id="26" w:name="page27"/>
    <w:bookmarkEnd w:id="26"/>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Marsh Landing is a party to an administrative services agreement with GenOn Energy Services, LLC, a wholly-owned subsidiary of NRG, which provides invoice processing and payment on behalf of Marsh Landing. Marsh Landing reimburses GenOn Energy Services, LLC for the amounts paid by it. The Company reimbursed costs under this agreement of $5 million and $9 million for the six months ended June 30, 2016, and 2015, respectively. There was a balance of $6 million due to GenOn Energy Services, LLC in accounts payable — affiliate as of June 30, 2016, and December 31, 2015.</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CVSR and NRG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CVSR is a party to an administrative services agreement with NRG Renew Operation &amp; Maintenance LLC, a wholly-owned subsidiary of NRG, which provides O&amp;M services on behalf of CVSR. CVSR reimburses NRG Energy Services LLC for the amounts paid by it. CVSR reimbursed costs under this agreement of $2 million and $3 million for the six months ended June 30, 2016, and 2015,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NRG provides the Company with various operation, management, and administrative services, which include human resources, accounting, tax, legal, information systems, treasury, and risk management, as set forth in the Management Services Agreement. As of June 30, 2016, the base management fee was approximately $7 million per year, subject to an inflation-based adjustment annually at an inflation factor based on the year-over-year U.S. consumer price index. The fee is also subject to adjustments following the consummation of future acquisitions and as a result of a change in the scope of services provided under the Management Services Agreement. During the year ended December 31, 2015, the fee was increased by $1 million per year primarily due to the acquisitions of the January 2015 Drop Down Assets and the November 2015 Drop Down Assets. Costs incurred under this agreement were $4 million and $5 million for the six months ended June 30, 2016, and 2015, respectively, which included certain direct expenses incurred by NRG on behalf of the Company in addition to the base management fee. There was a balance of $4 million due to NRG in accounts payable — affiliate as of June 30, 2016. Subsequent to June 30, 2016, the balance has been paid in full.</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Agreements by and between NRG Wind TE Holdco and NRG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subsidiaries of NRG have entered into agreements with the Company's project entities to provide operation and maintenance services for the balance of the plants not covered by turbine supplier's maintenance and service agreements for the post-warranty period. The agreements have various terms with provisions for extension until terminated. For the six months ended June 30, 2016, and 2015, the costs incurred under the agreements were $3 million and $2 million, respectively.</w:t>
      </w:r>
    </w:p>
    <w:p>
      <w:pPr>
        <w:spacing w:after="0" w:line="133"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Certain subsidiaries of NRG provide support services to the NRG Wind TE Holdco project entities pursuant to various support services agreements. The agreements provide for administrative and support services and reimbursements of certain insurance, consultant, and credit costs. For the six months ended June 30, 2016, and 2015, the costs incurred under the agreements were $1 million and $2 million,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Condensed Consolidating Financial Information</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As of June 30, 2016, Yield Operating LLC had outstanding $500 million of Senior Notes as shown in Note 7, </w:t>
      </w:r>
      <w:r>
        <w:rPr>
          <w:rFonts w:ascii="Arial" w:cs="Arial" w:eastAsia="Arial" w:hAnsi="Arial"/>
          <w:sz w:val="17"/>
          <w:szCs w:val="17"/>
          <w:i w:val="1"/>
          <w:iCs w:val="1"/>
          <w:color w:val="auto"/>
        </w:rPr>
        <w:t>Long-term Debt</w:t>
      </w:r>
      <w:r>
        <w:rPr>
          <w:rFonts w:ascii="Arial" w:cs="Arial" w:eastAsia="Arial" w:hAnsi="Arial"/>
          <w:sz w:val="17"/>
          <w:szCs w:val="17"/>
          <w:color w:val="auto"/>
        </w:rPr>
        <w:t>. These Senior Notes are guaranteed by NRG Yield LLC,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Unless otherwise noted below, each of the following guarantor subsidiaries fully and unconditionally guaranteed the Senior Notes as of June 30, 2016:</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NYLD Fuel Cell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UB Fuel Cell,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South Trent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DGPV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RPV Holding LLC</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Yield Operating LLC conducts much of its business through and derives much of its income from its subsidiaries. Therefore, its ability to make required payments with respect to its indebtedness and other obligations depends on the financial results and condition of its subsidiaries and Yield Operating LLC's ability to receive funds from its subsidiaries. There are no restrictions on the ability of any of the guarantor subsidiaries to transfer funds to Yield Operating LLC. However, there may be restrictions for certain non-guarantor subsidiaries.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NRG Yield LLC, Yield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In this presentation, NRG Yield LLC consists of parent company operations. Guarantor subsidiaries and non-guarantor subsidiaries of NRG Yield LLC are reported on an equity basis. For companies acquired, the fair values of the assets and liabilities acquired have been presented on a push-down accounting basis. As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the Company completed the acquisition of the November 2015 Drop Down Assets from NRG on November 3, 2015. The guidance requires retrospective combination of the entities for all periods presented as if the combination has been in effect since the inception of common control. Accordingly, the Company prepared its condensed consolidating financial statements to reflect the transfer as if it had taken place from the beginning of the financial statements period. The Company has recorded all minority interests in NRG Wind TE Holdco as noncontrolling interest in the Consolidated Financial Statements for all periods presented.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21" w:right="239" w:bottom="1440" w:gutter="0" w:footer="0" w:header="0"/>
        </w:sectPr>
      </w:pPr>
    </w:p>
    <w:bookmarkStart w:id="28" w:name="page29"/>
    <w:bookmarkEnd w:id="28"/>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Three Months Ended June 30, 2016</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of consolidated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4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affiliates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3260" w:type="dxa"/>
            <w:vAlign w:val="bottom"/>
          </w:tcPr>
          <w:p>
            <w:pPr>
              <w:ind w:left="40"/>
              <w:spacing w:after="0"/>
              <w:rPr>
                <w:sz w:val="20"/>
                <w:szCs w:val="20"/>
                <w:color w:val="auto"/>
              </w:rPr>
            </w:pPr>
            <w:r>
              <w:rPr>
                <w:rFonts w:ascii="Arial" w:cs="Arial" w:eastAsia="Arial" w:hAnsi="Arial"/>
                <w:sz w:val="18"/>
                <w:szCs w:val="18"/>
                <w:color w:val="auto"/>
                <w:w w:val="92"/>
              </w:rPr>
              <w:t>Less: Net loss attributable to noncontrolling</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0"/>
                <w:szCs w:val="20"/>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ind w:left="86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NRG Yield LLC</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1121" w:right="439" w:bottom="1440" w:gutter="0" w:footer="0" w:header="0"/>
        </w:sectPr>
      </w:pPr>
    </w:p>
    <w:bookmarkStart w:id="29" w:name="page30"/>
    <w:bookmarkEnd w:id="29"/>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of consolidated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4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(losses) of</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unconsolidated affiliates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9"/>
        </w:trPr>
        <w:tc>
          <w:tcPr>
            <w:tcW w:w="3260" w:type="dxa"/>
            <w:vAlign w:val="bottom"/>
          </w:tcPr>
          <w:p>
            <w:pPr>
              <w:ind w:left="40"/>
              <w:spacing w:after="0"/>
              <w:rPr>
                <w:sz w:val="20"/>
                <w:szCs w:val="20"/>
                <w:color w:val="auto"/>
              </w:rPr>
            </w:pPr>
            <w:r>
              <w:rPr>
                <w:rFonts w:ascii="Arial" w:cs="Arial" w:eastAsia="Arial" w:hAnsi="Arial"/>
                <w:sz w:val="18"/>
                <w:szCs w:val="18"/>
                <w:color w:val="auto"/>
                <w:w w:val="92"/>
              </w:rPr>
              <w:t>Less: Net loss attributable to noncontrolling</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NRG Yield LLC</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1121" w:right="4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NRG Yield LLC</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60" w:type="dxa"/>
            <w:vAlign w:val="bottom"/>
          </w:tcPr>
          <w:p>
            <w:pPr>
              <w:spacing w:after="0"/>
              <w:rPr>
                <w:sz w:val="12"/>
                <w:szCs w:val="12"/>
                <w:color w:val="auto"/>
              </w:rPr>
            </w:pPr>
          </w:p>
        </w:tc>
        <w:tc>
          <w:tcPr>
            <w:tcW w:w="10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gain on derivatives</w:t>
            </w: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3700" w:type="dxa"/>
            <w:vAlign w:val="bottom"/>
          </w:tcPr>
          <w:p>
            <w:pPr>
              <w:ind w:left="380"/>
              <w:spacing w:after="0"/>
              <w:rPr>
                <w:sz w:val="20"/>
                <w:szCs w:val="20"/>
                <w:color w:val="auto"/>
              </w:rPr>
            </w:pPr>
            <w:r>
              <w:rPr>
                <w:rFonts w:ascii="Arial" w:cs="Arial" w:eastAsia="Arial" w:hAnsi="Arial"/>
                <w:sz w:val="18"/>
                <w:szCs w:val="18"/>
                <w:color w:val="auto"/>
              </w:rPr>
              <w:t>Other comprehensive (loss) income</w:t>
            </w:r>
          </w:p>
        </w:tc>
        <w:tc>
          <w:tcPr>
            <w:tcW w:w="4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3700" w:type="dxa"/>
            <w:vAlign w:val="bottom"/>
          </w:tcPr>
          <w:p>
            <w:pPr>
              <w:ind w:left="180"/>
              <w:spacing w:after="0"/>
              <w:rPr>
                <w:sz w:val="20"/>
                <w:szCs w:val="20"/>
                <w:color w:val="auto"/>
              </w:rPr>
            </w:pPr>
            <w:r>
              <w:rPr>
                <w:rFonts w:ascii="Arial" w:cs="Arial" w:eastAsia="Arial" w:hAnsi="Arial"/>
                <w:sz w:val="18"/>
                <w:szCs w:val="18"/>
                <w:color w:val="auto"/>
              </w:rPr>
              <w:t>Less: Comprehensive loss attributable to</w:t>
            </w: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46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6"/>
              </w:rPr>
              <w:t>Comprehensive Income Attributable to NRG</w:t>
            </w:r>
          </w:p>
        </w:tc>
        <w:tc>
          <w:tcPr>
            <w:tcW w:w="460" w:type="dxa"/>
            <w:vAlign w:val="bottom"/>
            <w:vMerge w:val="restart"/>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Yield LLC</w:t>
            </w: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85"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NRG Yield LLC</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60" w:type="dxa"/>
            <w:vAlign w:val="bottom"/>
          </w:tcPr>
          <w:p>
            <w:pPr>
              <w:spacing w:after="0"/>
              <w:rPr>
                <w:sz w:val="12"/>
                <w:szCs w:val="12"/>
                <w:color w:val="auto"/>
              </w:rPr>
            </w:pPr>
          </w:p>
        </w:tc>
        <w:tc>
          <w:tcPr>
            <w:tcW w:w="10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derivatives</w:t>
            </w: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3700" w:type="dxa"/>
            <w:vAlign w:val="bottom"/>
          </w:tcPr>
          <w:p>
            <w:pPr>
              <w:ind w:left="500"/>
              <w:spacing w:after="0"/>
              <w:rPr>
                <w:sz w:val="20"/>
                <w:szCs w:val="20"/>
                <w:color w:val="auto"/>
              </w:rPr>
            </w:pPr>
            <w:r>
              <w:rPr>
                <w:rFonts w:ascii="Arial" w:cs="Arial" w:eastAsia="Arial" w:hAnsi="Arial"/>
                <w:sz w:val="18"/>
                <w:szCs w:val="18"/>
                <w:color w:val="auto"/>
              </w:rPr>
              <w:t>Other comprehensive loss</w:t>
            </w: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3700" w:type="dxa"/>
            <w:vAlign w:val="bottom"/>
          </w:tcPr>
          <w:p>
            <w:pPr>
              <w:ind w:left="180"/>
              <w:spacing w:after="0"/>
              <w:rPr>
                <w:sz w:val="20"/>
                <w:szCs w:val="20"/>
                <w:color w:val="auto"/>
              </w:rPr>
            </w:pPr>
            <w:r>
              <w:rPr>
                <w:rFonts w:ascii="Arial" w:cs="Arial" w:eastAsia="Arial" w:hAnsi="Arial"/>
                <w:sz w:val="18"/>
                <w:szCs w:val="18"/>
                <w:color w:val="auto"/>
              </w:rPr>
              <w:t>Less: Comprehensive loss attributable to</w:t>
            </w: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44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6"/>
              </w:rPr>
              <w:t>Comprehensive Income Attributable to NRG</w:t>
            </w:r>
          </w:p>
        </w:tc>
        <w:tc>
          <w:tcPr>
            <w:tcW w:w="440" w:type="dxa"/>
            <w:vAlign w:val="bottom"/>
            <w:vMerge w:val="restart"/>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Yield LLC</w:t>
            </w: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21" w:right="239" w:bottom="1440" w:gutter="0" w:footer="0" w:header="0"/>
        </w:sectPr>
      </w:pPr>
    </w:p>
    <w:bookmarkStart w:id="31" w:name="page32"/>
    <w:bookmarkEnd w:id="31"/>
    <w:p>
      <w:pPr>
        <w:jc w:val="center"/>
        <w:ind w:right="-11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2016</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60" w:type="dxa"/>
            <w:vAlign w:val="bottom"/>
          </w:tcPr>
          <w:p>
            <w:pPr>
              <w:ind w:left="15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Equity investments in affiliates</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86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200" w:hanging="138"/>
        <w:spacing w:after="0"/>
        <w:tabs>
          <w:tab w:leader="none" w:pos="200" w:val="left"/>
        </w:tabs>
        <w:numPr>
          <w:ilvl w:val="0"/>
          <w:numId w:val="15"/>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1121" w:right="3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LIABILITIES AND MEMBERS' EQUITY</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Current portion of long-term debt — external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Accounts payable —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 external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Long-term debt —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Contributed capital</w:t>
            </w: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3,078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6,687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140" w:hanging="138"/>
        <w:spacing w:after="0"/>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-98425</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300" w:top="1337" w:right="299" w:bottom="1440" w:gutter="0" w:footer="0" w:header="0"/>
        </w:sectPr>
      </w:pPr>
    </w:p>
    <w:bookmarkStart w:id="33" w:name="page34"/>
    <w:bookmarkEnd w:id="33"/>
    <w:p>
      <w:pPr>
        <w:jc w:val="center"/>
        <w:ind w:left="980" w:right="2220"/>
        <w:spacing w:after="0" w:line="475" w:lineRule="auto"/>
        <w:rPr>
          <w:sz w:val="20"/>
          <w:szCs w:val="20"/>
          <w:color w:val="auto"/>
        </w:rPr>
      </w:pPr>
      <w:r>
        <w:rPr>
          <w:rFonts w:ascii="Arial" w:cs="Arial" w:eastAsia="Arial" w:hAnsi="Arial"/>
          <w:sz w:val="18"/>
          <w:szCs w:val="18"/>
          <w:b w:val="1"/>
          <w:bCs w:val="1"/>
          <w:color w:val="auto"/>
        </w:rPr>
        <w:t>NRG YIELD LLC AND SUBSIDIARIES CONDENSED CONSOLIDATING STATEMENTS OF CASH FLOWS For the Six Months Ended June 30, 2016 (Unaudited)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C2C2C"/>
                <w:w w:val="99"/>
              </w:rPr>
              <w:t>NRG Yield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2C2C2C"/>
                <w:w w:val="96"/>
              </w:rPr>
              <w:t>Operating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w w:val="98"/>
              </w:rPr>
              <w:t>LLC (Note</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2C2C2C"/>
                <w:w w:val="91"/>
              </w:rPr>
              <w:t>Issuer)</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transactions between Yield LLC and</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subsidiaries</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Decrease in notes receivable</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Return of investment from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Net investments in unconsolidated affiliates</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w w:val="96"/>
              </w:rPr>
              <w:t>Transfer of funds under intercompany cash management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arrangement</w:t>
            </w: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contributions from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Distributions to NRG for NRG Wind TE Holdco</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distributions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Net borrowings from the revolving credit facility</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payments for long-term debt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w w:val="98"/>
              </w:rPr>
              <w:t>Net Cash (Used in) Provided by Financing Activities</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900" w:top="1121" w:right="9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NRG Yield</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NRG Yield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80" w:type="dxa"/>
            <w:vAlign w:val="bottom"/>
          </w:tcPr>
          <w:p>
            <w:pPr>
              <w:spacing w:after="0"/>
              <w:rPr>
                <w:sz w:val="12"/>
                <w:szCs w:val="12"/>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 (b)</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Subsidiaries</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 (Losses)</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Total operating revenues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40" w:type="dxa"/>
            <w:vAlign w:val="bottom"/>
          </w:tcPr>
          <w:p>
            <w:pPr>
              <w:spacing w:after="0"/>
              <w:rPr>
                <w:sz w:val="21"/>
                <w:szCs w:val="21"/>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Acquisition-related transaction and integration</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costs</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Other (Expense) Income</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earnings of 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w w:val="94"/>
              </w:rPr>
              <w:t>Equity in (losses) earnings of unconsolidated</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140" w:type="dxa"/>
            <w:vAlign w:val="bottom"/>
          </w:tcPr>
          <w:p>
            <w:pPr>
              <w:spacing w:after="0"/>
              <w:rPr>
                <w:sz w:val="20"/>
                <w:szCs w:val="20"/>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debt extinguishment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1"/>
              </w:rPr>
              <w:t>Less: Net loss attributable to noncontrolling</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interests</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NRG Yield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Operating LLC</w:t>
            </w:r>
          </w:p>
        </w:tc>
        <w:tc>
          <w:tcPr>
            <w:tcW w:w="180" w:type="dxa"/>
            <w:vAlign w:val="bottom"/>
          </w:tcPr>
          <w:p>
            <w:pPr>
              <w:spacing w:after="0"/>
              <w:rPr>
                <w:sz w:val="16"/>
                <w:szCs w:val="16"/>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 (b)</w:t>
            </w:r>
          </w:p>
        </w:tc>
        <w:tc>
          <w:tcPr>
            <w:tcW w:w="140" w:type="dxa"/>
            <w:vAlign w:val="bottom"/>
          </w:tcPr>
          <w:p>
            <w:pPr>
              <w:spacing w:after="0"/>
              <w:rPr>
                <w:sz w:val="16"/>
                <w:szCs w:val="16"/>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9"/>
                <w:szCs w:val="9"/>
                <w:b w:val="1"/>
                <w:bCs w:val="1"/>
                <w:color w:val="auto"/>
              </w:rPr>
              <w:t>(a)</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Subsidiaries</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5"/>
          </w:tcPr>
          <w:p>
            <w:pPr>
              <w:ind w:left="10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300" w:type="dxa"/>
            <w:vAlign w:val="bottom"/>
          </w:tcPr>
          <w:p>
            <w:pPr>
              <w:spacing w:after="0"/>
              <w:rPr>
                <w:sz w:val="21"/>
                <w:szCs w:val="21"/>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integration costs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Other (Expense) Income</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Equity in income (losses) of consolidated</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affiliates</w:t>
            </w: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rPr>
              <w:t>Equity in earnings of unconsolidated</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40"/>
              <w:spacing w:after="0"/>
              <w:rPr>
                <w:sz w:val="20"/>
                <w:szCs w:val="20"/>
                <w:color w:val="auto"/>
              </w:rPr>
            </w:pPr>
            <w:r>
              <w:rPr>
                <w:rFonts w:ascii="Arial" w:cs="Arial" w:eastAsia="Arial" w:hAnsi="Arial"/>
                <w:sz w:val="18"/>
                <w:szCs w:val="18"/>
                <w:color w:val="auto"/>
              </w:rPr>
              <w:t>affiliates</w:t>
            </w:r>
          </w:p>
        </w:tc>
        <w:tc>
          <w:tcPr>
            <w:tcW w:w="300" w:type="dxa"/>
            <w:vAlign w:val="bottom"/>
          </w:tcPr>
          <w:p>
            <w:pPr>
              <w:spacing w:after="0"/>
              <w:rPr>
                <w:sz w:val="20"/>
                <w:szCs w:val="20"/>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Loss on debt extinguishment</w:t>
            </w:r>
          </w:p>
        </w:tc>
        <w:tc>
          <w:tcPr>
            <w:tcW w:w="300" w:type="dxa"/>
            <w:vAlign w:val="bottom"/>
          </w:tcPr>
          <w:p>
            <w:pPr>
              <w:spacing w:after="0"/>
              <w:rPr>
                <w:sz w:val="21"/>
                <w:szCs w:val="21"/>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w w:val="94"/>
              </w:rPr>
              <w:t>Less: Net loss attributable to noncontrolling</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4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0"/>
                <w:szCs w:val="20"/>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(Loss) Attributable to NRG</w:t>
            </w:r>
          </w:p>
        </w:tc>
        <w:tc>
          <w:tcPr>
            <w:tcW w:w="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Yield LLC</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21" w:right="23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June 30, 2015</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1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200" w:type="dxa"/>
            <w:vAlign w:val="bottom"/>
          </w:tcPr>
          <w:p>
            <w:pPr>
              <w:spacing w:after="0"/>
              <w:rPr>
                <w:sz w:val="12"/>
                <w:szCs w:val="12"/>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(a)(b)</w:t>
            </w:r>
          </w:p>
        </w:tc>
        <w:tc>
          <w:tcPr>
            <w:tcW w:w="140" w:type="dxa"/>
            <w:vAlign w:val="bottom"/>
          </w:tcPr>
          <w:p>
            <w:pPr>
              <w:spacing w:after="0"/>
              <w:rPr>
                <w:sz w:val="12"/>
                <w:szCs w:val="12"/>
                <w:color w:val="auto"/>
              </w:rPr>
            </w:pPr>
          </w:p>
        </w:tc>
        <w:tc>
          <w:tcPr>
            <w:tcW w:w="9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 xml:space="preserve">Subsidiaries </w:t>
            </w:r>
            <w:r>
              <w:rPr>
                <w:rFonts w:ascii="Arial" w:cs="Arial" w:eastAsia="Arial" w:hAnsi="Arial"/>
                <w:sz w:val="8"/>
                <w:szCs w:val="8"/>
                <w:b w:val="1"/>
                <w:bCs w:val="1"/>
                <w:color w:val="auto"/>
                <w:w w:val="94"/>
              </w:rPr>
              <w:t>(a)</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6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Unrealized gain on derivatives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Comprehensive loss attributable to</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5"/>
        </w:trPr>
        <w:tc>
          <w:tcPr>
            <w:tcW w:w="34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1"/>
              </w:rPr>
              <w:t>Comprehensive Income attributable to NRG</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6"/>
        </w:trPr>
        <w:tc>
          <w:tcPr>
            <w:tcW w:w="3480" w:type="dxa"/>
            <w:vAlign w:val="bottom"/>
          </w:tcPr>
          <w:p>
            <w:pPr>
              <w:ind w:left="200"/>
              <w:spacing w:after="0"/>
              <w:rPr>
                <w:sz w:val="20"/>
                <w:szCs w:val="20"/>
                <w:color w:val="auto"/>
              </w:rPr>
            </w:pPr>
            <w:r>
              <w:rPr>
                <w:rFonts w:ascii="Arial" w:cs="Arial" w:eastAsia="Arial" w:hAnsi="Arial"/>
                <w:sz w:val="18"/>
                <w:szCs w:val="18"/>
                <w:b w:val="1"/>
                <w:bCs w:val="1"/>
                <w:color w:val="auto"/>
              </w:rPr>
              <w:t>Yield LLC</w:t>
            </w: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85"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1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Operating</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2"/>
                <w:szCs w:val="12"/>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 (b)</w:t>
            </w:r>
          </w:p>
        </w:tc>
        <w:tc>
          <w:tcPr>
            <w:tcW w:w="140" w:type="dxa"/>
            <w:vAlign w:val="bottom"/>
          </w:tcPr>
          <w:p>
            <w:pPr>
              <w:spacing w:after="0"/>
              <w:rPr>
                <w:sz w:val="12"/>
                <w:szCs w:val="12"/>
                <w:color w:val="auto"/>
              </w:rPr>
            </w:pPr>
          </w:p>
        </w:tc>
        <w:tc>
          <w:tcPr>
            <w:tcW w:w="10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8"/>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60"/>
              <w:spacing w:after="0" w:line="199" w:lineRule="exact"/>
              <w:rPr>
                <w:sz w:val="20"/>
                <w:szCs w:val="20"/>
                <w:color w:val="auto"/>
              </w:rPr>
            </w:pPr>
            <w:r>
              <w:rPr>
                <w:rFonts w:ascii="Arial" w:cs="Arial" w:eastAsia="Arial" w:hAnsi="Arial"/>
                <w:sz w:val="22"/>
                <w:szCs w:val="22"/>
                <w:b w:val="1"/>
                <w:bCs w:val="1"/>
                <w:color w:val="auto"/>
                <w:vertAlign w:val="subscript"/>
              </w:rPr>
              <w:t>LLC</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Subsidiaries</w:t>
            </w:r>
            <w:r>
              <w:rPr>
                <w:rFonts w:ascii="Arial" w:cs="Arial" w:eastAsia="Arial" w:hAnsi="Arial"/>
                <w:sz w:val="8"/>
                <w:szCs w:val="8"/>
                <w:b w:val="1"/>
                <w:bCs w:val="1"/>
                <w:color w:val="auto"/>
                <w:w w:val="98"/>
              </w:rPr>
              <w:t>(a)</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3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9"/>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33</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16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3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Comprehensive loss attributable to</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5"/>
        </w:trPr>
        <w:tc>
          <w:tcPr>
            <w:tcW w:w="336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0"/>
              </w:rPr>
              <w:t>Comprehensive Income (Loss) attributable</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8"/>
                <w:szCs w:val="18"/>
                <w:color w:val="auto"/>
              </w:rPr>
              <w:t>36</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6"/>
        </w:trPr>
        <w:tc>
          <w:tcPr>
            <w:tcW w:w="3360" w:type="dxa"/>
            <w:vAlign w:val="bottom"/>
          </w:tcPr>
          <w:p>
            <w:pPr>
              <w:ind w:left="200"/>
              <w:spacing w:after="0"/>
              <w:rPr>
                <w:sz w:val="20"/>
                <w:szCs w:val="20"/>
                <w:color w:val="auto"/>
              </w:rPr>
            </w:pPr>
            <w:r>
              <w:rPr>
                <w:rFonts w:ascii="Arial" w:cs="Arial" w:eastAsia="Arial" w:hAnsi="Arial"/>
                <w:sz w:val="18"/>
                <w:szCs w:val="18"/>
                <w:b w:val="1"/>
                <w:bCs w:val="1"/>
                <w:color w:val="auto"/>
              </w:rPr>
              <w:t>to NRG Yield LLC</w:t>
            </w:r>
          </w:p>
        </w:tc>
        <w:tc>
          <w:tcPr>
            <w:tcW w:w="1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372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121" w:right="299" w:bottom="1440" w:gutter="0" w:footer="0" w:header="0"/>
        </w:sectPr>
      </w:pPr>
    </w:p>
    <w:bookmarkStart w:id="37" w:name="page38"/>
    <w:bookmarkEnd w:id="37"/>
    <w:p>
      <w:pPr>
        <w:jc w:val="center"/>
        <w:ind w:right="-91"/>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December 31, 2015</w:t>
      </w:r>
    </w:p>
    <w:p>
      <w:pPr>
        <w:spacing w:after="0" w:line="316" w:lineRule="exact"/>
        <w:rPr>
          <w:sz w:val="20"/>
          <w:szCs w:val="20"/>
          <w:color w:val="auto"/>
        </w:rPr>
      </w:pPr>
    </w:p>
    <w:tbl>
      <w:tblPr>
        <w:tblLayout w:type="fixed"/>
        <w:tblInd w:w="92"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5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Accounts receivable — trade</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 affiliate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Notes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Prepayments and other current assets</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97"/>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in consolidated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Equity investments in affiliates</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Notes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84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384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7,608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32" w:hanging="132"/>
        <w:spacing w:after="0"/>
        <w:tabs>
          <w:tab w:leader="none" w:pos="132" w:val="left"/>
        </w:tabs>
        <w:numPr>
          <w:ilvl w:val="0"/>
          <w:numId w:val="21"/>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4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12"/>
          </w:cols>
          <w:pgMar w:left="248" w:top="1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Guarantor</w:t>
            </w: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Non-Guarantor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LIABILITIES AND MEMBERS' EQUITY</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80" w:type="dxa"/>
            <w:vAlign w:val="bottom"/>
            <w:gridSpan w:val="4"/>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w w:val="97"/>
              </w:rPr>
              <w:t>Current portion of long-term debt — external</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Accounts payable — affiliate</w:t>
            </w:r>
          </w:p>
        </w:tc>
        <w:tc>
          <w:tcPr>
            <w:tcW w:w="3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w w:val="95"/>
              </w:rPr>
              <w:t>Accrued expenses and other current liabilities</w:t>
            </w:r>
          </w:p>
        </w:tc>
        <w:tc>
          <w:tcPr>
            <w:tcW w:w="3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 external</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3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non-current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Members' Equity</w:t>
            </w: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Contributed capital</w:t>
            </w: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3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3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Members' Equity</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57"/>
        </w:trPr>
        <w:tc>
          <w:tcPr>
            <w:tcW w:w="366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and Members’ Equity</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6,849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3,837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7,608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3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C2C2C"/>
                <w:w w:val="96"/>
              </w:rPr>
              <w:t>NRG Yield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2C2C2C"/>
              </w:rPr>
              <w:t>Operating LLC</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Subsidiaries</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2C2C2C"/>
                <w:w w:val="91"/>
              </w:rPr>
              <w:t>(Note Issuer)</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Intercompany transactions from Yield LLC to subsidiaries</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Acquisition of Drop Down Assets, net of cash acquired</w:t>
            </w:r>
          </w:p>
        </w:tc>
        <w:tc>
          <w:tcPr>
            <w:tcW w:w="4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Decrease in restricted cash</w:t>
            </w:r>
          </w:p>
        </w:tc>
        <w:tc>
          <w:tcPr>
            <w:tcW w:w="4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notes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Return of investment from unconsolidated affiliates</w:t>
            </w:r>
          </w:p>
        </w:tc>
        <w:tc>
          <w:tcPr>
            <w:tcW w:w="4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unconsolidated affiliates</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Capital contributions from NRG</w:t>
            </w:r>
          </w:p>
        </w:tc>
        <w:tc>
          <w:tcPr>
            <w:tcW w:w="4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the issuance of Class C units</w:t>
            </w:r>
          </w:p>
        </w:tc>
        <w:tc>
          <w:tcPr>
            <w:tcW w:w="4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distributions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Net payments for long-term debt</w:t>
            </w:r>
          </w:p>
        </w:tc>
        <w:tc>
          <w:tcPr>
            <w:tcW w:w="4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borrowings from the revolving credit facility</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rPr>
              <w:t>Transfer of funds under intercompany cash management</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arrangement</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debt - affiliate</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4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46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2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Company's material legal proceeding is described below. The Company believes that it has a valid defense to this legal proceeding and intends to defend it vigorously. The Company records reserves for estimated losses from contingencies when information available indicates that a loss is probable and the amount of the loss, or range of loss, can be reasonably estimated.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2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legal proceeding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Braun v. NRG Yield, Inc. </w:t>
      </w:r>
      <w:r>
        <w:rPr>
          <w:rFonts w:ascii="Arial" w:cs="Arial" w:eastAsia="Arial" w:hAnsi="Arial"/>
          <w:sz w:val="18"/>
          <w:szCs w:val="18"/>
          <w:color w:val="auto"/>
        </w:rPr>
        <w:t>— On April 19, 2016, plaintiffs filed a purported class action lawsuit against NRG Yield, Inc. and against each current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former member of its board of directors individually in California Superior Court in Kern County, CA. Plaintiffs allege various violations of the Securities Act due to the defendants’ alleged failure to disclose material facts related to low wind production prior to the Company's June 22, 2015 Class C common stock offering. Plaintiffs seek compensatory damages, rescission, attorney’s fees and costs. On August 3, 2016, the court approved a stipulation entered into by the parties. The stipulation provides that the plaintiffs will file an amended complaint by August 19, 2016. The Defendants need to file a responsive pleading by October 18, 2016.</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21" w:right="239" w:bottom="1440" w:gutter="0" w:footer="0" w:header="0"/>
        </w:sectPr>
      </w:pPr>
    </w:p>
    <w:bookmarkStart w:id="41" w:name="page42"/>
    <w:bookmarkEnd w:id="41"/>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3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following discussion analyzes the Company's historical financial condition and results of operations, which were recast to include the effect of the November 2015 Drop Down Assets, which were acquired from NRG on November 3, 2015. As further discussed in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to the Consolidated Financial Statements, the purchase of these assets was accounted for in accordance with ASC 805-50</w:t>
      </w:r>
      <w:r>
        <w:rPr>
          <w:rFonts w:ascii="Arial" w:cs="Arial" w:eastAsia="Arial" w:hAnsi="Arial"/>
          <w:sz w:val="18"/>
          <w:szCs w:val="18"/>
          <w:i w:val="1"/>
          <w:iCs w:val="1"/>
          <w:color w:val="auto"/>
        </w:rPr>
        <w:t>, Business Combinations - Related Issues</w:t>
      </w:r>
      <w:r>
        <w:rPr>
          <w:rFonts w:ascii="Arial" w:cs="Arial" w:eastAsia="Arial" w:hAnsi="Arial"/>
          <w:sz w:val="18"/>
          <w:szCs w:val="18"/>
          <w:color w:val="auto"/>
        </w:rPr>
        <w:t>, pursuant to which the assets and liabilities transferred to the Company relate to interests under common control by NRG and, accordingly, were recorded at historical cost. The difference between the cash proceeds and historical value of the net assets was recorded as a distribution from NRG with the offset to contributed capital. The guidance requires retrospective combination of the entities for all periods presented as if the combination has been in effect since the inception of common control.</w:t>
      </w:r>
    </w:p>
    <w:p>
      <w:pPr>
        <w:spacing w:after="0" w:line="13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you read this discussion and analysis, you should refer to the Company's Consolidated Statements of Operations to this Form 10-Q, which present the results of operations for the six months ended June 30, 2016, and 2015. You should also refer to the Company's 2015 Form 10-K, which includes detailed discussions of various items impacting the Company's business, results of operations and financial condition.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640" w:hanging="320"/>
        <w:spacing w:after="0" w:line="277" w:lineRule="auto"/>
        <w:tabs>
          <w:tab w:leader="none" w:pos="13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Known trends that may affect the Company’s results of operations and financial condition in the future; and</w:t>
      </w:r>
    </w:p>
    <w:p>
      <w:pPr>
        <w:spacing w:after="0" w:line="63" w:lineRule="exact"/>
        <w:rPr>
          <w:rFonts w:ascii="Arial" w:cs="Arial" w:eastAsia="Arial" w:hAnsi="Arial"/>
          <w:sz w:val="18"/>
          <w:szCs w:val="18"/>
          <w:color w:val="auto"/>
        </w:rPr>
      </w:pPr>
    </w:p>
    <w:p>
      <w:pPr>
        <w:ind w:left="1300" w:right="18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4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was formed by NRG as a Delaware limited liability company on March 5, 2013, to serve as the primary vehicle through which NRG owns, operates and acquires contracted renewable and conventional generation and thermal infrastructure assets. The Company believes it is well positioned to be a premier company for investors seeking stable and growing dividend income from a diversified portfolio of lower-risk high-quality assets.</w:t>
      </w:r>
    </w:p>
    <w:p>
      <w:pPr>
        <w:spacing w:after="0" w:line="14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8"/>
          <w:szCs w:val="18"/>
          <w:color w:val="231F20"/>
        </w:rPr>
        <w:t>4,435 net MW.</w:t>
      </w:r>
      <w:r>
        <w:rPr>
          <w:rFonts w:ascii="Arial" w:cs="Arial" w:eastAsia="Arial" w:hAnsi="Arial"/>
          <w:sz w:val="18"/>
          <w:szCs w:val="18"/>
          <w:color w:val="auto"/>
        </w:rPr>
        <w:t xml:space="preserve"> Each of these assets sells substantially all of its output pursuant to long-term offtake agreements with creditworthy counterparties. The average remaining contract duration of these offtake agreements was approximately </w:t>
      </w:r>
      <w:r>
        <w:rPr>
          <w:rFonts w:ascii="Arial" w:cs="Arial" w:eastAsia="Arial" w:hAnsi="Arial"/>
          <w:sz w:val="18"/>
          <w:szCs w:val="18"/>
          <w:color w:val="231F20"/>
        </w:rPr>
        <w:t>17 years</w:t>
      </w:r>
      <w:r>
        <w:rPr>
          <w:rFonts w:ascii="Arial" w:cs="Arial" w:eastAsia="Arial" w:hAnsi="Arial"/>
          <w:sz w:val="18"/>
          <w:szCs w:val="18"/>
          <w:color w:val="auto"/>
        </w:rPr>
        <w:t xml:space="preserve"> </w:t>
      </w:r>
      <w:r>
        <w:rPr>
          <w:rFonts w:ascii="Arial" w:cs="Arial" w:eastAsia="Arial" w:hAnsi="Arial"/>
          <w:sz w:val="18"/>
          <w:szCs w:val="18"/>
          <w:color w:val="231F20"/>
        </w:rPr>
        <w:t xml:space="preserve">as of June 30, 2016, </w:t>
      </w:r>
      <w:r>
        <w:rPr>
          <w:rFonts w:ascii="Arial" w:cs="Arial" w:eastAsia="Arial" w:hAnsi="Arial"/>
          <w:sz w:val="18"/>
          <w:szCs w:val="18"/>
          <w:color w:val="000000"/>
        </w:rPr>
        <w:t>based on CAFD</w:t>
      </w:r>
      <w:r>
        <w:rPr>
          <w:rFonts w:ascii="Arial" w:cs="Arial" w:eastAsia="Arial" w:hAnsi="Arial"/>
          <w:sz w:val="18"/>
          <w:szCs w:val="18"/>
          <w:color w:val="231F20"/>
        </w:rPr>
        <w:t>. The Company also owns thermal infrastructure assets with an aggregate steam and chilled water capacity of 1,315 net MWt and electric generation capacity of 123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2015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30"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7"/>
          <w:szCs w:val="17"/>
          <w:color w:val="auto"/>
        </w:rPr>
        <w:t>As owners of power plants and participants in wholesale and thermal energy markets, certain of the Company's subsidiaries are subject to regulation by various federal and state government agencies. These include FERC and the PUCT, as well as other public utility commissions in certain states where the Company's assets are located. Each of the Company's U.S. generating facilities qualifies as a EWG or QF. In addition, the Company is subject to the market rules, procedures and protocols of the various ISO and RTO markets in which it participates. Likewise, the Company must also comply with the mandatory reliability requirements imposed by NERC and the regional reliability entities in the regions where the Company operates.</w:t>
      </w:r>
    </w:p>
    <w:p>
      <w:pPr>
        <w:spacing w:after="0" w:line="10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operations within the ERCOT footprint are not subject to rate regulation by FERC, as they are deemed to operate solely within the ERCOT market and not in interstate commerce. These operations are subject to regulation by the PUCT.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Company’s environmental matters are described in the Company’s 2015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p>
    <w:p>
      <w:pPr>
        <w:spacing w:after="0" w:line="116"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and regulations surrounding the protection of wildlife, including migratory birds, eagles and threatened and endangered species. Environmental laws have become increasingly stringent and the Company expects this trend to continue.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Wind and Solar Resource Availability</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availability of the wind and solar resources affects the financial performance of the wind and solar facilities, which may impact the Company’s overall financial performance. Due to the variable nature of the wind and solar resources, the Company 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Market Conditions</w:t>
      </w:r>
    </w:p>
    <w:p>
      <w:pPr>
        <w:spacing w:after="0" w:line="17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Company believes that its inability to access the capital markets has largely subsided and has continued to improve through the second quarter and into the third quarter of 2016. The Company’s growth strategy depends on its ability to identify and acquire additional conventional and renewable facilities from NRG and unaffiliated third parties, which will require access to debt or equity financing to complete such acquisitions or replenish capital for future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2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center"/>
              <w:ind w:right="111"/>
              <w:spacing w:after="0"/>
              <w:rPr>
                <w:sz w:val="20"/>
                <w:szCs w:val="20"/>
                <w:color w:val="auto"/>
              </w:rPr>
            </w:pPr>
            <w:r>
              <w:rPr>
                <w:rFonts w:ascii="Arial" w:cs="Arial" w:eastAsia="Arial" w:hAnsi="Arial"/>
                <w:sz w:val="14"/>
                <w:szCs w:val="14"/>
                <w:b w:val="1"/>
                <w:bCs w:val="1"/>
                <w:color w:val="auto"/>
                <w:w w:val="92"/>
              </w:rPr>
              <w:t>Three months ended June 30,</w:t>
            </w:r>
          </w:p>
        </w:tc>
        <w:tc>
          <w:tcPr>
            <w:tcW w:w="120" w:type="dxa"/>
            <w:vAlign w:val="bottom"/>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2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otherwise noted)</w:t>
            </w:r>
          </w:p>
        </w:tc>
        <w:tc>
          <w:tcPr>
            <w:tcW w:w="22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Change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9"/>
                <w:szCs w:val="19"/>
                <w:color w:val="auto"/>
              </w:rPr>
            </w:pPr>
          </w:p>
        </w:tc>
        <w:tc>
          <w:tcPr>
            <w:tcW w:w="98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b w:val="1"/>
                <w:bCs w:val="1"/>
                <w:color w:val="auto"/>
              </w:rPr>
              <w:t>Change %</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21"/>
                <w:szCs w:val="21"/>
                <w:color w:val="auto"/>
              </w:rPr>
            </w:pP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2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r>
      <w:tr>
        <w:trPr>
          <w:trHeight w:val="237"/>
        </w:trPr>
        <w:tc>
          <w:tcPr>
            <w:tcW w:w="528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Emissions credit amortization</w:t>
            </w:r>
          </w:p>
        </w:tc>
        <w:tc>
          <w:tcPr>
            <w:tcW w:w="2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Operations and 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Other costs of operations</w:t>
            </w: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40" w:type="dxa"/>
            <w:vAlign w:val="bottom"/>
          </w:tcPr>
          <w:p>
            <w:pPr>
              <w:spacing w:after="0"/>
              <w:rPr>
                <w:sz w:val="20"/>
                <w:szCs w:val="20"/>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r>
      <w:tr>
        <w:trPr>
          <w:trHeight w:val="237"/>
        </w:trPr>
        <w:tc>
          <w:tcPr>
            <w:tcW w:w="52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(115)</w:t>
            </w:r>
          </w:p>
        </w:tc>
        <w:tc>
          <w:tcPr>
            <w:tcW w:w="1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52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276</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r>
      <w:tr>
        <w:trPr>
          <w:trHeight w:val="257"/>
        </w:trPr>
        <w:tc>
          <w:tcPr>
            <w:tcW w:w="52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184</w:t>
            </w: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10"/>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8"/>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Business metrics:</w:t>
            </w:r>
          </w:p>
        </w:tc>
        <w:tc>
          <w:tcPr>
            <w:tcW w:w="2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70"/>
        </w:trPr>
        <w:tc>
          <w:tcPr>
            <w:tcW w:w="52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w w:val="88"/>
              </w:rPr>
              <w:t>1,820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8"/>
              </w:rPr>
              <w:t>3,470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2,873</w:t>
            </w:r>
          </w:p>
        </w:tc>
      </w:tr>
      <w:tr>
        <w:trPr>
          <w:trHeight w:val="270"/>
        </w:trPr>
        <w:tc>
          <w:tcPr>
            <w:tcW w:w="52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(b)</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w w:val="86"/>
              </w:rPr>
              <w:t>376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861</w:t>
            </w: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Thermal MWt sold (in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8"/>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w:t>
            </w:r>
          </w:p>
        </w:tc>
      </w:tr>
      <w:tr>
        <w:trPr>
          <w:trHeight w:val="341"/>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(c)</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406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68"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9"/>
          <w:szCs w:val="9"/>
          <w:color w:val="auto"/>
        </w:rPr>
      </w:pPr>
      <w:r>
        <w:rPr>
          <w:rFonts w:ascii="Arial" w:cs="Arial" w:eastAsia="Arial" w:hAnsi="Arial"/>
          <w:sz w:val="14"/>
          <w:szCs w:val="14"/>
          <w:color w:val="auto"/>
        </w:rPr>
        <w:t>Volumes sold do not include the MWh generated by the Company's equity method investments.</w:t>
      </w:r>
    </w:p>
    <w:p>
      <w:pPr>
        <w:spacing w:after="0" w:line="21" w:lineRule="exact"/>
        <w:rPr>
          <w:rFonts w:ascii="Arial" w:cs="Arial" w:eastAsia="Arial" w:hAnsi="Arial"/>
          <w:sz w:val="9"/>
          <w:szCs w:val="9"/>
          <w:color w:val="auto"/>
        </w:rPr>
      </w:pPr>
    </w:p>
    <w:p>
      <w:pPr>
        <w:ind w:left="180" w:hanging="172"/>
        <w:spacing w:after="0" w:line="207" w:lineRule="auto"/>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4"/>
          <w:szCs w:val="14"/>
          <w:color w:val="auto"/>
        </w:rPr>
        <w:t>Volumes generated are not sold as the Conventional facilities sell capacity rather than energy.</w:t>
      </w:r>
    </w:p>
    <w:p>
      <w:pPr>
        <w:spacing w:after="0" w:line="4" w:lineRule="exact"/>
        <w:rPr>
          <w:rFonts w:ascii="Arial" w:cs="Arial" w:eastAsia="Arial" w:hAnsi="Arial"/>
          <w:sz w:val="21"/>
          <w:szCs w:val="21"/>
          <w:color w:val="auto"/>
          <w:vertAlign w:val="superscript"/>
        </w:rPr>
      </w:pPr>
    </w:p>
    <w:p>
      <w:pPr>
        <w:ind w:firstLine="8"/>
        <w:spacing w:after="0" w:line="237" w:lineRule="auto"/>
        <w:tabs>
          <w:tab w:leader="none" w:pos="16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 xml:space="preserve">MWh sold do not include 23 MWh and 74 MWh generated by NRG Dover, a subsidiary of the Company, under the PPA with NRG Power Marketing during the three and six months ended June 30, 2016, respectively, as further described in Note 11, </w:t>
      </w:r>
      <w:r>
        <w:rPr>
          <w:rFonts w:ascii="Arial" w:cs="Arial" w:eastAsia="Arial" w:hAnsi="Arial"/>
          <w:sz w:val="15"/>
          <w:szCs w:val="15"/>
          <w:i w:val="1"/>
          <w:iCs w:val="1"/>
          <w:color w:val="auto"/>
        </w:rPr>
        <w:t>Related Party Transactions</w:t>
      </w:r>
      <w:r>
        <w:rPr>
          <w:rFonts w:ascii="Arial" w:cs="Arial" w:eastAsia="Arial" w:hAnsi="Arial"/>
          <w:sz w:val="15"/>
          <w:szCs w:val="15"/>
          <w:color w:val="auto"/>
        </w:rPr>
        <w:t>.</w:t>
      </w:r>
    </w:p>
    <w:p>
      <w:pPr>
        <w:spacing w:after="0" w:line="200" w:lineRule="exact"/>
        <w:rPr>
          <w:sz w:val="20"/>
          <w:szCs w:val="20"/>
          <w:color w:val="auto"/>
        </w:rPr>
      </w:pPr>
    </w:p>
    <w:p>
      <w:pPr>
        <w:spacing w:after="0" w:line="3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1121"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Management’s Discussion of the Results of Operations for the Three Months ended June 30, 2016, and 2015</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and Economic Gross Margin</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gains, emissions credit amortization and (losses) gains on economic hedging activities. Mark-to-market results consist of unrealized gains and losses on contracts that are not yet settled.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2015:</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22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60" w:type="dxa"/>
            <w:vAlign w:val="bottom"/>
          </w:tcPr>
          <w:p>
            <w:pPr>
              <w:ind w:left="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2016</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Energy and capacity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fuels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7"/>
        </w:trPr>
        <w:tc>
          <w:tcPr>
            <w:tcW w:w="626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Energy and capacity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fuels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Mark-to-market for economic hedging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626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Mark-to-market for economic hedging activities</w:t>
            </w:r>
          </w:p>
        </w:tc>
        <w:tc>
          <w:tcPr>
            <w:tcW w:w="2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 increased by $25 million and economic gross margin increased by $23 million during the three months ended June 30, 2016, compared to the same period in 2015, primarily due to:</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3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0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Increase in Renewables economic gross margin due to higher wind generation primarily at Alta, as well as the acquisition of Spring Canyon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10340" w:type="dxa"/>
            <w:vAlign w:val="bottom"/>
          </w:tcPr>
          <w:p>
            <w:pPr>
              <w:ind w:left="20"/>
              <w:spacing w:after="0"/>
              <w:rPr>
                <w:sz w:val="20"/>
                <w:szCs w:val="20"/>
                <w:color w:val="auto"/>
              </w:rPr>
            </w:pPr>
            <w:r>
              <w:rPr>
                <w:rFonts w:ascii="Arial" w:cs="Arial" w:eastAsia="Arial" w:hAnsi="Arial"/>
                <w:sz w:val="18"/>
                <w:szCs w:val="18"/>
                <w:color w:val="auto"/>
                <w:w w:val="94"/>
              </w:rPr>
              <w:t>Increase in Renewables economic gross margin due to higher pricing in the Alta X and XI PPAs, which began in January 2016, compared</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200"/>
              <w:spacing w:after="0"/>
              <w:rPr>
                <w:sz w:val="20"/>
                <w:szCs w:val="20"/>
                <w:color w:val="auto"/>
              </w:rPr>
            </w:pPr>
            <w:r>
              <w:rPr>
                <w:rFonts w:ascii="Arial" w:cs="Arial" w:eastAsia="Arial" w:hAnsi="Arial"/>
                <w:sz w:val="18"/>
                <w:szCs w:val="18"/>
                <w:color w:val="auto"/>
              </w:rPr>
              <w:t>with merchant prices in 2015</w:t>
            </w:r>
          </w:p>
        </w:tc>
        <w:tc>
          <w:tcPr>
            <w:tcW w:w="4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0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Increase in economic gross margin</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43"/>
        </w:trPr>
        <w:tc>
          <w:tcPr>
            <w:tcW w:w="10340" w:type="dxa"/>
            <w:vAlign w:val="bottom"/>
          </w:tcPr>
          <w:p>
            <w:pPr>
              <w:ind w:left="20"/>
              <w:spacing w:after="0"/>
              <w:rPr>
                <w:sz w:val="20"/>
                <w:szCs w:val="20"/>
                <w:color w:val="auto"/>
              </w:rPr>
            </w:pPr>
            <w:r>
              <w:rPr>
                <w:rFonts w:ascii="Arial" w:cs="Arial" w:eastAsia="Arial" w:hAnsi="Arial"/>
                <w:sz w:val="18"/>
                <w:szCs w:val="18"/>
                <w:color w:val="auto"/>
              </w:rPr>
              <w:t>Higher contract amortization primarily for the Alta X and XI PPAs, which began in January 2016</w:t>
            </w: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0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Increase due to unrealized losses on forward contracts with an NRG subsidiary hedging the forecasted sale of power from Elbow Creek, Alta</w:t>
            </w: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 and Alta XI in 2015, prior to the start of the PPAs</w:t>
            </w:r>
          </w:p>
        </w:tc>
        <w:tc>
          <w:tcPr>
            <w:tcW w:w="4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10340" w:type="dxa"/>
            <w:vAlign w:val="bottom"/>
          </w:tcPr>
          <w:p>
            <w:pPr>
              <w:ind w:left="380"/>
              <w:spacing w:after="0"/>
              <w:rPr>
                <w:sz w:val="20"/>
                <w:szCs w:val="20"/>
                <w:color w:val="auto"/>
              </w:rPr>
            </w:pPr>
            <w:r>
              <w:rPr>
                <w:rFonts w:ascii="Arial" w:cs="Arial" w:eastAsia="Arial" w:hAnsi="Arial"/>
                <w:sz w:val="18"/>
                <w:szCs w:val="18"/>
                <w:b w:val="1"/>
                <w:bCs w:val="1"/>
                <w:color w:val="auto"/>
              </w:rPr>
              <w:t>Increase in gross margin</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
        </w:trPr>
        <w:tc>
          <w:tcPr>
            <w:tcW w:w="10340" w:type="dxa"/>
            <w:vAlign w:val="bottom"/>
            <w:vMerge w:val="restart"/>
          </w:tcPr>
          <w:p>
            <w:pPr>
              <w:ind w:left="5580"/>
              <w:spacing w:after="0"/>
              <w:rPr>
                <w:sz w:val="20"/>
                <w:szCs w:val="20"/>
                <w:color w:val="auto"/>
              </w:rPr>
            </w:pPr>
            <w:r>
              <w:rPr>
                <w:rFonts w:ascii="Arial" w:cs="Arial" w:eastAsia="Arial" w:hAnsi="Arial"/>
                <w:sz w:val="18"/>
                <w:szCs w:val="18"/>
                <w:color w:val="auto"/>
              </w:rPr>
              <w:t>44</w:t>
            </w: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103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Operations and maintenance expense increased by $5 million during the three months ended June 30, 2016, compared to the same period in 2015, primarily due to component disposals and inventory adjustments for certain wind projects and the acquisition of Spring Canyon in 2015, partially offset by the extended forced outage at El Segundo in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costs of operations decreased by $3 million during the three months ended June 30, 2016, compared to the same period in 2015, primarily due to a property tax rebate received in 2016 for the Alta projects.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Equity in earnings of unconsolidated affiliates increased by $10 million during the three months ended June 30, 2016, compared to the same period in 2015, due primarily to the acquisition of Desert Sunlight, which was acquired on June 29, 2015, as well as increased equity in earnings from DGPV Holdco and RPV Holdco.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increased by $15 million during the three months ended June 30, 2016, compared to the same period in 2015, due primarily to:</w:t>
      </w:r>
    </w:p>
    <w:p>
      <w:pPr>
        <w:spacing w:after="0" w:line="200" w:lineRule="exact"/>
        <w:rPr>
          <w:sz w:val="20"/>
          <w:szCs w:val="20"/>
          <w:color w:val="auto"/>
        </w:rPr>
      </w:pPr>
    </w:p>
    <w:p>
      <w:pPr>
        <w:spacing w:after="0" w:line="215"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99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56"/>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from changes in the fair value of Alpine interest rate swaps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29"/>
        </w:trPr>
        <w:tc>
          <w:tcPr>
            <w:tcW w:w="9920" w:type="dxa"/>
            <w:vAlign w:val="bottom"/>
          </w:tcPr>
          <w:p>
            <w:pPr>
              <w:ind w:left="40"/>
              <w:spacing w:after="0"/>
              <w:rPr>
                <w:sz w:val="20"/>
                <w:szCs w:val="20"/>
                <w:color w:val="auto"/>
              </w:rPr>
            </w:pPr>
            <w:r>
              <w:rPr>
                <w:rFonts w:ascii="Arial" w:cs="Arial" w:eastAsia="Arial" w:hAnsi="Arial"/>
                <w:sz w:val="18"/>
                <w:szCs w:val="18"/>
                <w:color w:val="auto"/>
                <w:w w:val="93"/>
              </w:rPr>
              <w:t>Increase for Alta due to change in value of Alta X and XI interest rate swaps, partially offset by a decrease in interest expense for the</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9920" w:type="dxa"/>
            <w:vAlign w:val="bottom"/>
          </w:tcPr>
          <w:p>
            <w:pPr>
              <w:ind w:left="200"/>
              <w:spacing w:after="0"/>
              <w:rPr>
                <w:sz w:val="20"/>
                <w:szCs w:val="20"/>
                <w:color w:val="auto"/>
              </w:rPr>
            </w:pPr>
            <w:r>
              <w:rPr>
                <w:rFonts w:ascii="Arial" w:cs="Arial" w:eastAsia="Arial" w:hAnsi="Arial"/>
                <w:sz w:val="18"/>
                <w:szCs w:val="18"/>
                <w:color w:val="auto"/>
              </w:rPr>
              <w:t>redemption of Alta X and XI project-level debt</w:t>
            </w:r>
          </w:p>
        </w:tc>
        <w:tc>
          <w:tcPr>
            <w:tcW w:w="40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9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from the issuance of intercompany debt with Yield, Inc. due 2020</w:t>
            </w: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Increase due to higher revolving credit facility borrowings in 2016</w:t>
            </w:r>
          </w:p>
        </w:tc>
        <w:tc>
          <w:tcPr>
            <w:tcW w:w="4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9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the three months ended June 30, 2016, the Company had income of $1 million attributable to NRG's 25% ownership of the Class B interests in NRG Wind TE Holdco and a loss of $16 million attributable to noncontrolling interests with respect to its tax equity financing arrangements and the application of the HLBV method. For the three months ended June 30, 2015, the Company had income of $5 million attributable to NRG's 25% ownership of the Class B interests in NRG Wind TE Holdco and a loss of $16 million attributable to non-controlling interests with respect to its tax equity financing arrangements and the application of the HLBV method.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Management’s Discussion of the Results of Operations for the Six Months ended June 30, 2016, and 2015</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and Economic Gross Margin</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gains,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six months ended June 30, 2016, and 2015: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Thermal</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Generation</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Six months ended June 30, 2016</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Emissions credit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Emissions credit amortization</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Six months ended June 30, 2015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Mark-to-market for economic hedging activities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Mark-to-market for economic hedging activities</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1112"/>
              <w:spacing w:after="0"/>
              <w:rPr>
                <w:sz w:val="20"/>
                <w:szCs w:val="20"/>
                <w:color w:val="auto"/>
              </w:rPr>
            </w:pPr>
            <w:r>
              <w:rPr>
                <w:rFonts w:ascii="Arial" w:cs="Arial" w:eastAsia="Arial" w:hAnsi="Arial"/>
                <w:sz w:val="18"/>
                <w:szCs w:val="18"/>
                <w:color w:val="auto"/>
                <w:w w:val="79"/>
              </w:rPr>
              <w:t>46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47" w:name="page48"/>
    <w:bookmarkEnd w:id="47"/>
    <w:p>
      <w:pPr>
        <w:jc w:val="both"/>
        <w:ind w:right="20" w:firstLine="648"/>
        <w:spacing w:after="0" w:line="277" w:lineRule="auto"/>
        <w:rPr>
          <w:sz w:val="20"/>
          <w:szCs w:val="20"/>
          <w:color w:val="auto"/>
        </w:rPr>
      </w:pPr>
      <w:r>
        <w:rPr>
          <w:rFonts w:ascii="Arial" w:cs="Arial" w:eastAsia="Arial" w:hAnsi="Arial"/>
          <w:sz w:val="18"/>
          <w:szCs w:val="18"/>
          <w:color w:val="auto"/>
        </w:rPr>
        <w:t>Gross margin increased by $45 million and economic gross margin increased by $62 million during the six months ended June 30, 2016, compared to the same period in 2015 due to: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35"/>
        </w:trPr>
        <w:tc>
          <w:tcPr>
            <w:tcW w:w="10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Increase in Renewables economic gross margin due to higher wind generation, primarily for the Alta projects, as well as the acquisition of</w:t>
            </w: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37"/>
        </w:trPr>
        <w:tc>
          <w:tcPr>
            <w:tcW w:w="10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Spring Canyon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29"/>
        </w:trPr>
        <w:tc>
          <w:tcPr>
            <w:tcW w:w="10400" w:type="dxa"/>
            <w:vAlign w:val="bottom"/>
          </w:tcPr>
          <w:p>
            <w:pPr>
              <w:ind w:left="40"/>
              <w:spacing w:after="0"/>
              <w:rPr>
                <w:sz w:val="20"/>
                <w:szCs w:val="20"/>
                <w:color w:val="auto"/>
              </w:rPr>
            </w:pPr>
            <w:r>
              <w:rPr>
                <w:rFonts w:ascii="Arial" w:cs="Arial" w:eastAsia="Arial" w:hAnsi="Arial"/>
                <w:sz w:val="18"/>
                <w:szCs w:val="18"/>
                <w:color w:val="auto"/>
                <w:w w:val="91"/>
              </w:rPr>
              <w:t>Increase in Renewables economic gross margin due to higher pricing in the Alta X and XI PPAs which began in January 2016, compared with</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10400" w:type="dxa"/>
            <w:vAlign w:val="bottom"/>
          </w:tcPr>
          <w:p>
            <w:pPr>
              <w:ind w:left="200"/>
              <w:spacing w:after="0"/>
              <w:rPr>
                <w:sz w:val="20"/>
                <w:szCs w:val="20"/>
                <w:color w:val="auto"/>
              </w:rPr>
            </w:pPr>
            <w:r>
              <w:rPr>
                <w:rFonts w:ascii="Arial" w:cs="Arial" w:eastAsia="Arial" w:hAnsi="Arial"/>
                <w:sz w:val="18"/>
                <w:szCs w:val="18"/>
                <w:color w:val="auto"/>
              </w:rPr>
              <w:t>merchant prices in 2015</w:t>
            </w:r>
          </w:p>
        </w:tc>
        <w:tc>
          <w:tcPr>
            <w:tcW w:w="42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10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10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Increase in Conventional Generation economic gross margin primarily due to higher revenues at El Segundo in 2016 as a result of a return to</w:t>
            </w: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7"/>
        </w:trPr>
        <w:tc>
          <w:tcPr>
            <w:tcW w:w="10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 after an extended forced outage in 2015</w:t>
            </w:r>
          </w:p>
        </w:tc>
        <w:tc>
          <w:tcPr>
            <w:tcW w:w="4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29"/>
        </w:trPr>
        <w:tc>
          <w:tcPr>
            <w:tcW w:w="10400" w:type="dxa"/>
            <w:vAlign w:val="bottom"/>
          </w:tcPr>
          <w:p>
            <w:pPr>
              <w:ind w:left="40"/>
              <w:spacing w:after="0"/>
              <w:rPr>
                <w:sz w:val="20"/>
                <w:szCs w:val="20"/>
                <w:color w:val="auto"/>
              </w:rPr>
            </w:pPr>
            <w:r>
              <w:rPr>
                <w:rFonts w:ascii="Arial" w:cs="Arial" w:eastAsia="Arial" w:hAnsi="Arial"/>
                <w:sz w:val="18"/>
                <w:szCs w:val="18"/>
                <w:color w:val="auto"/>
                <w:w w:val="96"/>
              </w:rPr>
              <w:t>Increase in Thermal economic gross margin primarily due to lower gas prices, partially offset by a decrease in generation due to milder</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10400" w:type="dxa"/>
            <w:vAlign w:val="bottom"/>
          </w:tcPr>
          <w:p>
            <w:pPr>
              <w:ind w:left="200"/>
              <w:spacing w:after="0"/>
              <w:rPr>
                <w:sz w:val="20"/>
                <w:szCs w:val="20"/>
                <w:color w:val="auto"/>
              </w:rPr>
            </w:pPr>
            <w:r>
              <w:rPr>
                <w:rFonts w:ascii="Arial" w:cs="Arial" w:eastAsia="Arial" w:hAnsi="Arial"/>
                <w:sz w:val="18"/>
                <w:szCs w:val="18"/>
                <w:color w:val="auto"/>
              </w:rPr>
              <w:t>weather conditions</w:t>
            </w:r>
          </w:p>
        </w:tc>
        <w:tc>
          <w:tcPr>
            <w:tcW w:w="42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10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4"/>
        </w:trPr>
        <w:tc>
          <w:tcPr>
            <w:tcW w:w="10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Increase in economic gross margin</w:t>
            </w:r>
          </w:p>
        </w:tc>
        <w:tc>
          <w:tcPr>
            <w:tcW w:w="4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w:t>
            </w:r>
          </w:p>
        </w:tc>
      </w:tr>
      <w:tr>
        <w:trPr>
          <w:trHeight w:val="237"/>
        </w:trPr>
        <w:tc>
          <w:tcPr>
            <w:tcW w:w="10400" w:type="dxa"/>
            <w:vAlign w:val="bottom"/>
          </w:tcPr>
          <w:p>
            <w:pPr>
              <w:ind w:left="40"/>
              <w:spacing w:after="0"/>
              <w:rPr>
                <w:sz w:val="20"/>
                <w:szCs w:val="20"/>
                <w:color w:val="auto"/>
              </w:rPr>
            </w:pPr>
            <w:r>
              <w:rPr>
                <w:rFonts w:ascii="Arial" w:cs="Arial" w:eastAsia="Arial" w:hAnsi="Arial"/>
                <w:sz w:val="18"/>
                <w:szCs w:val="18"/>
                <w:color w:val="auto"/>
              </w:rPr>
              <w:t>Higher contract amortization primarily for the Alta X and XI PPAs, which began in January 2016</w:t>
            </w:r>
          </w:p>
        </w:tc>
        <w:tc>
          <w:tcPr>
            <w:tcW w:w="4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10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10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Emissions credit amortization of NOx allowances at Walnut Creek and El Segundo in compliance with amendments to the Regional Clean Air</w:t>
            </w: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7"/>
        </w:trPr>
        <w:tc>
          <w:tcPr>
            <w:tcW w:w="10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Incentives Market program</w:t>
            </w:r>
          </w:p>
        </w:tc>
        <w:tc>
          <w:tcPr>
            <w:tcW w:w="4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10400" w:type="dxa"/>
            <w:vAlign w:val="bottom"/>
          </w:tcPr>
          <w:p>
            <w:pPr>
              <w:ind w:left="40"/>
              <w:spacing w:after="0"/>
              <w:rPr>
                <w:sz w:val="20"/>
                <w:szCs w:val="20"/>
                <w:color w:val="auto"/>
              </w:rPr>
            </w:pPr>
            <w:r>
              <w:rPr>
                <w:rFonts w:ascii="Arial" w:cs="Arial" w:eastAsia="Arial" w:hAnsi="Arial"/>
                <w:sz w:val="18"/>
                <w:szCs w:val="18"/>
                <w:color w:val="auto"/>
                <w:w w:val="92"/>
              </w:rPr>
              <w:t>Decrease due to unrealized gains on forward contracts with an NRG subsidiary hedging the forecasted sale of power from Elbow Creek, Alta</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10400" w:type="dxa"/>
            <w:vAlign w:val="bottom"/>
          </w:tcPr>
          <w:p>
            <w:pPr>
              <w:ind w:left="200"/>
              <w:spacing w:after="0"/>
              <w:rPr>
                <w:sz w:val="20"/>
                <w:szCs w:val="20"/>
                <w:color w:val="auto"/>
              </w:rPr>
            </w:pPr>
            <w:r>
              <w:rPr>
                <w:rFonts w:ascii="Arial" w:cs="Arial" w:eastAsia="Arial" w:hAnsi="Arial"/>
                <w:sz w:val="18"/>
                <w:szCs w:val="18"/>
                <w:color w:val="auto"/>
              </w:rPr>
              <w:t>X and Alta XI in 2015, prior to the start of the PPAs</w:t>
            </w: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10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10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Increase in gross margin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w:t>
            </w:r>
          </w:p>
        </w:tc>
      </w:tr>
      <w:tr>
        <w:trPr>
          <w:trHeight w:val="20"/>
        </w:trPr>
        <w:tc>
          <w:tcPr>
            <w:tcW w:w="10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Operations and maintenance expense increased by $3 million during the six months ended June 30, 2016, compared to the same period in 2015, due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Increase in Renewables operations and maintenance expense primarily due to component disposals and inventory adjustments for certain wind</w:t>
            </w: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7"/>
        </w:trPr>
        <w:tc>
          <w:tcPr>
            <w:tcW w:w="10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projects, higher wind generation in the current year, and the acquisition of Spring Canyon in 2015</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10400" w:type="dxa"/>
            <w:vAlign w:val="bottom"/>
          </w:tcPr>
          <w:p>
            <w:pPr>
              <w:ind w:left="40"/>
              <w:spacing w:after="0"/>
              <w:rPr>
                <w:sz w:val="20"/>
                <w:szCs w:val="20"/>
                <w:color w:val="auto"/>
              </w:rPr>
            </w:pPr>
            <w:r>
              <w:rPr>
                <w:rFonts w:ascii="Arial" w:cs="Arial" w:eastAsia="Arial" w:hAnsi="Arial"/>
                <w:sz w:val="18"/>
                <w:szCs w:val="18"/>
                <w:color w:val="auto"/>
                <w:w w:val="98"/>
              </w:rPr>
              <w:t>Decrease in the Conventional operations and maintenance expense primarily due to extended forced outage at El Segundo in 2015</w:t>
            </w:r>
          </w:p>
        </w:tc>
        <w:tc>
          <w:tcPr>
            <w:tcW w:w="4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0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Decrease in Thermal operations and maintenance expense due to lower generation due to milder weather conditions</w:t>
            </w:r>
          </w:p>
        </w:tc>
        <w:tc>
          <w:tcPr>
            <w:tcW w:w="4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104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10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10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costs of operations decreased by $2 million during the six months ended June 30, 2016, compared to the same period in 2015, primarily due to a property tax rebate received in 2016 for the Alta projects.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4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Equity in earnings of unconsolidated affiliates increased by $10 million during the six months ended June 30, 2016, compared to the same period in 2015, due primarily to the acquisition of Desert Sunlight, which was acquired on June 29, 2015, as well as increased equity in earnings from DGPV Holdco, RPV Holdco and San Juan Mesa, partially offset by losses from Elkhorn Ridge.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increased by $9 million during the six months ended June 30, 2016, compared to the same period in 2015, due to:</w:t>
      </w:r>
    </w:p>
    <w:p>
      <w:pPr>
        <w:spacing w:after="0" w:line="392"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99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56"/>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from changes in the fair value of Alpine interest rate swaps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Increase from the issuance of intercompany debt with Yield, Inc. due 2020</w:t>
            </w:r>
          </w:p>
        </w:tc>
        <w:tc>
          <w:tcPr>
            <w:tcW w:w="4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9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due to higher revolving credit facility borrowings in 2016</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Decrease from repricing of project-level financing arrangements and principal repayments in the Conventional segment</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for redemption of Alta X and XI project-level debt</w:t>
            </w:r>
          </w:p>
        </w:tc>
        <w:tc>
          <w:tcPr>
            <w:tcW w:w="4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99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99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six months ended June 30, 2016, the Company had income of $3 million attributable to NRG's 25% ownership of the Class B interests in NRG Wind TE Holdco and a loss of $29 million attributable to noncontrolling interests with respect to its tax equity financing arrangements and the application of the HLBV method. For the six months ended June 30, 2015, the Company had income of $5 million attributable to NRG's 25% ownership of the Class B interests in NRG Wind TE Holdco and a loss of $21 million attributable to non-controlling interests with respect to its tax equity financing arrangements and the application of the HLBV method.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to service debt and to pay distributions. Historically, the Company's predecessor operations were financed as part of NRG's integrated operations and largely relied on internally generated cash flows as well as corporate and/or project-level borrowings to satisfy its capital expenditure requirements. </w:t>
      </w:r>
      <w:r>
        <w:rPr>
          <w:rFonts w:ascii="Arial" w:cs="Arial" w:eastAsia="Arial" w:hAnsi="Arial"/>
          <w:sz w:val="17"/>
          <w:szCs w:val="17"/>
          <w:color w:val="000000"/>
        </w:rPr>
        <w:t>As a normal part of the Company's business, depending on market conditions, the Company will from time to time consider</w:t>
      </w:r>
      <w:r>
        <w:rPr>
          <w:rFonts w:ascii="Arial" w:cs="Arial" w:eastAsia="Arial" w:hAnsi="Arial"/>
          <w:sz w:val="17"/>
          <w:szCs w:val="17"/>
          <w:color w:val="231F20"/>
        </w:rPr>
        <w:t xml:space="preserve"> </w:t>
      </w:r>
      <w:r>
        <w:rPr>
          <w:rFonts w:ascii="Arial" w:cs="Arial" w:eastAsia="Arial" w:hAnsi="Arial"/>
          <w:sz w:val="17"/>
          <w:szCs w:val="17"/>
          <w:color w:val="000000"/>
        </w:rPr>
        <w:t>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June 30, 2016</w:t>
      </w:r>
      <w:r>
        <w:rPr>
          <w:rFonts w:ascii="Arial" w:cs="Arial" w:eastAsia="Arial" w:hAnsi="Arial"/>
          <w:sz w:val="16"/>
          <w:szCs w:val="16"/>
          <w:color w:val="231F20"/>
        </w:rPr>
        <w:t xml:space="preserve">, and </w:t>
      </w:r>
      <w:r>
        <w:rPr>
          <w:rFonts w:ascii="Arial" w:cs="Arial" w:eastAsia="Arial" w:hAnsi="Arial"/>
          <w:sz w:val="16"/>
          <w:szCs w:val="16"/>
          <w:color w:val="000000"/>
        </w:rPr>
        <w:t>December 31, 2015</w:t>
      </w:r>
      <w:r>
        <w:rPr>
          <w:rFonts w:ascii="Arial" w:cs="Arial" w:eastAsia="Arial" w:hAnsi="Arial"/>
          <w:sz w:val="16"/>
          <w:szCs w:val="16"/>
          <w:color w:val="231F20"/>
        </w:rPr>
        <w:t xml:space="preserve">, the Company's liquidity was approximately $254 million and $291 million, respectively, comprised of cash, restricted cash, and availability under the Company's revolving credit facility. The Company's liquidity includes $55 million and $48 million of restricted cash balances as of </w:t>
      </w:r>
      <w:r>
        <w:rPr>
          <w:rFonts w:ascii="Arial" w:cs="Arial" w:eastAsia="Arial" w:hAnsi="Arial"/>
          <w:sz w:val="16"/>
          <w:szCs w:val="16"/>
          <w:color w:val="000000"/>
        </w:rPr>
        <w:t>June 30, 2016</w:t>
      </w:r>
      <w:r>
        <w:rPr>
          <w:rFonts w:ascii="Arial" w:cs="Arial" w:eastAsia="Arial" w:hAnsi="Arial"/>
          <w:sz w:val="16"/>
          <w:szCs w:val="16"/>
          <w:color w:val="231F20"/>
        </w:rPr>
        <w:t xml:space="preserve">, and </w:t>
      </w:r>
      <w:r>
        <w:rPr>
          <w:rFonts w:ascii="Arial" w:cs="Arial" w:eastAsia="Arial" w:hAnsi="Arial"/>
          <w:sz w:val="16"/>
          <w:szCs w:val="16"/>
          <w:color w:val="000000"/>
        </w:rPr>
        <w:t>December 31, 2015</w:t>
      </w:r>
      <w:r>
        <w:rPr>
          <w:rFonts w:ascii="Arial" w:cs="Arial" w:eastAsia="Arial" w:hAnsi="Arial"/>
          <w:sz w:val="16"/>
          <w:szCs w:val="16"/>
          <w:color w:val="231F20"/>
        </w:rPr>
        <w:t xml:space="preserve">, respectively. Restricted cash consists primarily of funds to satisfy the requirements of certain debt agreements and funds held within the Company's projects that are restricted in their use. The Company's various financing arrangements are described in Note 7, </w:t>
      </w:r>
      <w:r>
        <w:rPr>
          <w:rFonts w:ascii="Arial" w:cs="Arial" w:eastAsia="Arial" w:hAnsi="Arial"/>
          <w:sz w:val="16"/>
          <w:szCs w:val="16"/>
          <w:i w:val="1"/>
          <w:iCs w:val="1"/>
          <w:color w:val="231F20"/>
        </w:rPr>
        <w:t>Long-term Debt.</w:t>
      </w:r>
      <w:r>
        <w:rPr>
          <w:rFonts w:ascii="Arial" w:cs="Arial" w:eastAsia="Arial" w:hAnsi="Arial"/>
          <w:sz w:val="16"/>
          <w:szCs w:val="16"/>
          <w:color w:val="231F20"/>
        </w:rPr>
        <w:t xml:space="preserve"> As of </w:t>
      </w:r>
      <w:r>
        <w:rPr>
          <w:rFonts w:ascii="Arial" w:cs="Arial" w:eastAsia="Arial" w:hAnsi="Arial"/>
          <w:sz w:val="16"/>
          <w:szCs w:val="16"/>
          <w:color w:val="000000"/>
        </w:rPr>
        <w:t>June 30, 2016</w:t>
      </w:r>
      <w:r>
        <w:rPr>
          <w:rFonts w:ascii="Arial" w:cs="Arial" w:eastAsia="Arial" w:hAnsi="Arial"/>
          <w:sz w:val="16"/>
          <w:szCs w:val="16"/>
          <w:color w:val="231F20"/>
        </w:rPr>
        <w:t>, the Company had $110 million of available borrowings under its revolving credit facility.</w:t>
      </w:r>
    </w:p>
    <w:p>
      <w:pPr>
        <w:spacing w:after="0" w:line="104"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Yield, Inc. and NRG.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w:t>
      </w:r>
      <w:r>
        <w:rPr>
          <w:rFonts w:ascii="Arial" w:cs="Arial" w:eastAsia="Arial" w:hAnsi="Arial"/>
          <w:sz w:val="18"/>
          <w:szCs w:val="18"/>
          <w:color w:val="231F20"/>
        </w:rPr>
        <w:t xml:space="preserve">As of </w:t>
      </w:r>
      <w:r>
        <w:rPr>
          <w:rFonts w:ascii="Arial" w:cs="Arial" w:eastAsia="Arial" w:hAnsi="Arial"/>
          <w:sz w:val="18"/>
          <w:szCs w:val="18"/>
          <w:color w:val="000000"/>
        </w:rPr>
        <w:t>June 30, 2016, the Company's Senior Notes are rated BB+ by S&amp;P and Ba2 by Moody's.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Note 7,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this Form 10-Q and Note 9, </w:t>
      </w:r>
      <w:r>
        <w:rPr>
          <w:rFonts w:ascii="Arial" w:cs="Arial" w:eastAsia="Arial" w:hAnsi="Arial"/>
          <w:sz w:val="18"/>
          <w:szCs w:val="18"/>
          <w:i w:val="1"/>
          <w:iCs w:val="1"/>
          <w:color w:val="231F20"/>
        </w:rPr>
        <w:t>Long-term Debt</w:t>
      </w:r>
      <w:r>
        <w:rPr>
          <w:rFonts w:ascii="Arial" w:cs="Arial" w:eastAsia="Arial" w:hAnsi="Arial"/>
          <w:sz w:val="18"/>
          <w:szCs w:val="18"/>
          <w:color w:val="231F20"/>
        </w:rPr>
        <w:t>, to the audited consolidated financial statements included in the Company's 2015 Form 10-K, the Company's financing arrangements consist of the revolving credit facility, the Senior Notes, its intercompany borrowings with Yield, Inc. and project-level financings for its various assets.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CVSR Holdco Financing Arrangement</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On July 15, 2016, CVSR Holdco, the indirect owner of the CVSR project, which is 48.95% owned by the Company, issued $200 million of senior secured notes that bear interest at 4.68% and mature on March 31, 2037. The Company’s pro-rata share of the borrowings was </w:t>
      </w:r>
      <w:r>
        <w:rPr>
          <w:rFonts w:ascii="Arial" w:cs="Arial" w:eastAsia="Arial" w:hAnsi="Arial"/>
          <w:sz w:val="16"/>
          <w:szCs w:val="16"/>
          <w:color w:val="000000"/>
        </w:rPr>
        <w:t>$97.5 million</w:t>
      </w:r>
      <w:r>
        <w:rPr>
          <w:rFonts w:ascii="Arial" w:cs="Arial" w:eastAsia="Arial" w:hAnsi="Arial"/>
          <w:sz w:val="16"/>
          <w:szCs w:val="16"/>
          <w:color w:val="231F20"/>
        </w:rPr>
        <w:t xml:space="preserve">. Net proceeds of </w:t>
      </w:r>
      <w:r>
        <w:rPr>
          <w:rFonts w:ascii="Arial" w:cs="Arial" w:eastAsia="Arial" w:hAnsi="Arial"/>
          <w:sz w:val="16"/>
          <w:szCs w:val="16"/>
          <w:color w:val="000000"/>
        </w:rPr>
        <w:t>$97.5 million</w:t>
      </w:r>
      <w:r>
        <w:rPr>
          <w:rFonts w:ascii="Arial" w:cs="Arial" w:eastAsia="Arial" w:hAnsi="Arial"/>
          <w:sz w:val="16"/>
          <w:szCs w:val="16"/>
          <w:color w:val="231F20"/>
        </w:rPr>
        <w:t xml:space="preserve"> were distributed to NRG Yield Operating LLC based on its pro-rata ownership. The proceeds were utilized, along with </w:t>
      </w:r>
      <w:r>
        <w:rPr>
          <w:rFonts w:ascii="Arial" w:cs="Arial" w:eastAsia="Arial" w:hAnsi="Arial"/>
          <w:sz w:val="16"/>
          <w:szCs w:val="16"/>
          <w:color w:val="000000"/>
        </w:rPr>
        <w:t>$28 million</w:t>
      </w:r>
      <w:r>
        <w:rPr>
          <w:rFonts w:ascii="Arial" w:cs="Arial" w:eastAsia="Arial" w:hAnsi="Arial"/>
          <w:sz w:val="16"/>
          <w:szCs w:val="16"/>
          <w:color w:val="231F20"/>
        </w:rPr>
        <w:t xml:space="preserve"> of cash on hand,to reduce borrowings under the Company’s revolving credit facility. As of July 31, 2016, $193 million of borrowings were outstanding.</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(ii) capital expenditures; (iii) acquisitions and investments; and (iv) distributions.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21" w:right="239" w:bottom="1440" w:gutter="0" w:footer="0" w:header="0"/>
        </w:sectPr>
      </w:pPr>
    </w:p>
    <w:bookmarkStart w:id="50" w:name="page51"/>
    <w:bookmarkEnd w:id="50"/>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3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capital spending program is mainly focused on maintenance capital expenditures, or costs to maintain the assets currently operating, such as costs to replace or refurbish assets during routine maintenance, and growth capital expenditures or construction of new assets and completing the construction of assets where construction is in process. The Company develops annual capital spending plans based on projected requirements for maintenance and growth capital. For the six months ended </w:t>
      </w:r>
      <w:r>
        <w:rPr>
          <w:rFonts w:ascii="Arial" w:cs="Arial" w:eastAsia="Arial" w:hAnsi="Arial"/>
          <w:sz w:val="17"/>
          <w:szCs w:val="17"/>
          <w:color w:val="000000"/>
        </w:rPr>
        <w:t>June 30, 2016</w:t>
      </w:r>
      <w:r>
        <w:rPr>
          <w:rFonts w:ascii="Arial" w:cs="Arial" w:eastAsia="Arial" w:hAnsi="Arial"/>
          <w:sz w:val="17"/>
          <w:szCs w:val="17"/>
          <w:color w:val="231F20"/>
        </w:rPr>
        <w:t xml:space="preserve">, the Company used approximately $11 million to fund capital expenditures, of which $9 million related to maintenance capital expenditures. For the six months ended </w:t>
      </w:r>
      <w:r>
        <w:rPr>
          <w:rFonts w:ascii="Arial" w:cs="Arial" w:eastAsia="Arial" w:hAnsi="Arial"/>
          <w:sz w:val="17"/>
          <w:szCs w:val="17"/>
          <w:color w:val="000000"/>
        </w:rPr>
        <w:t>June 30,</w:t>
      </w:r>
      <w:r>
        <w:rPr>
          <w:rFonts w:ascii="Arial" w:cs="Arial" w:eastAsia="Arial" w:hAnsi="Arial"/>
          <w:sz w:val="17"/>
          <w:szCs w:val="17"/>
          <w:color w:val="231F20"/>
        </w:rPr>
        <w:t xml:space="preserve"> 2015, the Company used approximately $8 million to fund capital expenditures, of which $6 million related to maintenance capital expenditures.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3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intends to acquire generation assets developed and constructed by NRG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3"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i w:val="1"/>
          <w:iCs w:val="1"/>
          <w:color w:val="auto"/>
        </w:rPr>
        <w:t xml:space="preserve">CVSR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8, 2016, the Company and NRG entered into a definitive agreement regarding the acquisition of the remaining 51.05%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CVSR project for total expected cash consideration of $78.5 million plus assumed debt and working capital adjustments to be calculated at close. The sale is subject to customary closing conditions and is expected to close during the third quarter of 2016. The Company expects to fund the acquisition with drawings under the Company's revolving credit facility.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Cash Distributions to Yield, Inc. and NRG</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231F20"/>
        </w:rPr>
        <w:t xml:space="preserve">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less cash distributions to noncontrolling interests, maintenance capital expenditures, pro-rata EBITDA from unconsolidated affiliates, cash interest paid, income taxes paid, principal amortization of indebtedness and changes in other assets. Distributions on units </w:t>
      </w:r>
      <w:r>
        <w:rPr>
          <w:rFonts w:ascii="Arial" w:cs="Arial" w:eastAsia="Arial" w:hAnsi="Arial"/>
          <w:sz w:val="17"/>
          <w:szCs w:val="17"/>
          <w:color w:val="000000"/>
        </w:rPr>
        <w:t>are subject to available capital, market conditions, and</w:t>
      </w:r>
      <w:r>
        <w:rPr>
          <w:rFonts w:ascii="Arial" w:cs="Arial" w:eastAsia="Arial" w:hAnsi="Arial"/>
          <w:sz w:val="17"/>
          <w:szCs w:val="17"/>
          <w:color w:val="231F20"/>
        </w:rPr>
        <w:t xml:space="preserve"> </w:t>
      </w:r>
      <w:r>
        <w:rPr>
          <w:rFonts w:ascii="Arial" w:cs="Arial" w:eastAsia="Arial" w:hAnsi="Arial"/>
          <w:sz w:val="17"/>
          <w:szCs w:val="17"/>
          <w:color w:val="000000"/>
        </w:rPr>
        <w:t>compliance with associated laws, regulations and other contractual obligations. The Company expects that, based on current circumstances, comparable distributions will continue to be paid in the foreseeable future.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the distributions paid on the Company's Class A, B, C and D units during the six months ended June 30, 2016:</w:t>
      </w:r>
    </w:p>
    <w:p>
      <w:pPr>
        <w:spacing w:after="0" w:line="230" w:lineRule="exact"/>
        <w:rPr>
          <w:sz w:val="20"/>
          <w:szCs w:val="20"/>
          <w:color w:val="auto"/>
        </w:rPr>
      </w:pPr>
    </w:p>
    <w:tbl>
      <w:tblPr>
        <w:tblLayout w:type="fixed"/>
        <w:tblInd w:w="144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Second Quarter 2016</w:t>
            </w:r>
          </w:p>
        </w:tc>
        <w:tc>
          <w:tcPr>
            <w:tcW w:w="10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4"/>
                <w:szCs w:val="14"/>
                <w:b w:val="1"/>
                <w:bCs w:val="1"/>
                <w:color w:val="auto"/>
                <w:w w:val="95"/>
              </w:rPr>
              <w:t>First Quarter 2016</w:t>
            </w:r>
          </w:p>
        </w:tc>
      </w:tr>
      <w:tr>
        <w:trPr>
          <w:trHeight w:val="243"/>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B, C and D unit</w:t>
            </w: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0.225</w:t>
            </w:r>
          </w:p>
        </w:tc>
      </w:tr>
      <w:tr>
        <w:trPr>
          <w:trHeight w:val="27"/>
        </w:trPr>
        <w:tc>
          <w:tcPr>
            <w:tcW w:w="56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July 26, 2016, the Company declared a distribution on its Class A, Class B, Class C and Class D units of $0.24 per unit payable on September 15, 2016 to unit holders of record as of September 1,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changes in cash flows for the six months ended June 30, 2016, compared to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4"/>
        </w:trPr>
        <w:tc>
          <w:tcPr>
            <w:tcW w:w="4640" w:type="dxa"/>
            <w:vAlign w:val="bottom"/>
          </w:tcPr>
          <w:p>
            <w:pPr>
              <w:spacing w:after="0"/>
              <w:rPr>
                <w:sz w:val="22"/>
                <w:szCs w:val="22"/>
                <w:color w:val="auto"/>
              </w:rPr>
            </w:pPr>
          </w:p>
        </w:tc>
        <w:tc>
          <w:tcPr>
            <w:tcW w:w="3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22"/>
                <w:szCs w:val="22"/>
                <w:color w:val="auto"/>
              </w:rPr>
            </w:pPr>
          </w:p>
        </w:tc>
        <w:tc>
          <w:tcPr>
            <w:tcW w:w="920" w:type="dxa"/>
            <w:vAlign w:val="bottom"/>
          </w:tcPr>
          <w:p>
            <w:pPr>
              <w:jc w:val="right"/>
              <w:ind w:right="254"/>
              <w:spacing w:after="0"/>
              <w:rPr>
                <w:sz w:val="20"/>
                <w:szCs w:val="20"/>
                <w:color w:val="auto"/>
              </w:rPr>
            </w:pPr>
            <w:r>
              <w:rPr>
                <w:rFonts w:ascii="Arial" w:cs="Arial" w:eastAsia="Arial" w:hAnsi="Arial"/>
                <w:sz w:val="14"/>
                <w:szCs w:val="14"/>
                <w:b w:val="1"/>
                <w:bCs w:val="1"/>
                <w:color w:val="auto"/>
              </w:rPr>
              <w:t>Change</w:t>
            </w:r>
          </w:p>
        </w:tc>
      </w:tr>
      <w:tr>
        <w:trPr>
          <w:trHeight w:val="250"/>
        </w:trPr>
        <w:tc>
          <w:tcPr>
            <w:tcW w:w="46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9"/>
              </w:rPr>
              <w:t>(In millions)</w:t>
            </w:r>
          </w:p>
        </w:tc>
        <w:tc>
          <w:tcPr>
            <w:tcW w:w="3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700" w:type="dxa"/>
            <w:vAlign w:val="bottom"/>
            <w:tcBorders>
              <w:bottom w:val="single" w:sz="8" w:color="CCEEFF"/>
            </w:tcBorders>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9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(839)</w:t>
            </w:r>
          </w:p>
        </w:tc>
        <w:tc>
          <w:tcPr>
            <w:tcW w:w="3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797</w:t>
            </w:r>
          </w:p>
        </w:tc>
      </w:tr>
      <w:tr>
        <w:trPr>
          <w:trHeight w:val="27"/>
        </w:trPr>
        <w:tc>
          <w:tcPr>
            <w:tcW w:w="46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(178)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513"/>
        </w:trPr>
        <w:tc>
          <w:tcPr>
            <w:tcW w:w="4640" w:type="dxa"/>
            <w:vAlign w:val="bottom"/>
          </w:tcPr>
          <w:p>
            <w:pPr>
              <w:spacing w:after="0"/>
              <w:rPr>
                <w:sz w:val="24"/>
                <w:szCs w:val="24"/>
                <w:color w:val="auto"/>
              </w:rPr>
            </w:pPr>
          </w:p>
        </w:tc>
        <w:tc>
          <w:tcPr>
            <w:tcW w:w="2900" w:type="dxa"/>
            <w:vAlign w:val="bottom"/>
          </w:tcPr>
          <w:p>
            <w:pPr>
              <w:jc w:val="right"/>
              <w:ind w:right="1656"/>
              <w:spacing w:after="0"/>
              <w:rPr>
                <w:sz w:val="20"/>
                <w:szCs w:val="20"/>
                <w:color w:val="auto"/>
              </w:rPr>
            </w:pPr>
            <w:r>
              <w:rPr>
                <w:rFonts w:ascii="Arial" w:cs="Arial" w:eastAsia="Arial" w:hAnsi="Arial"/>
                <w:sz w:val="18"/>
                <w:szCs w:val="18"/>
                <w:color w:val="auto"/>
              </w:rPr>
              <w:t>50</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125"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160" w:type="dxa"/>
            <w:vAlign w:val="bottom"/>
          </w:tcPr>
          <w:p>
            <w:pPr>
              <w:ind w:left="4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180" w:type="dxa"/>
            <w:vAlign w:val="bottom"/>
          </w:tcPr>
          <w:p>
            <w:pPr>
              <w:spacing w:after="0"/>
              <w:rPr>
                <w:sz w:val="24"/>
                <w:szCs w:val="24"/>
                <w:color w:val="auto"/>
              </w:rPr>
            </w:pPr>
          </w:p>
        </w:tc>
        <w:tc>
          <w:tcPr>
            <w:tcW w:w="1080" w:type="dxa"/>
            <w:vAlign w:val="bottom"/>
          </w:tcPr>
          <w:p>
            <w:pPr>
              <w:jc w:val="right"/>
              <w:ind w:right="17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operating income adjusted for non-cash items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Changes in working capital driven primarily by the timing of wind generation in 2015 compared to 2016</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 distributions from unconsolidated affiliates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10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1016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1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160" w:type="dxa"/>
            <w:vAlign w:val="bottom"/>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180" w:type="dxa"/>
            <w:vAlign w:val="bottom"/>
          </w:tcPr>
          <w:p>
            <w:pPr>
              <w:spacing w:after="0"/>
              <w:rPr>
                <w:sz w:val="24"/>
                <w:szCs w:val="24"/>
                <w:color w:val="auto"/>
              </w:rPr>
            </w:pPr>
          </w:p>
        </w:tc>
        <w:tc>
          <w:tcPr>
            <w:tcW w:w="1080" w:type="dxa"/>
            <w:vAlign w:val="bottom"/>
          </w:tcPr>
          <w:p>
            <w:pPr>
              <w:jc w:val="right"/>
              <w:ind w:right="17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made to acquire the January 2015 Drop Down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Decrease in investments in unconsolidated affiliates in 2016 primarily due to the investment in Desert Sunlight made in 2015</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to acquire businesses in 2015,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10160" w:type="dxa"/>
            <w:vAlign w:val="bottom"/>
          </w:tcPr>
          <w:p>
            <w:pPr>
              <w:ind w:left="40"/>
              <w:spacing w:after="0"/>
              <w:rPr>
                <w:sz w:val="20"/>
                <w:szCs w:val="20"/>
                <w:color w:val="auto"/>
              </w:rPr>
            </w:pPr>
            <w:r>
              <w:rPr>
                <w:rFonts w:ascii="Arial" w:cs="Arial" w:eastAsia="Arial" w:hAnsi="Arial"/>
                <w:sz w:val="18"/>
                <w:szCs w:val="18"/>
                <w:color w:val="auto"/>
                <w:w w:val="93"/>
              </w:rPr>
              <w:t>Changes in restricted cash due to higher funding for certain projects' debt reserves partially offset by higher project distributions in 2016</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160" w:type="dxa"/>
            <w:vAlign w:val="bottom"/>
          </w:tcPr>
          <w:p>
            <w:pPr>
              <w:ind w:left="200"/>
              <w:spacing w:after="0"/>
              <w:rPr>
                <w:sz w:val="20"/>
                <w:szCs w:val="20"/>
                <w:color w:val="auto"/>
              </w:rPr>
            </w:pPr>
            <w:r>
              <w:rPr>
                <w:rFonts w:ascii="Arial" w:cs="Arial" w:eastAsia="Arial" w:hAnsi="Arial"/>
                <w:sz w:val="18"/>
                <w:szCs w:val="18"/>
                <w:color w:val="auto"/>
              </w:rPr>
              <w:t>compared to 2015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
        </w:trPr>
        <w:tc>
          <w:tcPr>
            <w:tcW w:w="1016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160" w:type="dxa"/>
            <w:vAlign w:val="bottom"/>
          </w:tcPr>
          <w:p>
            <w:pPr>
              <w:ind w:left="40"/>
              <w:spacing w:after="0"/>
              <w:rPr>
                <w:sz w:val="20"/>
                <w:szCs w:val="20"/>
                <w:color w:val="auto"/>
              </w:rPr>
            </w:pPr>
            <w:r>
              <w:rPr>
                <w:rFonts w:ascii="Arial" w:cs="Arial" w:eastAsia="Arial" w:hAnsi="Arial"/>
                <w:sz w:val="18"/>
                <w:szCs w:val="18"/>
                <w:color w:val="auto"/>
              </w:rPr>
              <w:t>Changes in net cash (used in) provided by financing activities were driven by:</w:t>
            </w:r>
          </w:p>
        </w:tc>
        <w:tc>
          <w:tcPr>
            <w:tcW w:w="180" w:type="dxa"/>
            <w:vAlign w:val="bottom"/>
          </w:tcPr>
          <w:p>
            <w:pPr>
              <w:spacing w:after="0"/>
              <w:rPr>
                <w:sz w:val="24"/>
                <w:szCs w:val="24"/>
                <w:color w:val="auto"/>
              </w:rPr>
            </w:pPr>
          </w:p>
        </w:tc>
        <w:tc>
          <w:tcPr>
            <w:tcW w:w="1080" w:type="dxa"/>
            <w:vAlign w:val="bottom"/>
          </w:tcPr>
          <w:p>
            <w:pPr>
              <w:jc w:val="right"/>
              <w:ind w:right="17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Class C units on June 29,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Lower net borrowings from the revolving credit facility</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 net payments for long-term debt in 2016 compared to 2015</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Decrease in net contributions from noncontrolling interests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distributions paid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Payment of distributions to NRG due to NRG's 25% ownership of NRG Wind TE Holdco in 2016</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 paid in 2015</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10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Variable interest in equity investments </w:t>
      </w:r>
      <w:r>
        <w:rPr>
          <w:rFonts w:ascii="Arial" w:cs="Arial" w:eastAsia="Arial" w:hAnsi="Arial"/>
          <w:sz w:val="18"/>
          <w:szCs w:val="18"/>
          <w:color w:val="auto"/>
        </w:rPr>
        <w:t>— As of June 30, 2016, the Company has several investments with an ownership interest percentage of 50% or</w:t>
      </w:r>
      <w:r>
        <w:rPr>
          <w:rFonts w:ascii="Arial" w:cs="Arial" w:eastAsia="Arial" w:hAnsi="Arial"/>
          <w:sz w:val="18"/>
          <w:szCs w:val="18"/>
          <w:i w:val="1"/>
          <w:iCs w:val="1"/>
          <w:color w:val="auto"/>
        </w:rPr>
        <w:t xml:space="preserve"> </w:t>
      </w:r>
      <w:r>
        <w:rPr>
          <w:rFonts w:ascii="Arial" w:cs="Arial" w:eastAsia="Arial" w:hAnsi="Arial"/>
          <w:sz w:val="18"/>
          <w:szCs w:val="18"/>
          <w:color w:val="auto"/>
        </w:rPr>
        <w:t>less in energy and energy-related entities that are accounted for under the equity method. DGPV Holdco 1, DGPV Holdco 2, RPV Holdco and GenConn are variable interest entities for which the Company is not the primary beneficiary.</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Company's pro-rata share of non-recourse debt held by unconsolidated affiliates was approximately $836 million as of June 30, 2016. This indebtedness may restrict the ability of these subsidiaries to issue dividends or distributions to the Company. See also Note 4, </w:t>
      </w:r>
      <w:r>
        <w:rPr>
          <w:rFonts w:ascii="Arial" w:cs="Arial" w:eastAsia="Arial" w:hAnsi="Arial"/>
          <w:sz w:val="18"/>
          <w:szCs w:val="18"/>
          <w:i w:val="1"/>
          <w:iCs w:val="1"/>
          <w:color w:val="auto"/>
        </w:rPr>
        <w:t>Variable Interest Entities, or</w:t>
      </w:r>
      <w:r>
        <w:rPr>
          <w:rFonts w:ascii="Arial" w:cs="Arial" w:eastAsia="Arial" w:hAnsi="Arial"/>
          <w:sz w:val="18"/>
          <w:szCs w:val="18"/>
          <w:color w:val="auto"/>
        </w:rPr>
        <w:t xml:space="preserve"> </w:t>
      </w:r>
      <w:r>
        <w:rPr>
          <w:rFonts w:ascii="Arial" w:cs="Arial" w:eastAsia="Arial" w:hAnsi="Arial"/>
          <w:sz w:val="18"/>
          <w:szCs w:val="18"/>
          <w:i w:val="1"/>
          <w:iCs w:val="1"/>
          <w:color w:val="auto"/>
        </w:rPr>
        <w:t>VIEs</w:t>
      </w:r>
      <w:r>
        <w:rPr>
          <w:rFonts w:ascii="Arial" w:cs="Arial" w:eastAsia="Arial" w:hAnsi="Arial"/>
          <w:sz w:val="18"/>
          <w:szCs w:val="18"/>
          <w:color w:val="auto"/>
        </w:rPr>
        <w: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our capital expenditure programs, as disclosed in the Company's 2015 Form 10-K.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8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June 30, 2016</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June 30, 2016</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16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(In millions)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8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10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0" w:type="dxa"/>
            <w:vAlign w:val="bottom"/>
          </w:tcPr>
          <w:p>
            <w:pPr>
              <w:spacing w:after="0"/>
              <w:rPr>
                <w:sz w:val="21"/>
                <w:szCs w:val="21"/>
                <w:color w:val="auto"/>
              </w:rPr>
            </w:pPr>
          </w:p>
        </w:tc>
        <w:tc>
          <w:tcPr>
            <w:tcW w:w="10240" w:type="dxa"/>
            <w:vAlign w:val="bottom"/>
            <w:gridSpan w:val="2"/>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02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57"/>
        </w:trPr>
        <w:tc>
          <w:tcPr>
            <w:tcW w:w="10280" w:type="dxa"/>
            <w:vAlign w:val="bottom"/>
            <w:gridSpan w:val="3"/>
          </w:tcPr>
          <w:p>
            <w:pPr>
              <w:ind w:left="40"/>
              <w:spacing w:after="0"/>
              <w:rPr>
                <w:sz w:val="20"/>
                <w:szCs w:val="20"/>
                <w:color w:val="auto"/>
              </w:rPr>
            </w:pPr>
            <w:r>
              <w:rPr>
                <w:rFonts w:ascii="Arial" w:cs="Arial" w:eastAsia="Arial" w:hAnsi="Arial"/>
                <w:sz w:val="18"/>
                <w:szCs w:val="18"/>
                <w:color w:val="auto"/>
              </w:rPr>
              <w:t>Fair Value of contracts as of June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jc w:val="center"/>
              <w:ind w:right="182"/>
              <w:spacing w:after="0"/>
              <w:rPr>
                <w:sz w:val="20"/>
                <w:szCs w:val="20"/>
                <w:color w:val="auto"/>
              </w:rPr>
            </w:pPr>
            <w:r>
              <w:rPr>
                <w:rFonts w:ascii="Arial" w:cs="Arial" w:eastAsia="Arial" w:hAnsi="Arial"/>
                <w:sz w:val="14"/>
                <w:szCs w:val="14"/>
                <w:b w:val="1"/>
                <w:bCs w:val="1"/>
                <w:color w:val="auto"/>
                <w:w w:val="92"/>
              </w:rPr>
              <w:t>Fair Value of contracts as of June 30, 2016</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844"/>
              <w:spacing w:after="0"/>
              <w:rPr>
                <w:sz w:val="20"/>
                <w:szCs w:val="20"/>
                <w:color w:val="auto"/>
              </w:rPr>
            </w:pPr>
            <w:r>
              <w:rPr>
                <w:rFonts w:ascii="Arial" w:cs="Arial" w:eastAsia="Arial" w:hAnsi="Arial"/>
                <w:sz w:val="14"/>
                <w:szCs w:val="14"/>
                <w:b w:val="1"/>
                <w:bCs w:val="1"/>
                <w:color w:val="auto"/>
              </w:rPr>
              <w:t>Maturity</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6"/>
              </w:rPr>
              <w:t>Greater Than</w:t>
            </w:r>
          </w:p>
        </w:tc>
        <w:tc>
          <w:tcPr>
            <w:tcW w:w="180" w:type="dxa"/>
            <w:vAlign w:val="bottom"/>
          </w:tcPr>
          <w:p>
            <w:pPr>
              <w:spacing w:after="0"/>
              <w:rPr>
                <w:sz w:val="13"/>
                <w:szCs w:val="13"/>
                <w:color w:val="auto"/>
              </w:rPr>
            </w:pPr>
          </w:p>
        </w:tc>
        <w:tc>
          <w:tcPr>
            <w:tcW w:w="1020" w:type="dxa"/>
            <w:vAlign w:val="bottom"/>
          </w:tcPr>
          <w:p>
            <w:pPr>
              <w:jc w:val="center"/>
              <w:ind w:right="44"/>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260" w:type="dxa"/>
            <w:vAlign w:val="bottom"/>
          </w:tcPr>
          <w:p>
            <w:pPr>
              <w:spacing w:after="0"/>
              <w:rPr>
                <w:sz w:val="13"/>
                <w:szCs w:val="13"/>
                <w:color w:val="auto"/>
              </w:rPr>
            </w:pPr>
          </w:p>
        </w:tc>
        <w:tc>
          <w:tcPr>
            <w:tcW w:w="110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8"/>
              </w:rPr>
              <w:t>Greater Than</w:t>
            </w:r>
          </w:p>
        </w:tc>
        <w:tc>
          <w:tcPr>
            <w:tcW w:w="300" w:type="dxa"/>
            <w:vAlign w:val="bottom"/>
          </w:tcPr>
          <w:p>
            <w:pPr>
              <w:spacing w:after="0"/>
              <w:rPr>
                <w:sz w:val="13"/>
                <w:szCs w:val="13"/>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Hierarchy Losses</w:t>
            </w:r>
          </w:p>
        </w:tc>
        <w:tc>
          <w:tcPr>
            <w:tcW w:w="160" w:type="dxa"/>
            <w:vAlign w:val="bottom"/>
          </w:tcPr>
          <w:p>
            <w:pPr>
              <w:spacing w:after="0"/>
              <w:rPr>
                <w:sz w:val="12"/>
                <w:szCs w:val="12"/>
                <w:color w:val="auto"/>
              </w:rPr>
            </w:pPr>
          </w:p>
        </w:tc>
        <w:tc>
          <w:tcPr>
            <w:tcW w:w="11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3"/>
              </w:rPr>
              <w:t>1 Year or Less</w:t>
            </w: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1"/>
              </w:rPr>
              <w:t>3 Years to 5</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1 Year to 3 Years</w:t>
            </w:r>
          </w:p>
        </w:tc>
        <w:tc>
          <w:tcPr>
            <w:tcW w:w="180" w:type="dxa"/>
            <w:vAlign w:val="bottom"/>
          </w:tcPr>
          <w:p>
            <w:pPr>
              <w:spacing w:after="0"/>
              <w:rPr>
                <w:sz w:val="13"/>
                <w:szCs w:val="13"/>
                <w:color w:val="auto"/>
              </w:rPr>
            </w:pPr>
          </w:p>
        </w:tc>
        <w:tc>
          <w:tcPr>
            <w:tcW w:w="102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w w:val="89"/>
              </w:rPr>
              <w:t>Years</w:t>
            </w:r>
          </w:p>
        </w:tc>
        <w:tc>
          <w:tcPr>
            <w:tcW w:w="260" w:type="dxa"/>
            <w:vAlign w:val="bottom"/>
          </w:tcPr>
          <w:p>
            <w:pPr>
              <w:spacing w:after="0"/>
              <w:rPr>
                <w:sz w:val="13"/>
                <w:szCs w:val="13"/>
                <w:color w:val="auto"/>
              </w:rPr>
            </w:pPr>
          </w:p>
        </w:tc>
        <w:tc>
          <w:tcPr>
            <w:tcW w:w="1100" w:type="dxa"/>
            <w:vAlign w:val="bottom"/>
          </w:tcPr>
          <w:p>
            <w:pPr>
              <w:jc w:val="center"/>
              <w:ind w:right="82"/>
              <w:spacing w:after="0" w:line="158" w:lineRule="exact"/>
              <w:rPr>
                <w:sz w:val="20"/>
                <w:szCs w:val="20"/>
                <w:color w:val="auto"/>
              </w:rPr>
            </w:pPr>
            <w:r>
              <w:rPr>
                <w:rFonts w:ascii="Arial" w:cs="Arial" w:eastAsia="Arial" w:hAnsi="Arial"/>
                <w:sz w:val="14"/>
                <w:szCs w:val="14"/>
                <w:b w:val="1"/>
                <w:bCs w:val="1"/>
                <w:color w:val="auto"/>
                <w:w w:val="92"/>
              </w:rPr>
              <w:t>5 Years</w:t>
            </w:r>
          </w:p>
        </w:tc>
        <w:tc>
          <w:tcPr>
            <w:tcW w:w="3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center"/>
              <w:ind w:right="64"/>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has elected to disclose derivative assets and liabilities on a trade-by-trade basis and does not offset amounts at the counterparty master agreement level. NRG, on behalf of the </w:t>
      </w:r>
      <w:r>
        <w:rPr>
          <w:rFonts w:ascii="Arial" w:cs="Arial" w:eastAsia="Arial" w:hAnsi="Arial"/>
          <w:sz w:val="18"/>
          <w:szCs w:val="18"/>
          <w:color w:val="000000"/>
        </w:rPr>
        <w:t>Company, measures the sensitivity of the portfolio to potential changes in market prices using VaR, a statistical model</w:t>
      </w:r>
      <w:r>
        <w:rPr>
          <w:rFonts w:ascii="Arial" w:cs="Arial" w:eastAsia="Arial" w:hAnsi="Arial"/>
          <w:sz w:val="18"/>
          <w:szCs w:val="18"/>
          <w:color w:val="231F20"/>
        </w:rPr>
        <w:t xml:space="preserve"> </w:t>
      </w:r>
      <w:r>
        <w:rPr>
          <w:rFonts w:ascii="Arial" w:cs="Arial" w:eastAsia="Arial" w:hAnsi="Arial"/>
          <w:sz w:val="18"/>
          <w:szCs w:val="18"/>
          <w:color w:val="000000"/>
        </w:rPr>
        <w:t>which attempts to predict risk of loss based on market price and volatility. NRG's risk management policy places a limit on one-day holding period VaR, which limits the net open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Company's significant accounting policies are summarized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Company's 2015 Form 10-K.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 and acquisition accounting.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2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See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9799"/>
          </w:cols>
          <w:pgMar w:left="660" w:top="1125" w:right="1440"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56" w:lineRule="exact"/>
        <w:rPr>
          <w:sz w:val="20"/>
          <w:szCs w:val="20"/>
          <w:color w:val="auto"/>
        </w:rPr>
      </w:pPr>
    </w:p>
    <w:p>
      <w:pPr>
        <w:ind w:right="1200" w:firstLine="405"/>
        <w:spacing w:after="0" w:line="371" w:lineRule="auto"/>
        <w:rPr>
          <w:sz w:val="20"/>
          <w:szCs w:val="20"/>
          <w:color w:val="auto"/>
        </w:rPr>
      </w:pPr>
      <w:r>
        <w:rPr>
          <w:rFonts w:ascii="Arial" w:cs="Arial" w:eastAsia="Arial" w:hAnsi="Arial"/>
          <w:sz w:val="18"/>
          <w:szCs w:val="18"/>
          <w:color w:val="auto"/>
        </w:rPr>
        <w:t xml:space="preserve">Item 3 has been omitted from this report pursuant to the reduced disclosure format permitted by General Instruction H(2) to Form 10-Q. </w:t>
      </w:r>
      <w:r>
        <w:rPr>
          <w:rFonts w:ascii="Arial" w:cs="Arial" w:eastAsia="Arial" w:hAnsi="Arial"/>
          <w:sz w:val="18"/>
          <w:szCs w:val="18"/>
          <w:b w:val="1"/>
          <w:bCs w:val="1"/>
          <w:color w:val="auto"/>
        </w:rPr>
        <w:t>ITEM 4 — Controls and Procedures</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that occurred in the second quarter of 2016 that materially affected, or are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For a discussion of the material legal proceedings in which the Company was involved through June 30, 2016, see Note 11,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 to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2015 Form 10-K. There have been no material changes in the Company's risk factors since those reported in its 2015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2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3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2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 EXHIBITS</w:t>
      </w:r>
    </w:p>
    <w:p>
      <w:pPr>
        <w:sectPr>
          <w:pgSz w:w="11900" w:h="16838" w:orient="portrait"/>
          <w:cols w:equalWidth="0" w:num="1">
            <w:col w:w="11380"/>
          </w:cols>
          <w:pgMar w:left="240" w:top="1121" w:right="279" w:bottom="1440" w:gutter="0" w:footer="0" w:header="0"/>
        </w:sectPr>
      </w:pPr>
    </w:p>
    <w:p>
      <w:pPr>
        <w:spacing w:after="0" w:line="351" w:lineRule="exact"/>
        <w:rPr>
          <w:sz w:val="20"/>
          <w:szCs w:val="20"/>
          <w:color w:val="auto"/>
        </w:rPr>
      </w:pPr>
    </w:p>
    <w:p>
      <w:pPr>
        <w:ind w:left="40"/>
        <w:spacing w:after="0" w:line="409" w:lineRule="auto"/>
        <w:rPr>
          <w:sz w:val="20"/>
          <w:szCs w:val="20"/>
          <w:color w:val="auto"/>
        </w:rPr>
      </w:pPr>
      <w:r>
        <w:rPr>
          <w:rFonts w:ascii="Arial" w:cs="Arial" w:eastAsia="Arial" w:hAnsi="Arial"/>
          <w:sz w:val="15"/>
          <w:szCs w:val="15"/>
          <w:b w:val="1"/>
          <w:bCs w:val="1"/>
          <w:color w:val="auto"/>
        </w:rPr>
        <w:t xml:space="preserve">Number </w:t>
      </w:r>
      <w:r>
        <w:rPr>
          <w:rFonts w:ascii="Arial" w:cs="Arial" w:eastAsia="Arial" w:hAnsi="Arial"/>
          <w:sz w:val="15"/>
          <w:szCs w:val="15"/>
          <w:color w:val="auto"/>
        </w:rPr>
        <w:t>2.1</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Purchase and Sale Agreement, dated as of August 8, 2016, between NRG Solar CVSR Holdings 2 LLC and NRG Yield Operating LLC.</w:t>
      </w:r>
    </w:p>
    <w:p>
      <w:pPr>
        <w:spacing w:after="0" w:line="294" w:lineRule="exact"/>
        <w:rPr>
          <w:sz w:val="20"/>
          <w:szCs w:val="20"/>
          <w:color w:val="auto"/>
        </w:rPr>
      </w:pPr>
    </w:p>
    <w:p>
      <w:pPr>
        <w:jc w:val="both"/>
        <w:ind w:right="140"/>
        <w:spacing w:after="0" w:line="305" w:lineRule="auto"/>
        <w:rPr>
          <w:sz w:val="20"/>
          <w:szCs w:val="20"/>
          <w:color w:val="auto"/>
        </w:rPr>
      </w:pPr>
      <w:r>
        <w:rPr>
          <w:rFonts w:ascii="Arial" w:cs="Arial" w:eastAsia="Arial" w:hAnsi="Arial"/>
          <w:sz w:val="15"/>
          <w:szCs w:val="15"/>
          <w:color w:val="auto"/>
        </w:rPr>
        <w:t>Amendment No. 2 to Amended and Restated Limited Liability Company Agreement of NRG RPV Holdco 1 LLC, dated as of August 5, 2016, by and between NRG Yield RPV Holding LLC and NRG Residential Solar Solutions LLC.</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sz w:val="20"/>
          <w:szCs w:val="20"/>
          <w:color w:val="auto"/>
        </w:rPr>
      </w:pPr>
    </w:p>
    <w:p>
      <w:pPr>
        <w:spacing w:after="0" w:line="329" w:lineRule="auto"/>
        <w:rPr>
          <w:sz w:val="20"/>
          <w:szCs w:val="20"/>
          <w:color w:val="auto"/>
        </w:rPr>
      </w:pPr>
      <w:r>
        <w:rPr>
          <w:rFonts w:ascii="Arial" w:cs="Arial" w:eastAsia="Arial" w:hAnsi="Arial"/>
          <w:sz w:val="15"/>
          <w:szCs w:val="15"/>
          <w:color w:val="auto"/>
        </w:rPr>
        <w:t>Incorporated herein by reference to Exhibit 2.1 to NRG Yield, Inc.'s Current Report on Form 8-K, filed on August 9, 2016.</w:t>
      </w:r>
    </w:p>
    <w:p>
      <w:pPr>
        <w:spacing w:after="0" w:line="189" w:lineRule="exact"/>
        <w:rPr>
          <w:sz w:val="20"/>
          <w:szCs w:val="20"/>
          <w:color w:val="auto"/>
        </w:rPr>
      </w:pPr>
    </w:p>
    <w:p>
      <w:pPr>
        <w:jc w:val="both"/>
        <w:ind w:right="160"/>
        <w:spacing w:after="0" w:line="369" w:lineRule="auto"/>
        <w:rPr>
          <w:sz w:val="20"/>
          <w:szCs w:val="20"/>
          <w:color w:val="auto"/>
        </w:rPr>
      </w:pPr>
      <w:r>
        <w:rPr>
          <w:rFonts w:ascii="Arial" w:cs="Arial" w:eastAsia="Arial" w:hAnsi="Arial"/>
          <w:sz w:val="14"/>
          <w:szCs w:val="14"/>
          <w:color w:val="auto"/>
        </w:rPr>
        <w:t>Incorporated herein by reference to Exhibit 10.1 to NRG Yield, Inc.'s Quarterly Report on Form 10-Q, filed on August 9, 2016.</w:t>
      </w:r>
    </w:p>
    <w:p>
      <w:pPr>
        <w:spacing w:after="0" w:line="328" w:lineRule="exact"/>
        <w:rPr>
          <w:sz w:val="20"/>
          <w:szCs w:val="20"/>
          <w:color w:val="auto"/>
        </w:rPr>
      </w:pPr>
    </w:p>
    <w:p>
      <w:pPr>
        <w:sectPr>
          <w:pgSz w:w="11900" w:h="16838" w:orient="portrait"/>
          <w:cols w:equalWidth="0" w:num="3">
            <w:col w:w="620" w:space="460"/>
            <w:col w:w="5860" w:space="180"/>
            <w:col w:w="4260"/>
          </w:cols>
          <w:pgMar w:left="240" w:top="1121" w:right="279" w:bottom="1440" w:gutter="0" w:footer="0" w:header="0"/>
          <w:type w:val="continuous"/>
        </w:sectPr>
      </w:pPr>
    </w:p>
    <w:tbl>
      <w:tblPr>
        <w:tblLayout w:type="fixed"/>
        <w:tblInd w:w="40" w:type="dxa"/>
        <w:tblCellMar>
          <w:top w:w="0" w:type="dxa"/>
          <w:left w:w="0" w:type="dxa"/>
          <w:bottom w:w="0" w:type="dxa"/>
          <w:right w:w="0" w:type="dxa"/>
        </w:tblCellMar>
      </w:tblPr>
      <w:tr>
        <w:trPr>
          <w:trHeight w:val="203"/>
        </w:trPr>
        <w:tc>
          <w:tcPr>
            <w:tcW w:w="280" w:type="dxa"/>
            <w:vAlign w:val="bottom"/>
          </w:tcPr>
          <w:p>
            <w:pPr>
              <w:spacing w:after="0"/>
              <w:rPr>
                <w:sz w:val="20"/>
                <w:szCs w:val="20"/>
                <w:color w:val="auto"/>
              </w:rPr>
            </w:pPr>
            <w:r>
              <w:rPr>
                <w:rFonts w:ascii="Arial" w:cs="Arial" w:eastAsia="Arial" w:hAnsi="Arial"/>
                <w:sz w:val="16"/>
                <w:szCs w:val="16"/>
                <w:color w:val="auto"/>
                <w:w w:val="83"/>
              </w:rPr>
              <w:t>10.2</w:t>
            </w:r>
          </w:p>
        </w:tc>
        <w:tc>
          <w:tcPr>
            <w:tcW w:w="540" w:type="dxa"/>
            <w:vAlign w:val="bottom"/>
          </w:tcPr>
          <w:p>
            <w:pPr>
              <w:spacing w:after="0"/>
              <w:rPr>
                <w:sz w:val="17"/>
                <w:szCs w:val="17"/>
                <w:color w:val="auto"/>
              </w:rPr>
            </w:pPr>
          </w:p>
        </w:tc>
        <w:tc>
          <w:tcPr>
            <w:tcW w:w="5860" w:type="dxa"/>
            <w:vAlign w:val="bottom"/>
          </w:tcPr>
          <w:p>
            <w:pPr>
              <w:ind w:left="220"/>
              <w:spacing w:after="0"/>
              <w:rPr>
                <w:sz w:val="20"/>
                <w:szCs w:val="20"/>
                <w:color w:val="auto"/>
              </w:rPr>
            </w:pPr>
            <w:r>
              <w:rPr>
                <w:rFonts w:ascii="Arial" w:cs="Arial" w:eastAsia="Arial" w:hAnsi="Arial"/>
                <w:sz w:val="16"/>
                <w:szCs w:val="16"/>
                <w:color w:val="auto"/>
                <w:w w:val="99"/>
              </w:rPr>
              <w:t>Employment Agreement, dated as of May 6, 2016, between NRG Yield, Inc. and</w:t>
            </w:r>
          </w:p>
        </w:tc>
        <w:tc>
          <w:tcPr>
            <w:tcW w:w="4500" w:type="dxa"/>
            <w:vAlign w:val="bottom"/>
          </w:tcPr>
          <w:p>
            <w:pPr>
              <w:ind w:left="400"/>
              <w:spacing w:after="0"/>
              <w:rPr>
                <w:sz w:val="20"/>
                <w:szCs w:val="20"/>
                <w:color w:val="auto"/>
              </w:rPr>
            </w:pPr>
            <w:r>
              <w:rPr>
                <w:rFonts w:ascii="Arial" w:cs="Arial" w:eastAsia="Arial" w:hAnsi="Arial"/>
                <w:sz w:val="16"/>
                <w:szCs w:val="16"/>
                <w:color w:val="auto"/>
                <w:w w:val="92"/>
              </w:rPr>
              <w:t>Incorporated herein by reference to Exhibit 10.1 to NRG Yield,</w:t>
            </w:r>
          </w:p>
        </w:tc>
      </w:tr>
      <w:tr>
        <w:trPr>
          <w:trHeight w:val="206"/>
        </w:trPr>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60" w:type="dxa"/>
            <w:vAlign w:val="bottom"/>
          </w:tcPr>
          <w:p>
            <w:pPr>
              <w:ind w:left="220"/>
              <w:spacing w:after="0"/>
              <w:rPr>
                <w:sz w:val="20"/>
                <w:szCs w:val="20"/>
                <w:color w:val="auto"/>
              </w:rPr>
            </w:pPr>
            <w:r>
              <w:rPr>
                <w:rFonts w:ascii="Arial" w:cs="Arial" w:eastAsia="Arial" w:hAnsi="Arial"/>
                <w:sz w:val="16"/>
                <w:szCs w:val="16"/>
                <w:color w:val="auto"/>
              </w:rPr>
              <w:t>Christopher S. Sotos.</w:t>
            </w:r>
          </w:p>
        </w:tc>
        <w:tc>
          <w:tcPr>
            <w:tcW w:w="4500" w:type="dxa"/>
            <w:vAlign w:val="bottom"/>
          </w:tcPr>
          <w:p>
            <w:pPr>
              <w:ind w:left="400"/>
              <w:spacing w:after="0"/>
              <w:rPr>
                <w:sz w:val="20"/>
                <w:szCs w:val="20"/>
                <w:color w:val="auto"/>
              </w:rPr>
            </w:pPr>
            <w:r>
              <w:rPr>
                <w:rFonts w:ascii="Arial" w:cs="Arial" w:eastAsia="Arial" w:hAnsi="Arial"/>
                <w:sz w:val="16"/>
                <w:szCs w:val="16"/>
                <w:color w:val="auto"/>
                <w:w w:val="94"/>
              </w:rPr>
              <w:t>Inc.'s Current Report on Form 8-K/A, filed on August 9, 2016.</w:t>
            </w:r>
          </w:p>
        </w:tc>
      </w:tr>
      <w:tr>
        <w:trPr>
          <w:trHeight w:val="473"/>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540" w:type="dxa"/>
            <w:vAlign w:val="bottom"/>
          </w:tcPr>
          <w:p>
            <w:pPr>
              <w:spacing w:after="0"/>
              <w:rPr>
                <w:sz w:val="24"/>
                <w:szCs w:val="24"/>
                <w:color w:val="auto"/>
              </w:rPr>
            </w:pPr>
          </w:p>
        </w:tc>
        <w:tc>
          <w:tcPr>
            <w:tcW w:w="5860" w:type="dxa"/>
            <w:vAlign w:val="bottom"/>
          </w:tcPr>
          <w:p>
            <w:pPr>
              <w:ind w:left="220"/>
              <w:spacing w:after="0"/>
              <w:rPr>
                <w:sz w:val="20"/>
                <w:szCs w:val="20"/>
                <w:color w:val="auto"/>
              </w:rPr>
            </w:pPr>
            <w:r>
              <w:rPr>
                <w:rFonts w:ascii="Arial" w:cs="Arial" w:eastAsia="Arial" w:hAnsi="Arial"/>
                <w:sz w:val="16"/>
                <w:szCs w:val="16"/>
                <w:color w:val="auto"/>
              </w:rPr>
              <w:t>Rule 13a-14(a)/15d-14(a) certification of Christopher S. Sotos.</w:t>
            </w:r>
          </w:p>
        </w:tc>
        <w:tc>
          <w:tcPr>
            <w:tcW w:w="4500" w:type="dxa"/>
            <w:vAlign w:val="bottom"/>
          </w:tcPr>
          <w:p>
            <w:pPr>
              <w:ind w:left="40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540" w:type="dxa"/>
            <w:vAlign w:val="bottom"/>
          </w:tcPr>
          <w:p>
            <w:pPr>
              <w:spacing w:after="0"/>
              <w:rPr>
                <w:sz w:val="23"/>
                <w:szCs w:val="23"/>
                <w:color w:val="auto"/>
              </w:rPr>
            </w:pPr>
          </w:p>
        </w:tc>
        <w:tc>
          <w:tcPr>
            <w:tcW w:w="5860" w:type="dxa"/>
            <w:vAlign w:val="bottom"/>
          </w:tcPr>
          <w:p>
            <w:pPr>
              <w:ind w:left="220"/>
              <w:spacing w:after="0"/>
              <w:rPr>
                <w:sz w:val="20"/>
                <w:szCs w:val="20"/>
                <w:color w:val="auto"/>
              </w:rPr>
            </w:pPr>
            <w:r>
              <w:rPr>
                <w:rFonts w:ascii="Arial" w:cs="Arial" w:eastAsia="Arial" w:hAnsi="Arial"/>
                <w:sz w:val="16"/>
                <w:szCs w:val="16"/>
                <w:color w:val="auto"/>
              </w:rPr>
              <w:t>Rule 13a-14(a)/15d-14(a) certification of Kirkland B. Andrews.</w:t>
            </w:r>
          </w:p>
        </w:tc>
        <w:tc>
          <w:tcPr>
            <w:tcW w:w="4500" w:type="dxa"/>
            <w:vAlign w:val="bottom"/>
          </w:tcPr>
          <w:p>
            <w:pPr>
              <w:ind w:left="40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83"/>
              </w:rPr>
              <w:t>31.3</w:t>
            </w:r>
          </w:p>
        </w:tc>
        <w:tc>
          <w:tcPr>
            <w:tcW w:w="540" w:type="dxa"/>
            <w:vAlign w:val="bottom"/>
          </w:tcPr>
          <w:p>
            <w:pPr>
              <w:spacing w:after="0"/>
              <w:rPr>
                <w:sz w:val="23"/>
                <w:szCs w:val="23"/>
                <w:color w:val="auto"/>
              </w:rPr>
            </w:pPr>
          </w:p>
        </w:tc>
        <w:tc>
          <w:tcPr>
            <w:tcW w:w="5860" w:type="dxa"/>
            <w:vAlign w:val="bottom"/>
          </w:tcPr>
          <w:p>
            <w:pPr>
              <w:ind w:left="220"/>
              <w:spacing w:after="0"/>
              <w:rPr>
                <w:sz w:val="20"/>
                <w:szCs w:val="20"/>
                <w:color w:val="auto"/>
              </w:rPr>
            </w:pPr>
            <w:r>
              <w:rPr>
                <w:rFonts w:ascii="Arial" w:cs="Arial" w:eastAsia="Arial" w:hAnsi="Arial"/>
                <w:sz w:val="16"/>
                <w:szCs w:val="16"/>
                <w:color w:val="auto"/>
              </w:rPr>
              <w:t>Rule 13a-14(a)/15d-14(a) certification of David Callen.</w:t>
            </w:r>
          </w:p>
        </w:tc>
        <w:tc>
          <w:tcPr>
            <w:tcW w:w="4500" w:type="dxa"/>
            <w:vAlign w:val="bottom"/>
          </w:tcPr>
          <w:p>
            <w:pPr>
              <w:ind w:left="40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540" w:type="dxa"/>
            <w:vAlign w:val="bottom"/>
          </w:tcPr>
          <w:p>
            <w:pPr>
              <w:spacing w:after="0"/>
              <w:rPr>
                <w:sz w:val="23"/>
                <w:szCs w:val="23"/>
                <w:color w:val="auto"/>
              </w:rPr>
            </w:pPr>
          </w:p>
        </w:tc>
        <w:tc>
          <w:tcPr>
            <w:tcW w:w="5860" w:type="dxa"/>
            <w:vAlign w:val="bottom"/>
          </w:tcPr>
          <w:p>
            <w:pPr>
              <w:ind w:left="220"/>
              <w:spacing w:after="0"/>
              <w:rPr>
                <w:sz w:val="20"/>
                <w:szCs w:val="20"/>
                <w:color w:val="auto"/>
              </w:rPr>
            </w:pPr>
            <w:r>
              <w:rPr>
                <w:rFonts w:ascii="Arial" w:cs="Arial" w:eastAsia="Arial" w:hAnsi="Arial"/>
                <w:sz w:val="16"/>
                <w:szCs w:val="16"/>
                <w:color w:val="auto"/>
              </w:rPr>
              <w:t>Section 1350 Certification.</w:t>
            </w:r>
          </w:p>
        </w:tc>
        <w:tc>
          <w:tcPr>
            <w:tcW w:w="4500" w:type="dxa"/>
            <w:vAlign w:val="bottom"/>
          </w:tcPr>
          <w:p>
            <w:pPr>
              <w:ind w:left="400"/>
              <w:spacing w:after="0"/>
              <w:rPr>
                <w:sz w:val="20"/>
                <w:szCs w:val="20"/>
                <w:color w:val="auto"/>
              </w:rPr>
            </w:pPr>
            <w:r>
              <w:rPr>
                <w:rFonts w:ascii="Arial" w:cs="Arial" w:eastAsia="Arial" w:hAnsi="Arial"/>
                <w:sz w:val="16"/>
                <w:szCs w:val="16"/>
                <w:color w:val="auto"/>
              </w:rPr>
              <w:t>Furnished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INS</w:t>
            </w:r>
          </w:p>
        </w:tc>
        <w:tc>
          <w:tcPr>
            <w:tcW w:w="5860" w:type="dxa"/>
            <w:vAlign w:val="bottom"/>
          </w:tcPr>
          <w:p>
            <w:pPr>
              <w:ind w:left="220"/>
              <w:spacing w:after="0"/>
              <w:rPr>
                <w:sz w:val="20"/>
                <w:szCs w:val="20"/>
                <w:color w:val="auto"/>
              </w:rPr>
            </w:pPr>
            <w:r>
              <w:rPr>
                <w:rFonts w:ascii="Arial" w:cs="Arial" w:eastAsia="Arial" w:hAnsi="Arial"/>
                <w:sz w:val="16"/>
                <w:szCs w:val="16"/>
                <w:color w:val="auto"/>
              </w:rPr>
              <w:t>XBRL Instance Document.</w:t>
            </w:r>
          </w:p>
        </w:tc>
        <w:tc>
          <w:tcPr>
            <w:tcW w:w="4500" w:type="dxa"/>
            <w:vAlign w:val="bottom"/>
          </w:tcPr>
          <w:p>
            <w:pPr>
              <w:ind w:left="40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SCH</w:t>
            </w:r>
          </w:p>
        </w:tc>
        <w:tc>
          <w:tcPr>
            <w:tcW w:w="5860" w:type="dxa"/>
            <w:vAlign w:val="bottom"/>
          </w:tcPr>
          <w:p>
            <w:pPr>
              <w:ind w:left="220"/>
              <w:spacing w:after="0"/>
              <w:rPr>
                <w:sz w:val="20"/>
                <w:szCs w:val="20"/>
                <w:color w:val="auto"/>
              </w:rPr>
            </w:pPr>
            <w:r>
              <w:rPr>
                <w:rFonts w:ascii="Arial" w:cs="Arial" w:eastAsia="Arial" w:hAnsi="Arial"/>
                <w:sz w:val="16"/>
                <w:szCs w:val="16"/>
                <w:color w:val="auto"/>
              </w:rPr>
              <w:t>XBRL Taxonomy Extension Schema.</w:t>
            </w:r>
          </w:p>
        </w:tc>
        <w:tc>
          <w:tcPr>
            <w:tcW w:w="4500" w:type="dxa"/>
            <w:vAlign w:val="bottom"/>
          </w:tcPr>
          <w:p>
            <w:pPr>
              <w:ind w:left="40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CAL</w:t>
            </w:r>
          </w:p>
        </w:tc>
        <w:tc>
          <w:tcPr>
            <w:tcW w:w="5860" w:type="dxa"/>
            <w:vAlign w:val="bottom"/>
          </w:tcPr>
          <w:p>
            <w:pPr>
              <w:ind w:left="220"/>
              <w:spacing w:after="0"/>
              <w:rPr>
                <w:sz w:val="20"/>
                <w:szCs w:val="20"/>
                <w:color w:val="auto"/>
              </w:rPr>
            </w:pPr>
            <w:r>
              <w:rPr>
                <w:rFonts w:ascii="Arial" w:cs="Arial" w:eastAsia="Arial" w:hAnsi="Arial"/>
                <w:sz w:val="16"/>
                <w:szCs w:val="16"/>
                <w:color w:val="auto"/>
              </w:rPr>
              <w:t>XBRL Taxonomy Extension Calculation Linkbase.</w:t>
            </w:r>
          </w:p>
        </w:tc>
        <w:tc>
          <w:tcPr>
            <w:tcW w:w="4500" w:type="dxa"/>
            <w:vAlign w:val="bottom"/>
          </w:tcPr>
          <w:p>
            <w:pPr>
              <w:ind w:left="40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DEF</w:t>
            </w:r>
          </w:p>
        </w:tc>
        <w:tc>
          <w:tcPr>
            <w:tcW w:w="5860" w:type="dxa"/>
            <w:vAlign w:val="bottom"/>
          </w:tcPr>
          <w:p>
            <w:pPr>
              <w:ind w:left="220"/>
              <w:spacing w:after="0"/>
              <w:rPr>
                <w:sz w:val="20"/>
                <w:szCs w:val="20"/>
                <w:color w:val="auto"/>
              </w:rPr>
            </w:pPr>
            <w:r>
              <w:rPr>
                <w:rFonts w:ascii="Arial" w:cs="Arial" w:eastAsia="Arial" w:hAnsi="Arial"/>
                <w:sz w:val="16"/>
                <w:szCs w:val="16"/>
                <w:color w:val="auto"/>
              </w:rPr>
              <w:t>XBRL Taxonomy Extension Definition Linkbase.</w:t>
            </w:r>
          </w:p>
        </w:tc>
        <w:tc>
          <w:tcPr>
            <w:tcW w:w="4500" w:type="dxa"/>
            <w:vAlign w:val="bottom"/>
          </w:tcPr>
          <w:p>
            <w:pPr>
              <w:ind w:left="40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LAB</w:t>
            </w:r>
          </w:p>
        </w:tc>
        <w:tc>
          <w:tcPr>
            <w:tcW w:w="5860" w:type="dxa"/>
            <w:vAlign w:val="bottom"/>
          </w:tcPr>
          <w:p>
            <w:pPr>
              <w:ind w:left="220"/>
              <w:spacing w:after="0"/>
              <w:rPr>
                <w:sz w:val="20"/>
                <w:szCs w:val="20"/>
                <w:color w:val="auto"/>
              </w:rPr>
            </w:pPr>
            <w:r>
              <w:rPr>
                <w:rFonts w:ascii="Arial" w:cs="Arial" w:eastAsia="Arial" w:hAnsi="Arial"/>
                <w:sz w:val="16"/>
                <w:szCs w:val="16"/>
                <w:color w:val="auto"/>
              </w:rPr>
              <w:t>XBRL Taxonomy Extension Label Linkbase.</w:t>
            </w:r>
          </w:p>
        </w:tc>
        <w:tc>
          <w:tcPr>
            <w:tcW w:w="4500" w:type="dxa"/>
            <w:vAlign w:val="bottom"/>
          </w:tcPr>
          <w:p>
            <w:pPr>
              <w:ind w:left="40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PRE</w:t>
            </w:r>
          </w:p>
        </w:tc>
        <w:tc>
          <w:tcPr>
            <w:tcW w:w="5860" w:type="dxa"/>
            <w:vAlign w:val="bottom"/>
          </w:tcPr>
          <w:p>
            <w:pPr>
              <w:ind w:left="220"/>
              <w:spacing w:after="0"/>
              <w:rPr>
                <w:sz w:val="20"/>
                <w:szCs w:val="20"/>
                <w:color w:val="auto"/>
              </w:rPr>
            </w:pPr>
            <w:r>
              <w:rPr>
                <w:rFonts w:ascii="Arial" w:cs="Arial" w:eastAsia="Arial" w:hAnsi="Arial"/>
                <w:sz w:val="16"/>
                <w:szCs w:val="16"/>
                <w:color w:val="auto"/>
              </w:rPr>
              <w:t>XBRL Taxonomy Extension Presentation Linkbase.</w:t>
            </w:r>
          </w:p>
        </w:tc>
        <w:tc>
          <w:tcPr>
            <w:tcW w:w="4500" w:type="dxa"/>
            <w:vAlign w:val="bottom"/>
          </w:tcPr>
          <w:p>
            <w:pPr>
              <w:ind w:left="400"/>
              <w:spacing w:after="0"/>
              <w:rPr>
                <w:sz w:val="20"/>
                <w:szCs w:val="20"/>
                <w:color w:val="auto"/>
              </w:rPr>
            </w:pPr>
            <w:r>
              <w:rPr>
                <w:rFonts w:ascii="Arial" w:cs="Arial" w:eastAsia="Arial" w:hAnsi="Arial"/>
                <w:sz w:val="16"/>
                <w:szCs w:val="16"/>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121" w:right="27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NRG YIELD LLC</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CHRISTOPHER S. SOTOS</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Christopher S. Sotos</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KIRKLAND B. ANDREWS</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Kirkland B. Andrews</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DAVID CALLEN</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David Callen</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August 9, 2016</w:t>
            </w: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560" w:type="dxa"/>
            <w:vAlign w:val="bottom"/>
          </w:tcPr>
          <w:p>
            <w:pPr>
              <w:spacing w:after="0"/>
              <w:rPr>
                <w:sz w:val="24"/>
                <w:szCs w:val="24"/>
                <w:color w:val="auto"/>
              </w:rPr>
            </w:pPr>
          </w:p>
        </w:tc>
        <w:tc>
          <w:tcPr>
            <w:tcW w:w="3120" w:type="dxa"/>
            <w:vAlign w:val="bottom"/>
          </w:tcPr>
          <w:p>
            <w:pPr>
              <w:jc w:val="right"/>
              <w:ind w:right="850"/>
              <w:spacing w:after="0"/>
              <w:rPr>
                <w:sz w:val="20"/>
                <w:szCs w:val="20"/>
                <w:color w:val="auto"/>
              </w:rPr>
            </w:pPr>
            <w:r>
              <w:rPr>
                <w:rFonts w:ascii="Arial" w:cs="Arial" w:eastAsia="Arial" w:hAnsi="Arial"/>
                <w:sz w:val="18"/>
                <w:szCs w:val="18"/>
                <w:color w:val="auto"/>
              </w:rPr>
              <w:t>57</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58" w:name="page59"/>
    <w:bookmarkEnd w:id="58"/>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1929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ectPr>
          <w:pgSz w:w="11900" w:h="16838" w:orient="portrait"/>
          <w:cols w:equalWidth="0" w:num="1">
            <w:col w:w="11420"/>
          </w:cols>
          <w:pgMar w:left="240" w:top="661" w:right="239" w:bottom="1440" w:gutter="0" w:footer="0" w:header="0"/>
        </w:sectPr>
      </w:pPr>
    </w:p>
    <w:bookmarkStart w:id="59" w:name="page60"/>
    <w:bookmarkEnd w:id="59"/>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306"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Kirkland B. Andrews</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ectPr>
          <w:pgSz w:w="11900" w:h="16838" w:orient="portrait"/>
          <w:cols w:equalWidth="0" w:num="1">
            <w:col w:w="11420"/>
          </w:cols>
          <w:pgMar w:left="240" w:top="661" w:right="239" w:bottom="1440" w:gutter="0" w:footer="0" w:header="0"/>
        </w:sectPr>
      </w:pPr>
    </w:p>
    <w:bookmarkStart w:id="60" w:name="page61"/>
    <w:bookmarkEnd w:id="60"/>
    <w:p>
      <w:pPr>
        <w:ind w:left="10280"/>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David Callen, certify that:</w:t>
      </w:r>
    </w:p>
    <w:p>
      <w:pPr>
        <w:spacing w:after="0" w:line="306"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David Callen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NRG Yield LLC on Form 10-Q for the quarter ended June 30, 2016,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Kirkland B. Andrews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Callen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LLC and will be retained by NRG Yield LLC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decimal"/>
      <w:start w:val="7"/>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2019-12-29T10:28:44Z</dcterms:created>
  <dcterms:modified xsi:type="dcterms:W3CDTF">2019-12-29T10:28:44Z</dcterms:modified>
</cp:coreProperties>
</file>