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1560-1_4aseq1.xml.htm"/>
      <w:bookmarkStart w:id="1" w:name="kstm24115601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04/03/2024</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8"/>
        <w:gridCol w:w="904"/>
        <w:gridCol w:w="775"/>
        <w:gridCol w:w="600"/>
        <w:gridCol w:w="342"/>
        <w:gridCol w:w="1005"/>
        <w:gridCol w:w="436"/>
        <w:gridCol w:w="746"/>
        <w:gridCol w:w="1134"/>
        <w:gridCol w:w="977"/>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318,828</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23.07</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44,135</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original Form 4 filed by the Reporting Persons on April 3, 2024. This amendment restates the number of shares of restricted stock granted on April 1, 2024 to reflect a grant that was declined by one or more of the Clearway Energy Group employees and never issued, and the resulting balances of securities beneficially owned following the transactions reported herein.</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942977" TargetMode="External"/><Relationship Id="rId7" Type="http://schemas.openxmlformats.org/officeDocument/2006/relationships/hyperlink" Target="http://www.sec.gov/cgi-bin/browse-edgar?action=getcompany&amp;CIK=0001747185"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1228</Words>
  <Characters>6700</Characters>
  <CharactersWithSpaces>7775</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