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668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rFonts w:ascii="Arial" w:cs="Arial" w:eastAsia="Arial" w:hAnsi="Arial"/>
                <w:sz w:val="22"/>
                <w:szCs w:val="22"/>
                <w:color w:val="0000EE"/>
                <w:w w:val="93"/>
              </w:rPr>
            </w:pPr>
            <w:hyperlink r:id="rId12">
              <w:r>
                <w:rPr>
                  <w:rFonts w:ascii="Arial" w:cs="Arial" w:eastAsia="Arial" w:hAnsi="Arial"/>
                  <w:sz w:val="22"/>
                  <w:szCs w:val="22"/>
                  <w:color w:val="0000EE"/>
                  <w:w w:val="93"/>
                </w:rPr>
                <w:t>Ford Brian R.</w:t>
              </w:r>
            </w:hyperlink>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4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4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560" w:type="dxa"/>
            <w:vAlign w:val="bottom"/>
          </w:tcPr>
          <w:p>
            <w:pPr>
              <w:spacing w:after="0"/>
              <w:rPr>
                <w:sz w:val="20"/>
                <w:szCs w:val="20"/>
                <w:color w:val="auto"/>
              </w:rPr>
            </w:pPr>
            <w:r>
              <w:rPr>
                <w:rFonts w:ascii="Arial" w:cs="Arial" w:eastAsia="Arial" w:hAnsi="Arial"/>
                <w:sz w:val="14"/>
                <w:szCs w:val="14"/>
                <w:color w:val="auto"/>
              </w:rPr>
              <w:t>(Middle)</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8"/>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rPr>
              <w:t>CLEARWAY ENERGY, INC.</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06/01/2019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00" w:type="dxa"/>
            <w:vAlign w:val="bottom"/>
            <w:gridSpan w:val="6"/>
            <w:vMerge w:val="restart"/>
          </w:tcPr>
          <w:p>
            <w:pPr>
              <w:spacing w:after="0"/>
              <w:rPr>
                <w:sz w:val="20"/>
                <w:szCs w:val="20"/>
                <w:color w:val="auto"/>
              </w:rPr>
            </w:pPr>
            <w:r>
              <w:rPr>
                <w:rFonts w:ascii="Arial" w:cs="Arial" w:eastAsia="Arial" w:hAnsi="Arial"/>
                <w:sz w:val="18"/>
                <w:szCs w:val="18"/>
                <w:color w:val="0000FF"/>
              </w:rPr>
              <w:t>300 CARNEGIE CENTER, SUITE 300</w:t>
            </w: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gridSpan w:val="6"/>
            <w:vMerge w:val="continue"/>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9"/>
                <w:szCs w:val="9"/>
                <w:color w:val="auto"/>
              </w:rPr>
            </w:pPr>
          </w:p>
        </w:tc>
        <w:tc>
          <w:tcPr>
            <w:tcW w:w="3440" w:type="dxa"/>
            <w:vAlign w:val="bottom"/>
            <w:gridSpan w:val="7"/>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10"/>
            <w:vMerge w:val="continue"/>
          </w:tcPr>
          <w:p>
            <w:pPr>
              <w:spacing w:after="0"/>
              <w:rPr>
                <w:sz w:val="8"/>
                <w:szCs w:val="8"/>
                <w:color w:val="auto"/>
              </w:rPr>
            </w:pPr>
          </w:p>
        </w:tc>
        <w:tc>
          <w:tcPr>
            <w:tcW w:w="160" w:type="dxa"/>
            <w:vAlign w:val="bottom"/>
          </w:tcPr>
          <w:p>
            <w:pPr>
              <w:spacing w:after="0"/>
              <w:rPr>
                <w:sz w:val="8"/>
                <w:szCs w:val="8"/>
                <w:color w:val="auto"/>
              </w:rPr>
            </w:pPr>
          </w:p>
        </w:tc>
        <w:tc>
          <w:tcPr>
            <w:tcW w:w="34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36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60" w:type="dxa"/>
            <w:vAlign w:val="bottom"/>
            <w:gridSpan w:val="6"/>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spacing w:after="0"/>
              <w:rPr>
                <w:sz w:val="20"/>
                <w:szCs w:val="20"/>
                <w:color w:val="auto"/>
              </w:rPr>
            </w:pPr>
            <w:r>
              <w:rPr>
                <w:rFonts w:ascii="Arial" w:cs="Arial" w:eastAsia="Arial" w:hAnsi="Arial"/>
                <w:sz w:val="18"/>
                <w:szCs w:val="18"/>
                <w:color w:val="0000FF"/>
              </w:rPr>
              <w:t>PRINCETON</w:t>
            </w:r>
          </w:p>
        </w:tc>
        <w:tc>
          <w:tcPr>
            <w:tcW w:w="260" w:type="dxa"/>
            <w:vAlign w:val="bottom"/>
          </w:tcPr>
          <w:p>
            <w:pPr>
              <w:ind w:left="40"/>
              <w:spacing w:after="0"/>
              <w:rPr>
                <w:sz w:val="20"/>
                <w:szCs w:val="20"/>
                <w:color w:val="auto"/>
              </w:rPr>
            </w:pPr>
            <w:r>
              <w:rPr>
                <w:rFonts w:ascii="Arial" w:cs="Arial" w:eastAsia="Arial" w:hAnsi="Arial"/>
                <w:sz w:val="18"/>
                <w:szCs w:val="18"/>
                <w:color w:val="0000FF"/>
                <w:w w:val="90"/>
              </w:rPr>
              <w:t>NJ</w:t>
            </w: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0000FF"/>
              </w:rPr>
              <w:t>08540</w:t>
            </w: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560" w:type="dxa"/>
            <w:vAlign w:val="bottom"/>
          </w:tcPr>
          <w:p>
            <w:pPr>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gridSpan w:val="6"/>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21"/>
          </w:tcPr>
          <w:p>
            <w:pPr>
              <w:jc w:val="center"/>
              <w:ind w:left="2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300" w:type="dxa"/>
            <w:vAlign w:val="bottom"/>
            <w:gridSpan w:val="5"/>
          </w:tcPr>
          <w:p>
            <w:pPr>
              <w:ind w:left="2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00" w:type="dxa"/>
            <w:vAlign w:val="bottom"/>
            <w:gridSpan w:val="5"/>
          </w:tcPr>
          <w:p>
            <w:pPr>
              <w:jc w:val="center"/>
              <w:ind w:left="64"/>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100" w:type="dxa"/>
            <w:vAlign w:val="bottom"/>
          </w:tcPr>
          <w:p>
            <w:pPr>
              <w:spacing w:after="0"/>
              <w:rPr>
                <w:sz w:val="11"/>
                <w:szCs w:val="11"/>
                <w:color w:val="auto"/>
              </w:rPr>
            </w:pP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90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center"/>
              <w:ind w:left="64"/>
              <w:spacing w:after="0"/>
              <w:rPr>
                <w:sz w:val="20"/>
                <w:szCs w:val="20"/>
                <w:color w:val="auto"/>
              </w:rPr>
            </w:pPr>
            <w:r>
              <w:rPr>
                <w:rFonts w:ascii="Arial" w:cs="Arial" w:eastAsia="Arial" w:hAnsi="Arial"/>
                <w:sz w:val="18"/>
                <w:szCs w:val="18"/>
                <w:color w:val="0000FF"/>
                <w:w w:val="88"/>
              </w:rPr>
              <w:t>06/01/2019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Pr>
          <w:p>
            <w:pPr>
              <w:spacing w:after="0"/>
              <w:rPr>
                <w:sz w:val="22"/>
                <w:szCs w:val="22"/>
                <w:color w:val="auto"/>
              </w:rPr>
            </w:pPr>
          </w:p>
        </w:tc>
        <w:tc>
          <w:tcPr>
            <w:tcW w:w="1000" w:type="dxa"/>
            <w:vAlign w:val="bottom"/>
            <w:gridSpan w:val="2"/>
            <w:vMerge w:val="restart"/>
          </w:tcPr>
          <w:p>
            <w:pPr>
              <w:jc w:val="center"/>
              <w:ind w:right="139"/>
              <w:spacing w:after="0"/>
              <w:rPr>
                <w:sz w:val="20"/>
                <w:szCs w:val="20"/>
                <w:color w:val="auto"/>
              </w:rPr>
            </w:pPr>
            <w:r>
              <w:rPr>
                <w:rFonts w:ascii="Arial" w:cs="Arial" w:eastAsia="Arial" w:hAnsi="Arial"/>
                <w:sz w:val="18"/>
                <w:szCs w:val="18"/>
                <w:color w:val="0000FF"/>
                <w:w w:val="82"/>
              </w:rPr>
              <w:t>7,500</w:t>
            </w:r>
            <w:r>
              <w:rPr>
                <w:rFonts w:ascii="Arial" w:cs="Arial" w:eastAsia="Arial" w:hAnsi="Arial"/>
                <w:sz w:val="22"/>
                <w:szCs w:val="22"/>
                <w:color w:val="008000"/>
                <w:w w:val="82"/>
                <w:vertAlign w:val="superscript"/>
              </w:rPr>
              <w:t>(1)</w:t>
            </w: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(2)</w:t>
            </w:r>
          </w:p>
        </w:tc>
        <w:tc>
          <w:tcPr>
            <w:tcW w:w="360" w:type="dxa"/>
            <w:vAlign w:val="bottom"/>
          </w:tcPr>
          <w:p>
            <w:pPr>
              <w:spacing w:after="0"/>
              <w:rPr>
                <w:sz w:val="22"/>
                <w:szCs w:val="22"/>
                <w:color w:val="auto"/>
              </w:rPr>
            </w:pPr>
          </w:p>
        </w:tc>
        <w:tc>
          <w:tcPr>
            <w:tcW w:w="900" w:type="dxa"/>
            <w:vAlign w:val="bottom"/>
            <w:vMerge w:val="restart"/>
          </w:tcPr>
          <w:p>
            <w:pPr>
              <w:jc w:val="center"/>
              <w:ind w:right="357"/>
              <w:spacing w:after="0"/>
              <w:rPr>
                <w:sz w:val="20"/>
                <w:szCs w:val="20"/>
                <w:color w:val="auto"/>
              </w:rPr>
            </w:pPr>
            <w:r>
              <w:rPr>
                <w:rFonts w:ascii="Arial" w:cs="Arial" w:eastAsia="Arial" w:hAnsi="Arial"/>
                <w:sz w:val="18"/>
                <w:szCs w:val="18"/>
                <w:color w:val="0000FF"/>
                <w:w w:val="87"/>
              </w:rPr>
              <w:t>37,245</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A Common Stock, par value $.01 per</w:t>
            </w:r>
          </w:p>
        </w:tc>
        <w:tc>
          <w:tcPr>
            <w:tcW w:w="1300" w:type="dxa"/>
            <w:vAlign w:val="bottom"/>
            <w:gridSpan w:val="5"/>
            <w:vMerge w:val="restart"/>
          </w:tcPr>
          <w:p>
            <w:pPr>
              <w:jc w:val="center"/>
              <w:ind w:left="64"/>
              <w:spacing w:after="0"/>
              <w:rPr>
                <w:sz w:val="20"/>
                <w:szCs w:val="20"/>
                <w:color w:val="auto"/>
              </w:rPr>
            </w:pPr>
            <w:r>
              <w:rPr>
                <w:rFonts w:ascii="Arial" w:cs="Arial" w:eastAsia="Arial" w:hAnsi="Arial"/>
                <w:sz w:val="18"/>
                <w:szCs w:val="18"/>
                <w:color w:val="0000FF"/>
                <w:w w:val="88"/>
              </w:rPr>
              <w:t>06/03/2019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Pr>
          <w:p>
            <w:pPr>
              <w:spacing w:after="0"/>
              <w:rPr>
                <w:sz w:val="22"/>
                <w:szCs w:val="22"/>
                <w:color w:val="auto"/>
              </w:rPr>
            </w:pPr>
          </w:p>
        </w:tc>
        <w:tc>
          <w:tcPr>
            <w:tcW w:w="580" w:type="dxa"/>
            <w:vAlign w:val="bottom"/>
            <w:vMerge w:val="restart"/>
          </w:tcPr>
          <w:p>
            <w:pPr>
              <w:jc w:val="center"/>
              <w:ind w:left="128"/>
              <w:spacing w:after="0"/>
              <w:rPr>
                <w:sz w:val="20"/>
                <w:szCs w:val="20"/>
                <w:color w:val="auto"/>
              </w:rPr>
            </w:pPr>
            <w:r>
              <w:rPr>
                <w:rFonts w:ascii="Arial" w:cs="Arial" w:eastAsia="Arial" w:hAnsi="Arial"/>
                <w:sz w:val="18"/>
                <w:szCs w:val="18"/>
                <w:color w:val="0000FF"/>
                <w:w w:val="89"/>
              </w:rPr>
              <w:t>82</w:t>
            </w:r>
          </w:p>
        </w:tc>
        <w:tc>
          <w:tcPr>
            <w:tcW w:w="420" w:type="dxa"/>
            <w:vAlign w:val="bottom"/>
          </w:tcPr>
          <w:p>
            <w:pPr>
              <w:spacing w:after="0"/>
              <w:rPr>
                <w:sz w:val="22"/>
                <w:szCs w:val="22"/>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(3)</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2"/>
              </w:rPr>
              <w:t>7,136</w:t>
            </w:r>
            <w:r>
              <w:rPr>
                <w:rFonts w:ascii="Arial" w:cs="Arial" w:eastAsia="Arial" w:hAnsi="Arial"/>
                <w:sz w:val="22"/>
                <w:szCs w:val="22"/>
                <w:color w:val="008000"/>
                <w:w w:val="82"/>
                <w:vertAlign w:val="superscript"/>
              </w:rPr>
              <w:t>(4)</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900" w:type="dxa"/>
            <w:vAlign w:val="bottom"/>
            <w:tcBorders>
              <w:bottom w:val="single" w:sz="8" w:color="2C2C2C"/>
            </w:tcBorders>
            <w:gridSpan w:val="4"/>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00" w:type="dxa"/>
            <w:vAlign w:val="bottom"/>
            <w:gridSpan w:val="7"/>
          </w:tcPr>
          <w:p>
            <w:pPr>
              <w:ind w:left="60"/>
              <w:spacing w:after="0"/>
              <w:rPr>
                <w:sz w:val="20"/>
                <w:szCs w:val="20"/>
                <w:color w:val="auto"/>
              </w:rPr>
            </w:pPr>
            <w:r>
              <w:rPr>
                <w:rFonts w:ascii="Arial" w:cs="Arial" w:eastAsia="Arial" w:hAnsi="Arial"/>
                <w:sz w:val="18"/>
                <w:szCs w:val="18"/>
                <w:color w:val="0000FF"/>
                <w:w w:val="90"/>
              </w:rPr>
              <w:t>Class C Common Stock, par value $.01 per</w:t>
            </w:r>
          </w:p>
        </w:tc>
        <w:tc>
          <w:tcPr>
            <w:tcW w:w="1300" w:type="dxa"/>
            <w:vAlign w:val="bottom"/>
            <w:gridSpan w:val="5"/>
            <w:vMerge w:val="restart"/>
          </w:tcPr>
          <w:p>
            <w:pPr>
              <w:jc w:val="center"/>
              <w:ind w:left="64"/>
              <w:spacing w:after="0"/>
              <w:rPr>
                <w:sz w:val="20"/>
                <w:szCs w:val="20"/>
                <w:color w:val="auto"/>
              </w:rPr>
            </w:pPr>
            <w:r>
              <w:rPr>
                <w:rFonts w:ascii="Arial" w:cs="Arial" w:eastAsia="Arial" w:hAnsi="Arial"/>
                <w:sz w:val="18"/>
                <w:szCs w:val="18"/>
                <w:color w:val="0000FF"/>
                <w:w w:val="88"/>
              </w:rPr>
              <w:t>06/03/2019</w:t>
            </w: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gridSpan w:val="2"/>
            <w:vMerge w:val="restart"/>
          </w:tcPr>
          <w:p>
            <w:pPr>
              <w:ind w:left="180"/>
              <w:spacing w:after="0"/>
              <w:rPr>
                <w:sz w:val="20"/>
                <w:szCs w:val="20"/>
                <w:color w:val="auto"/>
              </w:rPr>
            </w:pPr>
            <w:r>
              <w:rPr>
                <w:rFonts w:ascii="Arial" w:cs="Arial" w:eastAsia="Arial" w:hAnsi="Arial"/>
                <w:sz w:val="14"/>
                <w:szCs w:val="14"/>
                <w:color w:val="0000FF"/>
              </w:rPr>
              <w:t>A</w:t>
            </w:r>
          </w:p>
        </w:tc>
        <w:tc>
          <w:tcPr>
            <w:tcW w:w="100" w:type="dxa"/>
            <w:vAlign w:val="bottom"/>
          </w:tcPr>
          <w:p>
            <w:pPr>
              <w:spacing w:after="0"/>
              <w:rPr>
                <w:sz w:val="22"/>
                <w:szCs w:val="22"/>
                <w:color w:val="auto"/>
              </w:rPr>
            </w:pPr>
          </w:p>
        </w:tc>
        <w:tc>
          <w:tcPr>
            <w:tcW w:w="580" w:type="dxa"/>
            <w:vAlign w:val="bottom"/>
            <w:vMerge w:val="restart"/>
          </w:tcPr>
          <w:p>
            <w:pPr>
              <w:jc w:val="center"/>
              <w:ind w:left="128"/>
              <w:spacing w:after="0"/>
              <w:rPr>
                <w:sz w:val="20"/>
                <w:szCs w:val="20"/>
                <w:color w:val="auto"/>
              </w:rPr>
            </w:pPr>
            <w:r>
              <w:rPr>
                <w:rFonts w:ascii="Arial" w:cs="Arial" w:eastAsia="Arial" w:hAnsi="Arial"/>
                <w:sz w:val="18"/>
                <w:szCs w:val="18"/>
                <w:color w:val="0000FF"/>
                <w:w w:val="86"/>
              </w:rPr>
              <w:t>469</w:t>
            </w:r>
          </w:p>
        </w:tc>
        <w:tc>
          <w:tcPr>
            <w:tcW w:w="420" w:type="dxa"/>
            <w:vAlign w:val="bottom"/>
          </w:tcPr>
          <w:p>
            <w:pPr>
              <w:spacing w:after="0"/>
              <w:rPr>
                <w:sz w:val="22"/>
                <w:szCs w:val="22"/>
                <w:color w:val="auto"/>
              </w:rPr>
            </w:pPr>
          </w:p>
        </w:tc>
        <w:tc>
          <w:tcPr>
            <w:tcW w:w="340" w:type="dxa"/>
            <w:vAlign w:val="bottom"/>
            <w:vMerge w:val="restart"/>
          </w:tcPr>
          <w:p>
            <w:pPr>
              <w:ind w:left="20"/>
              <w:spacing w:after="0"/>
              <w:rPr>
                <w:sz w:val="20"/>
                <w:szCs w:val="20"/>
                <w:color w:val="auto"/>
              </w:rPr>
            </w:pPr>
            <w:r>
              <w:rPr>
                <w:rFonts w:ascii="Arial" w:cs="Arial" w:eastAsia="Arial" w:hAnsi="Arial"/>
                <w:sz w:val="18"/>
                <w:szCs w:val="18"/>
                <w:color w:val="0000FF"/>
              </w:rPr>
              <w:t>A</w:t>
            </w:r>
          </w:p>
        </w:tc>
        <w:tc>
          <w:tcPr>
            <w:tcW w:w="620" w:type="dxa"/>
            <w:vAlign w:val="bottom"/>
            <w:gridSpan w:val="3"/>
            <w:vMerge w:val="restart"/>
          </w:tcPr>
          <w:p>
            <w:pPr>
              <w:ind w:left="240"/>
              <w:spacing w:after="0"/>
              <w:rPr>
                <w:sz w:val="20"/>
                <w:szCs w:val="20"/>
                <w:color w:val="auto"/>
              </w:rPr>
            </w:pPr>
            <w:r>
              <w:rPr>
                <w:rFonts w:ascii="Arial" w:cs="Arial" w:eastAsia="Arial" w:hAnsi="Arial"/>
                <w:sz w:val="11"/>
                <w:szCs w:val="11"/>
                <w:color w:val="008000"/>
              </w:rPr>
              <w:t>(3)</w:t>
            </w:r>
          </w:p>
        </w:tc>
        <w:tc>
          <w:tcPr>
            <w:tcW w:w="126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4"/>
              </w:rPr>
              <w:t>37,714</w:t>
            </w:r>
            <w:r>
              <w:rPr>
                <w:rFonts w:ascii="Arial" w:cs="Arial" w:eastAsia="Arial" w:hAnsi="Arial"/>
                <w:sz w:val="22"/>
                <w:szCs w:val="22"/>
                <w:color w:val="008000"/>
                <w:w w:val="84"/>
                <w:vertAlign w:val="superscript"/>
              </w:rPr>
              <w:t>(5)</w:t>
            </w:r>
          </w:p>
        </w:tc>
        <w:tc>
          <w:tcPr>
            <w:tcW w:w="960" w:type="dxa"/>
            <w:vAlign w:val="bottom"/>
            <w:vMerge w:val="restart"/>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3"/>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7"/>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8080" w:type="dxa"/>
            <w:vAlign w:val="bottom"/>
            <w:tcBorders>
              <w:top w:val="single" w:sz="8" w:color="2C2C2C"/>
            </w:tcBorders>
            <w:gridSpan w:val="21"/>
          </w:tcPr>
          <w:p>
            <w:pPr>
              <w:jc w:val="center"/>
              <w:ind w:left="4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20" w:type="dxa"/>
            <w:vAlign w:val="bottom"/>
            <w:gridSpan w:val="17"/>
          </w:tcPr>
          <w:p>
            <w:pPr>
              <w:jc w:val="center"/>
              <w:ind w:right="1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8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280" w:type="dxa"/>
            <w:vAlign w:val="bottom"/>
          </w:tcPr>
          <w:p>
            <w:pPr>
              <w:spacing w:after="0"/>
              <w:rPr>
                <w:sz w:val="4"/>
                <w:szCs w:val="4"/>
                <w:color w:val="auto"/>
              </w:rPr>
            </w:pPr>
          </w:p>
        </w:tc>
        <w:tc>
          <w:tcPr>
            <w:tcW w:w="36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6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7,500 Deferred Stock Units issued to the Reporting Person by Clearway Energy, Inc. under Clearway Energy, Inc.'s Amended and Restated 2013 Equity Incentive Plan.</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Deferred Stock Unit is equivalent in value to one share of Clearway Energy, Inc.'s Class C Common Stock, par value $.01 per share. The Reporting Person will receive from Clearway Energy, Inc. one such share of Class C Common Stock for each Deferred Stock Unit he owns upon termination of his service on Clearway Energy, Inc.'s Board of Directors.</w:t>
      </w: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1,589 dividend equivalent rights that may only be settled in Class A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5,018 dividend equivalent rights that may only be settled in Class C Common Stock.</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8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/s/ Michael A. Brown, by</w:t>
            </w:r>
          </w:p>
        </w:tc>
        <w:tc>
          <w:tcPr>
            <w:tcW w:w="32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06/04/2019</w:t>
            </w:r>
          </w:p>
        </w:tc>
        <w:tc>
          <w:tcPr>
            <w:tcW w:w="0" w:type="dxa"/>
            <w:vAlign w:val="bottom"/>
          </w:tcPr>
          <w:p>
            <w:pPr>
              <w:spacing w:after="0"/>
              <w:rPr>
                <w:sz w:val="1"/>
                <w:szCs w:val="1"/>
                <w:color w:val="auto"/>
              </w:rPr>
            </w:pPr>
          </w:p>
        </w:tc>
      </w:tr>
      <w:tr>
        <w:trPr>
          <w:trHeight w:val="88"/>
        </w:trPr>
        <w:tc>
          <w:tcPr>
            <w:tcW w:w="1320" w:type="dxa"/>
            <w:vAlign w:val="bottom"/>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80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8874"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2019-12-23T22:35:33Z</dcterms:created>
  <dcterms:modified xsi:type="dcterms:W3CDTF">2019-12-23T22:35:33Z</dcterms:modified>
</cp:coreProperties>
</file>