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0" w:type="dxa"/>
            <w:vAlign w:val="bottom"/>
            <w:gridSpan w:val="5"/>
            <w:vMerge w:val="continue"/>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520" w:type="dxa"/>
            <w:vAlign w:val="bottom"/>
          </w:tcPr>
          <w:p>
            <w:pPr>
              <w:spacing w:after="0"/>
              <w:rPr>
                <w:sz w:val="5"/>
                <w:szCs w:val="5"/>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vMerge w:val="continue"/>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40" w:type="dxa"/>
            <w:vAlign w:val="bottom"/>
            <w:gridSpan w:val="3"/>
            <w:vMerge w:val="continue"/>
          </w:tcPr>
          <w:p>
            <w:pPr>
              <w:spacing w:after="0"/>
              <w:rPr>
                <w:sz w:val="2"/>
                <w:szCs w:val="2"/>
                <w:color w:val="auto"/>
              </w:rPr>
            </w:pPr>
          </w:p>
        </w:tc>
        <w:tc>
          <w:tcPr>
            <w:tcW w:w="15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520" w:type="dxa"/>
            <w:vAlign w:val="bottom"/>
          </w:tcPr>
          <w:p>
            <w:pPr>
              <w:spacing w:after="0"/>
              <w:rPr>
                <w:sz w:val="16"/>
                <w:szCs w:val="16"/>
                <w:color w:val="auto"/>
              </w:rPr>
            </w:pPr>
          </w:p>
        </w:tc>
        <w:tc>
          <w:tcPr>
            <w:tcW w:w="72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01/15/2025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6"/>
                <w:szCs w:val="6"/>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11"/>
            <w:vMerge w:val="continue"/>
          </w:tcPr>
          <w:p>
            <w:pPr>
              <w:spacing w:after="0"/>
              <w:rPr>
                <w:sz w:val="9"/>
                <w:szCs w:val="9"/>
                <w:color w:val="auto"/>
              </w:rPr>
            </w:pPr>
          </w:p>
        </w:tc>
        <w:tc>
          <w:tcPr>
            <w:tcW w:w="360" w:type="dxa"/>
            <w:vAlign w:val="bottom"/>
          </w:tcPr>
          <w:p>
            <w:pPr>
              <w:spacing w:after="0"/>
              <w:rPr>
                <w:sz w:val="9"/>
                <w:szCs w:val="9"/>
                <w:color w:val="auto"/>
              </w:rPr>
            </w:pPr>
          </w:p>
        </w:tc>
        <w:tc>
          <w:tcPr>
            <w:tcW w:w="342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vMerge w:val="restart"/>
          </w:tcPr>
          <w:p>
            <w:pPr>
              <w:spacing w:after="0"/>
              <w:rPr>
                <w:sz w:val="3"/>
                <w:szCs w:val="3"/>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92400</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gridSpan w:val="3"/>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6"/>
          </w:tcPr>
          <w:p>
            <w:pPr>
              <w:ind w:left="2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9"/>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5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4"/>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00" w:type="dxa"/>
            <w:vAlign w:val="bottom"/>
            <w:gridSpan w:val="5"/>
            <w:vMerge w:val="restart"/>
          </w:tcPr>
          <w:p>
            <w:pPr>
              <w:ind w:left="680"/>
              <w:spacing w:after="0"/>
              <w:rPr>
                <w:sz w:val="20"/>
                <w:szCs w:val="20"/>
                <w:color w:val="auto"/>
              </w:rPr>
            </w:pPr>
            <w:r>
              <w:rPr>
                <w:rFonts w:ascii="Times New Roman" w:cs="Times New Roman" w:eastAsia="Times New Roman" w:hAnsi="Times New Roman"/>
                <w:sz w:val="17"/>
                <w:szCs w:val="17"/>
                <w:color w:val="0000FF"/>
              </w:rPr>
              <w:t>01/15/2025</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831</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gridSpan w:val="2"/>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25.25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114,199</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2"/>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9"/>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Gestion USA SARL</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sz w:val="1"/>
          <w:szCs w:val="1"/>
          <w:color w:val="auto"/>
        </w:rPr>
        <w:drawing>
          <wp:inline distT="0" distB="0" distL="0" distR="0">
            <wp:extent cx="33655" cy="1822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3655" cy="18224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TotalEnergies Holdings USA,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-152400</wp:posOffset>
            </wp:positionV>
            <wp:extent cx="2809240" cy="4801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80187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TotalEnergies Delaware, Inc.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8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8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withholding of shares to satisfy tax withholding obligations in connection with the vesting of restricted stock of Clearway Energy, Inc. (the "Issuer") previously granted by Clearway Energy Group LLC ("Clearway Energy Group") under its Long Term Equity Incentive Program to one or more of its employees. The Reporting Persons have agreed to voluntarily disgorge any profits deemed realized from such transactions to the Issuer.</w:t>
      </w:r>
    </w:p>
    <w:p>
      <w:pPr>
        <w:spacing w:after="0" w:line="20" w:lineRule="exact"/>
        <w:rPr>
          <w:rFonts w:ascii="Times New Roman" w:cs="Times New Roman" w:eastAsia="Times New Roman" w:hAnsi="Times New Roman"/>
          <w:sz w:val="13"/>
          <w:szCs w:val="13"/>
          <w:color w:val="008000"/>
        </w:rPr>
      </w:pPr>
    </w:p>
    <w:p>
      <w:pPr>
        <w:ind w:left="20" w:right="1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right="8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900"/>
          </w:cols>
          <w:pgMar w:left="480" w:top="139" w:right="519" w:bottom="0"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Agathe Rozenbaum-Rameix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90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Agathe Rozenbaum-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Rameix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9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140"/>
          </w:cols>
          <w:pgMar w:left="480" w:top="139" w:right="51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39" w:right="51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13" Type="http://schemas.openxmlformats.org/officeDocument/2006/relationships/hyperlink" Target="http://www.sec.gov/cgi-bin/browse-edgar?action=getcompany&amp;CIK=000087976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1906" TargetMode="External"/><Relationship Id="rId18" Type="http://schemas.openxmlformats.org/officeDocument/2006/relationships/hyperlink" Target="http://www.sec.gov/cgi-bin/browse-edgar?action=getcompany&amp;CIK=0001942439" TargetMode="External"/><Relationship Id="rId20" Type="http://schemas.openxmlformats.org/officeDocument/2006/relationships/hyperlink" Target="http://www.sec.gov/cgi-bin/browse-edgar?action=getcompany&amp;CIK=0001942500" TargetMode="External"/><Relationship Id="rId21"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2025-01-17T15:35:11Z</dcterms:created>
  <dcterms:modified xsi:type="dcterms:W3CDTF">2025-01-17T15:35:11Z</dcterms:modified>
</cp:coreProperties>
</file>