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9, 2021</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Clearway Energy,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33" w:right="339" w:bottom="1440" w:gutter="0" w:footer="0" w:header="0"/>
        </w:sectPr>
      </w:pPr>
    </w:p>
    <w:p>
      <w:pPr>
        <w:spacing w:after="0" w:line="205"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40" w:space="720"/>
            <w:col w:w="3040"/>
          </w:cols>
          <w:pgMar w:left="320" w:top="733" w:right="339" w:bottom="1440" w:gutter="0" w:footer="0" w:header="0"/>
          <w:type w:val="continuous"/>
        </w:sectPr>
      </w:pPr>
    </w:p>
    <w:p>
      <w:pPr>
        <w:ind w:left="1200"/>
        <w:spacing w:after="0"/>
        <w:rPr>
          <w:sz w:val="20"/>
          <w:szCs w:val="20"/>
          <w:color w:val="auto"/>
        </w:rPr>
      </w:pPr>
      <w:r>
        <w:rPr>
          <w:rFonts w:ascii="Arial" w:cs="Arial" w:eastAsia="Arial" w:hAnsi="Arial"/>
          <w:sz w:val="18"/>
          <w:szCs w:val="18"/>
          <w:color w:val="auto"/>
        </w:rPr>
        <w:t>of 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733" w:right="339" w:bottom="1440" w:gutter="0" w:footer="0" w:header="0"/>
          <w:type w:val="continuous"/>
        </w:sectPr>
      </w:pPr>
    </w:p>
    <w:p>
      <w:pPr>
        <w:spacing w:after="0" w:line="2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860" w:firstLine="8"/>
        <w:spacing w:after="0" w:line="498" w:lineRule="auto"/>
        <w:tabs>
          <w:tab w:leader="none" w:pos="3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195"/>
        </w:trPr>
        <w:tc>
          <w:tcPr>
            <w:tcW w:w="3620" w:type="dxa"/>
            <w:vAlign w:val="bottom"/>
          </w:tcPr>
          <w:p>
            <w:pPr>
              <w:jc w:val="center"/>
              <w:spacing w:after="0" w:line="195" w:lineRule="exact"/>
              <w:rPr>
                <w:sz w:val="20"/>
                <w:szCs w:val="20"/>
                <w:color w:val="auto"/>
              </w:rPr>
            </w:pPr>
            <w:r>
              <w:rPr>
                <w:rFonts w:ascii="Arial" w:cs="Arial" w:eastAsia="Arial" w:hAnsi="Arial"/>
                <w:sz w:val="18"/>
                <w:szCs w:val="18"/>
                <w:color w:val="auto"/>
                <w:w w:val="90"/>
              </w:rPr>
              <w:t>Class A Common Stock, par value $0.01</w:t>
            </w:r>
          </w:p>
        </w:tc>
        <w:tc>
          <w:tcPr>
            <w:tcW w:w="220" w:type="dxa"/>
            <w:vAlign w:val="bottom"/>
          </w:tcPr>
          <w:p>
            <w:pPr>
              <w:spacing w:after="0"/>
              <w:rPr>
                <w:sz w:val="16"/>
                <w:szCs w:val="16"/>
                <w:color w:val="auto"/>
              </w:rPr>
            </w:pPr>
          </w:p>
        </w:tc>
        <w:tc>
          <w:tcPr>
            <w:tcW w:w="3600" w:type="dxa"/>
            <w:vAlign w:val="bottom"/>
          </w:tcPr>
          <w:p>
            <w:pPr>
              <w:jc w:val="center"/>
              <w:spacing w:after="0" w:line="195" w:lineRule="exact"/>
              <w:rPr>
                <w:sz w:val="20"/>
                <w:szCs w:val="20"/>
                <w:color w:val="auto"/>
              </w:rPr>
            </w:pPr>
            <w:r>
              <w:rPr>
                <w:rFonts w:ascii="Arial" w:cs="Arial" w:eastAsia="Arial" w:hAnsi="Arial"/>
                <w:sz w:val="18"/>
                <w:szCs w:val="18"/>
                <w:color w:val="auto"/>
                <w:w w:val="97"/>
              </w:rPr>
              <w:t>CWEN.A</w:t>
            </w:r>
          </w:p>
        </w:tc>
        <w:tc>
          <w:tcPr>
            <w:tcW w:w="200" w:type="dxa"/>
            <w:vAlign w:val="bottom"/>
          </w:tcPr>
          <w:p>
            <w:pPr>
              <w:spacing w:after="0"/>
              <w:rPr>
                <w:sz w:val="16"/>
                <w:szCs w:val="16"/>
                <w:color w:val="auto"/>
              </w:rPr>
            </w:pPr>
          </w:p>
        </w:tc>
        <w:tc>
          <w:tcPr>
            <w:tcW w:w="3600" w:type="dxa"/>
            <w:vAlign w:val="bottom"/>
          </w:tcPr>
          <w:p>
            <w:pPr>
              <w:jc w:val="center"/>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30"/>
        </w:trPr>
        <w:tc>
          <w:tcPr>
            <w:tcW w:w="3620" w:type="dxa"/>
            <w:vAlign w:val="bottom"/>
          </w:tcPr>
          <w:p>
            <w:pPr>
              <w:jc w:val="center"/>
              <w:spacing w:after="0"/>
              <w:rPr>
                <w:sz w:val="20"/>
                <w:szCs w:val="20"/>
                <w:color w:val="auto"/>
              </w:rPr>
            </w:pPr>
            <w:r>
              <w:rPr>
                <w:rFonts w:ascii="Arial" w:cs="Arial" w:eastAsia="Arial" w:hAnsi="Arial"/>
                <w:sz w:val="18"/>
                <w:szCs w:val="18"/>
                <w:color w:val="auto"/>
                <w:w w:val="90"/>
              </w:rPr>
              <w:t>Class C Common Stock, par value $0.01</w:t>
            </w: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CWEN</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jc w:val="both"/>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80"/>
        <w:spacing w:after="0" w:line="207" w:lineRule="exact"/>
        <w:tabs>
          <w:tab w:leader="none" w:pos="110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4.01 Changes in Registrant’s Certifying Accountant.</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On March 9, 2021, the Audit Committee of the Board of Directors of Clearway Energy, Inc. (the “Company”) dismissed KPMG LLP as the Company’s independent registered public accounting firm. On March 11, 2021, the Audit Committee appointed Ernst &amp; Young LLP, an independent registered public accounting firm, to audit the consolidated financial statements of the Company and its subsidiaries for the fiscal year ending December 31, 2021.</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KPMG LLP’s audit reports on the consolidated financial statements of the Company and its subsidiaries as of and for the fiscal years ended December 31, 2019 and 2020 did not contain an adverse opinion or disclaimer of opinion, nor were they qualified or modified as to uncertainty, audit scope, or accounting principles, except that KPMG LLP’s report on the consolidated financial statements of the Company and its subsidiaries as of and for the fiscal years ended December 31, 2019 and 2020, contained the below separate paragraphs:</w:t>
      </w:r>
    </w:p>
    <w:p>
      <w:pPr>
        <w:spacing w:after="0" w:line="187" w:lineRule="exact"/>
        <w:rPr>
          <w:sz w:val="20"/>
          <w:szCs w:val="20"/>
          <w:color w:val="auto"/>
        </w:rPr>
      </w:pPr>
    </w:p>
    <w:p>
      <w:pPr>
        <w:ind w:left="660" w:right="10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discussed in Note 2 to the consolidated financial statements, the Company has changed its method of accounting for Revenue from Contracts with Customers as of January 1, 2018 due to the adoption of Topic 606.”</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discussed in Note 2 to the consolidated financial statements, the Company has changed its method of accounting for Leases as of January 1, 2019 due to the adoption of Topic 842.”</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During the fiscal years ended December 31, 2019 and 2020, and through March 9, 2021, there were no (i) disagreements (as defined in Item 304(a)(1)(iv) of Regulation S-K) between the Company and KPMG LLP on any matter of accounting principle or practice, financial statement disclosure, or auditing scope or procedure which, if not resolved to KPMG LLP’s satisfaction, would have caused it to make reference to the matter in conjunction with its report on the Company’s consolidated financial statements for the relevant year, or (ii) reportable events as defined in Item 304(a)(1)(v) of Regulation S-K.</w:t>
      </w:r>
    </w:p>
    <w:p>
      <w:pPr>
        <w:spacing w:after="0" w:line="188"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Company provided KPMG LLP with a copy of the disclosures it is making in this Form 8-K and requested that KPMG LLP furnish a letter addressed to the Securities and Exchange Commission stating whether or not it agrees with the statements made herein. A copy of KPMG LLP’s letter, dated March 15, 2021, is filed as Exhibit 16.1 to this Form 8-K.</w:t>
      </w:r>
    </w:p>
    <w:p>
      <w:pPr>
        <w:spacing w:after="0" w:line="184"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During the fiscal years ended December 31, 2019 and 2020, and through March 11, 2021, neither the Company, nor anyone on behalf of the Company, consulted with Ernst &amp; Young LLP with respect to either (i) the application of accounting principles to a specified transaction, either completed or proposed, or the type of audit opinion that might be rendered on the consolidated financial statements of the Company and its subsidiaries, and no written report or oral advice was provided by Ernst &amp; Young LLP to the Company that Ernst &amp; Young LLP concluded was an important factor considered by the Company in reaching a decision as to the accounting, auditing or financial reporting issue or (ii) any matter that was the subject of either a disagreement (as defined in Item 304(a)(1)(iv) of Regulation S-K) or a reportable event (as described in Item 304(a)(1)(v) of Regulation S-K).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000" w:type="dxa"/>
            <w:vAlign w:val="bottom"/>
          </w:tcPr>
          <w:p>
            <w:pPr>
              <w:spacing w:after="0"/>
              <w:rPr>
                <w:sz w:val="18"/>
                <w:szCs w:val="18"/>
                <w:color w:val="auto"/>
              </w:rPr>
            </w:pPr>
          </w:p>
        </w:tc>
      </w:tr>
      <w:tr>
        <w:trPr>
          <w:trHeight w:val="23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10000" w:type="dxa"/>
            <w:vAlign w:val="bottom"/>
          </w:tcPr>
          <w:p>
            <w:pPr>
              <w:ind w:left="4620"/>
              <w:spacing w:after="0"/>
              <w:rPr>
                <w:sz w:val="20"/>
                <w:szCs w:val="20"/>
                <w:color w:val="auto"/>
              </w:rPr>
            </w:pPr>
            <w:r>
              <w:rPr>
                <w:rFonts w:ascii="Arial" w:cs="Arial" w:eastAsia="Arial" w:hAnsi="Arial"/>
                <w:sz w:val="18"/>
                <w:szCs w:val="18"/>
                <w:b w:val="1"/>
                <w:bCs w:val="1"/>
                <w:color w:val="auto"/>
              </w:rPr>
              <w:t>Document</w:t>
            </w:r>
          </w:p>
        </w:tc>
      </w:tr>
      <w:tr>
        <w:trPr>
          <w:trHeight w:val="224"/>
        </w:trPr>
        <w:tc>
          <w:tcPr>
            <w:tcW w:w="1140" w:type="dxa"/>
            <w:vAlign w:val="bottom"/>
            <w:tcBorders>
              <w:top w:val="single" w:sz="8" w:color="auto"/>
            </w:tcBorders>
          </w:tcPr>
          <w:p>
            <w:pPr>
              <w:jc w:val="right"/>
              <w:ind w:right="31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16.1</w:t>
              </w:r>
            </w:hyperlink>
          </w:p>
        </w:tc>
        <w:tc>
          <w:tcPr>
            <w:tcW w:w="100" w:type="dxa"/>
            <w:vAlign w:val="bottom"/>
          </w:tcPr>
          <w:p>
            <w:pPr>
              <w:spacing w:after="0"/>
              <w:rPr>
                <w:sz w:val="19"/>
                <w:szCs w:val="19"/>
                <w:color w:val="auto"/>
              </w:rPr>
            </w:pPr>
          </w:p>
        </w:tc>
        <w:tc>
          <w:tcPr>
            <w:tcW w:w="10000" w:type="dxa"/>
            <w:vAlign w:val="bottom"/>
            <w:tcBorders>
              <w:top w:val="single" w:sz="8" w:color="auto"/>
            </w:tcBorders>
          </w:tcPr>
          <w:p>
            <w:pPr>
              <w:ind w:left="20"/>
              <w:spacing w:after="0"/>
              <w:rPr>
                <w:rFonts w:ascii="Arial" w:cs="Arial" w:eastAsia="Arial" w:hAnsi="Arial"/>
                <w:sz w:val="18"/>
                <w:szCs w:val="18"/>
                <w:color w:val="0000EE"/>
              </w:rPr>
            </w:pPr>
            <w:hyperlink w:anchor="page4">
              <w:r>
                <w:rPr>
                  <w:rFonts w:ascii="Arial" w:cs="Arial" w:eastAsia="Arial" w:hAnsi="Arial"/>
                  <w:sz w:val="18"/>
                  <w:szCs w:val="18"/>
                  <w:u w:val="single" w:color="auto"/>
                  <w:color w:val="0000EE"/>
                </w:rPr>
                <w:t>Letter from KPMG LLP, dated March 15, 2021</w:t>
              </w:r>
              <w:r>
                <w:rPr>
                  <w:rFonts w:ascii="Arial" w:cs="Arial" w:eastAsia="Arial" w:hAnsi="Arial"/>
                  <w:sz w:val="18"/>
                  <w:szCs w:val="18"/>
                  <w:color w:val="0000EE"/>
                </w:rPr>
                <w:t>.</w:t>
              </w:r>
            </w:hyperlink>
          </w:p>
        </w:tc>
      </w:tr>
    </w:tbl>
    <w:p>
      <w:pPr>
        <w:spacing w:after="0" w:line="187" w:lineRule="exact"/>
        <w:rPr>
          <w:sz w:val="20"/>
          <w:szCs w:val="20"/>
          <w:color w:val="auto"/>
        </w:rPr>
      </w:pPr>
    </w:p>
    <w:p>
      <w:pPr>
        <w:ind w:left="1260" w:hanging="82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212529"/>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Clearway Energy,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16.1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March 15,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were previously principal accountants for Clearway Energy, Inc. and, under the date of March 1, 2021, we reported on the consolidated financial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statements of Clearway Energy, Inc. as of and for the years ended December 31, 2020 and 2019, and the effectiveness of internal control over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reporting as of December 31, 2020. On March 9, 2021, we were dismissed. We have read Clearway Energy, Inc.’s statements included under Item 4.01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its Form 8-K dated March 15, 2021, and we agree with such statements, except that we are not in a position to agree or disagree with Clearway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Energy, Inc.’s statement that Ernst &amp; Young LLP was not engaged regarding the application of accounting principles to a specified transaction or the type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audit opinion that might be rendered on Clearway Energy, Inc.’s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(signed)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2021-03-15T15:42:24Z</dcterms:created>
  <dcterms:modified xsi:type="dcterms:W3CDTF">2021-03-15T15:42:24Z</dcterms:modified>
</cp:coreProperties>
</file>