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345" w:before="0" w:after="120"/>
        <w:jc w:val="center"/>
        <w:rPr>
          <w:rFonts w:ascii="Times New Roman;sans-serif" w:hAnsi="Times New Roman;sans-serif"/>
          <w:b/>
          <w:color w:val="000000"/>
          <w:sz w:val="32"/>
        </w:rPr>
      </w:pPr>
      <w:r>
        <w:rPr>
          <w:rFonts w:ascii="Times New Roman;sans-serif" w:hAnsi="Times New Roman;sans-serif"/>
          <w:b/>
          <w:color w:val="000000"/>
          <w:sz w:val="32"/>
        </w:rPr>
        <w:t xml:space="preserve">FORM 8-K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20" w:after="283"/>
        <w:jc w:val="center"/>
        <w:rPr>
          <w:rFonts w:ascii="Times New Roman;sans-serif" w:hAnsi="Times New Roman;sans-serif"/>
          <w:b/>
          <w:color w:val="231F20"/>
          <w:sz w:val="20"/>
        </w:rPr>
      </w:pPr>
      <w:r>
        <w:rPr>
          <w:rFonts w:ascii="Times New Roman;sans-serif" w:hAnsi="Times New Roman;sans-serif"/>
          <w:b/>
          <w:color w:val="231F20"/>
          <w:sz w:val="20"/>
        </w:rPr>
        <w:t>Pursuant to Section 13 OR 15(d) of The Securities Exchange Act of 1934</w:t>
      </w:r>
    </w:p>
    <w:p>
      <w:pPr>
        <w:pStyle w:val="TextBody"/>
        <w:bidi w:val="0"/>
        <w:spacing w:lineRule="auto" w:line="288" w:before="0" w:after="0"/>
        <w:jc w:val="center"/>
        <w:rPr/>
      </w:pPr>
      <w:r>
        <w:rPr>
          <w:rFonts w:ascii="Times New Roman;sans-serif" w:hAnsi="Times New Roman;sans-serif"/>
          <w:b w:val="false"/>
          <w:color w:val="000000"/>
          <w:sz w:val="20"/>
        </w:rPr>
        <w:t xml:space="preserve">Date of Report (date of earliest event reported): </w:t>
      </w:r>
      <w:r>
        <w:rPr>
          <w:rFonts w:ascii="Times New Roman;sans-serif" w:hAnsi="Times New Roman;sans-serif"/>
          <w:b/>
          <w:color w:val="000000"/>
          <w:sz w:val="20"/>
        </w:rPr>
        <w:t>February 22, 2024</w:t>
      </w:r>
      <w:r>
        <w:rPr>
          <w:color w:val="000000"/>
        </w:rPr>
        <w:t xml:space="preserve"> </w:t>
      </w:r>
    </w:p>
    <w:p>
      <w:pPr>
        <w:pStyle w:val="TextBody"/>
        <w:bidi w:val="0"/>
        <w:spacing w:lineRule="auto" w:line="345"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CLEARWAY ENERGY, INC. </w:t>
      </w:r>
    </w:p>
    <w:p>
      <w:pPr>
        <w:pStyle w:val="TextBody"/>
        <w:bidi w:val="0"/>
        <w:spacing w:lineRule="auto" w:line="34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8"/>
        <w:gridCol w:w="1562"/>
        <w:gridCol w:w="1577"/>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76" w:type="dxa"/>
            <w:gridSpan w:val="6"/>
            <w:tcBorders/>
            <w:tcMar>
              <w:top w:w="0" w:type="dxa"/>
              <w:left w:w="0" w:type="dxa"/>
              <w:bottom w:w="0" w:type="dxa"/>
              <w:right w:w="0" w:type="dxa"/>
            </w:tcMar>
            <w:vAlign w:val="center"/>
          </w:tcPr>
          <w:p>
            <w:pPr>
              <w:pStyle w:val="TableContents"/>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001-36002</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46-1777204</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300 Carnegie Center, Suite 300, Princeton, New Jersey 08540 </w:t>
      </w:r>
    </w:p>
    <w:p>
      <w:pPr>
        <w:pStyle w:val="TextBody"/>
        <w:bidi w:val="0"/>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including zip code)</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(609) 608-1525 </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N/A</w:t>
      </w:r>
    </w:p>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lineRule="auto" w:line="288" w:before="0" w:after="20"/>
        <w:jc w:val="left"/>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909" w:type="dxa"/>
        <w:jc w:val="left"/>
        <w:tblInd w:w="0" w:type="dxa"/>
        <w:tblLayout w:type="fixed"/>
        <w:tblCellMar>
          <w:top w:w="28" w:type="dxa"/>
          <w:left w:w="28" w:type="dxa"/>
          <w:bottom w:w="28" w:type="dxa"/>
          <w:right w:w="28" w:type="dxa"/>
        </w:tblCellMar>
      </w:tblPr>
      <w:tblGrid>
        <w:gridCol w:w="1225"/>
        <w:gridCol w:w="1076"/>
        <w:gridCol w:w="1089"/>
        <w:gridCol w:w="564"/>
        <w:gridCol w:w="564"/>
        <w:gridCol w:w="566"/>
        <w:gridCol w:w="1118"/>
        <w:gridCol w:w="1118"/>
        <w:gridCol w:w="1589"/>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$0.01</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CWEN.A</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C Common Stock, par value $0.01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CWEN</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 xml:space="preserve">On February 22, 2024, Clearway Energy, Inc. issued a press release announcing its financial results for the year ended December 31, 2023.  A copy of the press release is furnished as Exhibit 99.1 to this report on Form 8-K and is hereby incorporated by reference. </w:t>
      </w:r>
      <w:r>
        <w:rPr>
          <w:rFonts w:ascii="Times New Roman;sans-serif" w:hAnsi="Times New Roman;sans-serif"/>
          <w:b w:val="false"/>
          <w:color w:val="212529"/>
          <w:sz w:val="20"/>
        </w:rPr>
        <w:t>In accordance with General Instruction B.2 of Form 8-K, the information set forth in this Item 2.02 and in the attached exhibit are deemed to be furnished and shall not be deemed to be “filed” for purposes of Section 18 of the Securities Exchange Act of 1934, as amended (the “Exchange Act”).</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(d)Exhibits</w:t>
      </w:r>
    </w:p>
    <w:p>
      <w:pPr>
        <w:pStyle w:val="TextBody"/>
        <w:bidi w:val="0"/>
        <w:spacing w:before="0" w:after="0"/>
        <w:jc w:val="both"/>
        <w:rPr/>
      </w:pPr>
      <w:r>
        <w:rPr/>
      </w:r>
    </w:p>
    <w:p>
      <w:pPr>
        <w:pStyle w:val="TextBody"/>
        <w:bidi w:val="0"/>
        <w:spacing w:lineRule="auto" w:line="288" w:before="0" w:after="140"/>
        <w:ind w:left="0" w:right="0" w:firstLine="72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In accordance with General Instruction B.2 of Form 8-K, the information set forth in the attached exhibit is deemed to be furnished and shall not be deemed to be “filed” for purposes of Section 18 of the Exchange Act. </w:t>
      </w:r>
    </w:p>
    <w:tbl>
      <w:tblPr>
        <w:tblW w:w="8592"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178"/>
        <w:gridCol w:w="2178"/>
        <w:gridCol w:w="309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Document</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clearwayenergyi.htm">
              <w:r>
                <w:rPr>
                  <w:rStyle w:val="InternetLink"/>
                  <w:rFonts w:ascii="Times New Roman;sans-serif" w:hAnsi="Times New Roman;sans-serif"/>
                  <w:b w:val="false"/>
                  <w:color w:val="0000FF"/>
                  <w:sz w:val="20"/>
                  <w:u w:val="single"/>
                </w:rPr>
                <w:t>Press Release, dated February 22, 2024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155"/>
                <wp:effectExtent l="0" t="0" r="0" b="0"/>
                <wp:wrapNone/>
                <wp:docPr id="2" name="Frame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tbl>
      <w:tblPr>
        <w:tblW w:w="6585" w:type="dxa"/>
        <w:jc w:val="left"/>
        <w:tblInd w:w="0" w:type="dxa"/>
        <w:tblLayout w:type="fixed"/>
        <w:tblCellMar>
          <w:top w:w="28" w:type="dxa"/>
          <w:left w:w="28" w:type="dxa"/>
          <w:bottom w:w="28" w:type="dxa"/>
          <w:right w:w="28" w:type="dxa"/>
        </w:tblCellMar>
      </w:tblPr>
      <w:tblGrid>
        <w:gridCol w:w="792"/>
        <w:gridCol w:w="696"/>
        <w:gridCol w:w="702"/>
        <w:gridCol w:w="300"/>
        <w:gridCol w:w="300"/>
        <w:gridCol w:w="300"/>
        <w:gridCol w:w="1013"/>
        <w:gridCol w:w="1013"/>
        <w:gridCol w:w="1469"/>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Inc.</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P. Malcarney</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P. Malcarney</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Corporate Secretary</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22, 2024</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00"/>
        <w:jc w:val="left"/>
        <w:rPr/>
      </w:pPr>
      <w:r>
        <w:rPr/>
      </w:r>
    </w:p>
    <w:p>
      <w:pPr>
        <w:pStyle w:val="TextBody"/>
        <w:bidi w:val="0"/>
        <w:spacing w:before="0" w:after="0"/>
        <w:ind w:left="0" w:right="0" w:firstLine="1440"/>
        <w:jc w:val="right"/>
        <w:rPr/>
      </w:pPr>
      <w:r>
        <w:rPr/>
      </w:r>
    </w:p>
    <w:p>
      <w:pPr>
        <w:pStyle w:val="TextBody"/>
        <w:bidi w:val="0"/>
        <w:spacing w:before="0" w:after="20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drawing>
          <wp:inline distT="0" distB="0" distL="0" distR="0">
            <wp:extent cx="2714625" cy="361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14625" cy="361950"/>
                    </a:xfrm>
                    <a:prstGeom prst="rect">
                      <a:avLst/>
                    </a:prstGeom>
                  </pic:spPr>
                </pic:pic>
              </a:graphicData>
            </a:graphic>
          </wp:inline>
        </w:drawing>
      </w:r>
      <w:r>
        <w:rPr>
          <w:color w:val="000000"/>
        </w:rPr>
        <w:t xml:space="preserve">                                     </w: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Clearway Energy, Inc. Reports Full Year 2023 Financial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Committed to approximately $215 million of new long-term corporate capital investments in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Signed contracts in last twelve months ensuring that 42% of the Resource Adequacy for Marsh Landing, Walnut Creek and El Segundo is contracted in 2027, with nearly 100% contracted through 2026</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Reaffirming 2024 financial guidance</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 xml:space="preserve">Increased the quarterly dividend by 1.7% to $0.4033 </w:t>
      </w:r>
      <w:r>
        <w:rPr>
          <w:rFonts w:ascii="Times New Roman;sans-serif" w:hAnsi="Times New Roman;sans-serif"/>
          <w:b/>
          <w:color w:val="242424"/>
          <w:sz w:val="20"/>
        </w:rPr>
        <w:t>p</w:t>
      </w:r>
      <w:r>
        <w:rPr>
          <w:rFonts w:ascii="Times New Roman;sans-serif" w:hAnsi="Times New Roman;sans-serif"/>
          <w:b/>
          <w:color w:val="000000"/>
          <w:sz w:val="20"/>
        </w:rPr>
        <w:t>er share in the first quarter of 20</w:t>
      </w:r>
      <w:r>
        <w:rPr>
          <w:rFonts w:ascii="Times New Roman;sans-serif" w:hAnsi="Times New Roman;sans-serif"/>
          <w:b/>
          <w:color w:val="242424"/>
          <w:sz w:val="20"/>
        </w:rPr>
        <w:t xml:space="preserve">24, or </w:t>
      </w:r>
      <w:r>
        <w:rPr>
          <w:rFonts w:ascii="Times New Roman;sans-serif" w:hAnsi="Times New Roman;sans-serif"/>
          <w:b/>
          <w:color w:val="000000"/>
          <w:sz w:val="20"/>
        </w:rPr>
        <w:t>$1.61 per share annualized</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 xml:space="preserve">Continue to target annual dividend per share growth in the upper range of 5% to 8% through 2026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PRINCETON, NJ </w:t>
      </w:r>
      <w:r>
        <w:rPr>
          <w:color w:val="000000"/>
        </w:rPr>
        <w:t xml:space="preserve">— </w:t>
      </w:r>
      <w:r>
        <w:rPr>
          <w:rFonts w:ascii="Times New Roman;sans-serif" w:hAnsi="Times New Roman;sans-serif"/>
          <w:b/>
          <w:color w:val="000000"/>
          <w:sz w:val="20"/>
        </w:rPr>
        <w:t>February 22, 2024</w:t>
      </w:r>
      <w:r>
        <w:rPr>
          <w:color w:val="000000"/>
        </w:rPr>
        <w:t xml:space="preserve">— </w:t>
      </w:r>
      <w:r>
        <w:rPr>
          <w:rFonts w:ascii="Times New Roman;sans-serif" w:hAnsi="Times New Roman;sans-serif"/>
          <w:b w:val="false"/>
          <w:color w:val="000000"/>
          <w:sz w:val="20"/>
        </w:rPr>
        <w:t xml:space="preserve">Clearway Energy, Inc. (NYSE: CWEN, CWEN.A) today reported full year 2023 financial results, including Net Loss of $14 million, Adjusted EBITDA of $1,058 million, Cash from Operating Activities of $702 million, and Cash Available for Distribution (CAFD) of $342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2023 financial results were impacted by weaker wind performance throughout the year, the long-term outlook for Clearway remains positive. In 2023, the Company committed to approximately $215 million of new long-term corporate capital investments and signed new Resource Adequacy contracts at Marsh Landing and El Segundo further enhancing visibility into long-term growth,” said Christopher Sotos, Clearway Energy, Inc.’s President and Chief Executive Officer. “Clearway continues to be on track to deliver at the upper range of its dividend growth target through 2026 without external capital.”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and Cash Available for Distribution used in this press release are non-GAAP measures and are explained in greater detail under “Non-GAAP Financial Information”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 of Financial and Operating Results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Segment Results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Table 1: Net Income/(Loss)</w:t>
      </w:r>
    </w:p>
    <w:tbl>
      <w:tblPr>
        <w:tblW w:w="6508" w:type="dxa"/>
        <w:jc w:val="left"/>
        <w:tblInd w:w="0" w:type="dxa"/>
        <w:tblLayout w:type="fixed"/>
        <w:tblCellMar>
          <w:top w:w="28" w:type="dxa"/>
          <w:left w:w="28" w:type="dxa"/>
          <w:bottom w:w="28" w:type="dxa"/>
          <w:right w:w="28" w:type="dxa"/>
        </w:tblCellMar>
      </w:tblPr>
      <w:tblGrid>
        <w:gridCol w:w="597"/>
        <w:gridCol w:w="524"/>
        <w:gridCol w:w="528"/>
        <w:gridCol w:w="109"/>
        <w:gridCol w:w="109"/>
        <w:gridCol w:w="109"/>
        <w:gridCol w:w="239"/>
        <w:gridCol w:w="493"/>
        <w:gridCol w:w="123"/>
        <w:gridCol w:w="111"/>
        <w:gridCol w:w="111"/>
        <w:gridCol w:w="111"/>
        <w:gridCol w:w="239"/>
        <w:gridCol w:w="493"/>
        <w:gridCol w:w="123"/>
        <w:gridCol w:w="109"/>
        <w:gridCol w:w="109"/>
        <w:gridCol w:w="109"/>
        <w:gridCol w:w="238"/>
        <w:gridCol w:w="493"/>
        <w:gridCol w:w="123"/>
        <w:gridCol w:w="109"/>
        <w:gridCol w:w="109"/>
        <w:gridCol w:w="109"/>
        <w:gridCol w:w="211"/>
        <w:gridCol w:w="616"/>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12/31/22</w:t>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Thermal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Income/(Loss)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Table 2: Adjusted EBITDA</w:t>
      </w:r>
    </w:p>
    <w:tbl>
      <w:tblPr>
        <w:tblW w:w="6582" w:type="dxa"/>
        <w:jc w:val="left"/>
        <w:tblInd w:w="0" w:type="dxa"/>
        <w:tblLayout w:type="fixed"/>
        <w:tblCellMar>
          <w:top w:w="28" w:type="dxa"/>
          <w:left w:w="28" w:type="dxa"/>
          <w:bottom w:w="28" w:type="dxa"/>
          <w:right w:w="28" w:type="dxa"/>
        </w:tblCellMar>
      </w:tblPr>
      <w:tblGrid>
        <w:gridCol w:w="597"/>
        <w:gridCol w:w="524"/>
        <w:gridCol w:w="528"/>
        <w:gridCol w:w="109"/>
        <w:gridCol w:w="109"/>
        <w:gridCol w:w="109"/>
        <w:gridCol w:w="229"/>
        <w:gridCol w:w="507"/>
        <w:gridCol w:w="118"/>
        <w:gridCol w:w="109"/>
        <w:gridCol w:w="109"/>
        <w:gridCol w:w="109"/>
        <w:gridCol w:w="229"/>
        <w:gridCol w:w="507"/>
        <w:gridCol w:w="118"/>
        <w:gridCol w:w="109"/>
        <w:gridCol w:w="109"/>
        <w:gridCol w:w="109"/>
        <w:gridCol w:w="211"/>
        <w:gridCol w:w="616"/>
        <w:gridCol w:w="109"/>
        <w:gridCol w:w="109"/>
        <w:gridCol w:w="109"/>
        <w:gridCol w:w="109"/>
        <w:gridCol w:w="211"/>
        <w:gridCol w:w="616"/>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12/31/22</w:t>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Thermal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32740"/>
                <wp:effectExtent l="0" t="0" r="0" b="0"/>
                <wp:wrapNone/>
                <wp:docPr id="5" name="Frame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Table 3: Cash from Operating Activities and Cash Available for Distribution (CAFD)</w:t>
      </w:r>
    </w:p>
    <w:tbl>
      <w:tblPr>
        <w:tblW w:w="8126" w:type="dxa"/>
        <w:jc w:val="left"/>
        <w:tblInd w:w="0" w:type="dxa"/>
        <w:tblLayout w:type="fixed"/>
        <w:tblCellMar>
          <w:top w:w="28" w:type="dxa"/>
          <w:left w:w="28" w:type="dxa"/>
          <w:bottom w:w="28" w:type="dxa"/>
          <w:right w:w="28" w:type="dxa"/>
        </w:tblCellMar>
      </w:tblPr>
      <w:tblGrid>
        <w:gridCol w:w="1210"/>
        <w:gridCol w:w="1064"/>
        <w:gridCol w:w="1070"/>
        <w:gridCol w:w="109"/>
        <w:gridCol w:w="109"/>
        <w:gridCol w:w="109"/>
        <w:gridCol w:w="229"/>
        <w:gridCol w:w="507"/>
        <w:gridCol w:w="118"/>
        <w:gridCol w:w="109"/>
        <w:gridCol w:w="109"/>
        <w:gridCol w:w="109"/>
        <w:gridCol w:w="229"/>
        <w:gridCol w:w="507"/>
        <w:gridCol w:w="118"/>
        <w:gridCol w:w="109"/>
        <w:gridCol w:w="109"/>
        <w:gridCol w:w="109"/>
        <w:gridCol w:w="229"/>
        <w:gridCol w:w="508"/>
        <w:gridCol w:w="118"/>
        <w:gridCol w:w="113"/>
        <w:gridCol w:w="113"/>
        <w:gridCol w:w="113"/>
        <w:gridCol w:w="228"/>
        <w:gridCol w:w="505"/>
        <w:gridCol w:w="166"/>
      </w:tblGrid>
      <w:tr>
        <w:trPr/>
        <w:tc>
          <w:tcPr>
            <w:tcW w:w="121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12/31/23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12/31/23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12/31/22</w:t>
            </w:r>
          </w:p>
        </w:tc>
      </w:tr>
      <w:tr>
        <w:trPr/>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Available for Distribution (CAFD)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For the fourth quarter of 2023, the Company reported Net Loss of $73 million, Adjusted EBITDA of $201 million, Cash from Operating Activities of $206 million, and CAFD of $53 million. Net Loss increased versus 2022 primarily due to additional interest expense associated with growth investments.</w:t>
      </w:r>
      <w:r>
        <w:rPr>
          <w:color w:val="EE2724"/>
        </w:rPr>
        <w:t xml:space="preserve"> </w:t>
      </w:r>
      <w:r>
        <w:rPr>
          <w:rFonts w:ascii="Times New Roman;sans-serif" w:hAnsi="Times New Roman;sans-serif"/>
          <w:b w:val="false"/>
          <w:color w:val="000000"/>
          <w:sz w:val="20"/>
        </w:rPr>
        <w:t xml:space="preserve">Adjusted EBITDA for the fourth quarter of 2023 was lower than in 2022 due to the expiration of certain tolling agreements in the Conventional fleet, partially offset by the contribution from growth investments. CAFD results in the fourth quarter of 2023 were higher than 2022 primarily due to lower debt service in the Conventional fleet coinciding with the expiration of the tolling agreements.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For the full year 2023, the Company reported Net Loss of $14 million, Adjusted EBITDA of $1,058 million, Cash from Operating Activities of $702 million, and CAFD of $342 million.</w:t>
      </w:r>
      <w:r>
        <w:rPr>
          <w:color w:val="EE2724"/>
        </w:rPr>
        <w:t xml:space="preserve"> </w:t>
      </w:r>
      <w:r>
        <w:rPr>
          <w:rFonts w:ascii="Times New Roman;sans-serif" w:hAnsi="Times New Roman;sans-serif"/>
          <w:b w:val="false"/>
          <w:color w:val="000000"/>
          <w:sz w:val="20"/>
        </w:rPr>
        <w:t>Net Income decreased versus 2022 primarily due to the one-time gain from the sale of the Thermal Business. Adjusted EBITDA results were lower than 2022 primarily due</w:t>
      </w:r>
      <w:r>
        <w:rPr>
          <w:color w:val="EE2724"/>
        </w:rPr>
        <w:t xml:space="preserve"> </w:t>
      </w:r>
      <w:r>
        <w:rPr>
          <w:rFonts w:ascii="Times New Roman;sans-serif" w:hAnsi="Times New Roman;sans-serif"/>
          <w:b w:val="false"/>
          <w:color w:val="000000"/>
          <w:sz w:val="20"/>
        </w:rPr>
        <w:t>to the expiration of certain tolling agreements in the Conventional fleet, the divestiture of the Thermal Business, and lower renewable production, partially offset by the contribution of growth investments.</w:t>
      </w:r>
      <w:r>
        <w:rPr>
          <w:color w:val="EE2724"/>
        </w:rPr>
        <w:t xml:space="preserve"> </w:t>
      </w:r>
      <w:r>
        <w:rPr>
          <w:rFonts w:ascii="Times New Roman;sans-serif" w:hAnsi="Times New Roman;sans-serif"/>
          <w:b w:val="false"/>
          <w:color w:val="000000"/>
          <w:sz w:val="20"/>
        </w:rPr>
        <w:t>CAFD results were higher than 2022 despite lower renewable production, primarily due to lower debt service in the Conventional fleet, partially offset by the disposition of the Thermal Business.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Operational Performance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Table 4: Selected Operating Results</w:t>
      </w:r>
      <w:r>
        <w:rPr>
          <w:rFonts w:ascii="Times New Roman;sans-serif" w:hAnsi="Times New Roman;sans-serif"/>
          <w:b/>
          <w:color w:val="000000"/>
          <w:sz w:val="13"/>
        </w:rPr>
        <w:t>1</w:t>
      </w:r>
    </w:p>
    <w:tbl>
      <w:tblPr>
        <w:tblW w:w="9392" w:type="dxa"/>
        <w:jc w:val="left"/>
        <w:tblInd w:w="0" w:type="dxa"/>
        <w:tblLayout w:type="fixed"/>
        <w:tblCellMar>
          <w:top w:w="28" w:type="dxa"/>
          <w:left w:w="28" w:type="dxa"/>
          <w:bottom w:w="28" w:type="dxa"/>
          <w:right w:w="28" w:type="dxa"/>
        </w:tblCellMar>
      </w:tblPr>
      <w:tblGrid>
        <w:gridCol w:w="1370"/>
        <w:gridCol w:w="1203"/>
        <w:gridCol w:w="1207"/>
        <w:gridCol w:w="109"/>
        <w:gridCol w:w="109"/>
        <w:gridCol w:w="109"/>
        <w:gridCol w:w="255"/>
        <w:gridCol w:w="256"/>
        <w:gridCol w:w="475"/>
        <w:gridCol w:w="156"/>
        <w:gridCol w:w="156"/>
        <w:gridCol w:w="156"/>
        <w:gridCol w:w="255"/>
        <w:gridCol w:w="256"/>
        <w:gridCol w:w="475"/>
        <w:gridCol w:w="109"/>
        <w:gridCol w:w="109"/>
        <w:gridCol w:w="109"/>
        <w:gridCol w:w="255"/>
        <w:gridCol w:w="256"/>
        <w:gridCol w:w="474"/>
        <w:gridCol w:w="163"/>
        <w:gridCol w:w="163"/>
        <w:gridCol w:w="163"/>
        <w:gridCol w:w="255"/>
        <w:gridCol w:w="256"/>
        <w:gridCol w:w="533"/>
      </w:tblGrid>
      <w:tr>
        <w:trPr/>
        <w:tc>
          <w:tcPr>
            <w:tcW w:w="137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(MWh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12/31/23</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12/31/23</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12/31/22</w:t>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 Equivalent Availability Factor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Solar MWh generated/sold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Wind MWh generated/sold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9,414</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9,343</w:t>
            </w:r>
          </w:p>
        </w:tc>
      </w:tr>
      <w:tr>
        <w:trPr/>
        <w:tc>
          <w:tcPr>
            <w:tcW w:w="3780"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MWh generated/sold</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14,839</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14,334</w:t>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2023, availability at the Conventional segment was higher than the fourth quarter of 2022 primarily from lower availability at the Walnut Creek and El Segundo Energy Center facilities in 2022. Generation in the Renewables segment during the fourth quarter of 2023 was 3% higher than the fourth quarter of 2022 primarily due to the contribution of growth investments, partially offset by lower resource across the fleet. </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Excludes equity method investments</w:t>
      </w:r>
    </w:p>
    <w:p>
      <w:pPr>
        <w:pStyle w:val="TextBody"/>
        <w:bidi w:val="0"/>
        <w:spacing w:lineRule="auto" w:line="288"/>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6"/>
        </w:rPr>
        <w:t>Generation sold excludes MWh that are reimbursable for economic curtailment</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32740"/>
                <wp:effectExtent l="0" t="0" r="0" b="0"/>
                <wp:wrapNone/>
                <wp:docPr id="6" name="Frame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Table 5: Liquidity</w:t>
      </w:r>
      <w:r>
        <w:rPr>
          <w:color w:val="000000"/>
        </w:rPr>
        <w:t xml:space="preserve"> </w:t>
      </w:r>
    </w:p>
    <w:tbl>
      <w:tblPr>
        <w:tblW w:w="9710" w:type="dxa"/>
        <w:jc w:val="left"/>
        <w:tblInd w:w="0" w:type="dxa"/>
        <w:tblLayout w:type="fixed"/>
        <w:tblCellMar>
          <w:top w:w="28" w:type="dxa"/>
          <w:left w:w="28" w:type="dxa"/>
          <w:bottom w:w="28" w:type="dxa"/>
          <w:right w:w="28" w:type="dxa"/>
        </w:tblCellMar>
      </w:tblPr>
      <w:tblGrid>
        <w:gridCol w:w="2372"/>
        <w:gridCol w:w="2084"/>
        <w:gridCol w:w="2098"/>
        <w:gridCol w:w="109"/>
        <w:gridCol w:w="109"/>
        <w:gridCol w:w="109"/>
        <w:gridCol w:w="240"/>
        <w:gridCol w:w="701"/>
        <w:gridCol w:w="124"/>
        <w:gridCol w:w="109"/>
        <w:gridCol w:w="109"/>
        <w:gridCol w:w="109"/>
        <w:gridCol w:w="240"/>
        <w:gridCol w:w="701"/>
        <w:gridCol w:w="124"/>
        <w:gridCol w:w="109"/>
        <w:gridCol w:w="109"/>
        <w:gridCol w:w="154"/>
      </w:tblGrid>
      <w:tr>
        <w:trPr/>
        <w:tc>
          <w:tcPr>
            <w:tcW w:w="2372"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Clearway Energy, Inc. and Clearway Energy LLC, excluding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accounts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Reserves, including debt service, distributions, performance obligations and other reserves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availability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liquidity as of December 31, 2023 was $1,505 million, which was $139 million higher than the same period ended December 31, 2022, primarily due to the refinancing of the revolving credit facility which increased its total capacity to $700 million from $495 million and additional project level restricted cash associated with growth investments, partially offset by the execution of growth investments.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December 31, 2023</w:t>
      </w:r>
      <w:r>
        <w:rPr>
          <w:rFonts w:ascii="Times New Roman;sans-serif" w:hAnsi="Times New Roman;sans-serif"/>
          <w:b w:val="false"/>
          <w:color w:val="231F20"/>
          <w:sz w:val="20"/>
        </w:rPr>
        <w:t xml:space="preserve">, the Company's liquidity included </w:t>
      </w:r>
      <w:r>
        <w:rPr>
          <w:rFonts w:ascii="Times New Roman;sans-serif" w:hAnsi="Times New Roman;sans-serif"/>
          <w:b w:val="false"/>
          <w:color w:val="000000"/>
          <w:sz w:val="20"/>
        </w:rPr>
        <w:t>$516 million</w:t>
      </w:r>
      <w:r>
        <w:rPr>
          <w:color w:val="231F20"/>
        </w:rPr>
        <w:t xml:space="preserve"> </w:t>
      </w:r>
      <w:r>
        <w:rPr>
          <w:rFonts w:ascii="Times New Roman;sans-serif" w:hAnsi="Times New Roman;sans-serif"/>
          <w:b w:val="false"/>
          <w:color w:val="231F20"/>
          <w:sz w:val="20"/>
        </w:rPr>
        <w:t xml:space="preserve">of restricted cash. Restricted cash consists primarily of funds to satisfy the requirements of certain debt arrangements and funds held within the Company's projects that are restricted in their use. As </w:t>
      </w:r>
      <w:r>
        <w:rPr>
          <w:rFonts w:ascii="Times New Roman;sans-serif" w:hAnsi="Times New Roman;sans-serif"/>
          <w:b w:val="false"/>
          <w:color w:val="000000"/>
          <w:sz w:val="20"/>
        </w:rPr>
        <w:t>of December 31, 2023, these restricted funds were comprised of $176 million designated to fund operating expenses, approximately $178 million designated for current debt service payments, and $85 million of reserves for debt service, performance obligations and other items including capital expenditures.</w:t>
      </w:r>
      <w:r>
        <w:rPr>
          <w:color w:val="FF0000"/>
        </w:rPr>
        <w:t xml:space="preserve"> </w:t>
      </w:r>
      <w:r>
        <w:rPr>
          <w:rFonts w:ascii="Times New Roman;sans-serif" w:hAnsi="Times New Roman;sans-serif"/>
          <w:b w:val="false"/>
          <w:color w:val="000000"/>
          <w:sz w:val="20"/>
        </w:rPr>
        <w:t xml:space="preserve">The remaining $77 million is held in distribution reserve accounts.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Potential future sources of liquidity include excess operating cash flow, availability under the revolving credit facility</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asset dispositions, and, subject to market conditions, new corporate debt and equity financings.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Growth Investments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Texas Solar Nova 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28, 2023, the Company, through an indirect subsidiary, acquired an ownership interest in Texas Solar Nova 1, a 252 MW operational solar project that is located in Kent County, Texas for cash consideration of $23 million. The project is underpinned by power purchase agreements with creditworthy counterparties with a weighted average contract duration of approximately 18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Quarterly Dividend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On February 14, 2024, Clearway Energy, Inc.’s Board of Directors declared a quarterly dividend on Class A and Class C common stoc</w:t>
      </w:r>
      <w:r>
        <w:rPr>
          <w:rFonts w:ascii="Times New Roman;sans-serif" w:hAnsi="Times New Roman;sans-serif"/>
          <w:b w:val="false"/>
          <w:color w:val="242424"/>
          <w:sz w:val="20"/>
        </w:rPr>
        <w:t>k</w:t>
      </w:r>
      <w:r>
        <w:rPr>
          <w:color w:val="000000"/>
        </w:rPr>
        <w:t xml:space="preserve"> </w:t>
      </w:r>
      <w:r>
        <w:rPr>
          <w:rFonts w:ascii="Times New Roman;sans-serif" w:hAnsi="Times New Roman;sans-serif"/>
          <w:b w:val="false"/>
          <w:color w:val="000000"/>
          <w:sz w:val="20"/>
        </w:rPr>
        <w:t>of $0.4033 pe</w:t>
      </w:r>
      <w:r>
        <w:rPr>
          <w:rFonts w:ascii="Times New Roman;sans-serif" w:hAnsi="Times New Roman;sans-serif"/>
          <w:b w:val="false"/>
          <w:color w:val="242424"/>
          <w:sz w:val="20"/>
        </w:rPr>
        <w:t>r</w:t>
      </w:r>
      <w:r>
        <w:rPr>
          <w:color w:val="000000"/>
        </w:rPr>
        <w:t xml:space="preserve"> </w:t>
      </w:r>
      <w:r>
        <w:rPr>
          <w:rFonts w:ascii="Times New Roman;sans-serif" w:hAnsi="Times New Roman;sans-serif"/>
          <w:b w:val="false"/>
          <w:color w:val="000000"/>
          <w:sz w:val="20"/>
        </w:rPr>
        <w:t xml:space="preserve">share payable on March 15, 2024, to stockholders of record as of March 1, 2024.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Inc.’s quarterly operating results are impacted by seasonal factors, as well as weather variability which can impact renewable energy resource throughout the year.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Higher summer capacity and energy prices from conventional assets;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Higher solar insolation during the summer months;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Higher wind resources during the spring and summer months;</w:t>
      </w:r>
    </w:p>
    <w:p>
      <w:pPr>
        <w:pStyle w:val="TextBody"/>
        <w:bidi w:val="0"/>
        <w:spacing w:lineRule="auto" w:line="288"/>
        <w:ind w:left="0" w:right="0" w:hanging="360"/>
        <w:jc w:val="both"/>
        <w:rPr/>
      </w:pPr>
      <w:r>
        <w:rPr>
          <w:color w:val="000000"/>
        </w:rPr>
        <w:t>•</w:t>
      </w:r>
      <w:r>
        <w:rPr>
          <w:rFonts w:ascii="Times New Roman;sans-serif" w:hAnsi="Times New Roman;sans-serif"/>
          <w:b w:val="false"/>
          <w:color w:val="000000"/>
          <w:sz w:val="20"/>
        </w:rPr>
        <w:t>Renewable energy resource throughout the year</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32740"/>
                <wp:effectExtent l="0" t="0" r="0" b="0"/>
                <wp:wrapNone/>
                <wp:docPr id="7" name="Frame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Debt service payments which are made either quarterly or semi-annually;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Timing of maintenance capital expenditures and the impact of both unforced and forced outages;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Timing of distributions from unconsolidated affiliates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takes into consideration the timing of these factors to ensure sufficient funds are available for distributions and operating activities on a quarterly basis.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Financial Guidance and Pro Forma CAFD Outlook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is reaffirming its 2024 full year CAFD guidance of $395 million. The Company's 2024 financial guidance factors in the contribution of committed growth investments based on current expected closing timelines and estimates for merchant energy gross margin at the conventional fleet. 2024 CAFD guidance does not factor in the timing of when CAFD is realized from new growth investments pursuant to 5-year averages beyond 2024. </w:t>
      </w:r>
      <w:r>
        <w:rPr>
          <w:rFonts w:ascii="Times New Roman;sans-serif" w:hAnsi="Times New Roman;sans-serif"/>
          <w:b w:val="false"/>
          <w:color w:val="000000"/>
          <w:sz w:val="20"/>
          <w:shd w:fill="FFFFFF" w:val="clear"/>
        </w:rPr>
        <w:t xml:space="preserve">Financial guidance is based on median renewable energy production estimates for the full year.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Earnings Conference Call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22, 2024, Clearway Energy, Inc. will host a conference call at 8:00 a.m.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About Clearway Energy, Inc.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Clearway Energy, Inc. is one of the largest renewable energy owners in the US with approximately 6,000</w:t>
      </w:r>
      <w:r>
        <w:rPr>
          <w:color w:val="EE2724"/>
        </w:rPr>
        <w:t xml:space="preserve"> </w:t>
      </w:r>
      <w:r>
        <w:rPr>
          <w:rFonts w:ascii="Times New Roman;sans-serif" w:hAnsi="Times New Roman;sans-serif"/>
          <w:b w:val="false"/>
          <w:color w:val="000000"/>
          <w:sz w:val="20"/>
        </w:rPr>
        <w:t>net MW of installed wind, solar and energy storage projects. The Company's approximately 8,500 net MW of assets also include approximately 2,500</w:t>
      </w:r>
      <w:r>
        <w:rPr>
          <w:color w:val="EE2724"/>
        </w:rPr>
        <w:t xml:space="preserve"> </w:t>
      </w:r>
      <w:r>
        <w:rPr>
          <w:rFonts w:ascii="Times New Roman;sans-serif" w:hAnsi="Times New Roman;sans-serif"/>
          <w:b w:val="false"/>
          <w:color w:val="000000"/>
          <w:sz w:val="20"/>
        </w:rPr>
        <w:t>net MW of environmentally-sound, highly efficient natural gas generation facilities. Through this environmentally-sound diversified and primarily contracted portfolio, Clearway Energy endeavors to provide its investors with stable and growing dividend income. Clearway Energy, Inc.’s Class C and Class A common stock are traded on the New York Stock Exchange under the symbols CWEN and CWEN.A, respectively. Clearway Energy, Inc. is sponsored by its controlling investor, Clearway Energy Group LLC. For more information, visit investor.clearwayenergy.com.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Safe Harbor Disclosure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Company’s dividend expectations and its operations, its facilities and its financial results, the anticipated consummation of the transactions described above, the anticipated benefits, opportunities, and results with respect to the transactions, including the Company’s future relationship and arrangements with Clearway Energy Group and its owners,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the Company's ability to maintain and grow its quarterly dividend, risks relating to the Company's relationships with its sponsors, the Company’s ability to successfully identify, evaluate, consummate or implement acquisitions or dispositions (including receipt of third party consents and regulatory approvals), the Company's ability to acquire assets from its sponsors, the Company’s ability to borrow additional funds and access capital markets due to its indebtedness, corporate structure, market conditions or otherwise, hazards customary in the power production industry and power generation operations, weather conditions, including wind and solar conditions, the Company’s ability to operate its businesses efficiently, manage maintenance capital expenditures and costs effectively, and generate earnings and cash flows from its asset-based businesses in relation to its debt and other obligations, the willingness and ability of counterparties to the Company’s offtake agreements to fulfill their obligations under such agreements, the Company's ability to enter into contracts to sell power and procure fuel on acceptable terms and prices, government regulation, including compliance with regulatory requirements and changes in law, operating and financial restrictions placed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32740"/>
                <wp:effectExtent l="0" t="0" r="0" b="0"/>
                <wp:wrapNone/>
                <wp:docPr id="8" name="Frame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the Company that are contained in the project-level debt facilities and other agreements of the Company and its subsidiaries, cyber terrorism and inadequate cybersecurity. Furthermore, any dividends are subject to available capital, market conditions, and compliance with associated laws and regulations.</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 undertakes no obligation to update or revise any forward-looking statements, whether as a result of new information, future events or otherwise. The Cash Available for Distribution are estimates as of today’s date, February 22, 2024,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Securities and Exchange Commission.</w:t>
      </w:r>
    </w:p>
    <w:p>
      <w:pPr>
        <w:pStyle w:val="TextBody"/>
        <w:bidi w:val="0"/>
        <w:spacing w:before="0" w:after="18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Contacts: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Investors:                Media:</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 xml:space="preserve">Akil Marsh                Zadie Oleksiw </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investor.relations@clearwayenergy.com    media@clearwayenergy.com</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609-608-1500                202-836-5754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2740"/>
                <wp:effectExtent l="0" t="0" r="0" b="0"/>
                <wp:wrapNone/>
                <wp:docPr id="9" name="Frame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18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tbl>
      <w:tblPr>
        <w:tblW w:w="10205" w:type="dxa"/>
        <w:jc w:val="center"/>
        <w:tblInd w:w="0" w:type="dxa"/>
        <w:tblLayout w:type="fixed"/>
        <w:tblCellMar>
          <w:top w:w="28" w:type="dxa"/>
          <w:left w:w="28" w:type="dxa"/>
          <w:bottom w:w="28" w:type="dxa"/>
          <w:right w:w="28" w:type="dxa"/>
        </w:tblCellMar>
      </w:tblPr>
      <w:tblGrid>
        <w:gridCol w:w="2567"/>
        <w:gridCol w:w="2108"/>
        <w:gridCol w:w="2126"/>
        <w:gridCol w:w="211"/>
        <w:gridCol w:w="616"/>
        <w:gridCol w:w="109"/>
        <w:gridCol w:w="109"/>
        <w:gridCol w:w="109"/>
        <w:gridCol w:w="109"/>
        <w:gridCol w:w="211"/>
        <w:gridCol w:w="511"/>
        <w:gridCol w:w="109"/>
        <w:gridCol w:w="109"/>
        <w:gridCol w:w="109"/>
        <w:gridCol w:w="109"/>
        <w:gridCol w:w="211"/>
        <w:gridCol w:w="616"/>
        <w:gridCol w:w="156"/>
      </w:tblGrid>
      <w:tr>
        <w:trPr/>
        <w:tc>
          <w:tcPr>
            <w:tcW w:w="256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 except per share amounts)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Costs and Expenses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 exclusive of depreciation, amortization and accretion shown separately below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Gain on sale of business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80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(Loss) 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80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80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income attributable to noncontrolling interests and redeemable noncontrolling interests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Income Attributable to Clearway Energy,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Earnings Per Share Attributable to Clearway Energy, Inc. Class A and Class C Common Stockholders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A common shares outstanding - basic and diluted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C common shares outstanding - basic and 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Earnings per Weighted Average Class A and Class C Common Share -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80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Dividends Per Class A Common Share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Dividends Per Class C Common Share </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2740"/>
                <wp:effectExtent l="0" t="0" r="0" b="0"/>
                <wp:wrapNone/>
                <wp:docPr id="10" name="Frame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w:t>
      </w:r>
    </w:p>
    <w:tbl>
      <w:tblPr>
        <w:tblW w:w="10205" w:type="dxa"/>
        <w:jc w:val="center"/>
        <w:tblInd w:w="0" w:type="dxa"/>
        <w:tblLayout w:type="fixed"/>
        <w:tblCellMar>
          <w:top w:w="28" w:type="dxa"/>
          <w:left w:w="28" w:type="dxa"/>
          <w:bottom w:w="28" w:type="dxa"/>
          <w:right w:w="28" w:type="dxa"/>
        </w:tblCellMar>
      </w:tblPr>
      <w:tblGrid>
        <w:gridCol w:w="2454"/>
        <w:gridCol w:w="2152"/>
        <w:gridCol w:w="2067"/>
        <w:gridCol w:w="109"/>
        <w:gridCol w:w="109"/>
        <w:gridCol w:w="109"/>
        <w:gridCol w:w="109"/>
        <w:gridCol w:w="211"/>
        <w:gridCol w:w="409"/>
        <w:gridCol w:w="109"/>
        <w:gridCol w:w="109"/>
        <w:gridCol w:w="109"/>
        <w:gridCol w:w="109"/>
        <w:gridCol w:w="211"/>
        <w:gridCol w:w="616"/>
        <w:gridCol w:w="109"/>
        <w:gridCol w:w="109"/>
        <w:gridCol w:w="109"/>
        <w:gridCol w:w="109"/>
        <w:gridCol w:w="211"/>
        <w:gridCol w:w="409"/>
        <w:gridCol w:w="157"/>
      </w:tblGrid>
      <w:tr>
        <w:trPr/>
        <w:tc>
          <w:tcPr>
            <w:tcW w:w="2454"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0"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104" w:type="dxa"/>
            <w:gridSpan w:val="6"/>
            <w:tcBorders/>
          </w:tcPr>
          <w:p>
            <w:pPr>
              <w:pStyle w:val="TableContents"/>
              <w:bidi w:val="0"/>
              <w:spacing w:before="0" w:after="283"/>
              <w:jc w:val="left"/>
              <w:rPr>
                <w:sz w:val="4"/>
                <w:szCs w:val="4"/>
              </w:rPr>
            </w:pPr>
            <w:r>
              <w:rPr>
                <w:sz w:val="4"/>
                <w:szCs w:val="4"/>
              </w:rPr>
            </w:r>
          </w:p>
        </w:tc>
      </w:tr>
      <w:tr>
        <w:trPr/>
        <w:tc>
          <w:tcPr>
            <w:tcW w:w="6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Comprehensive (Loss)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derivatives and changes in accumulated OCI/OCL, net of income tax (benefit) expense of $(1), $5 and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6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comprehensive (loss)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(loss) income attributable to noncontrolling interests and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Comprehensive Income Attributable to Clearway Energy, Inc.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32740"/>
                <wp:effectExtent l="0" t="0" r="0" b="0"/>
                <wp:wrapNone/>
                <wp:docPr id="11" name="Frame1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CLEARWAY ENERGY,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tbl>
      <w:tblPr>
        <w:tblW w:w="10205" w:type="dxa"/>
        <w:jc w:val="center"/>
        <w:tblInd w:w="0" w:type="dxa"/>
        <w:tblLayout w:type="fixed"/>
        <w:tblCellMar>
          <w:top w:w="28" w:type="dxa"/>
          <w:left w:w="28" w:type="dxa"/>
          <w:bottom w:w="28" w:type="dxa"/>
          <w:right w:w="28" w:type="dxa"/>
        </w:tblCellMar>
      </w:tblPr>
      <w:tblGrid>
        <w:gridCol w:w="3373"/>
        <w:gridCol w:w="2175"/>
        <w:gridCol w:w="2193"/>
        <w:gridCol w:w="215"/>
        <w:gridCol w:w="710"/>
        <w:gridCol w:w="119"/>
        <w:gridCol w:w="109"/>
        <w:gridCol w:w="109"/>
        <w:gridCol w:w="109"/>
        <w:gridCol w:w="214"/>
        <w:gridCol w:w="707"/>
        <w:gridCol w:w="172"/>
      </w:tblGrid>
      <w:tr>
        <w:trPr/>
        <w:tc>
          <w:tcPr>
            <w:tcW w:w="3373"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 except shares)</w:t>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246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trade</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 — affiliate</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4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Prepayments and other current assets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Property, plant and equipment, net</w:t>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Assets</w:t>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investments in affiliates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for power purchase agreements, net</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Right-of-use assets, net </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assets</w:t>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0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trade</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affiliates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Derivative instruments </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expense</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Liabilities</w:t>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lease liabilities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liabilities</w:t>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Redeemable noncontrolling interest in subsidiaries</w:t>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w:t>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Preferred stock, $0.01 par value; 10,000,000 shares authorized; none issued </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Class B, Class C and Class D common stock, $0.01 par value; 3,000,000,000 shares authorized (Class A 500,000,000, Class B 500,000,000, Class C 1,000,000,000, Class D 1,000,000,000); 202,080,794 shares issued and outstanding (Class A 34,613,853, Class B 42,738,750, Class C 82,391,441, Class D 42,336,750) at December 31, 2023 and 201,972,813 shares issued and outstanding (Class A 34,613,853, Class B 42,738,750, Class C 82,283,460, Class D 42,336,750) at December 31, 2022</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12,312 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32740"/>
                <wp:effectExtent l="0" t="0" r="0" b="0"/>
                <wp:wrapNone/>
                <wp:docPr id="12" name="Frame1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9357" w:type="dxa"/>
        <w:jc w:val="center"/>
        <w:tblInd w:w="0" w:type="dxa"/>
        <w:tblLayout w:type="fixed"/>
        <w:tblCellMar>
          <w:top w:w="28" w:type="dxa"/>
          <w:left w:w="28" w:type="dxa"/>
          <w:bottom w:w="28" w:type="dxa"/>
          <w:right w:w="28" w:type="dxa"/>
        </w:tblCellMar>
      </w:tblPr>
      <w:tblGrid>
        <w:gridCol w:w="2218"/>
        <w:gridCol w:w="1951"/>
        <w:gridCol w:w="1966"/>
        <w:gridCol w:w="196"/>
        <w:gridCol w:w="556"/>
        <w:gridCol w:w="109"/>
        <w:gridCol w:w="109"/>
        <w:gridCol w:w="109"/>
        <w:gridCol w:w="109"/>
        <w:gridCol w:w="196"/>
        <w:gridCol w:w="556"/>
        <w:gridCol w:w="109"/>
        <w:gridCol w:w="109"/>
        <w:gridCol w:w="109"/>
        <w:gridCol w:w="109"/>
        <w:gridCol w:w="196"/>
        <w:gridCol w:w="496"/>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Operating Activities</w:t>
            </w:r>
          </w:p>
        </w:tc>
        <w:tc>
          <w:tcPr>
            <w:tcW w:w="3222"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 millions)</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 to reconcile net (loss) income to net cash provided by operating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Equity in earnings of unconsolidated affiliates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from unconsolidated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amortization and accretion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of financing costs and debt discounts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of intangibles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Loss on debt extinguishment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Reduction in carrying amount of right-of-use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on sale of business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Impairment losses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Changes in derivative instruments and amortization of accumulated OCI/OCL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(used in) provided by changes in other working capital</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Changes in prepaid and accrued liabilities for tolling agreements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Changes in other working capital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Provided by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Acquisitions, net of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Acquisition of Drop Down Assets, net of cash acquired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 of Capistrano Wind Portfolio, net of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 for equipment deposit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 for equipment deposit and asset purchase from affiliate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Return of investments from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Increase in note receivable — affiliate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Investments in unconsolidated affiliates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sale of business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(Used in) Provided by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Contributions from noncontrolling interests, net of distributions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Payments of dividends and distributions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to CEG of escrowed amounts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Tax-related distributions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Buyout of noncontrolling interest and redeemable noncontrolling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the revolving credit facility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for the revolving credit facility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issuance of long-term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of debt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Payments for long-term debt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(Used in) Provided by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Reclassification of Cash to Assets Held-for-Sale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Increase in Cash, Cash Equivalents and Restricted Cash</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Cash Equivalents and Restricted Cash at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Supplemental Disclosures: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paid, net of amount capitalized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Non-cash investing and financing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Non-cash adjustment for change in tax basis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Non-cash (distributions to), contributions from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32740"/>
                <wp:effectExtent l="0" t="0" r="0" b="0"/>
                <wp:wrapNone/>
                <wp:docPr id="13" name="Frame1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tbl>
      <w:tblPr>
        <w:tblW w:w="10679" w:type="dxa"/>
        <w:jc w:val="center"/>
        <w:tblInd w:w="0" w:type="dxa"/>
        <w:tblLayout w:type="fixed"/>
        <w:tblCellMar>
          <w:top w:w="28" w:type="dxa"/>
          <w:left w:w="28" w:type="dxa"/>
          <w:bottom w:w="28" w:type="dxa"/>
          <w:right w:w="28" w:type="dxa"/>
        </w:tblCellMar>
      </w:tblPr>
      <w:tblGrid>
        <w:gridCol w:w="674"/>
        <w:gridCol w:w="266"/>
        <w:gridCol w:w="216"/>
        <w:gridCol w:w="223"/>
        <w:gridCol w:w="463"/>
        <w:gridCol w:w="125"/>
        <w:gridCol w:w="196"/>
        <w:gridCol w:w="406"/>
        <w:gridCol w:w="109"/>
        <w:gridCol w:w="274"/>
        <w:gridCol w:w="338"/>
        <w:gridCol w:w="154"/>
        <w:gridCol w:w="109"/>
        <w:gridCol w:w="109"/>
        <w:gridCol w:w="109"/>
        <w:gridCol w:w="198"/>
        <w:gridCol w:w="562"/>
        <w:gridCol w:w="111"/>
        <w:gridCol w:w="109"/>
        <w:gridCol w:w="109"/>
        <w:gridCol w:w="109"/>
        <w:gridCol w:w="299"/>
        <w:gridCol w:w="644"/>
        <w:gridCol w:w="168"/>
        <w:gridCol w:w="109"/>
        <w:gridCol w:w="109"/>
        <w:gridCol w:w="109"/>
        <w:gridCol w:w="366"/>
        <w:gridCol w:w="646"/>
        <w:gridCol w:w="204"/>
        <w:gridCol w:w="109"/>
        <w:gridCol w:w="109"/>
        <w:gridCol w:w="109"/>
        <w:gridCol w:w="287"/>
        <w:gridCol w:w="814"/>
        <w:gridCol w:w="160"/>
        <w:gridCol w:w="109"/>
        <w:gridCol w:w="109"/>
        <w:gridCol w:w="109"/>
        <w:gridCol w:w="246"/>
        <w:gridCol w:w="700"/>
        <w:gridCol w:w="195"/>
      </w:tblGrid>
      <w:tr>
        <w:trPr/>
        <w:tc>
          <w:tcPr>
            <w:tcW w:w="67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 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2020</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2,715 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derivatives and changes in accumulated OCL, net of tax</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CEG, net of distributions, non-cash</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CEG, net of distributions, cash</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 net of distributions, cash</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Lighthouse Partnership Yield Protection Agreement Amendment</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Agua Caliente Acquisition</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 of assets under common control</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adjustment for change in tax basis</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dividends and distributions to CEG</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2021</w:t>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3,300 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derivatives and changes in accumulated OCL, net of tax</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CEG, net of contributions, non-cash</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CEG, net of distributions, cash</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 net of distributions, cash</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 of assets under common control</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Capistrano Wind Portfolio Acquisition</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Kawailoa Sale to Clearway Renew</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Tax-related distributions</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adjustments for change in tax basis</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dividends and distributions to CEG unit holders</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2022</w:t>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4,026 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derivatives and changes in accumulated OCI, net of tax</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CEG, net of contributions, cash</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 net of distributions, cash</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interests, non-cash</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Tax-related distributions</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 of assets under common control</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Buyout of noncontrolling interest</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Buyout of redeemable noncontrolling interest</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adjustments for change in tax basis</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dividends and distributions to CEG unit holders</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2023</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4,994 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32740"/>
                <wp:effectExtent l="0" t="0" r="0" b="0"/>
                <wp:wrapNone/>
                <wp:docPr id="14" name="Frame1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A-1: Three Months Ended December 31, 2023, Segment Adjusted EBITDA Reconciliation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calculation of Adjusted EBITDA and provides a reconciliation to Net Income/(Loss):</w:t>
      </w:r>
    </w:p>
    <w:tbl>
      <w:tblPr>
        <w:tblW w:w="10205" w:type="dxa"/>
        <w:jc w:val="left"/>
        <w:tblInd w:w="0" w:type="dxa"/>
        <w:tblLayout w:type="fixed"/>
        <w:tblCellMar>
          <w:top w:w="28" w:type="dxa"/>
          <w:left w:w="28" w:type="dxa"/>
          <w:bottom w:w="28" w:type="dxa"/>
          <w:right w:w="28" w:type="dxa"/>
        </w:tblCellMar>
      </w:tblPr>
      <w:tblGrid>
        <w:gridCol w:w="1620"/>
        <w:gridCol w:w="1255"/>
        <w:gridCol w:w="1224"/>
        <w:gridCol w:w="109"/>
        <w:gridCol w:w="109"/>
        <w:gridCol w:w="109"/>
        <w:gridCol w:w="327"/>
        <w:gridCol w:w="583"/>
        <w:gridCol w:w="171"/>
        <w:gridCol w:w="109"/>
        <w:gridCol w:w="109"/>
        <w:gridCol w:w="109"/>
        <w:gridCol w:w="249"/>
        <w:gridCol w:w="568"/>
        <w:gridCol w:w="129"/>
        <w:gridCol w:w="109"/>
        <w:gridCol w:w="109"/>
        <w:gridCol w:w="109"/>
        <w:gridCol w:w="211"/>
        <w:gridCol w:w="406"/>
        <w:gridCol w:w="109"/>
        <w:gridCol w:w="109"/>
        <w:gridCol w:w="109"/>
        <w:gridCol w:w="109"/>
        <w:gridCol w:w="269"/>
        <w:gridCol w:w="461"/>
        <w:gridCol w:w="141"/>
        <w:gridCol w:w="109"/>
        <w:gridCol w:w="109"/>
        <w:gridCol w:w="109"/>
        <w:gridCol w:w="211"/>
        <w:gridCol w:w="481"/>
        <w:gridCol w:w="155"/>
      </w:tblGrid>
      <w:tr>
        <w:trPr/>
        <w:tc>
          <w:tcPr>
            <w:tcW w:w="162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9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4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5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(MtM) Losses on economic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CWEN’s pro-rata share of Adjusted EBITDA from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142</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201</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A-2: Three Months Ended December 31, 2022, Segment Adjusted EBITDA Reconciliation</w:t>
      </w:r>
    </w:p>
    <w:p>
      <w:pPr>
        <w:pStyle w:val="TextBody"/>
        <w:bidi w:val="0"/>
        <w:spacing w:lineRule="auto" w:line="288" w:before="0" w:after="0"/>
        <w:jc w:val="left"/>
        <w:rPr/>
      </w:pPr>
      <w:r>
        <w:rPr>
          <w:rFonts w:ascii="Times New Roman;sans-serif" w:hAnsi="Times New Roman;sans-serif"/>
          <w:b w:val="false"/>
          <w:color w:val="000000"/>
          <w:sz w:val="22"/>
        </w:rPr>
        <w:t>The following table summarizes the calculation of Adjusted EBITDA and provides a reconciliation to Net Income/(Loss):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652"/>
        <w:gridCol w:w="1219"/>
        <w:gridCol w:w="1227"/>
        <w:gridCol w:w="109"/>
        <w:gridCol w:w="109"/>
        <w:gridCol w:w="109"/>
        <w:gridCol w:w="327"/>
        <w:gridCol w:w="583"/>
        <w:gridCol w:w="171"/>
        <w:gridCol w:w="109"/>
        <w:gridCol w:w="109"/>
        <w:gridCol w:w="109"/>
        <w:gridCol w:w="249"/>
        <w:gridCol w:w="568"/>
        <w:gridCol w:w="129"/>
        <w:gridCol w:w="109"/>
        <w:gridCol w:w="109"/>
        <w:gridCol w:w="109"/>
        <w:gridCol w:w="211"/>
        <w:gridCol w:w="406"/>
        <w:gridCol w:w="109"/>
        <w:gridCol w:w="109"/>
        <w:gridCol w:w="109"/>
        <w:gridCol w:w="109"/>
        <w:gridCol w:w="264"/>
        <w:gridCol w:w="470"/>
        <w:gridCol w:w="137"/>
        <w:gridCol w:w="109"/>
        <w:gridCol w:w="109"/>
        <w:gridCol w:w="109"/>
        <w:gridCol w:w="211"/>
        <w:gridCol w:w="481"/>
        <w:gridCol w:w="156"/>
      </w:tblGrid>
      <w:tr>
        <w:trPr/>
        <w:tc>
          <w:tcPr>
            <w:tcW w:w="165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98"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3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Losses and Impairment on 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(MtM) Gains on economic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CWEN’s pro-rata share of Adjusted EBITDA from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212</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32740"/>
                <wp:effectExtent l="0" t="0" r="0" b="0"/>
                <wp:wrapNone/>
                <wp:docPr id="15" name="Frame1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Appendix Table A-3: Twelve Months Ended December 31, 2023, Segment Adjusted EBITDA Reconciliation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calculation of Adjusted EBITDA and provides a reconciliation to Net Income/(Loss):</w:t>
      </w:r>
    </w:p>
    <w:tbl>
      <w:tblPr>
        <w:tblW w:w="10205" w:type="dxa"/>
        <w:jc w:val="left"/>
        <w:tblInd w:w="0" w:type="dxa"/>
        <w:tblLayout w:type="fixed"/>
        <w:tblCellMar>
          <w:top w:w="28" w:type="dxa"/>
          <w:left w:w="28" w:type="dxa"/>
          <w:bottom w:w="28" w:type="dxa"/>
          <w:right w:w="28" w:type="dxa"/>
        </w:tblCellMar>
      </w:tblPr>
      <w:tblGrid>
        <w:gridCol w:w="1574"/>
        <w:gridCol w:w="1199"/>
        <w:gridCol w:w="1168"/>
        <w:gridCol w:w="109"/>
        <w:gridCol w:w="109"/>
        <w:gridCol w:w="109"/>
        <w:gridCol w:w="284"/>
        <w:gridCol w:w="649"/>
        <w:gridCol w:w="148"/>
        <w:gridCol w:w="109"/>
        <w:gridCol w:w="109"/>
        <w:gridCol w:w="109"/>
        <w:gridCol w:w="249"/>
        <w:gridCol w:w="568"/>
        <w:gridCol w:w="129"/>
        <w:gridCol w:w="109"/>
        <w:gridCol w:w="109"/>
        <w:gridCol w:w="109"/>
        <w:gridCol w:w="211"/>
        <w:gridCol w:w="406"/>
        <w:gridCol w:w="109"/>
        <w:gridCol w:w="109"/>
        <w:gridCol w:w="109"/>
        <w:gridCol w:w="109"/>
        <w:gridCol w:w="229"/>
        <w:gridCol w:w="530"/>
        <w:gridCol w:w="119"/>
        <w:gridCol w:w="109"/>
        <w:gridCol w:w="109"/>
        <w:gridCol w:w="109"/>
        <w:gridCol w:w="211"/>
        <w:gridCol w:w="631"/>
        <w:gridCol w:w="156"/>
      </w:tblGrid>
      <w:tr>
        <w:trPr/>
        <w:tc>
          <w:tcPr>
            <w:tcW w:w="157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4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4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(MtM) Losses/(Gains) on economic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Non-recurring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CWEN’s pro-rata share of Adjusted EBITDA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301</w:t>
            </w: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787</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1,058</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A-4: Twelve Months Ended December 31, 2022, Segment Adjusted EBITDA Reconciliation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calculation of Adjusted EBITDA and provides a reconciliation to Net Income/(Loss):</w:t>
      </w:r>
    </w:p>
    <w:tbl>
      <w:tblPr>
        <w:tblW w:w="10205" w:type="dxa"/>
        <w:jc w:val="left"/>
        <w:tblInd w:w="0" w:type="dxa"/>
        <w:tblLayout w:type="fixed"/>
        <w:tblCellMar>
          <w:top w:w="28" w:type="dxa"/>
          <w:left w:w="28" w:type="dxa"/>
          <w:bottom w:w="28" w:type="dxa"/>
          <w:right w:w="28" w:type="dxa"/>
        </w:tblCellMar>
      </w:tblPr>
      <w:tblGrid>
        <w:gridCol w:w="1580"/>
        <w:gridCol w:w="1200"/>
        <w:gridCol w:w="1173"/>
        <w:gridCol w:w="109"/>
        <w:gridCol w:w="109"/>
        <w:gridCol w:w="109"/>
        <w:gridCol w:w="284"/>
        <w:gridCol w:w="649"/>
        <w:gridCol w:w="148"/>
        <w:gridCol w:w="109"/>
        <w:gridCol w:w="109"/>
        <w:gridCol w:w="109"/>
        <w:gridCol w:w="249"/>
        <w:gridCol w:w="568"/>
        <w:gridCol w:w="129"/>
        <w:gridCol w:w="109"/>
        <w:gridCol w:w="109"/>
        <w:gridCol w:w="109"/>
        <w:gridCol w:w="218"/>
        <w:gridCol w:w="389"/>
        <w:gridCol w:w="114"/>
        <w:gridCol w:w="109"/>
        <w:gridCol w:w="109"/>
        <w:gridCol w:w="109"/>
        <w:gridCol w:w="233"/>
        <w:gridCol w:w="516"/>
        <w:gridCol w:w="122"/>
        <w:gridCol w:w="109"/>
        <w:gridCol w:w="109"/>
        <w:gridCol w:w="109"/>
        <w:gridCol w:w="211"/>
        <w:gridCol w:w="631"/>
        <w:gridCol w:w="156"/>
      </w:tblGrid>
      <w:tr>
        <w:trPr/>
        <w:tc>
          <w:tcPr>
            <w:tcW w:w="158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5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4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2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Losses and Impairment on 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(MtM) Losses on economic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Non-recurring Items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CWEN’s pro-rata share of Adjusted EBITDA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366</w:t>
            </w: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802</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1,160</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16"/>
        </w:rPr>
        <w:t>Primarily one-time gain due to the sale of the Thermal Business on May 1, 2022</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32740"/>
                <wp:effectExtent l="0" t="0" r="0" b="0"/>
                <wp:wrapNone/>
                <wp:docPr id="16" name="Frame1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A-5: Cash Available for Distribution Reconciliation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summarizes the calculation of Cash Available for Distribution and provides a reconciliation to Cash from Operating Activities: </w:t>
      </w:r>
    </w:p>
    <w:tbl>
      <w:tblPr>
        <w:tblW w:w="10205" w:type="dxa"/>
        <w:jc w:val="left"/>
        <w:tblInd w:w="0" w:type="dxa"/>
        <w:tblLayout w:type="fixed"/>
        <w:tblCellMar>
          <w:top w:w="28" w:type="dxa"/>
          <w:left w:w="28" w:type="dxa"/>
          <w:bottom w:w="28" w:type="dxa"/>
          <w:right w:w="28" w:type="dxa"/>
        </w:tblCellMar>
      </w:tblPr>
      <w:tblGrid>
        <w:gridCol w:w="2125"/>
        <w:gridCol w:w="1529"/>
        <w:gridCol w:w="1541"/>
        <w:gridCol w:w="216"/>
        <w:gridCol w:w="494"/>
        <w:gridCol w:w="111"/>
        <w:gridCol w:w="109"/>
        <w:gridCol w:w="109"/>
        <w:gridCol w:w="109"/>
        <w:gridCol w:w="216"/>
        <w:gridCol w:w="494"/>
        <w:gridCol w:w="111"/>
        <w:gridCol w:w="109"/>
        <w:gridCol w:w="109"/>
        <w:gridCol w:w="109"/>
        <w:gridCol w:w="211"/>
        <w:gridCol w:w="631"/>
        <w:gridCol w:w="109"/>
        <w:gridCol w:w="109"/>
        <w:gridCol w:w="109"/>
        <w:gridCol w:w="109"/>
        <w:gridCol w:w="211"/>
        <w:gridCol w:w="631"/>
        <w:gridCol w:w="109"/>
        <w:gridCol w:w="109"/>
        <w:gridCol w:w="109"/>
        <w:gridCol w:w="109"/>
        <w:gridCol w:w="158"/>
      </w:tblGrid>
      <w:tr>
        <w:trPr/>
        <w:tc>
          <w:tcPr>
            <w:tcW w:w="21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201</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212</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prepaid and accrued liabilities for tolling agreements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sale-type leases and payments for lease expenses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Pro-rata Adjusted EBITDA from unconsolidated affiliates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working capital and other</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from Operating Activities</w:t>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206</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working capital and other</w:t>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expenses</w:t>
            </w:r>
            <w:r>
              <w:rPr>
                <w:rFonts w:ascii="Times New Roman;sans-serif" w:hAnsi="Times New Roman;sans-serif"/>
                <w:b w:val="false"/>
                <w:color w:val="000000"/>
                <w:sz w:val="13"/>
              </w:rPr>
              <w:t>4</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investment from unconsolidated affiliates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contributions (to)/from non-controlling interest</w:t>
            </w:r>
            <w:r>
              <w:rPr>
                <w:rFonts w:ascii="Times New Roman;sans-serif" w:hAnsi="Times New Roman;sans-serif"/>
                <w:b w:val="false"/>
                <w:color w:val="000000"/>
                <w:sz w:val="13"/>
              </w:rPr>
              <w:t>5</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amortization of indebtedness</w:t>
            </w:r>
            <w:r>
              <w:rPr>
                <w:rFonts w:ascii="Times New Roman;sans-serif" w:hAnsi="Times New Roman;sans-serif"/>
                <w:b w:val="false"/>
                <w:color w:val="000000"/>
                <w:sz w:val="13"/>
              </w:rPr>
              <w:t>6</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Available for Distribution before Adjustments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Impact of drop down from timing of construction debt service; 2022 Net Impact of Capistrano from timing of project debt service</w:t>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Available for Distribution</w:t>
            </w:r>
            <w:r>
              <w:rPr>
                <w:rFonts w:ascii="Times New Roman;sans-serif" w:hAnsi="Times New Roman;sans-serif"/>
                <w:b/>
                <w:color w:val="000000"/>
                <w:sz w:val="13"/>
              </w:rPr>
              <w:t>7</w:t>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w:t>
            </w:r>
            <w:r>
              <w:rPr>
                <w:color w:val="000000"/>
              </w:rPr>
              <w:t> </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16"/>
        </w:rPr>
        <w:t>Primarily relates to Thermal Development Expenses</w:t>
      </w:r>
    </w:p>
    <w:p>
      <w:pPr>
        <w:pStyle w:val="TextBody"/>
        <w:bidi w:val="0"/>
        <w:spacing w:lineRule="auto" w:line="288" w:before="0" w:after="0"/>
        <w:jc w:val="left"/>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16"/>
        </w:rPr>
        <w:t>2023 excludes $1,025 million of contributions related to the funding of Rosamond Central Battery Storage, Waiawa, Daggett, Victory Pass, Arica and Texas Solar Nova 1; 2022 excludes $118 million of contributions related to the funding of Mesquite Sky, Black Rock, Mililani, and Waiawa, and $2 million of distributions related to release of inverter reserves at Agua Caliente</w:t>
      </w:r>
    </w:p>
    <w:p>
      <w:pPr>
        <w:pStyle w:val="TextBody"/>
        <w:bidi w:val="0"/>
        <w:spacing w:lineRule="auto" w:line="288" w:before="0" w:after="0"/>
        <w:jc w:val="left"/>
        <w:rPr/>
      </w:pP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16"/>
        </w:rPr>
        <w:t>2023 excludes $1,024 million for the repayment of construction loans in connection with Waiawa, Daggett, Cedro Hill, Victory Pass, Arica and Texas Solar Nova 1, and $24 million for the repayment of balloon at Walnut Creek Holdings; 2022 excludes $660 million for the repayment of the Bridge Loan Facility and revolver payments, $186 million for the refinancing of Tapestry Wind, Laredo Ridge, and Viento, $130 million for the repayment of El Segundo project level debt, and $113 million for the repayment of bridge loans in connection with Mililani and Waiawa</w:t>
      </w:r>
    </w:p>
    <w:p>
      <w:pPr>
        <w:pStyle w:val="TextBody"/>
        <w:bidi w:val="0"/>
        <w:spacing w:lineRule="auto" w:line="288"/>
        <w:jc w:val="left"/>
        <w:rPr/>
      </w:pPr>
      <w:r>
        <w:rPr>
          <w:rFonts w:ascii="Times New Roman;sans-serif" w:hAnsi="Times New Roman;sans-serif"/>
          <w:b w:val="false"/>
          <w:color w:val="000000"/>
          <w:sz w:val="13"/>
        </w:rPr>
        <w:t>7</w:t>
      </w:r>
      <w:r>
        <w:rPr>
          <w:color w:val="000000"/>
        </w:rPr>
        <w:t xml:space="preserve"> </w:t>
      </w:r>
      <w:r>
        <w:rPr>
          <w:rFonts w:ascii="Times New Roman;sans-serif" w:hAnsi="Times New Roman;sans-serif"/>
          <w:b w:val="false"/>
          <w:color w:val="000000"/>
          <w:sz w:val="16"/>
        </w:rPr>
        <w:t>Excludes income tax payments related to Thermal sale</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32740"/>
                <wp:effectExtent l="0" t="0" r="0" b="0"/>
                <wp:wrapNone/>
                <wp:docPr id="17" name="Frame1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A-6: Twelve Months Ended December 31, 2023, Sources and Uses of Liquidity</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sources and uses of liquidity in 2023:</w:t>
      </w:r>
    </w:p>
    <w:p>
      <w:pPr>
        <w:pStyle w:val="TextBody"/>
        <w:bidi w:val="0"/>
        <w:spacing w:before="0" w:after="0"/>
        <w:jc w:val="left"/>
        <w:rPr/>
      </w:pPr>
      <w:r>
        <w:rPr/>
      </w:r>
    </w:p>
    <w:tbl>
      <w:tblPr>
        <w:tblW w:w="6674" w:type="dxa"/>
        <w:jc w:val="left"/>
        <w:tblInd w:w="0" w:type="dxa"/>
        <w:tblLayout w:type="fixed"/>
        <w:tblCellMar>
          <w:top w:w="28" w:type="dxa"/>
          <w:left w:w="28" w:type="dxa"/>
          <w:bottom w:w="28" w:type="dxa"/>
          <w:right w:w="28" w:type="dxa"/>
        </w:tblCellMar>
      </w:tblPr>
      <w:tblGrid>
        <w:gridCol w:w="1684"/>
        <w:gridCol w:w="1477"/>
        <w:gridCol w:w="1488"/>
        <w:gridCol w:w="568"/>
        <w:gridCol w:w="1006"/>
        <w:gridCol w:w="451"/>
      </w:tblGrid>
      <w:tr>
        <w:trPr/>
        <w:tc>
          <w:tcPr>
            <w:tcW w:w="168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12/31/23</w:t>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Sources:</w:t>
            </w:r>
          </w:p>
        </w:tc>
        <w:tc>
          <w:tcPr>
            <w:tcW w:w="2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 net of distributions</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long-term debt</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of investments from unconsolidated affiliates</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Uses:</w:t>
            </w:r>
          </w:p>
        </w:tc>
        <w:tc>
          <w:tcPr>
            <w:tcW w:w="202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Payments for long-term debt </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Payments of dividends and distributions </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note receivable — affiliate</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equipment deposit and asset purchase from affiliate</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Acquisition of Drop Down Assets, net of cash acquired </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equipment deposit</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 cash outflows</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Change in total cash, cash equivalents, and restricted cash</w:t>
            </w:r>
          </w:p>
        </w:tc>
        <w:tc>
          <w:tcPr>
            <w:tcW w:w="568"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06"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55</w:t>
            </w:r>
            <w:r>
              <w:rPr>
                <w:color w:val="000000"/>
              </w:rPr>
              <w:t> </w:t>
            </w:r>
          </w:p>
        </w:tc>
        <w:tc>
          <w:tcPr>
            <w:tcW w:w="45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32740"/>
                <wp:effectExtent l="0" t="0" r="0" b="0"/>
                <wp:wrapNone/>
                <wp:docPr id="18" name="Frame1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A-7: Adjusted EBITDA and Cash Available for Distribution Guidance</w:t>
      </w:r>
    </w:p>
    <w:tbl>
      <w:tblPr>
        <w:tblW w:w="9362" w:type="dxa"/>
        <w:jc w:val="left"/>
        <w:tblInd w:w="0" w:type="dxa"/>
        <w:tblLayout w:type="fixed"/>
        <w:tblCellMar>
          <w:top w:w="28" w:type="dxa"/>
          <w:left w:w="28" w:type="dxa"/>
          <w:bottom w:w="28" w:type="dxa"/>
          <w:right w:w="28" w:type="dxa"/>
        </w:tblCellMar>
      </w:tblPr>
      <w:tblGrid>
        <w:gridCol w:w="2526"/>
        <w:gridCol w:w="2214"/>
        <w:gridCol w:w="2234"/>
        <w:gridCol w:w="109"/>
        <w:gridCol w:w="666"/>
        <w:gridCol w:w="666"/>
        <w:gridCol w:w="947"/>
      </w:tblGrid>
      <w:tr>
        <w:trPr/>
        <w:tc>
          <w:tcPr>
            <w:tcW w:w="2526"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 Full Year Guidance</w:t>
            </w:r>
          </w:p>
        </w:tc>
      </w:tr>
      <w:tr>
        <w:trPr/>
        <w:tc>
          <w:tcPr>
            <w:tcW w:w="6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90</w:t>
            </w:r>
            <w:r>
              <w:rPr>
                <w:color w:val="000000"/>
              </w:rPr>
              <w:t> </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9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 Expense</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94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Adjustment to reflect CWEN share of Adjusted EBITDA in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94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1,175</w:t>
            </w:r>
            <w:r>
              <w:rPr>
                <w:color w:val="000000"/>
              </w:rPr>
              <w:t> </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9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prepaid and accrued liabilities for tolling agreements</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94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Adjustments to reflect sale-type leases and payments for lease expenses</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Pro-rata Adjusted EBITDA from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94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 from unconsolidated affiliates</w:t>
            </w:r>
            <w:r>
              <w:rPr>
                <w:rFonts w:ascii="Times New Roman;sans-serif" w:hAnsi="Times New Roman;sans-serif"/>
                <w:b w:val="false"/>
                <w:color w:val="000000"/>
                <w:sz w:val="13"/>
              </w:rPr>
              <w:t>8</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830</w:t>
            </w:r>
            <w:r>
              <w:rPr>
                <w:color w:val="000000"/>
              </w:rPr>
              <w:t> </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distributions to non-controlling interest</w:t>
            </w:r>
            <w:r>
              <w:rPr>
                <w:rFonts w:ascii="Times New Roman;sans-serif" w:hAnsi="Times New Roman;sans-serif"/>
                <w:b w:val="false"/>
                <w:color w:val="000000"/>
                <w:sz w:val="13"/>
              </w:rPr>
              <w:t>9</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9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Principal amortization of indebtedness</w:t>
            </w:r>
            <w:r>
              <w:rPr>
                <w:rFonts w:ascii="Times New Roman;sans-serif" w:hAnsi="Times New Roman;sans-serif"/>
                <w:b w:val="false"/>
                <w:color w:val="000000"/>
                <w:sz w:val="13"/>
              </w:rPr>
              <w:t>10</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Available for Distribution</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395</w:t>
            </w:r>
            <w:r>
              <w:rPr>
                <w:color w:val="000000"/>
              </w:rPr>
              <w:t> </w:t>
            </w:r>
          </w:p>
        </w:tc>
        <w:tc>
          <w:tcPr>
            <w:tcW w:w="9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13"/>
        </w:rPr>
        <w:t>8</w:t>
      </w:r>
      <w:r>
        <w:rPr>
          <w:color w:val="000000"/>
        </w:rPr>
        <w:t xml:space="preserve"> </w:t>
      </w:r>
      <w:r>
        <w:rPr>
          <w:rFonts w:ascii="Times New Roman;sans-serif" w:hAnsi="Times New Roman;sans-serif"/>
          <w:b w:val="false"/>
          <w:color w:val="000000"/>
          <w:sz w:val="16"/>
        </w:rPr>
        <w:t>Distribution from unconsolidated affiliates can be classified as Return of Investment on Unconsolidated Affiliates when actuals are reported. This is below cash from operating activities</w:t>
      </w:r>
    </w:p>
    <w:p>
      <w:pPr>
        <w:pStyle w:val="TextBody"/>
        <w:bidi w:val="0"/>
        <w:spacing w:lineRule="auto" w:line="288" w:before="0" w:after="0"/>
        <w:jc w:val="left"/>
        <w:rPr/>
      </w:pPr>
      <w:r>
        <w:rPr>
          <w:rFonts w:ascii="Times New Roman;sans-serif" w:hAnsi="Times New Roman;sans-serif"/>
          <w:b w:val="false"/>
          <w:color w:val="000000"/>
          <w:sz w:val="13"/>
        </w:rPr>
        <w:t>9</w:t>
      </w:r>
      <w:r>
        <w:rPr>
          <w:color w:val="000000"/>
        </w:rPr>
        <w:t xml:space="preserve"> </w:t>
      </w:r>
      <w:r>
        <w:rPr>
          <w:rFonts w:ascii="Times New Roman;sans-serif" w:hAnsi="Times New Roman;sans-serif"/>
          <w:b w:val="false"/>
          <w:color w:val="000000"/>
          <w:sz w:val="16"/>
        </w:rPr>
        <w:t>Includes tax equity proceeds and distributions to tax equity partners</w:t>
      </w:r>
    </w:p>
    <w:p>
      <w:pPr>
        <w:pStyle w:val="TextBody"/>
        <w:bidi w:val="0"/>
        <w:spacing w:lineRule="auto" w:line="288"/>
        <w:jc w:val="left"/>
        <w:rPr/>
      </w:pPr>
      <w:r>
        <w:rPr>
          <w:rFonts w:ascii="Times New Roman;sans-serif" w:hAnsi="Times New Roman;sans-serif"/>
          <w:b w:val="false"/>
          <w:color w:val="000000"/>
          <w:sz w:val="13"/>
        </w:rPr>
        <w:t>10</w:t>
      </w:r>
      <w:r>
        <w:rPr>
          <w:color w:val="000000"/>
        </w:rPr>
        <w:t xml:space="preserve"> </w:t>
      </w:r>
      <w:r>
        <w:rPr>
          <w:rFonts w:ascii="Times New Roman;sans-serif" w:hAnsi="Times New Roman;sans-serif"/>
          <w:b w:val="false"/>
          <w:color w:val="000000"/>
          <w:sz w:val="16"/>
        </w:rPr>
        <w:t xml:space="preserve">2024 excludes maturities assumed to be refinanced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32740"/>
                <wp:effectExtent l="0" t="0" r="0" b="0"/>
                <wp:wrapNone/>
                <wp:docPr id="19" name="Frame1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color w:val="000000"/>
          <w:sz w:val="22"/>
        </w:rPr>
      </w:pPr>
      <w:r>
        <w:rPr>
          <w:rFonts w:ascii="Times New Roman;sans-serif" w:hAnsi="Times New Roman;sans-serif"/>
          <w:b/>
          <w:color w:val="000000"/>
          <w:sz w:val="22"/>
        </w:rPr>
        <w:t>Non-GAAP Financial Information</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EBITDA does not reflect cash expenditures, or future requirements for capital expenditures, or contractual commitments;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EBITDA does not reflect changes in, or cash requirements for, working capital needs;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EBITDA does not reflect the significant interest expense, or the cash requirements necessary to service interest or principal payments, on debt or cash income tax payments;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and amortized will often have to be replaced in the future, and EBITDA does not reflect any cash requirements for such replacements;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companies in this industry may calculate EBITDA differently than Clearway Energy does, limiting its usefulness as a comparative measure.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32740"/>
                <wp:effectExtent l="0" t="0" r="0" b="0"/>
                <wp:wrapNone/>
                <wp:docPr id="20" name="Frame1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Cash Available for Distribution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non-GAAP measure, Cash Available for Distribution is defined as of December 31, 2023 as Adjusted EBITDA plus cash distributions/return of investment from unconsolidated affiliates, cash receipts from notes receivable, cash distributions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 Management believes CAFD is a relevant supplemental measure of the Company’s ability to earn and distribute cash returns to investors.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pStyle w:val="TextBody"/>
        <w:bidi w:val="0"/>
        <w:spacing w:before="0" w:after="0"/>
        <w:jc w:val="both"/>
        <w:rPr/>
      </w:pPr>
      <w:r>
        <w:rPr/>
      </w:r>
    </w:p>
    <w:p>
      <w:pPr>
        <w:pStyle w:val="TextBody"/>
        <w:bidi w:val="0"/>
        <w:spacing w:before="4320" w:after="283"/>
        <w:ind w:left="0" w:right="0" w:firstLine="7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32740"/>
                <wp:effectExtent l="0" t="0" r="0" b="0"/>
                <wp:wrapNone/>
                <wp:docPr id="21" name="Frame2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6502</Words>
  <Characters>36923</Characters>
  <CharactersWithSpaces>42980</CharactersWithSpaces>
  <Paragraphs>1739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