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500"/>
        <w:spacing w:after="0"/>
        <w:tabs>
          <w:tab w:leader="none" w:pos="10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60" w:firstLine="648"/>
        <w:spacing w:after="0" w:line="291" w:lineRule="auto"/>
        <w:rPr>
          <w:sz w:val="20"/>
          <w:szCs w:val="20"/>
          <w:color w:val="auto"/>
        </w:rPr>
      </w:pPr>
      <w:r>
        <w:rPr>
          <w:rFonts w:ascii="Arial" w:cs="Arial" w:eastAsia="Arial" w:hAnsi="Arial"/>
          <w:sz w:val="16"/>
          <w:szCs w:val="16"/>
          <w:color w:val="auto"/>
        </w:rPr>
        <w:t>On October 1, 2018, Clearway Energy Operating LLC (“Clearway Operating”), a subsidiary of Clearway Energy LLC, completed the sale of $600 million aggregate principal amount of 5.750% senior notes due 2025 (the “Senior Notes”) pursuant to the terms of the purchase agreement, dated September 17, 2018 (the “Purchase Agreement”), among Clearway Operating, the guarantors named therein, and the initial purchasers set forth on Schedule A thereto (the “Initial Purchasers”). The Senior Notes were issued under an Indenture, dated October 1, 2018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April 15 and October 15 of each year beginning on April 15, 2019 until their maturity date of October 15, 2025.</w:t>
      </w:r>
    </w:p>
    <w:p>
      <w:pPr>
        <w:spacing w:after="0" w:line="16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25% in principal amount of the then outstanding series of Senior Notes may declare all the Senior Notes of such series to be due and payable immediately.</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160" w:firstLine="648"/>
        <w:spacing w:after="0" w:line="276" w:lineRule="auto"/>
        <w:rPr>
          <w:sz w:val="20"/>
          <w:szCs w:val="20"/>
          <w:color w:val="auto"/>
        </w:rPr>
      </w:pPr>
      <w:r>
        <w:rPr>
          <w:rFonts w:ascii="Arial" w:cs="Arial" w:eastAsia="Arial" w:hAnsi="Arial"/>
          <w:sz w:val="17"/>
          <w:szCs w:val="17"/>
          <w:color w:val="auto"/>
        </w:rPr>
        <w:t>The Senior Notes were sold to the Initial Purchasers for resale to qualified institutional buyers under Rule 144A and to persons outside the United States under Regulation S. Pursuant to the terms of the registration rights agreement, dated October 1, 2018 (the “Registration Rights Agreement”), among Clearway Operating, the guarantors named therein, and RBC Capital Markets, LLC, as representative of the Initial Purchasers, Clearway Operating has agreed to offer to exchange substantially identical senior notes that have been registered under the Securities Act of 1933, as amended (the “Securities Act”), for the Senior Notes, or, in certain circumstances, to register resales of the Senior Notes.</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the form of Senior Note and the Registration Rights Agreement, which are filed as exhibits 4.1, 4.2 and 4.3, respectively, to this Current Report on Form 8-K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gridSpan w:val="5"/>
            <w:vMerge w:val="restart"/>
          </w:tcPr>
          <w:p>
            <w:pPr>
              <w:ind w:left="39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200" w:type="dxa"/>
            <w:vAlign w:val="bottom"/>
            <w:tcBorders>
              <w:bottom w:val="single" w:sz="8" w:color="auto"/>
            </w:tcBorders>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377"/>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8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Indenture, dated October 1, 2018, among Clearway Energy Operating LLC, the guarantors named therein and Delaware Trust Company,</w:t>
              </w:r>
            </w:hyperlink>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as trustee.</w:t>
              </w:r>
            </w:hyperlink>
          </w:p>
        </w:tc>
        <w:tc>
          <w:tcPr>
            <w:tcW w:w="92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77"/>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Form of 5.750% Senior Notes due 2025 (incorporated by reference to Exhibit 4.1 filed herewith).</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77"/>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Registration Rights Agreement, dated October 1, 2018, among Clearway Energy Operating LLC, the guarantors named therein and RBC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Capital Markets, LLC, as representative of the initial purchasers.</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640" w:type="dxa"/>
            <w:vAlign w:val="bottom"/>
            <w:tcBorders>
              <w:top w:val="single" w:sz="8" w:color="0000EE"/>
            </w:tcBorders>
            <w:gridSpan w:val="2"/>
          </w:tcPr>
          <w:p>
            <w:pPr>
              <w:jc w:val="right"/>
              <w:ind w:right="328"/>
              <w:spacing w:after="0"/>
              <w:rPr>
                <w:sz w:val="20"/>
                <w:szCs w:val="20"/>
                <w:color w:val="auto"/>
              </w:rPr>
            </w:pPr>
            <w:r>
              <w:rPr>
                <w:rFonts w:ascii="Arial" w:cs="Arial" w:eastAsia="Arial" w:hAnsi="Arial"/>
                <w:sz w:val="18"/>
                <w:szCs w:val="18"/>
                <w:color w:val="auto"/>
              </w:rPr>
              <w:t>3</w:t>
            </w:r>
          </w:p>
        </w:tc>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2018</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EACH OF THE GUARANTORS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503555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83185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380" w:type="dxa"/>
            <w:vAlign w:val="bottom"/>
            <w:gridSpan w:val="3"/>
          </w:tcPr>
          <w:p>
            <w:pPr>
              <w:ind w:left="1500"/>
              <w:spacing w:after="0"/>
              <w:rPr>
                <w:sz w:val="20"/>
                <w:szCs w:val="20"/>
                <w:color w:val="auto"/>
              </w:rPr>
            </w:pPr>
            <w:r>
              <w:rPr>
                <w:rFonts w:ascii="Arial" w:cs="Arial" w:eastAsia="Arial" w:hAnsi="Arial"/>
                <w:sz w:val="18"/>
                <w:szCs w:val="18"/>
                <w:color w:val="auto"/>
              </w:rPr>
              <w:t>CROSS-REFERENCE TABLE*</w:t>
            </w:r>
          </w:p>
        </w:tc>
        <w:tc>
          <w:tcPr>
            <w:tcW w:w="0" w:type="dxa"/>
            <w:vAlign w:val="bottom"/>
          </w:tcPr>
          <w:p>
            <w:pPr>
              <w:spacing w:after="0"/>
              <w:rPr>
                <w:sz w:val="1"/>
                <w:szCs w:val="1"/>
                <w:color w:val="auto"/>
              </w:rPr>
            </w:pPr>
          </w:p>
        </w:tc>
      </w:tr>
      <w:tr>
        <w:trPr>
          <w:trHeight w:val="342"/>
        </w:trPr>
        <w:tc>
          <w:tcPr>
            <w:tcW w:w="3040" w:type="dxa"/>
            <w:vAlign w:val="bottom"/>
          </w:tcPr>
          <w:p>
            <w:pPr>
              <w:spacing w:after="0"/>
              <w:rPr>
                <w:sz w:val="20"/>
                <w:szCs w:val="20"/>
                <w:color w:val="auto"/>
              </w:rPr>
            </w:pPr>
            <w:r>
              <w:rPr>
                <w:rFonts w:ascii="Arial" w:cs="Arial" w:eastAsia="Arial" w:hAnsi="Arial"/>
                <w:sz w:val="14"/>
                <w:szCs w:val="14"/>
                <w:b w:val="1"/>
                <w:bCs w:val="1"/>
                <w:color w:val="auto"/>
              </w:rPr>
              <w:t>Trust Indenture</w:t>
            </w: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Indenture Section</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 Section</w:t>
            </w:r>
          </w:p>
        </w:tc>
        <w:tc>
          <w:tcPr>
            <w:tcW w:w="58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310(a)(1)</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(a)(2)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(a)(3)</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(a)(4)</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(a)(5)</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311(a)</w:t>
            </w:r>
          </w:p>
        </w:tc>
        <w:tc>
          <w:tcPr>
            <w:tcW w:w="8380" w:type="dxa"/>
            <w:vAlign w:val="bottom"/>
            <w:gridSpan w:val="3"/>
          </w:tcPr>
          <w:p>
            <w:pPr>
              <w:jc w:val="center"/>
              <w:ind w:left="6030"/>
              <w:spacing w:after="0"/>
              <w:rPr>
                <w:sz w:val="20"/>
                <w:szCs w:val="20"/>
                <w:color w:val="auto"/>
              </w:rPr>
            </w:pPr>
            <w:r>
              <w:rPr>
                <w:rFonts w:ascii="Arial" w:cs="Arial" w:eastAsia="Arial" w:hAnsi="Arial"/>
                <w:sz w:val="18"/>
                <w:szCs w:val="18"/>
                <w:color w:val="auto"/>
                <w:w w:val="85"/>
              </w:rPr>
              <w:t>7.11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shd w:val="clear" w:color="auto" w:fill="CCEEFF"/>
          </w:tcPr>
          <w:p>
            <w:pPr>
              <w:jc w:val="center"/>
              <w:ind w:left="6030"/>
              <w:spacing w:after="0"/>
              <w:rPr>
                <w:sz w:val="20"/>
                <w:szCs w:val="20"/>
                <w:color w:val="auto"/>
              </w:rPr>
            </w:pPr>
            <w:r>
              <w:rPr>
                <w:rFonts w:ascii="Arial" w:cs="Arial" w:eastAsia="Arial" w:hAnsi="Arial"/>
                <w:sz w:val="18"/>
                <w:szCs w:val="18"/>
                <w:color w:val="auto"/>
                <w:w w:val="85"/>
              </w:rPr>
              <w:t>7.11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(c)</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312(a)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2.05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12.03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313(a)</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(b)(1)</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10.03</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9"/>
              </w:rPr>
              <w:t>7.06; 7.07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0"/>
              </w:rPr>
              <w:t>7.06; 10.03; 12.02</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314(a)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0"/>
              </w:rPr>
              <w:t>4.03; 12.02; 12.05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10.02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(c)(1)</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(c)(2)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(c)(3)</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0"/>
              </w:rPr>
              <w:t>10.03; 10.04; 10.05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(f)</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315(a)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30"/>
              <w:spacing w:after="0"/>
              <w:rPr>
                <w:sz w:val="20"/>
                <w:szCs w:val="20"/>
                <w:color w:val="auto"/>
              </w:rPr>
            </w:pPr>
            <w:r>
              <w:rPr>
                <w:rFonts w:ascii="Arial" w:cs="Arial" w:eastAsia="Arial" w:hAnsi="Arial"/>
                <w:sz w:val="18"/>
                <w:szCs w:val="18"/>
                <w:color w:val="auto"/>
                <w:w w:val="90"/>
              </w:rPr>
              <w:t>7.05; 12.02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w:t>
            </w:r>
          </w:p>
        </w:tc>
        <w:tc>
          <w:tcPr>
            <w:tcW w:w="8380" w:type="dxa"/>
            <w:vAlign w:val="bottom"/>
            <w:gridSpan w:val="3"/>
            <w:shd w:val="clear" w:color="auto" w:fill="CCEEFF"/>
          </w:tcPr>
          <w:p>
            <w:pPr>
              <w:jc w:val="center"/>
              <w:ind w:left="6030"/>
              <w:spacing w:after="0"/>
              <w:rPr>
                <w:sz w:val="20"/>
                <w:szCs w:val="20"/>
                <w:color w:val="auto"/>
              </w:rPr>
            </w:pPr>
            <w:r>
              <w:rPr>
                <w:rFonts w:ascii="Arial" w:cs="Arial" w:eastAsia="Arial" w:hAnsi="Arial"/>
                <w:sz w:val="18"/>
                <w:szCs w:val="18"/>
                <w:color w:val="auto"/>
                <w:w w:val="85"/>
              </w:rPr>
              <w:t>6.11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316(a) (last sentence)</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2.10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(a)(1)(A)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6.05</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(a)(1)(B)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(a)(2)</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317(a)(1)</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(a)(2)</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6.09</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2.04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318(a)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12.01</w:t>
            </w:r>
          </w:p>
        </w:tc>
        <w:tc>
          <w:tcPr>
            <w:tcW w:w="0" w:type="dxa"/>
            <w:vAlign w:val="bottom"/>
          </w:tcPr>
          <w:p>
            <w:pPr>
              <w:spacing w:after="0"/>
              <w:rPr>
                <w:sz w:val="1"/>
                <w:szCs w:val="1"/>
                <w:color w:val="auto"/>
              </w:rPr>
            </w:pPr>
          </w:p>
        </w:tc>
      </w:tr>
      <w:tr>
        <w:trPr>
          <w:trHeight w:val="216"/>
        </w:trPr>
        <w:tc>
          <w:tcPr>
            <w:tcW w:w="3040" w:type="dxa"/>
            <w:vAlign w:val="bottom"/>
          </w:tcPr>
          <w:p>
            <w:pPr>
              <w:ind w:left="300"/>
              <w:spacing w:after="0"/>
              <w:rPr>
                <w:sz w:val="20"/>
                <w:szCs w:val="20"/>
                <w:color w:val="auto"/>
              </w:rPr>
            </w:pPr>
            <w:r>
              <w:rPr>
                <w:rFonts w:ascii="Arial" w:cs="Arial" w:eastAsia="Arial" w:hAnsi="Arial"/>
                <w:sz w:val="18"/>
                <w:szCs w:val="18"/>
                <w:color w:val="auto"/>
              </w:rPr>
              <w:t>(b)</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5"/>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1"/>
        </w:trPr>
        <w:tc>
          <w:tcPr>
            <w:tcW w:w="1180" w:type="dxa"/>
            <w:vAlign w:val="bottom"/>
          </w:tcPr>
          <w:p>
            <w:pPr>
              <w:spacing w:after="0"/>
              <w:rPr>
                <w:sz w:val="24"/>
                <w:szCs w:val="24"/>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6"/>
              </w:rPr>
              <w:t>ARTICLE 1</w:t>
            </w: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7"/>
              </w:rPr>
              <w:t>DEFINITIONS AND INCORPORATION</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4"/>
              </w:rPr>
              <w:t>BY REFERENCE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1.01</w:t>
            </w:r>
          </w:p>
        </w:tc>
        <w:tc>
          <w:tcPr>
            <w:tcW w:w="910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1.02</w:t>
            </w:r>
          </w:p>
        </w:tc>
        <w:tc>
          <w:tcPr>
            <w:tcW w:w="910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1.03</w:t>
            </w:r>
          </w:p>
        </w:tc>
        <w:tc>
          <w:tcPr>
            <w:tcW w:w="9100" w:type="dxa"/>
            <w:vAlign w:val="bottom"/>
          </w:tcPr>
          <w:p>
            <w:pPr>
              <w:ind w:left="280"/>
              <w:spacing w:after="0"/>
              <w:rPr>
                <w:sz w:val="20"/>
                <w:szCs w:val="20"/>
                <w:color w:val="auto"/>
              </w:rPr>
            </w:pPr>
            <w:r>
              <w:rPr>
                <w:rFonts w:ascii="Arial" w:cs="Arial" w:eastAsia="Arial" w:hAnsi="Arial"/>
                <w:sz w:val="18"/>
                <w:szCs w:val="18"/>
                <w:color w:val="auto"/>
              </w:rPr>
              <w:t>Incorporation by Reference of Trust Indenture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1.04</w:t>
            </w:r>
          </w:p>
        </w:tc>
        <w:tc>
          <w:tcPr>
            <w:tcW w:w="910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6"/>
              </w:rPr>
              <w:t>ARTICLE 2</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6"/>
              </w:rPr>
              <w:t>THE ISSUANCE OF NOTES AND ADDITIONAL SECURITIES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2.01</w:t>
            </w:r>
          </w:p>
        </w:tc>
        <w:tc>
          <w:tcPr>
            <w:tcW w:w="9100" w:type="dxa"/>
            <w:vAlign w:val="bottom"/>
          </w:tcPr>
          <w:p>
            <w:pPr>
              <w:ind w:left="280"/>
              <w:spacing w:after="0"/>
              <w:rPr>
                <w:sz w:val="20"/>
                <w:szCs w:val="20"/>
                <w:color w:val="auto"/>
              </w:rPr>
            </w:pPr>
            <w:r>
              <w:rPr>
                <w:rFonts w:ascii="Arial" w:cs="Arial" w:eastAsia="Arial" w:hAnsi="Arial"/>
                <w:sz w:val="18"/>
                <w:szCs w:val="18"/>
                <w:color w:val="auto"/>
              </w:rPr>
              <w:t>Form and Dating of Notes; Creation of Additional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2.02</w:t>
            </w:r>
          </w:p>
        </w:tc>
        <w:tc>
          <w:tcPr>
            <w:tcW w:w="910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2.03</w:t>
            </w:r>
          </w:p>
        </w:tc>
        <w:tc>
          <w:tcPr>
            <w:tcW w:w="9100" w:type="dxa"/>
            <w:vAlign w:val="bottom"/>
          </w:tcPr>
          <w:p>
            <w:pPr>
              <w:ind w:left="280"/>
              <w:spacing w:after="0"/>
              <w:rPr>
                <w:sz w:val="20"/>
                <w:szCs w:val="20"/>
                <w:color w:val="auto"/>
              </w:rPr>
            </w:pPr>
            <w:r>
              <w:rPr>
                <w:rFonts w:ascii="Arial" w:cs="Arial" w:eastAsia="Arial" w:hAnsi="Arial"/>
                <w:sz w:val="18"/>
                <w:szCs w:val="18"/>
                <w:color w:val="auto"/>
              </w:rPr>
              <w:t>Registrar and Paying Agent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2.04</w:t>
            </w:r>
          </w:p>
        </w:tc>
        <w:tc>
          <w:tcPr>
            <w:tcW w:w="910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2.05</w:t>
            </w:r>
          </w:p>
        </w:tc>
        <w:tc>
          <w:tcPr>
            <w:tcW w:w="9100" w:type="dxa"/>
            <w:vAlign w:val="bottom"/>
          </w:tcPr>
          <w:p>
            <w:pPr>
              <w:ind w:left="280"/>
              <w:spacing w:after="0"/>
              <w:rPr>
                <w:sz w:val="20"/>
                <w:szCs w:val="20"/>
                <w:color w:val="auto"/>
              </w:rPr>
            </w:pPr>
            <w:r>
              <w:rPr>
                <w:rFonts w:ascii="Arial" w:cs="Arial" w:eastAsia="Arial" w:hAnsi="Arial"/>
                <w:sz w:val="18"/>
                <w:szCs w:val="18"/>
                <w:color w:val="auto"/>
              </w:rPr>
              <w:t>Holder Lists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2.06</w:t>
            </w:r>
          </w:p>
        </w:tc>
        <w:tc>
          <w:tcPr>
            <w:tcW w:w="910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2.07</w:t>
            </w:r>
          </w:p>
        </w:tc>
        <w:tc>
          <w:tcPr>
            <w:tcW w:w="9100" w:type="dxa"/>
            <w:vAlign w:val="bottom"/>
          </w:tcPr>
          <w:p>
            <w:pPr>
              <w:ind w:left="280"/>
              <w:spacing w:after="0"/>
              <w:rPr>
                <w:sz w:val="20"/>
                <w:szCs w:val="20"/>
                <w:color w:val="auto"/>
              </w:rPr>
            </w:pPr>
            <w:r>
              <w:rPr>
                <w:rFonts w:ascii="Arial" w:cs="Arial" w:eastAsia="Arial" w:hAnsi="Arial"/>
                <w:sz w:val="18"/>
                <w:szCs w:val="18"/>
                <w:color w:val="auto"/>
              </w:rPr>
              <w:t>Issuance of Additional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2.08</w:t>
            </w:r>
          </w:p>
        </w:tc>
        <w:tc>
          <w:tcPr>
            <w:tcW w:w="9100" w:type="dxa"/>
            <w:vAlign w:val="bottom"/>
          </w:tcPr>
          <w:p>
            <w:pPr>
              <w:ind w:left="280"/>
              <w:spacing w:after="0"/>
              <w:rPr>
                <w:sz w:val="20"/>
                <w:szCs w:val="20"/>
                <w:color w:val="auto"/>
              </w:rPr>
            </w:pPr>
            <w:r>
              <w:rPr>
                <w:rFonts w:ascii="Arial" w:cs="Arial" w:eastAsia="Arial" w:hAnsi="Arial"/>
                <w:sz w:val="18"/>
                <w:szCs w:val="18"/>
                <w:color w:val="auto"/>
              </w:rPr>
              <w:t>Replacement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2.09</w:t>
            </w:r>
          </w:p>
        </w:tc>
        <w:tc>
          <w:tcPr>
            <w:tcW w:w="9100" w:type="dxa"/>
            <w:vAlign w:val="bottom"/>
          </w:tcPr>
          <w:p>
            <w:pPr>
              <w:ind w:left="280"/>
              <w:spacing w:after="0"/>
              <w:rPr>
                <w:sz w:val="20"/>
                <w:szCs w:val="20"/>
                <w:color w:val="auto"/>
              </w:rPr>
            </w:pPr>
            <w:r>
              <w:rPr>
                <w:rFonts w:ascii="Arial" w:cs="Arial" w:eastAsia="Arial" w:hAnsi="Arial"/>
                <w:sz w:val="18"/>
                <w:szCs w:val="18"/>
                <w:color w:val="auto"/>
              </w:rPr>
              <w:t>Outstanding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2.10</w:t>
            </w:r>
          </w:p>
        </w:tc>
        <w:tc>
          <w:tcPr>
            <w:tcW w:w="9100" w:type="dxa"/>
            <w:vAlign w:val="bottom"/>
          </w:tcPr>
          <w:p>
            <w:pPr>
              <w:ind w:left="280"/>
              <w:spacing w:after="0"/>
              <w:rPr>
                <w:sz w:val="20"/>
                <w:szCs w:val="20"/>
                <w:color w:val="auto"/>
              </w:rPr>
            </w:pPr>
            <w:r>
              <w:rPr>
                <w:rFonts w:ascii="Arial" w:cs="Arial" w:eastAsia="Arial" w:hAnsi="Arial"/>
                <w:sz w:val="18"/>
                <w:szCs w:val="18"/>
                <w:color w:val="auto"/>
              </w:rPr>
              <w:t>Treasury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2.11</w:t>
            </w:r>
          </w:p>
        </w:tc>
        <w:tc>
          <w:tcPr>
            <w:tcW w:w="910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2.12</w:t>
            </w:r>
          </w:p>
        </w:tc>
        <w:tc>
          <w:tcPr>
            <w:tcW w:w="910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2.13</w:t>
            </w:r>
          </w:p>
        </w:tc>
        <w:tc>
          <w:tcPr>
            <w:tcW w:w="910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100" w:type="dxa"/>
            <w:vAlign w:val="bottom"/>
          </w:tcPr>
          <w:p>
            <w:pPr>
              <w:ind w:left="4140"/>
              <w:spacing w:after="0"/>
              <w:rPr>
                <w:sz w:val="20"/>
                <w:szCs w:val="20"/>
                <w:color w:val="auto"/>
              </w:rPr>
            </w:pPr>
            <w:r>
              <w:rPr>
                <w:rFonts w:ascii="Arial" w:cs="Arial" w:eastAsia="Arial" w:hAnsi="Arial"/>
                <w:sz w:val="18"/>
                <w:szCs w:val="18"/>
                <w:color w:val="auto"/>
              </w:rPr>
              <w:t>ARTICLE 3</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5"/>
              </w:rPr>
              <w:t>REDEMPTION AND PREPAYMENT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3.01</w:t>
            </w:r>
          </w:p>
        </w:tc>
        <w:tc>
          <w:tcPr>
            <w:tcW w:w="9100" w:type="dxa"/>
            <w:vAlign w:val="bottom"/>
          </w:tcPr>
          <w:p>
            <w:pPr>
              <w:ind w:left="280"/>
              <w:spacing w:after="0"/>
              <w:rPr>
                <w:sz w:val="20"/>
                <w:szCs w:val="20"/>
                <w:color w:val="auto"/>
              </w:rPr>
            </w:pPr>
            <w:r>
              <w:rPr>
                <w:rFonts w:ascii="Arial" w:cs="Arial" w:eastAsia="Arial" w:hAnsi="Arial"/>
                <w:sz w:val="18"/>
                <w:szCs w:val="18"/>
                <w:color w:val="auto"/>
              </w:rPr>
              <w:t>Notices to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3.02</w:t>
            </w:r>
          </w:p>
        </w:tc>
        <w:tc>
          <w:tcPr>
            <w:tcW w:w="9100" w:type="dxa"/>
            <w:vAlign w:val="bottom"/>
          </w:tcPr>
          <w:p>
            <w:pPr>
              <w:ind w:left="280"/>
              <w:spacing w:after="0"/>
              <w:rPr>
                <w:sz w:val="20"/>
                <w:szCs w:val="20"/>
                <w:color w:val="auto"/>
              </w:rPr>
            </w:pPr>
            <w:r>
              <w:rPr>
                <w:rFonts w:ascii="Arial" w:cs="Arial" w:eastAsia="Arial" w:hAnsi="Arial"/>
                <w:sz w:val="18"/>
                <w:szCs w:val="18"/>
                <w:color w:val="auto"/>
              </w:rPr>
              <w:t>Selection of Notes to Be Redeemed or Purchased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3.03</w:t>
            </w:r>
          </w:p>
        </w:tc>
        <w:tc>
          <w:tcPr>
            <w:tcW w:w="910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3.04</w:t>
            </w:r>
          </w:p>
        </w:tc>
        <w:tc>
          <w:tcPr>
            <w:tcW w:w="910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3.05</w:t>
            </w:r>
          </w:p>
        </w:tc>
        <w:tc>
          <w:tcPr>
            <w:tcW w:w="9100" w:type="dxa"/>
            <w:vAlign w:val="bottom"/>
          </w:tcPr>
          <w:p>
            <w:pPr>
              <w:ind w:left="280"/>
              <w:spacing w:after="0"/>
              <w:rPr>
                <w:sz w:val="20"/>
                <w:szCs w:val="20"/>
                <w:color w:val="auto"/>
              </w:rPr>
            </w:pPr>
            <w:r>
              <w:rPr>
                <w:rFonts w:ascii="Arial" w:cs="Arial" w:eastAsia="Arial" w:hAnsi="Arial"/>
                <w:sz w:val="18"/>
                <w:szCs w:val="18"/>
                <w:color w:val="auto"/>
              </w:rPr>
              <w:t>Deposit of Redemption or Purchase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3.06</w:t>
            </w:r>
          </w:p>
        </w:tc>
        <w:tc>
          <w:tcPr>
            <w:tcW w:w="9100" w:type="dxa"/>
            <w:vAlign w:val="bottom"/>
          </w:tcPr>
          <w:p>
            <w:pPr>
              <w:ind w:left="280"/>
              <w:spacing w:after="0"/>
              <w:rPr>
                <w:sz w:val="20"/>
                <w:szCs w:val="20"/>
                <w:color w:val="auto"/>
              </w:rPr>
            </w:pPr>
            <w:r>
              <w:rPr>
                <w:rFonts w:ascii="Arial" w:cs="Arial" w:eastAsia="Arial" w:hAnsi="Arial"/>
                <w:sz w:val="18"/>
                <w:szCs w:val="18"/>
                <w:color w:val="auto"/>
              </w:rPr>
              <w:t>Notes Redeemed or Purchased in Part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3.07</w:t>
            </w:r>
          </w:p>
        </w:tc>
        <w:tc>
          <w:tcPr>
            <w:tcW w:w="9100" w:type="dxa"/>
            <w:vAlign w:val="bottom"/>
          </w:tcPr>
          <w:p>
            <w:pPr>
              <w:ind w:left="280"/>
              <w:spacing w:after="0"/>
              <w:rPr>
                <w:sz w:val="20"/>
                <w:szCs w:val="20"/>
                <w:color w:val="auto"/>
              </w:rPr>
            </w:pPr>
            <w:r>
              <w:rPr>
                <w:rFonts w:ascii="Arial" w:cs="Arial" w:eastAsia="Arial" w:hAnsi="Arial"/>
                <w:sz w:val="18"/>
                <w:szCs w:val="18"/>
                <w:color w:val="auto"/>
              </w:rPr>
              <w:t>Optional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3.08</w:t>
            </w:r>
          </w:p>
        </w:tc>
        <w:tc>
          <w:tcPr>
            <w:tcW w:w="9100" w:type="dxa"/>
            <w:vAlign w:val="bottom"/>
          </w:tcPr>
          <w:p>
            <w:pPr>
              <w:ind w:left="280"/>
              <w:spacing w:after="0"/>
              <w:rPr>
                <w:sz w:val="20"/>
                <w:szCs w:val="20"/>
                <w:color w:val="auto"/>
              </w:rPr>
            </w:pPr>
            <w:r>
              <w:rPr>
                <w:rFonts w:ascii="Arial" w:cs="Arial" w:eastAsia="Arial" w:hAnsi="Arial"/>
                <w:sz w:val="18"/>
                <w:szCs w:val="18"/>
                <w:color w:val="auto"/>
              </w:rPr>
              <w:t>Mandatory Redemption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100" w:type="dxa"/>
            <w:vAlign w:val="bottom"/>
          </w:tcPr>
          <w:p>
            <w:pPr>
              <w:ind w:left="4140"/>
              <w:spacing w:after="0"/>
              <w:rPr>
                <w:sz w:val="20"/>
                <w:szCs w:val="20"/>
                <w:color w:val="auto"/>
              </w:rPr>
            </w:pPr>
            <w:r>
              <w:rPr>
                <w:rFonts w:ascii="Arial" w:cs="Arial" w:eastAsia="Arial" w:hAnsi="Arial"/>
                <w:sz w:val="18"/>
                <w:szCs w:val="18"/>
                <w:color w:val="auto"/>
              </w:rPr>
              <w:t>ARTICLE 4</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8"/>
              </w:rPr>
              <w:t>COVENANTS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4.01</w:t>
            </w:r>
          </w:p>
        </w:tc>
        <w:tc>
          <w:tcPr>
            <w:tcW w:w="9100" w:type="dxa"/>
            <w:vAlign w:val="bottom"/>
          </w:tcPr>
          <w:p>
            <w:pPr>
              <w:ind w:left="280"/>
              <w:spacing w:after="0"/>
              <w:rPr>
                <w:sz w:val="20"/>
                <w:szCs w:val="20"/>
                <w:color w:val="auto"/>
              </w:rPr>
            </w:pPr>
            <w:r>
              <w:rPr>
                <w:rFonts w:ascii="Arial" w:cs="Arial" w:eastAsia="Arial" w:hAnsi="Arial"/>
                <w:sz w:val="18"/>
                <w:szCs w:val="18"/>
                <w:color w:val="auto"/>
              </w:rPr>
              <w:t>Payment of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4.02</w:t>
            </w:r>
          </w:p>
        </w:tc>
        <w:tc>
          <w:tcPr>
            <w:tcW w:w="910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4.03</w:t>
            </w:r>
          </w:p>
        </w:tc>
        <w:tc>
          <w:tcPr>
            <w:tcW w:w="9100" w:type="dxa"/>
            <w:vAlign w:val="bottom"/>
          </w:tcPr>
          <w:p>
            <w:pPr>
              <w:ind w:left="280"/>
              <w:spacing w:after="0"/>
              <w:rPr>
                <w:sz w:val="20"/>
                <w:szCs w:val="20"/>
                <w:color w:val="auto"/>
              </w:rPr>
            </w:pPr>
            <w:r>
              <w:rPr>
                <w:rFonts w:ascii="Arial" w:cs="Arial" w:eastAsia="Arial" w:hAnsi="Arial"/>
                <w:sz w:val="18"/>
                <w:szCs w:val="18"/>
                <w:color w:val="auto"/>
              </w:rPr>
              <w:t>Reports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4.04</w:t>
            </w:r>
          </w:p>
        </w:tc>
        <w:tc>
          <w:tcPr>
            <w:tcW w:w="910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4.05</w:t>
            </w:r>
          </w:p>
        </w:tc>
        <w:tc>
          <w:tcPr>
            <w:tcW w:w="9100" w:type="dxa"/>
            <w:vAlign w:val="bottom"/>
          </w:tcPr>
          <w:p>
            <w:pPr>
              <w:ind w:left="280"/>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4.06</w:t>
            </w:r>
          </w:p>
        </w:tc>
        <w:tc>
          <w:tcPr>
            <w:tcW w:w="910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4.07</w:t>
            </w:r>
          </w:p>
        </w:tc>
        <w:tc>
          <w:tcPr>
            <w:tcW w:w="9100" w:type="dxa"/>
            <w:vAlign w:val="bottom"/>
          </w:tcPr>
          <w:p>
            <w:pPr>
              <w:ind w:left="280"/>
              <w:spacing w:after="0"/>
              <w:rPr>
                <w:sz w:val="20"/>
                <w:szCs w:val="20"/>
                <w:color w:val="auto"/>
              </w:rPr>
            </w:pPr>
            <w:r>
              <w:rPr>
                <w:rFonts w:ascii="Arial" w:cs="Arial" w:eastAsia="Arial" w:hAnsi="Arial"/>
                <w:sz w:val="18"/>
                <w:szCs w:val="18"/>
                <w:color w:val="auto"/>
              </w:rPr>
              <w:t>Liens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4.08</w:t>
            </w:r>
          </w:p>
        </w:tc>
        <w:tc>
          <w:tcPr>
            <w:tcW w:w="9100" w:type="dxa"/>
            <w:vAlign w:val="bottom"/>
          </w:tcPr>
          <w:p>
            <w:pPr>
              <w:ind w:left="280"/>
              <w:spacing w:after="0"/>
              <w:rPr>
                <w:sz w:val="20"/>
                <w:szCs w:val="20"/>
                <w:color w:val="auto"/>
              </w:rPr>
            </w:pPr>
            <w:r>
              <w:rPr>
                <w:rFonts w:ascii="Arial" w:cs="Arial" w:eastAsia="Arial" w:hAnsi="Arial"/>
                <w:sz w:val="18"/>
                <w:szCs w:val="18"/>
                <w:color w:val="auto"/>
              </w:rPr>
              <w:t>Limited Liability Company Existence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4.09</w:t>
            </w:r>
          </w:p>
        </w:tc>
        <w:tc>
          <w:tcPr>
            <w:tcW w:w="9100" w:type="dxa"/>
            <w:vAlign w:val="bottom"/>
          </w:tcPr>
          <w:p>
            <w:pPr>
              <w:ind w:left="280"/>
              <w:spacing w:after="0"/>
              <w:rPr>
                <w:sz w:val="20"/>
                <w:szCs w:val="20"/>
                <w:color w:val="auto"/>
              </w:rPr>
            </w:pPr>
            <w:r>
              <w:rPr>
                <w:rFonts w:ascii="Arial" w:cs="Arial" w:eastAsia="Arial" w:hAnsi="Arial"/>
                <w:sz w:val="18"/>
                <w:szCs w:val="18"/>
                <w:color w:val="auto"/>
              </w:rPr>
              <w:t>Offer to Repurchase Upon Change of Control Triggering Event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4.10</w:t>
            </w:r>
          </w:p>
        </w:tc>
        <w:tc>
          <w:tcPr>
            <w:tcW w:w="9100" w:type="dxa"/>
            <w:vAlign w:val="bottom"/>
          </w:tcPr>
          <w:p>
            <w:pPr>
              <w:ind w:left="280"/>
              <w:spacing w:after="0"/>
              <w:rPr>
                <w:sz w:val="20"/>
                <w:szCs w:val="20"/>
                <w:color w:val="auto"/>
              </w:rPr>
            </w:pPr>
            <w:r>
              <w:rPr>
                <w:rFonts w:ascii="Arial" w:cs="Arial" w:eastAsia="Arial" w:hAnsi="Arial"/>
                <w:sz w:val="18"/>
                <w:szCs w:val="18"/>
                <w:color w:val="auto"/>
              </w:rPr>
              <w:t>Additional Subsidiary Guarantees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8"/>
        </w:trPr>
        <w:tc>
          <w:tcPr>
            <w:tcW w:w="118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713"/>
        </w:trPr>
        <w:tc>
          <w:tcPr>
            <w:tcW w:w="1180" w:type="dxa"/>
            <w:vAlign w:val="bottom"/>
            <w:vMerge w:val="restart"/>
          </w:tcPr>
          <w:p>
            <w:pPr>
              <w:spacing w:after="0"/>
              <w:rPr>
                <w:sz w:val="20"/>
                <w:szCs w:val="20"/>
                <w:color w:val="auto"/>
              </w:rPr>
            </w:pPr>
            <w:r>
              <w:rPr>
                <w:rFonts w:ascii="Arial" w:cs="Arial" w:eastAsia="Arial" w:hAnsi="Arial"/>
                <w:sz w:val="18"/>
                <w:szCs w:val="18"/>
                <w:color w:val="auto"/>
              </w:rPr>
              <w:t>Section 4.11</w:t>
            </w:r>
          </w:p>
        </w:tc>
        <w:tc>
          <w:tcPr>
            <w:tcW w:w="9100" w:type="dxa"/>
            <w:vAlign w:val="bottom"/>
            <w:vMerge w:val="restart"/>
          </w:tcPr>
          <w:p>
            <w:pPr>
              <w:ind w:left="280"/>
              <w:spacing w:after="0"/>
              <w:rPr>
                <w:sz w:val="20"/>
                <w:szCs w:val="20"/>
                <w:color w:val="auto"/>
              </w:rPr>
            </w:pPr>
            <w:r>
              <w:rPr>
                <w:rFonts w:ascii="Arial" w:cs="Arial" w:eastAsia="Arial" w:hAnsi="Arial"/>
                <w:sz w:val="18"/>
                <w:szCs w:val="18"/>
                <w:color w:val="auto"/>
              </w:rPr>
              <w:t>Holding Company Status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9100" w:type="dxa"/>
            <w:vAlign w:val="bottom"/>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180" w:type="dxa"/>
            <w:vAlign w:val="bottom"/>
          </w:tcPr>
          <w:p>
            <w:pPr>
              <w:spacing w:after="0"/>
              <w:rPr>
                <w:sz w:val="24"/>
                <w:szCs w:val="24"/>
                <w:color w:val="auto"/>
              </w:rPr>
            </w:pPr>
          </w:p>
        </w:tc>
        <w:tc>
          <w:tcPr>
            <w:tcW w:w="9100" w:type="dxa"/>
            <w:vAlign w:val="bottom"/>
          </w:tcPr>
          <w:p>
            <w:pPr>
              <w:ind w:left="4140"/>
              <w:spacing w:after="0"/>
              <w:rPr>
                <w:sz w:val="20"/>
                <w:szCs w:val="20"/>
                <w:color w:val="auto"/>
              </w:rPr>
            </w:pPr>
            <w:r>
              <w:rPr>
                <w:rFonts w:ascii="Arial" w:cs="Arial" w:eastAsia="Arial" w:hAnsi="Arial"/>
                <w:sz w:val="18"/>
                <w:szCs w:val="18"/>
                <w:color w:val="auto"/>
              </w:rPr>
              <w:t>ARTICLE 5</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100" w:type="dxa"/>
            <w:vAlign w:val="bottom"/>
          </w:tcPr>
          <w:p>
            <w:pPr>
              <w:jc w:val="center"/>
              <w:spacing w:after="0"/>
              <w:rPr>
                <w:sz w:val="20"/>
                <w:szCs w:val="20"/>
                <w:color w:val="auto"/>
              </w:rPr>
            </w:pPr>
            <w:r>
              <w:rPr>
                <w:rFonts w:ascii="Arial" w:cs="Arial" w:eastAsia="Arial" w:hAnsi="Arial"/>
                <w:sz w:val="18"/>
                <w:szCs w:val="18"/>
                <w:color w:val="auto"/>
                <w:w w:val="90"/>
              </w:rPr>
              <w:t>SUCCESSORS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5.01</w:t>
            </w:r>
          </w:p>
        </w:tc>
        <w:tc>
          <w:tcPr>
            <w:tcW w:w="9100" w:type="dxa"/>
            <w:vAlign w:val="bottom"/>
          </w:tcPr>
          <w:p>
            <w:pPr>
              <w:ind w:left="280"/>
              <w:spacing w:after="0"/>
              <w:rPr>
                <w:sz w:val="20"/>
                <w:szCs w:val="20"/>
                <w:color w:val="auto"/>
              </w:rPr>
            </w:pPr>
            <w:r>
              <w:rPr>
                <w:rFonts w:ascii="Arial" w:cs="Arial" w:eastAsia="Arial" w:hAnsi="Arial"/>
                <w:sz w:val="18"/>
                <w:szCs w:val="18"/>
                <w:color w:val="auto"/>
              </w:rPr>
              <w:t>Merger, Consolidation or Sale of Assets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5.02</w:t>
            </w:r>
          </w:p>
        </w:tc>
        <w:tc>
          <w:tcPr>
            <w:tcW w:w="9100" w:type="dxa"/>
            <w:vAlign w:val="bottom"/>
          </w:tcPr>
          <w:p>
            <w:pPr>
              <w:ind w:left="280"/>
              <w:spacing w:after="0"/>
              <w:rPr>
                <w:sz w:val="20"/>
                <w:szCs w:val="20"/>
                <w:color w:val="auto"/>
              </w:rPr>
            </w:pPr>
            <w:r>
              <w:rPr>
                <w:rFonts w:ascii="Arial" w:cs="Arial" w:eastAsia="Arial" w:hAnsi="Arial"/>
                <w:sz w:val="18"/>
                <w:szCs w:val="18"/>
                <w:color w:val="auto"/>
              </w:rPr>
              <w:t>Successor Entity Substituted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-1450975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ectPr>
          <w:pgSz w:w="11900" w:h="16902" w:orient="portrait"/>
          <w:cols w:equalWidth="0" w:num="1">
            <w:col w:w="11460"/>
          </w:cols>
          <w:pgMar w:left="240" w:top="247"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904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9040" w:type="dxa"/>
            <w:vAlign w:val="bottom"/>
          </w:tcPr>
          <w:p>
            <w:pPr>
              <w:ind w:left="220"/>
              <w:spacing w:after="0"/>
              <w:rPr>
                <w:sz w:val="20"/>
                <w:szCs w:val="20"/>
                <w:color w:val="auto"/>
              </w:rPr>
            </w:pPr>
            <w:r>
              <w:rPr>
                <w:rFonts w:ascii="Arial" w:cs="Arial" w:eastAsia="Arial" w:hAnsi="Arial"/>
                <w:sz w:val="18"/>
                <w:szCs w:val="18"/>
                <w:color w:val="auto"/>
              </w:rPr>
              <w:t>Acceleration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904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904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904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904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9040" w:type="dxa"/>
            <w:vAlign w:val="bottom"/>
          </w:tcPr>
          <w:p>
            <w:pPr>
              <w:ind w:left="220"/>
              <w:spacing w:after="0"/>
              <w:rPr>
                <w:sz w:val="20"/>
                <w:szCs w:val="20"/>
                <w:color w:val="auto"/>
              </w:rPr>
            </w:pPr>
            <w:r>
              <w:rPr>
                <w:rFonts w:ascii="Arial" w:cs="Arial" w:eastAsia="Arial" w:hAnsi="Arial"/>
                <w:sz w:val="18"/>
                <w:szCs w:val="18"/>
                <w:color w:val="auto"/>
              </w:rPr>
              <w:t>Rights of Holders of Notes to Receive Payment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9040" w:type="dxa"/>
            <w:vAlign w:val="bottom"/>
          </w:tcPr>
          <w:p>
            <w:pPr>
              <w:ind w:left="220"/>
              <w:spacing w:after="0"/>
              <w:rPr>
                <w:sz w:val="20"/>
                <w:szCs w:val="20"/>
                <w:color w:val="auto"/>
              </w:rPr>
            </w:pPr>
            <w:r>
              <w:rPr>
                <w:rFonts w:ascii="Arial" w:cs="Arial" w:eastAsia="Arial" w:hAnsi="Arial"/>
                <w:sz w:val="18"/>
                <w:szCs w:val="18"/>
                <w:color w:val="auto"/>
              </w:rPr>
              <w:t>Collection Suit by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904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9040" w:type="dxa"/>
            <w:vAlign w:val="bottom"/>
          </w:tcPr>
          <w:p>
            <w:pPr>
              <w:ind w:left="220"/>
              <w:spacing w:after="0"/>
              <w:rPr>
                <w:sz w:val="20"/>
                <w:szCs w:val="20"/>
                <w:color w:val="auto"/>
              </w:rPr>
            </w:pPr>
            <w:r>
              <w:rPr>
                <w:rFonts w:ascii="Arial" w:cs="Arial" w:eastAsia="Arial" w:hAnsi="Arial"/>
                <w:sz w:val="18"/>
                <w:szCs w:val="18"/>
                <w:color w:val="auto"/>
              </w:rPr>
              <w:t>Priorities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904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ARTICLE 7</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ind w:left="4140"/>
              <w:spacing w:after="0"/>
              <w:rPr>
                <w:sz w:val="20"/>
                <w:szCs w:val="20"/>
                <w:color w:val="auto"/>
              </w:rPr>
            </w:pPr>
            <w:r>
              <w:rPr>
                <w:rFonts w:ascii="Arial" w:cs="Arial" w:eastAsia="Arial" w:hAnsi="Arial"/>
                <w:sz w:val="18"/>
                <w:szCs w:val="18"/>
                <w:color w:val="auto"/>
              </w:rPr>
              <w:t>TRUSTEE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9040" w:type="dxa"/>
            <w:vAlign w:val="bottom"/>
          </w:tcPr>
          <w:p>
            <w:pPr>
              <w:ind w:left="220"/>
              <w:spacing w:after="0"/>
              <w:rPr>
                <w:sz w:val="20"/>
                <w:szCs w:val="20"/>
                <w:color w:val="auto"/>
              </w:rPr>
            </w:pPr>
            <w:r>
              <w:rPr>
                <w:rFonts w:ascii="Arial" w:cs="Arial" w:eastAsia="Arial" w:hAnsi="Arial"/>
                <w:sz w:val="18"/>
                <w:szCs w:val="18"/>
                <w:color w:val="auto"/>
              </w:rPr>
              <w:t>Duties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904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904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904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904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9040" w:type="dxa"/>
            <w:vAlign w:val="bottom"/>
          </w:tcPr>
          <w:p>
            <w:pPr>
              <w:ind w:left="220"/>
              <w:spacing w:after="0"/>
              <w:rPr>
                <w:sz w:val="20"/>
                <w:szCs w:val="20"/>
                <w:color w:val="auto"/>
              </w:rPr>
            </w:pPr>
            <w:r>
              <w:rPr>
                <w:rFonts w:ascii="Arial" w:cs="Arial" w:eastAsia="Arial" w:hAnsi="Arial"/>
                <w:sz w:val="18"/>
                <w:szCs w:val="18"/>
                <w:color w:val="auto"/>
              </w:rPr>
              <w:t>Reports by Trustee to Holders of the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904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904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904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904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7.11</w:t>
            </w:r>
          </w:p>
        </w:tc>
        <w:tc>
          <w:tcPr>
            <w:tcW w:w="904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ARTICLE 8</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ind w:left="2340"/>
              <w:spacing w:after="0"/>
              <w:rPr>
                <w:sz w:val="20"/>
                <w:szCs w:val="20"/>
                <w:color w:val="auto"/>
              </w:rPr>
            </w:pPr>
            <w:r>
              <w:rPr>
                <w:rFonts w:ascii="Arial" w:cs="Arial" w:eastAsia="Arial" w:hAnsi="Arial"/>
                <w:sz w:val="18"/>
                <w:szCs w:val="18"/>
                <w:color w:val="auto"/>
              </w:rPr>
              <w:t>LEGAL DEFEASANCE AND COVENANT DEFEASANCE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p>
        </w:tc>
        <w:tc>
          <w:tcPr>
            <w:tcW w:w="9040" w:type="dxa"/>
            <w:vAlign w:val="bottom"/>
          </w:tcPr>
          <w:p>
            <w:pPr>
              <w:ind w:left="220"/>
              <w:spacing w:after="0"/>
              <w:rPr>
                <w:sz w:val="20"/>
                <w:szCs w:val="20"/>
                <w:color w:val="auto"/>
              </w:rPr>
            </w:pPr>
            <w:r>
              <w:rPr>
                <w:rFonts w:ascii="Arial" w:cs="Arial" w:eastAsia="Arial" w:hAnsi="Arial"/>
                <w:sz w:val="18"/>
                <w:szCs w:val="18"/>
                <w:color w:val="auto"/>
              </w:rPr>
              <w:t>Option to Effect Legal Defeasance or Covenant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p>
        </w:tc>
        <w:tc>
          <w:tcPr>
            <w:tcW w:w="9040" w:type="dxa"/>
            <w:vAlign w:val="bottom"/>
          </w:tcPr>
          <w:p>
            <w:pPr>
              <w:ind w:left="220"/>
              <w:spacing w:after="0"/>
              <w:rPr>
                <w:sz w:val="20"/>
                <w:szCs w:val="20"/>
                <w:color w:val="auto"/>
              </w:rPr>
            </w:pPr>
            <w:r>
              <w:rPr>
                <w:rFonts w:ascii="Arial" w:cs="Arial" w:eastAsia="Arial" w:hAnsi="Arial"/>
                <w:sz w:val="18"/>
                <w:szCs w:val="18"/>
                <w:color w:val="auto"/>
              </w:rPr>
              <w:t>Legal Defeasance and Discharge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8.03</w:t>
            </w:r>
          </w:p>
        </w:tc>
        <w:tc>
          <w:tcPr>
            <w:tcW w:w="904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p>
        </w:tc>
        <w:tc>
          <w:tcPr>
            <w:tcW w:w="9040" w:type="dxa"/>
            <w:vAlign w:val="bottom"/>
          </w:tcPr>
          <w:p>
            <w:pPr>
              <w:ind w:left="220"/>
              <w:spacing w:after="0"/>
              <w:rPr>
                <w:sz w:val="20"/>
                <w:szCs w:val="20"/>
                <w:color w:val="auto"/>
              </w:rPr>
            </w:pPr>
            <w:r>
              <w:rPr>
                <w:rFonts w:ascii="Arial" w:cs="Arial" w:eastAsia="Arial" w:hAnsi="Arial"/>
                <w:sz w:val="18"/>
                <w:szCs w:val="18"/>
                <w:color w:val="auto"/>
              </w:rPr>
              <w:t>Conditions to Legal or Covenant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8.05</w:t>
            </w:r>
          </w:p>
        </w:tc>
        <w:tc>
          <w:tcPr>
            <w:tcW w:w="9040" w:type="dxa"/>
            <w:vAlign w:val="bottom"/>
          </w:tcPr>
          <w:p>
            <w:pPr>
              <w:ind w:left="2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8.06</w:t>
            </w:r>
          </w:p>
        </w:tc>
        <w:tc>
          <w:tcPr>
            <w:tcW w:w="904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8.07</w:t>
            </w:r>
          </w:p>
        </w:tc>
        <w:tc>
          <w:tcPr>
            <w:tcW w:w="904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ARTICLE 9</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ind w:right="10"/>
              <w:spacing w:after="0"/>
              <w:rPr>
                <w:sz w:val="20"/>
                <w:szCs w:val="20"/>
                <w:color w:val="auto"/>
              </w:rPr>
            </w:pPr>
            <w:r>
              <w:rPr>
                <w:rFonts w:ascii="Arial" w:cs="Arial" w:eastAsia="Arial" w:hAnsi="Arial"/>
                <w:sz w:val="18"/>
                <w:szCs w:val="18"/>
                <w:color w:val="auto"/>
                <w:w w:val="97"/>
              </w:rPr>
              <w:t>AMENDMENT, SUPPLEMENT AND WAIVER</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9.01</w:t>
            </w:r>
          </w:p>
        </w:tc>
        <w:tc>
          <w:tcPr>
            <w:tcW w:w="9040" w:type="dxa"/>
            <w:vAlign w:val="bottom"/>
          </w:tcPr>
          <w:p>
            <w:pPr>
              <w:ind w:left="220"/>
              <w:spacing w:after="0"/>
              <w:rPr>
                <w:sz w:val="20"/>
                <w:szCs w:val="20"/>
                <w:color w:val="auto"/>
              </w:rPr>
            </w:pPr>
            <w:r>
              <w:rPr>
                <w:rFonts w:ascii="Arial" w:cs="Arial" w:eastAsia="Arial" w:hAnsi="Arial"/>
                <w:sz w:val="18"/>
                <w:szCs w:val="18"/>
                <w:color w:val="auto"/>
              </w:rPr>
              <w:t>Without Consent of Holders of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9040" w:type="dxa"/>
            <w:vAlign w:val="bottom"/>
          </w:tcPr>
          <w:p>
            <w:pPr>
              <w:ind w:left="220"/>
              <w:spacing w:after="0"/>
              <w:rPr>
                <w:sz w:val="20"/>
                <w:szCs w:val="20"/>
                <w:color w:val="auto"/>
              </w:rPr>
            </w:pPr>
            <w:r>
              <w:rPr>
                <w:rFonts w:ascii="Arial" w:cs="Arial" w:eastAsia="Arial" w:hAnsi="Arial"/>
                <w:sz w:val="18"/>
                <w:szCs w:val="18"/>
                <w:color w:val="auto"/>
              </w:rPr>
              <w:t>With Consent of Holders of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9.03</w:t>
            </w:r>
          </w:p>
        </w:tc>
        <w:tc>
          <w:tcPr>
            <w:tcW w:w="9040" w:type="dxa"/>
            <w:vAlign w:val="bottom"/>
          </w:tcPr>
          <w:p>
            <w:pPr>
              <w:ind w:left="220"/>
              <w:spacing w:after="0"/>
              <w:rPr>
                <w:sz w:val="20"/>
                <w:szCs w:val="20"/>
                <w:color w:val="auto"/>
              </w:rPr>
            </w:pPr>
            <w:r>
              <w:rPr>
                <w:rFonts w:ascii="Arial" w:cs="Arial" w:eastAsia="Arial" w:hAnsi="Arial"/>
                <w:sz w:val="18"/>
                <w:szCs w:val="18"/>
                <w:color w:val="auto"/>
              </w:rPr>
              <w:t>Compliance with Trust Indenture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040" w:type="dxa"/>
            <w:vAlign w:val="bottom"/>
          </w:tcPr>
          <w:p>
            <w:pPr>
              <w:jc w:val="center"/>
              <w:ind w:right="1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240" w:type="dxa"/>
            <w:vAlign w:val="bottom"/>
            <w:vMerge w:val="restart"/>
          </w:tcPr>
          <w:p>
            <w:pPr>
              <w:spacing w:after="0"/>
              <w:rPr>
                <w:sz w:val="20"/>
                <w:szCs w:val="20"/>
                <w:color w:val="auto"/>
              </w:rPr>
            </w:pPr>
            <w:r>
              <w:rPr>
                <w:rFonts w:ascii="Arial" w:cs="Arial" w:eastAsia="Arial" w:hAnsi="Arial"/>
                <w:sz w:val="18"/>
                <w:szCs w:val="18"/>
                <w:color w:val="auto"/>
              </w:rPr>
              <w:t>Section 9.04</w:t>
            </w:r>
          </w:p>
        </w:tc>
        <w:tc>
          <w:tcPr>
            <w:tcW w:w="9040" w:type="dxa"/>
            <w:vAlign w:val="bottom"/>
            <w:vMerge w:val="restart"/>
          </w:tcPr>
          <w:p>
            <w:pPr>
              <w:ind w:left="220"/>
              <w:spacing w:after="0"/>
              <w:rPr>
                <w:sz w:val="20"/>
                <w:szCs w:val="20"/>
                <w:color w:val="auto"/>
              </w:rPr>
            </w:pPr>
            <w:r>
              <w:rPr>
                <w:rFonts w:ascii="Arial" w:cs="Arial" w:eastAsia="Arial" w:hAnsi="Arial"/>
                <w:sz w:val="18"/>
                <w:szCs w:val="18"/>
                <w:color w:val="auto"/>
              </w:rPr>
              <w:t>Revocation and Effect of Consents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9040" w:type="dxa"/>
            <w:vAlign w:val="bottom"/>
            <w:vMerge w:val="continue"/>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9.05</w:t>
            </w:r>
          </w:p>
        </w:tc>
        <w:tc>
          <w:tcPr>
            <w:tcW w:w="904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9.06</w:t>
            </w:r>
          </w:p>
        </w:tc>
        <w:tc>
          <w:tcPr>
            <w:tcW w:w="9040" w:type="dxa"/>
            <w:vAlign w:val="bottom"/>
          </w:tcPr>
          <w:p>
            <w:pPr>
              <w:ind w:left="220"/>
              <w:spacing w:after="0"/>
              <w:rPr>
                <w:sz w:val="20"/>
                <w:szCs w:val="20"/>
                <w:color w:val="auto"/>
              </w:rPr>
            </w:pPr>
            <w:r>
              <w:rPr>
                <w:rFonts w:ascii="Arial" w:cs="Arial" w:eastAsia="Arial" w:hAnsi="Arial"/>
                <w:sz w:val="18"/>
                <w:szCs w:val="18"/>
                <w:color w:val="auto"/>
              </w:rPr>
              <w:t>Trustee to Sign Amendments, etc.</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ind w:right="10"/>
              <w:spacing w:after="0"/>
              <w:rPr>
                <w:sz w:val="20"/>
                <w:szCs w:val="20"/>
                <w:color w:val="auto"/>
              </w:rPr>
            </w:pPr>
            <w:r>
              <w:rPr>
                <w:rFonts w:ascii="Arial" w:cs="Arial" w:eastAsia="Arial" w:hAnsi="Arial"/>
                <w:sz w:val="18"/>
                <w:szCs w:val="18"/>
                <w:color w:val="auto"/>
                <w:w w:val="96"/>
              </w:rPr>
              <w:t>ARTICLE 10</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GUARANTEES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10.01.</w:t>
            </w:r>
          </w:p>
        </w:tc>
        <w:tc>
          <w:tcPr>
            <w:tcW w:w="9040" w:type="dxa"/>
            <w:vAlign w:val="bottom"/>
          </w:tcPr>
          <w:p>
            <w:pPr>
              <w:ind w:left="220"/>
              <w:spacing w:after="0"/>
              <w:rPr>
                <w:sz w:val="20"/>
                <w:szCs w:val="20"/>
                <w:color w:val="auto"/>
              </w:rPr>
            </w:pPr>
            <w:r>
              <w:rPr>
                <w:rFonts w:ascii="Arial" w:cs="Arial" w:eastAsia="Arial" w:hAnsi="Arial"/>
                <w:sz w:val="18"/>
                <w:szCs w:val="18"/>
                <w:color w:val="auto"/>
              </w:rPr>
              <w:t>Guarantee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10.02.</w:t>
            </w:r>
          </w:p>
        </w:tc>
        <w:tc>
          <w:tcPr>
            <w:tcW w:w="9040" w:type="dxa"/>
            <w:vAlign w:val="bottom"/>
          </w:tcPr>
          <w:p>
            <w:pPr>
              <w:ind w:left="220"/>
              <w:spacing w:after="0"/>
              <w:rPr>
                <w:sz w:val="20"/>
                <w:szCs w:val="20"/>
                <w:color w:val="auto"/>
              </w:rPr>
            </w:pPr>
            <w:r>
              <w:rPr>
                <w:rFonts w:ascii="Arial" w:cs="Arial" w:eastAsia="Arial" w:hAnsi="Arial"/>
                <w:sz w:val="18"/>
                <w:szCs w:val="18"/>
                <w:color w:val="auto"/>
              </w:rPr>
              <w:t>Limitation on Guarantor Liability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10.03.</w:t>
            </w:r>
          </w:p>
        </w:tc>
        <w:tc>
          <w:tcPr>
            <w:tcW w:w="9040" w:type="dxa"/>
            <w:vAlign w:val="bottom"/>
          </w:tcPr>
          <w:p>
            <w:pPr>
              <w:ind w:left="220"/>
              <w:spacing w:after="0"/>
              <w:rPr>
                <w:sz w:val="20"/>
                <w:szCs w:val="20"/>
                <w:color w:val="auto"/>
              </w:rPr>
            </w:pPr>
            <w:r>
              <w:rPr>
                <w:rFonts w:ascii="Arial" w:cs="Arial" w:eastAsia="Arial" w:hAnsi="Arial"/>
                <w:sz w:val="18"/>
                <w:szCs w:val="18"/>
                <w:color w:val="auto"/>
              </w:rPr>
              <w:t>Execution and Delivery of Guarantee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10.04.</w:t>
            </w:r>
          </w:p>
        </w:tc>
        <w:tc>
          <w:tcPr>
            <w:tcW w:w="9040" w:type="dxa"/>
            <w:vAlign w:val="bottom"/>
          </w:tcPr>
          <w:p>
            <w:pPr>
              <w:ind w:left="220"/>
              <w:spacing w:after="0"/>
              <w:rPr>
                <w:sz w:val="20"/>
                <w:szCs w:val="20"/>
                <w:color w:val="auto"/>
              </w:rPr>
            </w:pPr>
            <w:r>
              <w:rPr>
                <w:rFonts w:ascii="Arial" w:cs="Arial" w:eastAsia="Arial" w:hAnsi="Arial"/>
                <w:sz w:val="18"/>
                <w:szCs w:val="18"/>
                <w:color w:val="auto"/>
              </w:rPr>
              <w:t>Guarantors May Consolidate, etc., on Certain Terms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10.05.</w:t>
            </w:r>
          </w:p>
        </w:tc>
        <w:tc>
          <w:tcPr>
            <w:tcW w:w="9040" w:type="dxa"/>
            <w:vAlign w:val="bottom"/>
          </w:tcPr>
          <w:p>
            <w:pPr>
              <w:ind w:left="220"/>
              <w:spacing w:after="0"/>
              <w:rPr>
                <w:sz w:val="20"/>
                <w:szCs w:val="20"/>
                <w:color w:val="auto"/>
              </w:rPr>
            </w:pPr>
            <w:r>
              <w:rPr>
                <w:rFonts w:ascii="Arial" w:cs="Arial" w:eastAsia="Arial" w:hAnsi="Arial"/>
                <w:sz w:val="18"/>
                <w:szCs w:val="18"/>
                <w:color w:val="auto"/>
              </w:rPr>
              <w:t>Releases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4"/>
              </w:rPr>
              <w:t>ARTICLE 11</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6"/>
              </w:rPr>
              <w:t>SATISFACTION AND DISCHARGE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11.01</w:t>
            </w:r>
          </w:p>
        </w:tc>
        <w:tc>
          <w:tcPr>
            <w:tcW w:w="9040" w:type="dxa"/>
            <w:vAlign w:val="bottom"/>
          </w:tcPr>
          <w:p>
            <w:pPr>
              <w:ind w:left="220"/>
              <w:spacing w:after="0"/>
              <w:rPr>
                <w:sz w:val="20"/>
                <w:szCs w:val="20"/>
                <w:color w:val="auto"/>
              </w:rPr>
            </w:pPr>
            <w:r>
              <w:rPr>
                <w:rFonts w:ascii="Arial" w:cs="Arial" w:eastAsia="Arial" w:hAnsi="Arial"/>
                <w:sz w:val="18"/>
                <w:szCs w:val="18"/>
                <w:color w:val="auto"/>
              </w:rPr>
              <w:t>Satisfaction and Discharge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11.02</w:t>
            </w:r>
          </w:p>
        </w:tc>
        <w:tc>
          <w:tcPr>
            <w:tcW w:w="904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4"/>
              </w:rPr>
              <w:t>ARTICLE 12</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40" w:type="dxa"/>
            <w:vAlign w:val="bottom"/>
          </w:tcPr>
          <w:p>
            <w:pPr>
              <w:jc w:val="center"/>
              <w:spacing w:after="0"/>
              <w:rPr>
                <w:sz w:val="20"/>
                <w:szCs w:val="20"/>
                <w:color w:val="auto"/>
              </w:rPr>
            </w:pPr>
            <w:r>
              <w:rPr>
                <w:rFonts w:ascii="Arial" w:cs="Arial" w:eastAsia="Arial" w:hAnsi="Arial"/>
                <w:sz w:val="18"/>
                <w:szCs w:val="18"/>
                <w:color w:val="auto"/>
                <w:w w:val="97"/>
              </w:rPr>
              <w:t>MISCELLANEOUS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12.01</w:t>
            </w:r>
          </w:p>
        </w:tc>
        <w:tc>
          <w:tcPr>
            <w:tcW w:w="9040" w:type="dxa"/>
            <w:vAlign w:val="bottom"/>
          </w:tcPr>
          <w:p>
            <w:pPr>
              <w:ind w:left="220"/>
              <w:spacing w:after="0"/>
              <w:rPr>
                <w:sz w:val="20"/>
                <w:szCs w:val="20"/>
                <w:color w:val="auto"/>
              </w:rPr>
            </w:pPr>
            <w:r>
              <w:rPr>
                <w:rFonts w:ascii="Arial" w:cs="Arial" w:eastAsia="Arial" w:hAnsi="Arial"/>
                <w:sz w:val="18"/>
                <w:szCs w:val="18"/>
                <w:color w:val="auto"/>
              </w:rPr>
              <w:t>Trust Indenture Act Controls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12.02</w:t>
            </w:r>
          </w:p>
        </w:tc>
        <w:tc>
          <w:tcPr>
            <w:tcW w:w="9040" w:type="dxa"/>
            <w:vAlign w:val="bottom"/>
          </w:tcPr>
          <w:p>
            <w:pPr>
              <w:ind w:left="220"/>
              <w:spacing w:after="0"/>
              <w:rPr>
                <w:sz w:val="20"/>
                <w:szCs w:val="20"/>
                <w:color w:val="auto"/>
              </w:rPr>
            </w:pPr>
            <w:r>
              <w:rPr>
                <w:rFonts w:ascii="Arial" w:cs="Arial" w:eastAsia="Arial" w:hAnsi="Arial"/>
                <w:sz w:val="18"/>
                <w:szCs w:val="18"/>
                <w:color w:val="auto"/>
              </w:rPr>
              <w:t>Notices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12.03</w:t>
            </w:r>
          </w:p>
        </w:tc>
        <w:tc>
          <w:tcPr>
            <w:tcW w:w="9040" w:type="dxa"/>
            <w:vAlign w:val="bottom"/>
          </w:tcPr>
          <w:p>
            <w:pPr>
              <w:ind w:left="220"/>
              <w:spacing w:after="0"/>
              <w:rPr>
                <w:sz w:val="20"/>
                <w:szCs w:val="20"/>
                <w:color w:val="auto"/>
              </w:rPr>
            </w:pPr>
            <w:r>
              <w:rPr>
                <w:rFonts w:ascii="Arial" w:cs="Arial" w:eastAsia="Arial" w:hAnsi="Arial"/>
                <w:sz w:val="18"/>
                <w:szCs w:val="18"/>
                <w:color w:val="auto"/>
              </w:rPr>
              <w:t>Communication by Holders of Securities with Other Holders of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-3920490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-3920490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5" w:name="page6"/>
    <w:bookmarkEnd w:id="5"/>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12.04</w:t>
            </w:r>
          </w:p>
        </w:tc>
        <w:tc>
          <w:tcPr>
            <w:tcW w:w="8540" w:type="dxa"/>
            <w:vAlign w:val="bottom"/>
          </w:tcPr>
          <w:p>
            <w:pPr>
              <w:ind w:left="240"/>
              <w:spacing w:after="0"/>
              <w:rPr>
                <w:sz w:val="20"/>
                <w:szCs w:val="20"/>
                <w:color w:val="auto"/>
              </w:rPr>
            </w:pPr>
            <w:r>
              <w:rPr>
                <w:rFonts w:ascii="Arial" w:cs="Arial" w:eastAsia="Arial" w:hAnsi="Arial"/>
                <w:sz w:val="18"/>
                <w:szCs w:val="18"/>
                <w:color w:val="auto"/>
              </w:rPr>
              <w:t>Certificate and Opinion as to Conditions Precedent</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12.05</w:t>
            </w:r>
          </w:p>
        </w:tc>
        <w:tc>
          <w:tcPr>
            <w:tcW w:w="8540" w:type="dxa"/>
            <w:vAlign w:val="bottom"/>
          </w:tcPr>
          <w:p>
            <w:pPr>
              <w:ind w:left="240"/>
              <w:spacing w:after="0"/>
              <w:rPr>
                <w:sz w:val="20"/>
                <w:szCs w:val="20"/>
                <w:color w:val="auto"/>
              </w:rPr>
            </w:pPr>
            <w:r>
              <w:rPr>
                <w:rFonts w:ascii="Arial" w:cs="Arial" w:eastAsia="Arial" w:hAnsi="Arial"/>
                <w:sz w:val="18"/>
                <w:szCs w:val="18"/>
                <w:color w:val="auto"/>
              </w:rPr>
              <w:t>Statements Required in Certificate or Opinion</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12.06</w:t>
            </w:r>
          </w:p>
        </w:tc>
        <w:tc>
          <w:tcPr>
            <w:tcW w:w="8540" w:type="dxa"/>
            <w:vAlign w:val="bottom"/>
          </w:tcPr>
          <w:p>
            <w:pPr>
              <w:ind w:left="240"/>
              <w:spacing w:after="0"/>
              <w:rPr>
                <w:sz w:val="20"/>
                <w:szCs w:val="20"/>
                <w:color w:val="auto"/>
              </w:rPr>
            </w:pPr>
            <w:r>
              <w:rPr>
                <w:rFonts w:ascii="Arial" w:cs="Arial" w:eastAsia="Arial" w:hAnsi="Arial"/>
                <w:sz w:val="18"/>
                <w:szCs w:val="18"/>
                <w:color w:val="auto"/>
              </w:rPr>
              <w:t>Rules by Trustee and Agents</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12.07</w:t>
            </w:r>
          </w:p>
        </w:tc>
        <w:tc>
          <w:tcPr>
            <w:tcW w:w="8540" w:type="dxa"/>
            <w:vAlign w:val="bottom"/>
          </w:tcPr>
          <w:p>
            <w:pPr>
              <w:ind w:left="2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12.08</w:t>
            </w:r>
          </w:p>
        </w:tc>
        <w:tc>
          <w:tcPr>
            <w:tcW w:w="854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12.09</w:t>
            </w:r>
          </w:p>
        </w:tc>
        <w:tc>
          <w:tcPr>
            <w:tcW w:w="854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12.10</w:t>
            </w:r>
          </w:p>
        </w:tc>
        <w:tc>
          <w:tcPr>
            <w:tcW w:w="854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12.11</w:t>
            </w:r>
          </w:p>
        </w:tc>
        <w:tc>
          <w:tcPr>
            <w:tcW w:w="85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12.12</w:t>
            </w:r>
          </w:p>
        </w:tc>
        <w:tc>
          <w:tcPr>
            <w:tcW w:w="8540" w:type="dxa"/>
            <w:vAlign w:val="bottom"/>
          </w:tcPr>
          <w:p>
            <w:pPr>
              <w:ind w:left="240"/>
              <w:spacing w:after="0"/>
              <w:rPr>
                <w:sz w:val="20"/>
                <w:szCs w:val="20"/>
                <w:color w:val="auto"/>
              </w:rPr>
            </w:pPr>
            <w:r>
              <w:rPr>
                <w:rFonts w:ascii="Arial" w:cs="Arial" w:eastAsia="Arial" w:hAnsi="Arial"/>
                <w:sz w:val="18"/>
                <w:szCs w:val="18"/>
                <w:color w:val="auto"/>
              </w:rPr>
              <w:t>Counterpart Originals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12.13</w:t>
            </w:r>
          </w:p>
        </w:tc>
        <w:tc>
          <w:tcPr>
            <w:tcW w:w="85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12.14</w:t>
            </w:r>
          </w:p>
        </w:tc>
        <w:tc>
          <w:tcPr>
            <w:tcW w:w="8540" w:type="dxa"/>
            <w:vAlign w:val="bottom"/>
          </w:tcPr>
          <w:p>
            <w:pPr>
              <w:ind w:left="24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1220" w:type="dxa"/>
            <w:vAlign w:val="bottom"/>
          </w:tcPr>
          <w:p>
            <w:pPr>
              <w:spacing w:after="0"/>
              <w:rPr>
                <w:sz w:val="24"/>
                <w:szCs w:val="24"/>
                <w:color w:val="auto"/>
              </w:rPr>
            </w:pPr>
          </w:p>
        </w:tc>
        <w:tc>
          <w:tcPr>
            <w:tcW w:w="8540" w:type="dxa"/>
            <w:vAlign w:val="bottom"/>
          </w:tcPr>
          <w:p>
            <w:pPr>
              <w:ind w:left="4080"/>
              <w:spacing w:after="0"/>
              <w:rPr>
                <w:sz w:val="20"/>
                <w:szCs w:val="20"/>
                <w:color w:val="auto"/>
              </w:rPr>
            </w:pPr>
            <w:r>
              <w:rPr>
                <w:rFonts w:ascii="Arial" w:cs="Arial" w:eastAsia="Arial" w:hAnsi="Arial"/>
                <w:sz w:val="18"/>
                <w:szCs w:val="18"/>
                <w:color w:val="auto"/>
              </w:rPr>
              <w:t>EXHIBITS</w:t>
            </w:r>
          </w:p>
        </w:tc>
        <w:tc>
          <w:tcPr>
            <w:tcW w:w="16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NOTE</w:t>
            </w:r>
          </w:p>
        </w:tc>
        <w:tc>
          <w:tcPr>
            <w:tcW w:w="1660" w:type="dxa"/>
            <w:vAlign w:val="bottom"/>
          </w:tcPr>
          <w:p>
            <w:pPr>
              <w:spacing w:after="0"/>
              <w:rPr>
                <w:sz w:val="24"/>
                <w:szCs w:val="24"/>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CERTIFICATE OF TRANSFER</w:t>
            </w:r>
          </w:p>
        </w:tc>
        <w:tc>
          <w:tcPr>
            <w:tcW w:w="166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CERTIFICATE OF EXCHANGE</w:t>
            </w:r>
          </w:p>
        </w:tc>
        <w:tc>
          <w:tcPr>
            <w:tcW w:w="166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D</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6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E</w:t>
            </w:r>
          </w:p>
        </w:tc>
        <w:tc>
          <w:tcPr>
            <w:tcW w:w="8540" w:type="dxa"/>
            <w:vAlign w:val="bottom"/>
          </w:tcPr>
          <w:p>
            <w:pPr>
              <w:ind w:left="240"/>
              <w:spacing w:after="0"/>
              <w:rPr>
                <w:sz w:val="20"/>
                <w:szCs w:val="20"/>
                <w:color w:val="auto"/>
              </w:rPr>
            </w:pPr>
            <w:r>
              <w:rPr>
                <w:rFonts w:ascii="Arial" w:cs="Arial" w:eastAsia="Arial" w:hAnsi="Arial"/>
                <w:sz w:val="18"/>
                <w:szCs w:val="18"/>
                <w:color w:val="auto"/>
              </w:rPr>
              <w:t>FORM OF SUPPLEMENTAL INDENTURE</w:t>
            </w:r>
          </w:p>
        </w:tc>
        <w:tc>
          <w:tcPr>
            <w:tcW w:w="16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INDENTURE dated as of October 1, 2018 among Clearway Energy Operating LLC, a Delaware limited liability company, the Guarantors (as defined herein) and Delaware Trust Company,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The Company, the Guarantors and the Trustee agree as follows for the benefit of each other and for the equal and ratable benefit of the Holders (as defined herein) of the 5.750% Senior Notes due 2025 (the </w:t>
      </w:r>
      <w:r>
        <w:rPr>
          <w:rFonts w:ascii="Arial" w:cs="Arial" w:eastAsia="Arial" w:hAnsi="Arial"/>
          <w:sz w:val="16"/>
          <w:szCs w:val="16"/>
          <w:i w:val="1"/>
          <w:iCs w:val="1"/>
          <w:color w:val="auto"/>
        </w:rPr>
        <w:t>“Notes”</w:t>
      </w:r>
      <w:r>
        <w:rPr>
          <w:rFonts w:ascii="Arial" w:cs="Arial" w:eastAsia="Arial" w:hAnsi="Arial"/>
          <w:sz w:val="16"/>
          <w:szCs w:val="16"/>
          <w:color w:val="auto"/>
        </w:rPr>
        <w:t>) and any other Additional Securities issued pursuant to this Indenture after the date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6"/>
          <w:szCs w:val="16"/>
          <w:i w:val="1"/>
          <w:iCs w:val="1"/>
          <w:color w:val="auto"/>
        </w:rPr>
        <w:t>Adjusted LTM CAFD”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of any date of determination (for purposes of this definition, the</w:t>
      </w:r>
      <w:r>
        <w:rPr>
          <w:rFonts w:ascii="Arial" w:cs="Arial" w:eastAsia="Arial" w:hAnsi="Arial"/>
          <w:sz w:val="17"/>
          <w:szCs w:val="17"/>
          <w:i w:val="1"/>
          <w:iCs w:val="1"/>
          <w:color w:val="auto"/>
        </w:rPr>
        <w:t xml:space="preserve"> “Calculation Date”</w:t>
      </w:r>
      <w:r>
        <w:rPr>
          <w:rFonts w:ascii="Arial" w:cs="Arial" w:eastAsia="Arial" w:hAnsi="Arial"/>
          <w:sz w:val="17"/>
          <w:szCs w:val="17"/>
          <w:color w:val="auto"/>
        </w:rPr>
        <w:t>), the net income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66" w:lineRule="exact"/>
        <w:rPr>
          <w:sz w:val="20"/>
          <w:szCs w:val="20"/>
          <w:color w:val="auto"/>
        </w:rPr>
      </w:pPr>
    </w:p>
    <w:p>
      <w:pPr>
        <w:ind w:left="2600" w:hanging="1295"/>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income tax expense, net of income tax benefit, to the extent deducted in calculating net income during such four-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6"/>
          <w:szCs w:val="16"/>
          <w:color w:val="auto"/>
        </w:rPr>
      </w:pPr>
    </w:p>
    <w:p>
      <w:pPr>
        <w:ind w:left="5660" w:right="420" w:hanging="4355"/>
        <w:spacing w:after="0" w:line="528" w:lineRule="auto"/>
        <w:tabs>
          <w:tab w:leader="none" w:pos="2599" w:val="left"/>
        </w:tabs>
        <w:numPr>
          <w:ilvl w:val="0"/>
          <w:numId w:val="3"/>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 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minus equity in earnings of unconsolidated affiliates to the extent included in net income during such four-quarter period;</w:t>
      </w:r>
    </w:p>
    <w:p>
      <w:pPr>
        <w:spacing w:after="0" w:line="248" w:lineRule="exact"/>
        <w:rPr>
          <w:rFonts w:ascii="Arial" w:cs="Arial" w:eastAsia="Arial" w:hAnsi="Arial"/>
          <w:sz w:val="16"/>
          <w:szCs w:val="16"/>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cash distributions from unconsolidated affiliates, to the extent not included in net income during such four-quarter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minus cash interest payments made by Subsidiaries of the Company that were added back to net income pursuant to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clause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-1341755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88" w:orient="portrait"/>
          <w:cols w:equalWidth="0" w:num="1">
            <w:col w:w="11420"/>
          </w:cols>
          <w:pgMar w:left="240" w:top="125" w:right="239" w:bottom="0" w:gutter="0" w:footer="0" w:header="0"/>
        </w:sectPr>
      </w:pPr>
    </w:p>
    <w:bookmarkStart w:id="6" w:name="page7"/>
    <w:bookmarkEnd w:id="6"/>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minus cash income tax payments made by the Company and its Subsidiaries that were added back to net income pursuant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clause (2) above;</w:t>
      </w:r>
    </w:p>
    <w:p>
      <w:pPr>
        <w:spacing w:after="0" w:line="210" w:lineRule="exact"/>
        <w:rPr>
          <w:rFonts w:ascii="Arial" w:cs="Arial" w:eastAsia="Arial" w:hAnsi="Arial"/>
          <w:sz w:val="16"/>
          <w:szCs w:val="16"/>
          <w:color w:val="auto"/>
        </w:rPr>
      </w:pPr>
    </w:p>
    <w:p>
      <w:pPr>
        <w:ind w:left="660" w:right="560" w:firstLine="645"/>
        <w:spacing w:after="0" w:line="277" w:lineRule="auto"/>
        <w:tabs>
          <w:tab w:leader="none" w:pos="2612"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plus any decrease or minus any increase in amounts attributable to contract amortization and any recurring changes 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other assets;</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minus maintenance capital expenditures, to the extent not deducted in calculating net income during such four-quarter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660" w:right="20" w:firstLine="645"/>
        <w:spacing w:after="0" w:line="259" w:lineRule="auto"/>
        <w:tabs>
          <w:tab w:leader="none" w:pos="2601"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86" w:lineRule="exact"/>
        <w:rPr>
          <w:rFonts w:ascii="Arial" w:cs="Arial" w:eastAsia="Arial" w:hAnsi="Arial"/>
          <w:sz w:val="18"/>
          <w:szCs w:val="18"/>
          <w:color w:val="auto"/>
        </w:rPr>
      </w:pPr>
    </w:p>
    <w:p>
      <w:pPr>
        <w:ind w:left="660" w:right="320" w:firstLine="645"/>
        <w:spacing w:after="0" w:line="342" w:lineRule="auto"/>
        <w:tabs>
          <w:tab w:leader="none" w:pos="2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660" w:right="40" w:firstLine="645"/>
        <w:spacing w:after="0" w:line="276" w:lineRule="auto"/>
        <w:tabs>
          <w:tab w:leader="none" w:pos="261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2" w:lineRule="exact"/>
        <w:rPr>
          <w:rFonts w:ascii="Arial" w:cs="Arial" w:eastAsia="Arial" w:hAnsi="Arial"/>
          <w:sz w:val="17"/>
          <w:szCs w:val="17"/>
          <w:color w:val="auto"/>
        </w:rPr>
      </w:pPr>
    </w:p>
    <w:p>
      <w:pPr>
        <w:ind w:left="660" w:right="740" w:firstLine="645"/>
        <w:spacing w:after="0" w:line="308" w:lineRule="auto"/>
        <w:tabs>
          <w:tab w:leader="none" w:pos="261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46" w:lineRule="exact"/>
        <w:rPr>
          <w:rFonts w:ascii="Arial" w:cs="Arial" w:eastAsia="Arial" w:hAnsi="Arial"/>
          <w:sz w:val="17"/>
          <w:szCs w:val="17"/>
          <w:color w:val="auto"/>
        </w:rPr>
      </w:pPr>
    </w:p>
    <w:p>
      <w:pPr>
        <w:ind w:left="2600" w:hanging="1295"/>
        <w:spacing w:after="0"/>
        <w:tabs>
          <w:tab w:leader="none" w:pos="2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four-quarter period; and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277" w:lineRule="auto"/>
        <w:tabs>
          <w:tab w:leader="none" w:pos="2612"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right="40" w:firstLine="697"/>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6"/>
          <w:szCs w:val="16"/>
          <w:i w:val="1"/>
          <w:iCs w:val="1"/>
          <w:color w:val="auto"/>
        </w:rPr>
        <w:t>Applicable Laws”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to any Person, any law, rule, regulation, ordinance or treaty, or any determination, ruling or other directive by or from</w:t>
      </w:r>
      <w:r>
        <w:rPr>
          <w:rFonts w:ascii="Arial" w:cs="Arial" w:eastAsia="Arial" w:hAnsi="Arial"/>
          <w:sz w:val="17"/>
          <w:szCs w:val="17"/>
          <w:i w:val="1"/>
          <w:iCs w:val="1"/>
          <w:color w:val="auto"/>
        </w:rPr>
        <w:t xml:space="preserve"> </w:t>
      </w:r>
      <w:r>
        <w:rPr>
          <w:rFonts w:ascii="Arial" w:cs="Arial" w:eastAsia="Arial" w:hAnsi="Arial"/>
          <w:sz w:val="17"/>
          <w:szCs w:val="17"/>
          <w:color w:val="auto"/>
        </w:rPr>
        <w:t>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Applicable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2600" w:hanging="1295"/>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300" w:firstLine="653"/>
        <w:spacing w:after="0" w:line="259" w:lineRule="auto"/>
        <w:tabs>
          <w:tab w:leader="none" w:pos="259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October 15, 2021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October 15, 2021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 Owns”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ectPr>
          <w:pgSz w:w="11900" w:h="16838" w:orient="portrait"/>
          <w:cols w:equalWidth="0" w:num="1">
            <w:col w:w="11360"/>
          </w:cols>
          <w:pgMar w:left="240" w:top="341" w:right="299" w:bottom="0" w:gutter="0" w:footer="0" w:header="0"/>
        </w:sectPr>
      </w:pPr>
    </w:p>
    <w:bookmarkStart w:id="7" w:name="page8"/>
    <w:bookmarkEnd w:id="7"/>
    <w:p>
      <w:pPr>
        <w:spacing w:after="0" w:line="36"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“Broker-Dealer”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 at</w:t>
      </w:r>
      <w:r>
        <w:rPr>
          <w:rFonts w:ascii="Arial" w:cs="Arial" w:eastAsia="Arial" w:hAnsi="Arial"/>
          <w:sz w:val="16"/>
          <w:szCs w:val="16"/>
          <w:i w:val="1"/>
          <w:iCs w:val="1"/>
          <w:color w:val="auto"/>
        </w:rPr>
        <w:t xml:space="preserve"> </w:t>
      </w:r>
      <w:r>
        <w:rPr>
          <w:rFonts w:ascii="Arial" w:cs="Arial" w:eastAsia="Arial" w:hAnsi="Arial"/>
          <w:sz w:val="16"/>
          <w:szCs w:val="16"/>
          <w:color w:val="auto"/>
        </w:rPr>
        <w:t>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firstLine="645"/>
        <w:spacing w:after="0" w:line="264"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ind w:left="660" w:right="380" w:firstLine="645"/>
        <w:spacing w:after="0" w:line="302"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54" w:lineRule="exact"/>
        <w:rPr>
          <w:rFonts w:ascii="Arial" w:cs="Arial" w:eastAsia="Arial" w:hAnsi="Arial"/>
          <w:sz w:val="16"/>
          <w:szCs w:val="16"/>
          <w:color w:val="auto"/>
        </w:rPr>
      </w:pPr>
    </w:p>
    <w:p>
      <w:pPr>
        <w:ind w:left="5660" w:right="300" w:hanging="4355"/>
        <w:spacing w:after="0" w:line="528" w:lineRule="auto"/>
        <w:tabs>
          <w:tab w:leader="none" w:pos="19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Clearway Energy, Inc., the Parent Guarantor or the Company; 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0" w:firstLine="645"/>
        <w:spacing w:after="0" w:line="302"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54" w:lineRule="exact"/>
        <w:rPr>
          <w:rFonts w:ascii="Arial" w:cs="Arial" w:eastAsia="Arial" w:hAnsi="Arial"/>
          <w:sz w:val="16"/>
          <w:szCs w:val="16"/>
          <w:color w:val="auto"/>
        </w:rPr>
      </w:pPr>
    </w:p>
    <w:p>
      <w:pPr>
        <w:ind w:left="660" w:right="220" w:firstLine="645"/>
        <w:spacing w:after="0" w:line="277" w:lineRule="auto"/>
        <w:tabs>
          <w:tab w:leader="none" w:pos="1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-1367790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means (1) a Change of Control has occurred and (2) the Notes are downgraded by both S&amp;P and Moody’s on any date within the 60-day period (which 60-day period will be extended so long as the rating of the Notes is under publicly announced consideration for a possible downgrade by either S&amp;P or Moody’s) after the earlier of (a) the occurrence of a Change of Control and (b) public disclosure by the Company of the occurrence of a Change of Control or the Company’s intention to effect a Change of Control; provided, however,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Clearway Energy Operating LLC, and any and all successors thereto.</w:t>
      </w:r>
    </w:p>
    <w:p>
      <w:pPr>
        <w:sectPr>
          <w:pgSz w:w="11900" w:h="16874" w:orient="portrait"/>
          <w:cols w:equalWidth="0" w:num="1">
            <w:col w:w="11420"/>
          </w:cols>
          <w:pgMar w:left="240" w:top="341" w:right="239" w:bottom="0" w:gutter="0" w:footer="0" w:header="0"/>
        </w:sectPr>
      </w:pPr>
    </w:p>
    <w:bookmarkStart w:id="8" w:name="page9"/>
    <w:bookmarkEnd w:id="8"/>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ind w:right="300" w:firstLine="697"/>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means (i) one or more debt facilities (including, without limitation, the Credit Agreement) or commercial paper facilities, in each</w:t>
      </w:r>
      <w:r>
        <w:rPr>
          <w:rFonts w:ascii="Arial" w:cs="Arial" w:eastAsia="Arial" w:hAnsi="Arial"/>
          <w:sz w:val="16"/>
          <w:szCs w:val="16"/>
          <w:i w:val="1"/>
          <w:iCs w:val="1"/>
          <w:color w:val="auto"/>
        </w:rPr>
        <w:t xml:space="preserve"> </w:t>
      </w:r>
      <w:r>
        <w:rPr>
          <w:rFonts w:ascii="Arial" w:cs="Arial" w:eastAsia="Arial" w:hAnsi="Arial"/>
          <w:sz w:val="16"/>
          <w:szCs w:val="16"/>
          <w:color w:val="auto"/>
        </w:rPr>
        <w:t>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case, as amended, restated, modified, renewed, refunded, replaced or refinanced (including by means of sales of debt securities to institutional investors) in whole or in part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means </w:t>
      </w:r>
      <w:r>
        <w:rPr>
          <w:rFonts w:ascii="Arial" w:cs="Arial" w:eastAsia="Arial" w:hAnsi="Arial"/>
          <w:sz w:val="18"/>
          <w:szCs w:val="18"/>
          <w:color w:val="auto"/>
        </w:rPr>
        <w:t>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20" w:firstLine="697"/>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Environmental CapEx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Environmental Laws”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former, current and future federal, state, local and foreign laws (including common law), treaties, regulations, rules,</w:t>
      </w:r>
      <w:r>
        <w:rPr>
          <w:rFonts w:ascii="Arial" w:cs="Arial" w:eastAsia="Arial" w:hAnsi="Arial"/>
          <w:sz w:val="18"/>
          <w:szCs w:val="18"/>
          <w:i w:val="1"/>
          <w:iCs w:val="1"/>
          <w:color w:val="auto"/>
        </w:rPr>
        <w:t xml:space="preserve"> </w:t>
      </w:r>
      <w:r>
        <w:rPr>
          <w:rFonts w:ascii="Arial" w:cs="Arial" w:eastAsia="Arial" w:hAnsi="Arial"/>
          <w:sz w:val="18"/>
          <w:szCs w:val="18"/>
          <w:color w:val="auto"/>
        </w:rPr>
        <w:t>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Equity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public or private sale after the Issue Date of Capital Stock of the Parent Guarantor or Clearway Energy,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which have been contributed to the Company as common equity, other than:</w:t>
      </w:r>
    </w:p>
    <w:p>
      <w:pPr>
        <w:spacing w:after="0" w:line="170" w:lineRule="exact"/>
        <w:rPr>
          <w:sz w:val="20"/>
          <w:szCs w:val="20"/>
          <w:color w:val="auto"/>
        </w:rPr>
      </w:pPr>
    </w:p>
    <w:p>
      <w:pPr>
        <w:ind w:left="2600" w:hanging="1295"/>
        <w:spacing w:after="0"/>
        <w:tabs>
          <w:tab w:leader="none" w:pos="2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public offerings with respect to Clearway Energy, Inc.’s common stock registered on Form S-4 or Form S-8; and</w:t>
      </w:r>
    </w:p>
    <w:p>
      <w:pPr>
        <w:spacing w:after="0" w:line="236" w:lineRule="exact"/>
        <w:rPr>
          <w:rFonts w:ascii="Arial" w:cs="Arial" w:eastAsia="Arial" w:hAnsi="Arial"/>
          <w:sz w:val="17"/>
          <w:szCs w:val="17"/>
          <w:color w:val="auto"/>
        </w:rPr>
      </w:pPr>
    </w:p>
    <w:p>
      <w:pPr>
        <w:ind w:left="2600" w:hanging="1295"/>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issuances to any Subsidiary of Clearway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i w:val="1"/>
          <w:iCs w:val="1"/>
          <w:color w:val="auto"/>
        </w:rPr>
        <w:t xml:space="preserve">“Exchange Agreement” </w:t>
      </w:r>
      <w:r>
        <w:rPr>
          <w:rFonts w:ascii="Arial" w:cs="Arial" w:eastAsia="Arial" w:hAnsi="Arial"/>
          <w:sz w:val="17"/>
          <w:szCs w:val="17"/>
          <w:color w:val="auto"/>
        </w:rPr>
        <w:t>means the Amended and Restated Exchange Agreement, dated as of May 14, 2015 by and among NRG Energy, Inc.,</w:t>
      </w:r>
      <w:r>
        <w:rPr>
          <w:rFonts w:ascii="Arial" w:cs="Arial" w:eastAsia="Arial" w:hAnsi="Arial"/>
          <w:sz w:val="17"/>
          <w:szCs w:val="17"/>
          <w:i w:val="1"/>
          <w:iCs w:val="1"/>
          <w:color w:val="auto"/>
        </w:rPr>
        <w:t xml:space="preserve"> </w:t>
      </w:r>
      <w:r>
        <w:rPr>
          <w:rFonts w:ascii="Arial" w:cs="Arial" w:eastAsia="Arial" w:hAnsi="Arial"/>
          <w:sz w:val="17"/>
          <w:szCs w:val="17"/>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Notes” </w:t>
      </w:r>
      <w:r>
        <w:rPr>
          <w:rFonts w:ascii="Arial" w:cs="Arial" w:eastAsia="Arial" w:hAnsi="Arial"/>
          <w:sz w:val="18"/>
          <w:szCs w:val="18"/>
          <w:color w:val="auto"/>
        </w:rPr>
        <w:t>means the Notes issued in the Exchange Offer pursuant to Section 2.06(f)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Offer Registration Statement” </w:t>
      </w:r>
      <w:r>
        <w:rPr>
          <w:rFonts w:ascii="Arial" w:cs="Arial" w:eastAsia="Arial" w:hAnsi="Arial"/>
          <w:sz w:val="18"/>
          <w:szCs w:val="18"/>
          <w:color w:val="auto"/>
        </w:rPr>
        <w:t>has the meaning set forth in the Registration Rights Agreement.</w:t>
      </w:r>
    </w:p>
    <w:p>
      <w:pPr>
        <w:sectPr>
          <w:pgSz w:w="11900" w:h="16874" w:orient="portrait"/>
          <w:cols w:equalWidth="0" w:num="1">
            <w:col w:w="11400"/>
          </w:cols>
          <w:pgMar w:left="240" w:top="341" w:right="259" w:bottom="0" w:gutter="0" w:footer="0" w:header="0"/>
        </w:sectPr>
      </w:pPr>
    </w:p>
    <w:bookmarkStart w:id="9" w:name="page10"/>
    <w:bookmarkEnd w:id="9"/>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 securing</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of the Company or any of its Subsidiaries (other than Liens incurred pursuant to clause (1) of Section 4.07 hereof).</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operating lease would be re-characterized as a capital lease due to changes in the accounting treatment of such operating leases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GAAP since the Issue Date, then solely with respect to the accounting treatment of any such lease, GAAP shall be interpreted as it was in effect on the Issue Date.</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in any manner including,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Hedging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right="24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ind w:left="660" w:firstLine="645"/>
        <w:spacing w:after="0" w:line="25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 Legend</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deposited with or on behalf of, and registered in the name of, the Depositary or its nominee that will be issued in a denomination equal to the outstanding principal amount of the Notes resold to Institutional Accredited Investors.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and surety bonds), whether or not contingent:</w:t>
      </w:r>
    </w:p>
    <w:p>
      <w:pPr>
        <w:spacing w:after="0" w:line="170"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ectPr>
          <w:pgSz w:w="11900" w:h="16838" w:orient="portrait"/>
          <w:cols w:equalWidth="0" w:num="1">
            <w:col w:w="11420"/>
          </w:cols>
          <w:pgMar w:left="240" w:top="341" w:right="239" w:bottom="0" w:gutter="0" w:footer="0" w:header="0"/>
        </w:sectPr>
      </w:pPr>
    </w:p>
    <w:bookmarkStart w:id="10" w:name="page11"/>
    <w:bookmarkEnd w:id="10"/>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right="400" w:firstLine="645"/>
        <w:spacing w:after="0" w:line="264"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$600,000,000 in aggregate principal amount of Notes issued under this Indenture on the date hereof.</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“Initial Purchasers” </w:t>
      </w:r>
      <w:r>
        <w:rPr>
          <w:rFonts w:ascii="Arial" w:cs="Arial" w:eastAsia="Arial" w:hAnsi="Arial"/>
          <w:sz w:val="18"/>
          <w:szCs w:val="18"/>
          <w:color w:val="auto"/>
        </w:rPr>
        <w:t>means RBC Capital Markets, LLC, Merrill Lynch, Pierce, Fenner &amp; Smith Incorporated, Credit Suisse Securities (USA) LLC,</w:t>
      </w:r>
      <w:r>
        <w:rPr>
          <w:rFonts w:ascii="Arial" w:cs="Arial" w:eastAsia="Arial" w:hAnsi="Arial"/>
          <w:sz w:val="18"/>
          <w:szCs w:val="18"/>
          <w:i w:val="1"/>
          <w:iCs w:val="1"/>
          <w:color w:val="auto"/>
        </w:rPr>
        <w:t xml:space="preserve"> </w:t>
      </w:r>
      <w:r>
        <w:rPr>
          <w:rFonts w:ascii="Arial" w:cs="Arial" w:eastAsia="Arial" w:hAnsi="Arial"/>
          <w:sz w:val="18"/>
          <w:szCs w:val="18"/>
          <w:color w:val="auto"/>
        </w:rPr>
        <w:t>Citigroup Global Markets Inc., Morgan Stanley &amp; Co. LLC, Goldman Sachs &amp; Co. LLC, MUFG Securities Americas Inc. and KeyBanc Capital Markets Inc., and shall include any other entity designated as such in any Supplemental Indenture with respect to any Series of Securities issued after the date of this Indenture.</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October 1, 2018.</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“Letter of Transmittal” </w:t>
      </w:r>
      <w:r>
        <w:rPr>
          <w:rFonts w:ascii="Arial" w:cs="Arial" w:eastAsia="Arial" w:hAnsi="Arial"/>
          <w:sz w:val="18"/>
          <w:szCs w:val="18"/>
          <w:color w:val="auto"/>
        </w:rPr>
        <w:t>means the letter of transmittal to be prepared by the Company and sent to all Holders of the Notes for use by such 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Exchange Offer.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30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Material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any series of Indebtedness with an aggregate principal amount outstanding in excess of the greater of</w:t>
      </w:r>
      <w:r>
        <w:rPr>
          <w:rFonts w:ascii="Arial" w:cs="Arial" w:eastAsia="Arial" w:hAnsi="Arial"/>
          <w:sz w:val="18"/>
          <w:szCs w:val="18"/>
          <w:i w:val="1"/>
          <w:iCs w:val="1"/>
          <w:color w:val="auto"/>
        </w:rPr>
        <w:t xml:space="preserve"> </w:t>
      </w:r>
      <w:r>
        <w:rPr>
          <w:rFonts w:ascii="Arial" w:cs="Arial" w:eastAsia="Arial" w:hAnsi="Arial"/>
          <w:sz w:val="18"/>
          <w:szCs w:val="18"/>
          <w:color w:val="auto"/>
        </w:rPr>
        <w:t>(i)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Necessary CapEx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 class</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under this Indenture, and unless the context otherwise requires, all references to the Notes shall include the Initial Notes and any Additional Notes.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“Offering Memorandum” </w:t>
      </w:r>
      <w:r>
        <w:rPr>
          <w:rFonts w:ascii="Arial" w:cs="Arial" w:eastAsia="Arial" w:hAnsi="Arial"/>
          <w:sz w:val="16"/>
          <w:szCs w:val="16"/>
          <w:color w:val="auto"/>
        </w:rPr>
        <w:t>means the offering memorandum dated September 17, 2018 in connection with the offering of the Notes by the Company.</w:t>
      </w:r>
    </w:p>
    <w:p>
      <w:pPr>
        <w:sectPr>
          <w:pgSz w:w="11900" w:h="16851" w:orient="portrait"/>
          <w:cols w:equalWidth="0" w:num="1">
            <w:col w:w="11400"/>
          </w:cols>
          <w:pgMar w:left="240" w:top="125" w:right="259" w:bottom="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the Chief Financial Officer, the Chief Accounting Officer, the Treasurer, any Assistant Treasurer, the Secretary, the Controller, Assistant Secretary or any Vice President of such Person.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1" w:lineRule="exact"/>
        <w:rPr>
          <w:sz w:val="20"/>
          <w:szCs w:val="20"/>
          <w:color w:val="auto"/>
        </w:rPr>
      </w:pPr>
    </w:p>
    <w:p>
      <w:pPr>
        <w:ind w:right="980" w:firstLine="648"/>
        <w:spacing w:after="0" w:line="342" w:lineRule="auto"/>
        <w:rPr>
          <w:sz w:val="20"/>
          <w:szCs w:val="20"/>
          <w:color w:val="auto"/>
        </w:rPr>
      </w:pPr>
      <w:r>
        <w:rPr>
          <w:rFonts w:ascii="Arial" w:cs="Arial" w:eastAsia="Arial" w:hAnsi="Arial"/>
          <w:sz w:val="16"/>
          <w:szCs w:val="16"/>
          <w:i w:val="1"/>
          <w:iCs w:val="1"/>
          <w:color w:val="auto"/>
        </w:rPr>
        <w:t xml:space="preserve">“Opinion of Counsel” </w:t>
      </w:r>
      <w:r>
        <w:rPr>
          <w:rFonts w:ascii="Arial" w:cs="Arial" w:eastAsia="Arial" w:hAnsi="Arial"/>
          <w:sz w:val="16"/>
          <w:szCs w:val="16"/>
          <w:color w:val="auto"/>
        </w:rPr>
        <w:t>means an opinion from legal counsel who is reasonably acceptable to the Trustee, that meets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12.05 hereof. The counsel may be an employee of or counsel to the Company, any Subsidiary of the Company or the Trustee.</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if applicable.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Clearway Energy LLC and its successors and assigns.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or government or other entity.</w:t>
      </w:r>
    </w:p>
    <w:p>
      <w:pPr>
        <w:spacing w:after="0" w:line="17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Principal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opinion of the Board of Directors is not of material importance to the business conducted by the Company and its consolidated Subsidiaries, taken as a whole.</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 Forma Cost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without duplication, with respect to any period, reductions in costs and related adjustments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Project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one or more Project Subsidiaries incurred for the purpose of holding, leasing, developing, constructing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is not liable with respect to such Indebtedness except to the extent of a non-recourse pledge of equity interests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Subsidiaries.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Project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Subsidiary of the Company held for the purpose of holding, leasing, developing, constructing or acquiring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Refinancing Liens”</w:t>
      </w:r>
      <w:r>
        <w:rPr>
          <w:rFonts w:ascii="Arial" w:cs="Arial" w:eastAsia="Arial" w:hAnsi="Arial"/>
          <w:sz w:val="16"/>
          <w:szCs w:val="16"/>
          <w:i w:val="1"/>
          <w:iCs w:val="1"/>
          <w:color w:val="auto"/>
        </w:rPr>
        <w:t xml:space="preserve">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(10)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ind w:left="5620" w:right="3940" w:hanging="5612"/>
        <w:spacing w:after="0" w:line="511" w:lineRule="auto"/>
        <w:tabs>
          <w:tab w:leader="none" w:pos="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 to property or assets other than property or assets of the type that were subject to the original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means the Registration Rights Agreement, dated as of October 1, 2018, among the Company, the Guarantors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other parties named on the signature pages thereof, as such agreement may be amended, modified or supplemented from time to time, and, with respect to any Additional Notes, one or more registration rights agreements among the Company, the Guarantors and the other parties thereto, as such agreement(s) may be amended, modified or supplemented from time to time, relating to rights given by the Company to the purchasers of Additional Notes to register such Additional Notes </w:t>
      </w:r>
      <w:r>
        <w:rPr>
          <w:rFonts w:ascii="Arial" w:cs="Arial" w:eastAsia="Arial" w:hAnsi="Arial"/>
          <w:sz w:val="18"/>
          <w:szCs w:val="18"/>
          <w:i w:val="1"/>
          <w:iCs w:val="1"/>
          <w:color w:val="auto"/>
        </w:rPr>
        <w:t>under</w:t>
      </w:r>
      <w:r>
        <w:rPr>
          <w:rFonts w:ascii="Arial" w:cs="Arial" w:eastAsia="Arial" w:hAnsi="Arial"/>
          <w:sz w:val="18"/>
          <w:szCs w:val="18"/>
          <w:color w:val="auto"/>
        </w:rPr>
        <w:t xml:space="preserve">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ectPr>
          <w:pgSz w:w="11900" w:h="16838" w:orient="portrait"/>
          <w:cols w:equalWidth="0" w:num="1">
            <w:col w:w="11400"/>
          </w:cols>
          <w:pgMar w:left="240" w:top="341" w:right="259" w:bottom="0" w:gutter="0" w:footer="0" w:header="0"/>
        </w:sectPr>
      </w:pPr>
    </w:p>
    <w:bookmarkStart w:id="12" w:name="page13"/>
    <w:bookmarkEnd w:id="12"/>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issued in a denomination equal to the outstanding principal amount of the Notes sold in reliance on Rule 903 of Regulation 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“Special Interest” </w:t>
      </w:r>
      <w:r>
        <w:rPr>
          <w:rFonts w:ascii="Arial" w:cs="Arial" w:eastAsia="Arial" w:hAnsi="Arial"/>
          <w:sz w:val="18"/>
          <w:szCs w:val="18"/>
          <w:color w:val="auto"/>
        </w:rPr>
        <w:t>has the meaning assigned to that term pursuant to the Registration Rights Agreement</w:t>
      </w:r>
      <w:r>
        <w:rPr>
          <w:rFonts w:ascii="Arial" w:cs="Arial" w:eastAsia="Arial" w:hAnsi="Arial"/>
          <w:sz w:val="18"/>
          <w:szCs w:val="18"/>
          <w:i w:val="1"/>
          <w:iCs w:val="1"/>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“Sponsor” </w:t>
      </w:r>
      <w:r>
        <w:rPr>
          <w:rFonts w:ascii="Arial" w:cs="Arial" w:eastAsia="Arial" w:hAnsi="Arial"/>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“Sponsor Affiliate” </w:t>
      </w:r>
      <w:r>
        <w:rPr>
          <w:rFonts w:ascii="Arial" w:cs="Arial" w:eastAsia="Arial" w:hAnsi="Arial"/>
          <w:sz w:val="18"/>
          <w:szCs w:val="18"/>
          <w:color w:val="auto"/>
        </w:rPr>
        <w:t>means any Affiliate of the Sponsor that is not a portfolio company.</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ind w:left="660" w:right="80" w:firstLine="645"/>
        <w:spacing w:after="0" w:line="257" w:lineRule="auto"/>
        <w:tabs>
          <w:tab w:leader="none" w:pos="19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ectPr>
          <w:pgSz w:w="11900" w:h="16843" w:orient="portrait"/>
          <w:cols w:equalWidth="0" w:num="1">
            <w:col w:w="11380"/>
          </w:cols>
          <w:pgMar w:left="240" w:top="125" w:right="279" w:bottom="0" w:gutter="0" w:footer="0" w:header="0"/>
        </w:sectPr>
      </w:pPr>
    </w:p>
    <w:bookmarkStart w:id="13" w:name="page14"/>
    <w:bookmarkEnd w:id="13"/>
    <w:p>
      <w:pPr>
        <w:ind w:left="660" w:right="40" w:firstLine="645"/>
        <w:spacing w:after="0" w:line="308" w:lineRule="auto"/>
        <w:tabs>
          <w:tab w:leader="none" w:pos="19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Subsidiary Guarantee”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Guarantee by each Subsidiary Guarantor of the Company’s obligations under this Indenture and on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right="12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i w:val="1"/>
          <w:iCs w:val="1"/>
          <w:color w:val="auto"/>
        </w:rPr>
        <w:t xml:space="preserve">“Tax Equity Financing” </w:t>
      </w:r>
      <w:r>
        <w:rPr>
          <w:rFonts w:ascii="Arial" w:cs="Arial" w:eastAsia="Arial" w:hAnsi="Arial"/>
          <w:sz w:val="17"/>
          <w:szCs w:val="17"/>
          <w:color w:val="auto"/>
        </w:rPr>
        <w:t>means a tax equity financing entered into solely in connection with the acquisition, expansion, upgrade or refurbishment (or</w:t>
      </w:r>
      <w:r>
        <w:rPr>
          <w:rFonts w:ascii="Arial" w:cs="Arial" w:eastAsia="Arial" w:hAnsi="Arial"/>
          <w:sz w:val="17"/>
          <w:szCs w:val="17"/>
          <w:i w:val="1"/>
          <w:iCs w:val="1"/>
          <w:color w:val="auto"/>
        </w:rPr>
        <w:t xml:space="preserve"> </w:t>
      </w:r>
      <w:r>
        <w:rPr>
          <w:rFonts w:ascii="Arial" w:cs="Arial" w:eastAsia="Arial" w:hAnsi="Arial"/>
          <w:sz w:val="17"/>
          <w:szCs w:val="17"/>
          <w:color w:val="auto"/>
        </w:rPr>
        <w:t>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“TIA” </w:t>
      </w:r>
      <w:r>
        <w:rPr>
          <w:rFonts w:ascii="Arial" w:cs="Arial" w:eastAsia="Arial" w:hAnsi="Arial"/>
          <w:sz w:val="18"/>
          <w:szCs w:val="18"/>
          <w:color w:val="auto"/>
        </w:rPr>
        <w:t>means the Trust Indenture Act of 1939, as amended (15 U.S.C. §§ 77aaa-77bbbb).</w:t>
      </w:r>
    </w:p>
    <w:p>
      <w:pPr>
        <w:spacing w:after="0" w:line="225"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Total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date of determination, the total consolidated assets of the Company and its Subsidiaries, determined on a</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basis in accordance with GAAP, as shown on the most recent publicly available balance sheet of the Company as of such date.</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Treasury Rate”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redemption date, the yield to maturity as of such redemption date of United States Treasury securities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15, 2021;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period from the redemption date to October 15, 2021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such Person.</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7540" w:type="dxa"/>
            <w:vAlign w:val="bottom"/>
            <w:gridSpan w:val="2"/>
            <w:vMerge w:val="continue"/>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“Authentication Order”</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“Covenant Defeasance”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8.03</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“Paying Agent”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3"/>
          </w:tcPr>
          <w:p>
            <w:pPr>
              <w:ind w:left="660"/>
              <w:spacing w:after="0"/>
              <w:rPr>
                <w:sz w:val="20"/>
                <w:szCs w:val="20"/>
                <w:color w:val="auto"/>
              </w:rPr>
            </w:pPr>
            <w:r>
              <w:rPr>
                <w:rFonts w:ascii="Arial" w:cs="Arial" w:eastAsia="Arial" w:hAnsi="Arial"/>
                <w:sz w:val="18"/>
                <w:szCs w:val="18"/>
                <w:i w:val="1"/>
                <w:iCs w:val="1"/>
                <w:color w:val="auto"/>
              </w:rPr>
              <w:t>“Payment Default”</w:t>
            </w:r>
          </w:p>
        </w:tc>
        <w:tc>
          <w:tcPr>
            <w:tcW w:w="3400" w:type="dxa"/>
            <w:vAlign w:val="bottom"/>
          </w:tcPr>
          <w:p>
            <w:pPr>
              <w:jc w:val="right"/>
              <w:ind w:right="870"/>
              <w:spacing w:after="0"/>
              <w:rPr>
                <w:sz w:val="20"/>
                <w:szCs w:val="20"/>
                <w:color w:val="auto"/>
              </w:rPr>
            </w:pPr>
            <w:r>
              <w:rPr>
                <w:rFonts w:ascii="Arial" w:cs="Arial" w:eastAsia="Arial" w:hAnsi="Arial"/>
                <w:sz w:val="18"/>
                <w:szCs w:val="18"/>
                <w:color w:val="auto"/>
              </w:rPr>
              <w:t>6.01</w:t>
            </w:r>
          </w:p>
        </w:tc>
      </w:tr>
      <w:tr>
        <w:trPr>
          <w:trHeight w:val="216"/>
        </w:trPr>
        <w:tc>
          <w:tcPr>
            <w:tcW w:w="6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3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2.03</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5960" w:type="dxa"/>
            <w:vAlign w:val="bottom"/>
          </w:tcPr>
          <w:p>
            <w:pPr>
              <w:ind w:left="200"/>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34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Whenever this Indenture refers to a provision of the TIA, the provision is incorporated by reference in and made a part of this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securities” </w:t>
      </w:r>
      <w:r>
        <w:rPr>
          <w:rFonts w:ascii="Arial" w:cs="Arial" w:eastAsia="Arial" w:hAnsi="Arial"/>
          <w:sz w:val="18"/>
          <w:szCs w:val="18"/>
          <w:color w:val="auto"/>
        </w:rPr>
        <w:t>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security Holder” </w:t>
      </w:r>
      <w:r>
        <w:rPr>
          <w:rFonts w:ascii="Arial" w:cs="Arial" w:eastAsia="Arial" w:hAnsi="Arial"/>
          <w:sz w:val="18"/>
          <w:szCs w:val="18"/>
          <w:color w:val="auto"/>
        </w:rPr>
        <w:t>means a Holder of a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to be qualified” </w:t>
      </w:r>
      <w:r>
        <w:rPr>
          <w:rFonts w:ascii="Arial" w:cs="Arial" w:eastAsia="Arial" w:hAnsi="Arial"/>
          <w:sz w:val="18"/>
          <w:szCs w:val="18"/>
          <w:color w:val="auto"/>
        </w:rPr>
        <w:t>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trustee” </w:t>
      </w:r>
      <w:r>
        <w:rPr>
          <w:rFonts w:ascii="Arial" w:cs="Arial" w:eastAsia="Arial" w:hAnsi="Arial"/>
          <w:sz w:val="18"/>
          <w:szCs w:val="18"/>
          <w:color w:val="auto"/>
        </w:rPr>
        <w:t>or</w:t>
      </w:r>
      <w:r>
        <w:rPr>
          <w:rFonts w:ascii="Arial" w:cs="Arial" w:eastAsia="Arial" w:hAnsi="Arial"/>
          <w:sz w:val="18"/>
          <w:szCs w:val="18"/>
          <w:i w:val="1"/>
          <w:iCs w:val="1"/>
          <w:color w:val="auto"/>
        </w:rPr>
        <w:t xml:space="preserve"> “institutional trustee” </w:t>
      </w:r>
      <w:r>
        <w:rPr>
          <w:rFonts w:ascii="Arial" w:cs="Arial" w:eastAsia="Arial" w:hAnsi="Arial"/>
          <w:sz w:val="18"/>
          <w:szCs w:val="18"/>
          <w:color w:val="auto"/>
        </w:rPr>
        <w:t>means the Trustee; and</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“obligor” </w:t>
      </w:r>
      <w:r>
        <w:rPr>
          <w:rFonts w:ascii="Arial" w:cs="Arial" w:eastAsia="Arial" w:hAnsi="Arial"/>
          <w:sz w:val="18"/>
          <w:szCs w:val="18"/>
          <w:color w:val="auto"/>
        </w:rPr>
        <w:t>on the Securities and the Guarantees means the Company and the Guarantors, respectively, and any successor obligor upon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Guarantees, respectively.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 of Notes; Creation of Additional Securities.</w:t>
      </w:r>
    </w:p>
    <w:p>
      <w:pPr>
        <w:spacing w:after="0" w:line="225" w:lineRule="exact"/>
        <w:rPr>
          <w:sz w:val="20"/>
          <w:szCs w:val="20"/>
          <w:color w:val="auto"/>
        </w:rPr>
      </w:pPr>
    </w:p>
    <w:p>
      <w:pPr>
        <w:ind w:firstLine="656"/>
        <w:spacing w:after="0" w:line="291" w:lineRule="auto"/>
        <w:tabs>
          <w:tab w:leader="none" w:pos="1294"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Securities to be Issued in Series</w:t>
      </w:r>
      <w:r>
        <w:rPr>
          <w:rFonts w:ascii="Arial" w:cs="Arial" w:eastAsia="Arial" w:hAnsi="Arial"/>
          <w:sz w:val="16"/>
          <w:szCs w:val="16"/>
          <w:color w:val="auto"/>
        </w:rPr>
        <w:t>. The aggregate amount of Securities that may be authenticated and delivered under this Indenture is</w:t>
      </w:r>
      <w:r>
        <w:rPr>
          <w:rFonts w:ascii="Arial" w:cs="Arial" w:eastAsia="Arial" w:hAnsi="Arial"/>
          <w:sz w:val="16"/>
          <w:szCs w:val="16"/>
          <w:i w:val="1"/>
          <w:iCs w:val="1"/>
          <w:color w:val="auto"/>
        </w:rPr>
        <w:t xml:space="preserve"> </w:t>
      </w:r>
      <w:r>
        <w:rPr>
          <w:rFonts w:ascii="Arial" w:cs="Arial" w:eastAsia="Arial" w:hAnsi="Arial"/>
          <w:sz w:val="16"/>
          <w:szCs w:val="16"/>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1" w:lineRule="exact"/>
        <w:rPr>
          <w:sz w:val="20"/>
          <w:szCs w:val="20"/>
          <w:color w:val="auto"/>
        </w:rPr>
      </w:pPr>
    </w:p>
    <w:p>
      <w:pPr>
        <w:ind w:left="5620" w:right="520" w:hanging="4315"/>
        <w:spacing w:after="0" w:line="528" w:lineRule="auto"/>
        <w:tabs>
          <w:tab w:leader="none" w:pos="19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Securities of that particular Series from the Securities of any other Series); 16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5" w:name="page16"/>
    <w:bookmarkEnd w:id="15"/>
    <w:p>
      <w:pPr>
        <w:ind w:left="660" w:right="120" w:firstLine="645"/>
        <w:spacing w:after="0" w:line="264"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660" w:right="80" w:firstLine="645"/>
        <w:spacing w:after="0" w:line="279" w:lineRule="auto"/>
        <w:tabs>
          <w:tab w:leader="none" w:pos="19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rFonts w:ascii="Arial" w:cs="Arial" w:eastAsia="Arial" w:hAnsi="Arial"/>
          <w:sz w:val="17"/>
          <w:szCs w:val="17"/>
          <w:color w:val="auto"/>
        </w:rPr>
      </w:pPr>
    </w:p>
    <w:p>
      <w:pPr>
        <w:jc w:val="both"/>
        <w:ind w:left="660" w:right="120" w:firstLine="645"/>
        <w:spacing w:after="0" w:line="312" w:lineRule="auto"/>
        <w:tabs>
          <w:tab w:leader="none" w:pos="19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6" w:lineRule="exact"/>
        <w:rPr>
          <w:rFonts w:ascii="Arial" w:cs="Arial" w:eastAsia="Arial" w:hAnsi="Arial"/>
          <w:sz w:val="16"/>
          <w:szCs w:val="16"/>
          <w:color w:val="auto"/>
        </w:rPr>
      </w:pPr>
    </w:p>
    <w:p>
      <w:pPr>
        <w:ind w:left="660" w:right="700" w:firstLine="645"/>
        <w:spacing w:after="0" w:line="277"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660" w:right="20" w:firstLine="645"/>
        <w:spacing w:after="0" w:line="286" w:lineRule="auto"/>
        <w:tabs>
          <w:tab w:leader="none" w:pos="19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660" w:right="160" w:firstLine="645"/>
        <w:spacing w:after="0" w:line="277"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660" w:right="460" w:firstLine="645"/>
        <w:spacing w:after="0" w:line="277" w:lineRule="auto"/>
        <w:tabs>
          <w:tab w:leader="none" w:pos="19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left="660" w:right="20" w:firstLine="645"/>
        <w:spacing w:after="0" w:line="308" w:lineRule="auto"/>
        <w:tabs>
          <w:tab w:leader="none" w:pos="19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6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covenants set forth in Articles 4 or 5 which applies to Securities of the Series;</w:t>
      </w:r>
    </w:p>
    <w:p>
      <w:pPr>
        <w:spacing w:after="0" w:line="248" w:lineRule="exact"/>
        <w:rPr>
          <w:rFonts w:ascii="Arial" w:cs="Arial" w:eastAsia="Arial" w:hAnsi="Arial"/>
          <w:sz w:val="16"/>
          <w:szCs w:val="16"/>
          <w:color w:val="auto"/>
        </w:rPr>
      </w:pPr>
    </w:p>
    <w:p>
      <w:pPr>
        <w:ind w:left="660" w:right="160" w:firstLine="645"/>
        <w:spacing w:after="0" w:line="308" w:lineRule="auto"/>
        <w:tabs>
          <w:tab w:leader="none" w:pos="19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10" w:lineRule="exact"/>
        <w:rPr>
          <w:rFonts w:ascii="Arial" w:cs="Arial" w:eastAsia="Arial" w:hAnsi="Arial"/>
          <w:sz w:val="16"/>
          <w:szCs w:val="16"/>
          <w:color w:val="auto"/>
        </w:rPr>
      </w:pPr>
    </w:p>
    <w:p>
      <w:pPr>
        <w:ind w:left="660" w:right="14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7" w:lineRule="exact"/>
        <w:rPr>
          <w:sz w:val="20"/>
          <w:szCs w:val="20"/>
          <w:color w:val="auto"/>
        </w:rPr>
      </w:pPr>
    </w:p>
    <w:p>
      <w:pPr>
        <w:ind w:firstLine="656"/>
        <w:spacing w:after="0" w:line="342" w:lineRule="auto"/>
        <w:tabs>
          <w:tab w:leader="none" w:pos="130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The Notes</w:t>
      </w:r>
      <w:r>
        <w:rPr>
          <w:rFonts w:ascii="Arial" w:cs="Arial" w:eastAsia="Arial" w:hAnsi="Arial"/>
          <w:sz w:val="16"/>
          <w:szCs w:val="16"/>
          <w:color w:val="auto"/>
        </w:rPr>
        <w:t>. The Notes shall be issued in registered global form without interest coupons. The Notes and the Trustee’s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authentication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Notes may have notations, legends or endorsements required by law, stock exchange</w:t>
      </w:r>
    </w:p>
    <w:p>
      <w:pPr>
        <w:sectPr>
          <w:pgSz w:w="11900" w:h="16838" w:orient="portrait"/>
          <w:cols w:equalWidth="0" w:num="1">
            <w:col w:w="11400"/>
          </w:cols>
          <w:pgMar w:left="240" w:top="125" w:right="259" w:bottom="0" w:gutter="0" w:footer="0" w:header="0"/>
        </w:sectPr>
      </w:pPr>
    </w:p>
    <w:bookmarkStart w:id="16" w:name="page17"/>
    <w:bookmarkEnd w:id="16"/>
    <w:p>
      <w:pPr>
        <w:spacing w:after="0" w:line="3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extent any provision of the Note conflicts with the express provisions of this Indenture, the provisions of this Indenture shall govern and be controlling.</w:t>
      </w:r>
    </w:p>
    <w:p>
      <w:pPr>
        <w:spacing w:after="0" w:line="237" w:lineRule="exact"/>
        <w:rPr>
          <w:sz w:val="20"/>
          <w:szCs w:val="20"/>
          <w:color w:val="auto"/>
        </w:rPr>
      </w:pPr>
    </w:p>
    <w:p>
      <w:pPr>
        <w:ind w:right="20" w:firstLine="656"/>
        <w:spacing w:after="0" w:line="270" w:lineRule="auto"/>
        <w:tabs>
          <w:tab w:leader="none" w:pos="1307"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1" w:lineRule="exact"/>
        <w:rPr>
          <w:rFonts w:ascii="Arial" w:cs="Arial" w:eastAsia="Arial" w:hAnsi="Arial"/>
          <w:sz w:val="17"/>
          <w:szCs w:val="17"/>
          <w:color w:val="auto"/>
        </w:rPr>
      </w:pPr>
    </w:p>
    <w:p>
      <w:pPr>
        <w:jc w:val="both"/>
        <w:ind w:firstLine="656"/>
        <w:spacing w:after="0" w:line="312"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Trustee shall, upon receipt of a written order of the Company signed by at least one Officer (an </w:t>
      </w:r>
      <w:r>
        <w:rPr>
          <w:rFonts w:ascii="Arial" w:cs="Arial" w:eastAsia="Arial" w:hAnsi="Arial"/>
          <w:sz w:val="16"/>
          <w:szCs w:val="16"/>
          <w:i w:val="1"/>
          <w:iCs w:val="1"/>
          <w:color w:val="auto"/>
        </w:rPr>
        <w:t>“Authentication Order”</w:t>
      </w:r>
      <w:r>
        <w:rPr>
          <w:rFonts w:ascii="Arial" w:cs="Arial" w:eastAsia="Arial" w:hAnsi="Arial"/>
          <w:sz w:val="16"/>
          <w:szCs w:val="16"/>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4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8"/>
          <w:szCs w:val="18"/>
          <w:i w:val="1"/>
          <w:iCs w:val="1"/>
          <w:color w:val="auto"/>
        </w:rPr>
        <w:t>“Registrar”</w:t>
      </w:r>
      <w:r>
        <w:rPr>
          <w:rFonts w:ascii="Arial" w:cs="Arial" w:eastAsia="Arial" w:hAnsi="Arial"/>
          <w:sz w:val="18"/>
          <w:szCs w:val="18"/>
          <w:color w:val="auto"/>
        </w:rPr>
        <w:t>) and an office or agency where such Securities may be presented for payment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The Registrar will keep a register of all such Securities and of their transfer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initially appoints the Trustee to act as the Registrar and Paying Agent and to act as Custodian with respect to the Global Notes.</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ectPr>
          <w:pgSz w:w="11900" w:h="16874" w:orient="portrait"/>
          <w:cols w:equalWidth="0" w:num="1">
            <w:col w:w="11380"/>
          </w:cols>
          <w:pgMar w:left="240" w:top="125" w:right="279" w:bottom="0" w:gutter="0" w:footer="0" w:header="0"/>
        </w:sectPr>
      </w:pPr>
    </w:p>
    <w:bookmarkStart w:id="17" w:name="page18"/>
    <w:bookmarkEnd w:id="17"/>
    <w:p>
      <w:pPr>
        <w:spacing w:after="0" w:line="106"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all Holders and shall otherwise comply with TIA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and the Company shall otherwise comply with TIA §312(a).</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firstLine="656"/>
        <w:spacing w:after="0" w:line="312" w:lineRule="auto"/>
        <w:tabs>
          <w:tab w:leader="none" w:pos="129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6" w:lineRule="exact"/>
        <w:rPr>
          <w:rFonts w:ascii="Arial" w:cs="Arial" w:eastAsia="Arial" w:hAnsi="Arial"/>
          <w:sz w:val="16"/>
          <w:szCs w:val="16"/>
          <w:color w:val="auto"/>
        </w:rPr>
      </w:pPr>
    </w:p>
    <w:p>
      <w:pPr>
        <w:ind w:left="660" w:right="80" w:firstLine="645"/>
        <w:spacing w:after="0" w:line="264" w:lineRule="auto"/>
        <w:tabs>
          <w:tab w:leader="none" w:pos="1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firstLine="645"/>
        <w:spacing w:after="0" w:line="277" w:lineRule="auto"/>
        <w:tabs>
          <w:tab w:leader="none" w:pos="1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3" w:lineRule="exact"/>
        <w:rPr>
          <w:sz w:val="20"/>
          <w:szCs w:val="20"/>
          <w:color w:val="auto"/>
        </w:rPr>
      </w:pPr>
    </w:p>
    <w:p>
      <w:pPr>
        <w:ind w:right="20" w:firstLine="656"/>
        <w:spacing w:after="0" w:line="259"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left="660" w:right="80" w:firstLine="645"/>
        <w:spacing w:after="0" w:line="289" w:lineRule="auto"/>
        <w:tabs>
          <w:tab w:leader="none" w:pos="196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166" w:lineRule="exact"/>
        <w:rPr>
          <w:rFonts w:ascii="Arial" w:cs="Arial" w:eastAsia="Arial" w:hAnsi="Arial"/>
          <w:sz w:val="16"/>
          <w:szCs w:val="16"/>
          <w:color w:val="auto"/>
        </w:rPr>
      </w:pPr>
    </w:p>
    <w:p>
      <w:pPr>
        <w:ind w:left="660" w:right="120" w:firstLine="645"/>
        <w:spacing w:after="0" w:line="342" w:lineRule="auto"/>
        <w:tabs>
          <w:tab w:leader="none" w:pos="196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sz w:val="20"/>
          <w:szCs w:val="20"/>
          <w:color w:val="auto"/>
        </w:rPr>
      </w:pPr>
    </w:p>
    <w:p>
      <w:pPr>
        <w:ind w:left="1960" w:right="140" w:firstLine="641"/>
        <w:spacing w:after="0" w:line="264" w:lineRule="auto"/>
        <w:tabs>
          <w:tab w:leader="none" w:pos="32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780" w:firstLine="641"/>
        <w:spacing w:after="0" w:line="277" w:lineRule="auto"/>
        <w:tabs>
          <w:tab w:leader="none" w:pos="3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60" w:right="340" w:firstLine="641"/>
        <w:spacing w:after="0" w:line="264" w:lineRule="auto"/>
        <w:tabs>
          <w:tab w:leader="none" w:pos="32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1" w:lineRule="exact"/>
        <w:rPr>
          <w:rFonts w:ascii="Arial" w:cs="Arial" w:eastAsia="Arial" w:hAnsi="Arial"/>
          <w:sz w:val="18"/>
          <w:szCs w:val="18"/>
          <w:color w:val="auto"/>
        </w:rPr>
      </w:pPr>
    </w:p>
    <w:p>
      <w:pPr>
        <w:ind w:left="1960" w:firstLine="641"/>
        <w:spacing w:after="0" w:line="277" w:lineRule="auto"/>
        <w:tabs>
          <w:tab w:leader="none" w:pos="32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Upon consummation by the Company of the Exchange Offer (or any other exchange offer) contemplated by the Company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Securities. Upon satisfaction of all of the requirements for transfer or exchange of beneficial interests in Global Securities contained in this Indenture and the Notes or</w:t>
      </w:r>
    </w:p>
    <w:p>
      <w:pPr>
        <w:sectPr>
          <w:pgSz w:w="11900" w:h="16945" w:orient="portrait"/>
          <w:cols w:equalWidth="0" w:num="1">
            <w:col w:w="11400"/>
          </w:cols>
          <w:pgMar w:left="240" w:top="341" w:right="259" w:bottom="0" w:gutter="0" w:footer="0" w:header="0"/>
        </w:sectPr>
      </w:pPr>
    </w:p>
    <w:bookmarkStart w:id="18" w:name="page19"/>
    <w:bookmarkEnd w:id="18"/>
    <w:p>
      <w:pPr>
        <w:spacing w:after="0" w:line="114"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otherwise applicable under the Securities Act, the Trustee shall adjust the principal amount of the relevant Global Security(ies) pursuant to Section 2.06(h) hereof.</w:t>
      </w:r>
    </w:p>
    <w:p>
      <w:pPr>
        <w:spacing w:after="0" w:line="170" w:lineRule="exact"/>
        <w:rPr>
          <w:sz w:val="20"/>
          <w:szCs w:val="20"/>
          <w:color w:val="auto"/>
        </w:rPr>
      </w:pPr>
    </w:p>
    <w:p>
      <w:pPr>
        <w:jc w:val="both"/>
        <w:ind w:left="660" w:right="40" w:firstLine="645"/>
        <w:spacing w:after="0" w:line="264" w:lineRule="auto"/>
        <w:tabs>
          <w:tab w:leader="none" w:pos="19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1" w:lineRule="exact"/>
        <w:rPr>
          <w:rFonts w:ascii="Arial" w:cs="Arial" w:eastAsia="Arial" w:hAnsi="Arial"/>
          <w:sz w:val="18"/>
          <w:szCs w:val="18"/>
          <w:color w:val="auto"/>
        </w:rPr>
      </w:pPr>
    </w:p>
    <w:p>
      <w:pPr>
        <w:ind w:left="1300" w:firstLine="653"/>
        <w:spacing w:after="0" w:line="277" w:lineRule="auto"/>
        <w:tabs>
          <w:tab w:leader="none" w:pos="26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right="620" w:firstLine="653"/>
        <w:spacing w:after="0" w:line="308" w:lineRule="auto"/>
        <w:tabs>
          <w:tab w:leader="none" w:pos="2607"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 and</w:t>
      </w:r>
    </w:p>
    <w:p>
      <w:pPr>
        <w:spacing w:after="0" w:line="146" w:lineRule="exact"/>
        <w:rPr>
          <w:rFonts w:ascii="Arial" w:cs="Arial" w:eastAsia="Arial" w:hAnsi="Arial"/>
          <w:sz w:val="17"/>
          <w:szCs w:val="17"/>
          <w:color w:val="auto"/>
        </w:rPr>
      </w:pPr>
    </w:p>
    <w:p>
      <w:pPr>
        <w:ind w:left="1300" w:right="160" w:firstLine="653"/>
        <w:spacing w:after="0" w:line="291" w:lineRule="auto"/>
        <w:tabs>
          <w:tab w:leader="none" w:pos="260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IAI Global Security,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60" w:right="120" w:firstLine="645"/>
        <w:spacing w:after="0" w:line="259" w:lineRule="auto"/>
        <w:tabs>
          <w:tab w:leader="none" w:pos="196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Beneficial Interests in a Restricted Global Security for Beneficial Interests in an Unrestricted Global Security. </w:t>
      </w:r>
      <w:r>
        <w:rPr>
          <w:rFonts w:ascii="Arial" w:cs="Arial" w:eastAsia="Arial" w:hAnsi="Arial"/>
          <w:sz w:val="18"/>
          <w:szCs w:val="18"/>
          <w:color w:val="auto"/>
        </w:rPr>
        <w:t>A beneficial interest in any Restricted Global Security may be exchanged by any holder thereof for a beneficial interest in an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Security or transferred to a Person who takes delivery thereof in the form of a beneficial interest in an Unrestricted Global Security if the exchange or transfer complies with the requirements of Section 2.06(b)(2) above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firstLine="653"/>
        <w:spacing w:after="0" w:line="279" w:lineRule="auto"/>
        <w:tabs>
          <w:tab w:leader="none" w:pos="2617"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firstLine="653"/>
        <w:spacing w:after="0" w:line="277" w:lineRule="auto"/>
        <w:tabs>
          <w:tab w:leader="none" w:pos="26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jc w:val="both"/>
        <w:ind w:left="1960" w:right="40" w:firstLine="641"/>
        <w:spacing w:after="0" w:line="264" w:lineRule="auto"/>
        <w:tabs>
          <w:tab w:leader="none" w:pos="32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181" w:lineRule="exact"/>
        <w:rPr>
          <w:rFonts w:ascii="Arial" w:cs="Arial" w:eastAsia="Arial" w:hAnsi="Arial"/>
          <w:sz w:val="18"/>
          <w:szCs w:val="18"/>
          <w:color w:val="auto"/>
        </w:rPr>
      </w:pPr>
    </w:p>
    <w:p>
      <w:pPr>
        <w:ind w:left="1960" w:right="500" w:firstLine="641"/>
        <w:spacing w:after="0" w:line="312" w:lineRule="auto"/>
        <w:tabs>
          <w:tab w:leader="none" w:pos="32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7"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660" w:right="140" w:firstLine="648"/>
        <w:spacing w:after="0" w:line="259" w:lineRule="auto"/>
        <w:rPr>
          <w:sz w:val="20"/>
          <w:szCs w:val="20"/>
          <w:color w:val="auto"/>
        </w:rPr>
      </w:pPr>
      <w:r>
        <w:rPr>
          <w:rFonts w:ascii="Arial" w:cs="Arial" w:eastAsia="Arial" w:hAnsi="Arial"/>
          <w:sz w:val="18"/>
          <w:szCs w:val="18"/>
          <w:color w:val="auto"/>
        </w:rPr>
        <w:t>If any such transfer is effected pursuant to subparagraph (B) or (D) above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subparagraph (B) or (D) above.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ind w:right="100" w:firstLine="656"/>
        <w:spacing w:after="0" w:line="264"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1" w:lineRule="exact"/>
        <w:rPr>
          <w:rFonts w:ascii="Arial" w:cs="Arial" w:eastAsia="Arial" w:hAnsi="Arial"/>
          <w:sz w:val="18"/>
          <w:szCs w:val="18"/>
          <w:color w:val="auto"/>
        </w:rPr>
      </w:pPr>
    </w:p>
    <w:p>
      <w:pPr>
        <w:ind w:left="660" w:right="320" w:firstLine="645"/>
        <w:spacing w:after="0" w:line="342" w:lineRule="auto"/>
        <w:tabs>
          <w:tab w:leader="none" w:pos="1964"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Restricted Global Securities to Restricted Definitive Securities. </w:t>
      </w:r>
      <w:r>
        <w:rPr>
          <w:rFonts w:ascii="Arial" w:cs="Arial" w:eastAsia="Arial" w:hAnsi="Arial"/>
          <w:sz w:val="16"/>
          <w:szCs w:val="16"/>
          <w:color w:val="auto"/>
        </w:rPr>
        <w:t>If any holder of a beneficial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Global Security proposes to exchange such beneficial interest for a Restricted Definitive Security or to transfer such beneficial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interest to a Person who takes delivery thereof in the form of a Restricted Definitive Security, then, upon receipt by the Registrar of the following documentation:</w:t>
      </w:r>
    </w:p>
    <w:p>
      <w:pPr>
        <w:spacing w:after="0" w:line="170" w:lineRule="exact"/>
        <w:rPr>
          <w:sz w:val="20"/>
          <w:szCs w:val="20"/>
          <w:color w:val="auto"/>
        </w:rPr>
      </w:pPr>
    </w:p>
    <w:p>
      <w:pPr>
        <w:ind w:left="1300" w:right="80" w:firstLine="653"/>
        <w:spacing w:after="0" w:line="308" w:lineRule="auto"/>
        <w:tabs>
          <w:tab w:leader="none" w:pos="2617"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Security proposes to exchange such beneficial interest for a 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sectPr>
          <w:pgSz w:w="11900" w:h="16953" w:orient="portrait"/>
          <w:cols w:equalWidth="0" w:num="1">
            <w:col w:w="11420"/>
          </w:cols>
          <w:pgMar w:left="240" w:top="125" w:right="239" w:bottom="0" w:gutter="0" w:footer="0" w:header="0"/>
        </w:sectPr>
      </w:pPr>
    </w:p>
    <w:bookmarkStart w:id="19" w:name="page20"/>
    <w:bookmarkEnd w:id="19"/>
    <w:p>
      <w:pPr>
        <w:ind w:left="880" w:hanging="235"/>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thereof;</w:t>
      </w:r>
    </w:p>
    <w:p>
      <w:pPr>
        <w:spacing w:after="0" w:line="225" w:lineRule="exact"/>
        <w:rPr>
          <w:rFonts w:ascii="Arial" w:cs="Arial" w:eastAsia="Arial" w:hAnsi="Arial"/>
          <w:sz w:val="18"/>
          <w:szCs w:val="18"/>
          <w:color w:val="auto"/>
        </w:rPr>
      </w:pPr>
    </w:p>
    <w:p>
      <w:pPr>
        <w:ind w:left="640" w:firstLine="653"/>
        <w:spacing w:after="0" w:line="277" w:lineRule="auto"/>
        <w:tabs>
          <w:tab w:leader="none" w:pos="19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211" w:lineRule="exact"/>
        <w:rPr>
          <w:sz w:val="20"/>
          <w:szCs w:val="20"/>
          <w:color w:val="auto"/>
        </w:rPr>
      </w:pPr>
    </w:p>
    <w:p>
      <w:pPr>
        <w:ind w:left="640" w:right="280" w:firstLine="653"/>
        <w:spacing w:after="0" w:line="291" w:lineRule="auto"/>
        <w:tabs>
          <w:tab w:leader="none" w:pos="1957"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80" w:hanging="23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640" w:right="60" w:firstLine="653"/>
        <w:spacing w:after="0" w:line="312" w:lineRule="auto"/>
        <w:tabs>
          <w:tab w:leader="none" w:pos="195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6" w:lineRule="exact"/>
        <w:rPr>
          <w:rFonts w:ascii="Arial" w:cs="Arial" w:eastAsia="Arial" w:hAnsi="Arial"/>
          <w:sz w:val="16"/>
          <w:szCs w:val="16"/>
          <w:color w:val="auto"/>
        </w:rPr>
      </w:pPr>
    </w:p>
    <w:p>
      <w:pPr>
        <w:ind w:left="640" w:right="40" w:firstLine="653"/>
        <w:spacing w:after="0" w:line="277" w:lineRule="auto"/>
        <w:tabs>
          <w:tab w:leader="none" w:pos="1954"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0" w:right="260" w:firstLine="653"/>
        <w:spacing w:after="0" w:line="277" w:lineRule="auto"/>
        <w:tabs>
          <w:tab w:leader="none" w:pos="195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cause the aggregate principal amount of the applicable Global Security to be reduced accordingly pursuant to</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81" w:lineRule="exact"/>
        <w:rPr>
          <w:sz w:val="20"/>
          <w:szCs w:val="20"/>
          <w:color w:val="auto"/>
        </w:rPr>
      </w:pPr>
    </w:p>
    <w:p>
      <w:pPr>
        <w:ind w:right="440" w:firstLine="645"/>
        <w:spacing w:after="0" w:line="27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Unrestricted Definitive Securities. </w:t>
      </w:r>
      <w:r>
        <w:rPr>
          <w:rFonts w:ascii="Arial" w:cs="Arial" w:eastAsia="Arial" w:hAnsi="Arial"/>
          <w:sz w:val="18"/>
          <w:szCs w:val="18"/>
          <w:color w:val="auto"/>
        </w:rPr>
        <w:t>A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may exchange such</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beneficial interest for an Unrestricted Definitive Security or may transfer such beneficial interest to a Person who takes delivery thereof in the form of an Unrestricted Definitive Security only if:</w:t>
      </w:r>
    </w:p>
    <w:p>
      <w:pPr>
        <w:spacing w:after="0" w:line="170" w:lineRule="exact"/>
        <w:rPr>
          <w:sz w:val="20"/>
          <w:szCs w:val="20"/>
          <w:color w:val="auto"/>
        </w:rPr>
      </w:pPr>
    </w:p>
    <w:p>
      <w:pPr>
        <w:ind w:left="640" w:right="220" w:firstLine="653"/>
        <w:spacing w:after="0" w:line="288" w:lineRule="auto"/>
        <w:tabs>
          <w:tab w:leader="none" w:pos="1957"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w:t>
      </w:r>
    </w:p>
    <w:p>
      <w:pPr>
        <w:ind w:left="960" w:hanging="315"/>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Person who is an affiliate (as defined in Rule 144) of the Company;</w:t>
      </w:r>
    </w:p>
    <w:p>
      <w:pPr>
        <w:spacing w:after="0" w:line="210" w:lineRule="exact"/>
        <w:rPr>
          <w:rFonts w:ascii="Arial" w:cs="Arial" w:eastAsia="Arial" w:hAnsi="Arial"/>
          <w:sz w:val="18"/>
          <w:szCs w:val="18"/>
          <w:color w:val="auto"/>
        </w:rPr>
      </w:pPr>
    </w:p>
    <w:p>
      <w:pPr>
        <w:ind w:left="1960" w:hanging="667"/>
        <w:spacing w:after="0"/>
        <w:tabs>
          <w:tab w:leader="none" w:pos="1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0" w:firstLine="653"/>
        <w:spacing w:after="0" w:line="277" w:lineRule="auto"/>
        <w:tabs>
          <w:tab w:leader="none" w:pos="19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1300" w:right="380" w:firstLine="641"/>
        <w:spacing w:after="0" w:line="264" w:lineRule="auto"/>
        <w:tabs>
          <w:tab w:leader="none" w:pos="2618"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(1)(b) thereof; or</w:t>
      </w:r>
    </w:p>
    <w:p>
      <w:pPr>
        <w:spacing w:after="0" w:line="181" w:lineRule="exact"/>
        <w:rPr>
          <w:rFonts w:ascii="Arial" w:cs="Arial" w:eastAsia="Arial" w:hAnsi="Arial"/>
          <w:sz w:val="18"/>
          <w:szCs w:val="18"/>
          <w:color w:val="auto"/>
        </w:rPr>
      </w:pPr>
    </w:p>
    <w:p>
      <w:pPr>
        <w:ind w:left="1300" w:right="20" w:firstLine="641"/>
        <w:spacing w:after="0" w:line="264" w:lineRule="auto"/>
        <w:tabs>
          <w:tab w:leader="none" w:pos="2627"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0" w:firstLine="645"/>
        <w:spacing w:after="0" w:line="290" w:lineRule="auto"/>
        <w:tabs>
          <w:tab w:leader="none" w:pos="1304"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2.06(b)(2) 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w:t>
      </w:r>
    </w:p>
    <w:p>
      <w:pPr>
        <w:sectPr>
          <w:pgSz w:w="11900" w:h="16838" w:orient="portrait"/>
          <w:cols w:equalWidth="0" w:num="1">
            <w:col w:w="10760"/>
          </w:cols>
          <w:pgMar w:left="900" w:top="125" w:right="239" w:bottom="0" w:gutter="0" w:footer="0" w:header="0"/>
        </w:sectPr>
      </w:pPr>
    </w:p>
    <w:bookmarkStart w:id="20" w:name="page21"/>
    <w:bookmarkEnd w:id="20"/>
    <w:p>
      <w:pPr>
        <w:ind w:left="4" w:right="100"/>
        <w:spacing w:after="0" w:line="277" w:lineRule="auto"/>
        <w:rPr>
          <w:sz w:val="20"/>
          <w:szCs w:val="20"/>
          <w:color w:val="auto"/>
        </w:rPr>
      </w:pPr>
      <w:r>
        <w:rPr>
          <w:rFonts w:ascii="Arial" w:cs="Arial" w:eastAsia="Arial" w:hAnsi="Arial"/>
          <w:sz w:val="18"/>
          <w:szCs w:val="18"/>
          <w:color w:val="auto"/>
        </w:rPr>
        <w:t>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4" w:hanging="664"/>
        <w:spacing w:after="0"/>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pacing w:after="0" w:line="225" w:lineRule="exact"/>
        <w:rPr>
          <w:rFonts w:ascii="Arial" w:cs="Arial" w:eastAsia="Arial" w:hAnsi="Arial"/>
          <w:sz w:val="18"/>
          <w:szCs w:val="18"/>
          <w:color w:val="auto"/>
        </w:rPr>
      </w:pPr>
    </w:p>
    <w:p>
      <w:pPr>
        <w:ind w:left="4" w:right="360" w:firstLine="645"/>
        <w:spacing w:after="0" w:line="259" w:lineRule="auto"/>
        <w:tabs>
          <w:tab w:leader="none" w:pos="130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6" w:lineRule="exact"/>
        <w:rPr>
          <w:rFonts w:ascii="Arial" w:cs="Arial" w:eastAsia="Arial" w:hAnsi="Arial"/>
          <w:sz w:val="18"/>
          <w:szCs w:val="18"/>
          <w:color w:val="auto"/>
        </w:rPr>
      </w:pPr>
    </w:p>
    <w:p>
      <w:pPr>
        <w:ind w:left="644" w:right="60" w:firstLine="653"/>
        <w:spacing w:after="0" w:line="342" w:lineRule="auto"/>
        <w:tabs>
          <w:tab w:leader="none" w:pos="1961"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Security proposes to exchange such Security for a beneficial interest in a 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(2)(b) thereof;</w:t>
      </w:r>
    </w:p>
    <w:p>
      <w:pPr>
        <w:spacing w:after="0" w:line="123" w:lineRule="exact"/>
        <w:rPr>
          <w:rFonts w:ascii="Arial" w:cs="Arial" w:eastAsia="Arial" w:hAnsi="Arial"/>
          <w:sz w:val="16"/>
          <w:szCs w:val="16"/>
          <w:color w:val="auto"/>
        </w:rPr>
      </w:pPr>
    </w:p>
    <w:p>
      <w:pPr>
        <w:ind w:left="644" w:right="420" w:firstLine="653"/>
        <w:spacing w:after="0" w:line="277" w:lineRule="auto"/>
        <w:tabs>
          <w:tab w:leader="none" w:pos="1951"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4" w:right="200" w:firstLine="653"/>
        <w:spacing w:after="0" w:line="342" w:lineRule="auto"/>
        <w:tabs>
          <w:tab w:leader="none" w:pos="1951"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23" w:lineRule="exact"/>
        <w:rPr>
          <w:rFonts w:ascii="Arial" w:cs="Arial" w:eastAsia="Arial" w:hAnsi="Arial"/>
          <w:sz w:val="16"/>
          <w:szCs w:val="16"/>
          <w:color w:val="auto"/>
        </w:rPr>
      </w:pPr>
    </w:p>
    <w:p>
      <w:pPr>
        <w:ind w:left="644" w:right="20" w:firstLine="653"/>
        <w:spacing w:after="0" w:line="291" w:lineRule="auto"/>
        <w:tabs>
          <w:tab w:leader="none" w:pos="1961"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644"/>
        <w:spacing w:after="0"/>
        <w:rPr>
          <w:rFonts w:ascii="Arial" w:cs="Arial" w:eastAsia="Arial" w:hAnsi="Arial"/>
          <w:sz w:val="16"/>
          <w:szCs w:val="16"/>
          <w:color w:val="auto"/>
        </w:rPr>
      </w:pPr>
      <w:r>
        <w:rPr>
          <w:rFonts w:ascii="Arial" w:cs="Arial" w:eastAsia="Arial" w:hAnsi="Arial"/>
          <w:sz w:val="18"/>
          <w:szCs w:val="18"/>
          <w:color w:val="auto"/>
        </w:rPr>
        <w:t>(a) thereof;</w:t>
      </w:r>
    </w:p>
    <w:p>
      <w:pPr>
        <w:spacing w:after="0" w:line="210" w:lineRule="exact"/>
        <w:rPr>
          <w:rFonts w:ascii="Arial" w:cs="Arial" w:eastAsia="Arial" w:hAnsi="Arial"/>
          <w:sz w:val="16"/>
          <w:szCs w:val="16"/>
          <w:color w:val="auto"/>
        </w:rPr>
      </w:pPr>
    </w:p>
    <w:p>
      <w:pPr>
        <w:ind w:left="644" w:right="540" w:firstLine="653"/>
        <w:spacing w:after="0" w:line="288" w:lineRule="auto"/>
        <w:tabs>
          <w:tab w:leader="none" w:pos="1954"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904" w:hanging="255"/>
        <w:spacing w:after="0"/>
        <w:tabs>
          <w:tab w:leader="none" w:pos="9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right="280" w:firstLine="653"/>
        <w:spacing w:after="0" w:line="277" w:lineRule="auto"/>
        <w:tabs>
          <w:tab w:leader="none" w:pos="1958"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right="620" w:firstLine="653"/>
        <w:spacing w:after="0" w:line="308" w:lineRule="auto"/>
        <w:tabs>
          <w:tab w:leader="none" w:pos="1961" w:val="left"/>
        </w:tabs>
        <w:numPr>
          <w:ilvl w:val="2"/>
          <w:numId w:val="49"/>
        </w:numPr>
        <w:rPr>
          <w:rFonts w:ascii="Arial" w:cs="Arial" w:eastAsia="Arial" w:hAnsi="Arial"/>
          <w:sz w:val="17"/>
          <w:szCs w:val="17"/>
          <w:color w:val="auto"/>
        </w:rPr>
      </w:pPr>
      <w:r>
        <w:rPr>
          <w:rFonts w:ascii="Arial" w:cs="Arial" w:eastAsia="Arial" w:hAnsi="Arial"/>
          <w:sz w:val="17"/>
          <w:szCs w:val="17"/>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(3)(c) thereof,</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right="100" w:hanging="4"/>
        <w:spacing w:after="0" w:line="261" w:lineRule="auto"/>
        <w:tabs>
          <w:tab w:leader="none" w:pos="2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3" w:lineRule="exact"/>
        <w:rPr>
          <w:rFonts w:ascii="Arial" w:cs="Arial" w:eastAsia="Arial" w:hAnsi="Arial"/>
          <w:sz w:val="18"/>
          <w:szCs w:val="18"/>
          <w:color w:val="auto"/>
        </w:rPr>
      </w:pPr>
    </w:p>
    <w:p>
      <w:pPr>
        <w:ind w:left="4" w:right="180" w:firstLine="645"/>
        <w:spacing w:after="0" w:line="264" w:lineRule="auto"/>
        <w:tabs>
          <w:tab w:leader="none" w:pos="1308"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40" w:firstLine="653"/>
        <w:spacing w:after="0" w:line="259" w:lineRule="auto"/>
        <w:tabs>
          <w:tab w:leader="none" w:pos="19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1964" w:hanging="667"/>
        <w:spacing w:after="0"/>
        <w:tabs>
          <w:tab w:leader="none" w:pos="19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4" w:firstLine="653"/>
        <w:spacing w:after="0" w:line="277" w:lineRule="auto"/>
        <w:tabs>
          <w:tab w:leader="none" w:pos="19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jc w:val="both"/>
        <w:ind w:left="1304" w:right="20" w:firstLine="641"/>
        <w:spacing w:after="0" w:line="291" w:lineRule="auto"/>
        <w:tabs>
          <w:tab w:leader="none" w:pos="2622"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Securities proposes to exchange such Notes for a beneficial interest in the Unrestricted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w:t>
      </w:r>
    </w:p>
    <w:p>
      <w:pPr>
        <w:ind w:left="1304"/>
        <w:spacing w:after="0"/>
        <w:rPr>
          <w:rFonts w:ascii="Arial" w:cs="Arial" w:eastAsia="Arial" w:hAnsi="Arial"/>
          <w:sz w:val="16"/>
          <w:szCs w:val="16"/>
          <w:color w:val="auto"/>
        </w:rPr>
      </w:pPr>
      <w:r>
        <w:rPr>
          <w:rFonts w:ascii="Arial" w:cs="Arial" w:eastAsia="Arial" w:hAnsi="Arial"/>
          <w:sz w:val="18"/>
          <w:szCs w:val="18"/>
          <w:color w:val="auto"/>
        </w:rPr>
        <w:t>(1)(c) thereof; or</w:t>
      </w:r>
    </w:p>
    <w:p>
      <w:pPr>
        <w:spacing w:after="0" w:line="210" w:lineRule="exact"/>
        <w:rPr>
          <w:rFonts w:ascii="Arial" w:cs="Arial" w:eastAsia="Arial" w:hAnsi="Arial"/>
          <w:sz w:val="16"/>
          <w:szCs w:val="16"/>
          <w:color w:val="auto"/>
        </w:rPr>
      </w:pPr>
    </w:p>
    <w:p>
      <w:pPr>
        <w:ind w:left="1304" w:right="160" w:firstLine="641"/>
        <w:spacing w:after="0" w:line="264" w:lineRule="auto"/>
        <w:tabs>
          <w:tab w:leader="none" w:pos="26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644" w:right="1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ectPr>
          <w:pgSz w:w="11900" w:h="16838" w:orient="portrait"/>
          <w:cols w:equalWidth="0" w:num="1">
            <w:col w:w="10764"/>
          </w:cols>
          <w:pgMar w:left="896" w:top="125" w:right="239" w:bottom="0" w:gutter="0" w:footer="0" w:header="0"/>
        </w:sectPr>
      </w:pPr>
    </w:p>
    <w:bookmarkStart w:id="21" w:name="page22"/>
    <w:bookmarkEnd w:id="21"/>
    <w:p>
      <w:pPr>
        <w:ind w:left="660" w:right="160" w:firstLine="648"/>
        <w:spacing w:after="0" w:line="308" w:lineRule="auto"/>
        <w:rPr>
          <w:sz w:val="20"/>
          <w:szCs w:val="20"/>
          <w:color w:val="auto"/>
        </w:rPr>
      </w:pPr>
      <w:r>
        <w:rPr>
          <w:rFonts w:ascii="Arial" w:cs="Arial" w:eastAsia="Arial" w:hAnsi="Arial"/>
          <w:sz w:val="17"/>
          <w:szCs w:val="17"/>
          <w:color w:val="auto"/>
        </w:rPr>
        <w:t>Upon satisfaction of the conditions of any of the subparagraphs in this Section 2.06(d)(2), the Trustee will cancel the Restricted Definitive Securities and increase or cause to be increased the aggregate principal amount of the Unrestricted Global Security.</w:t>
      </w:r>
    </w:p>
    <w:p>
      <w:pPr>
        <w:spacing w:after="0" w:line="147" w:lineRule="exact"/>
        <w:rPr>
          <w:sz w:val="20"/>
          <w:szCs w:val="20"/>
          <w:color w:val="auto"/>
        </w:rPr>
      </w:pPr>
    </w:p>
    <w:p>
      <w:pPr>
        <w:ind w:left="660" w:right="60" w:firstLine="645"/>
        <w:spacing w:after="0" w:line="25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55" w:lineRule="auto"/>
        <w:tabs>
          <w:tab w:leader="none" w:pos="1307"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3" w:lineRule="exact"/>
        <w:rPr>
          <w:rFonts w:ascii="Arial" w:cs="Arial" w:eastAsia="Arial" w:hAnsi="Arial"/>
          <w:sz w:val="18"/>
          <w:szCs w:val="18"/>
          <w:color w:val="auto"/>
        </w:rPr>
      </w:pPr>
    </w:p>
    <w:p>
      <w:pPr>
        <w:ind w:left="660" w:right="220" w:firstLine="645"/>
        <w:spacing w:after="0" w:line="342" w:lineRule="auto"/>
        <w:tabs>
          <w:tab w:leader="none" w:pos="1964"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3" w:lineRule="exact"/>
        <w:rPr>
          <w:rFonts w:ascii="Arial" w:cs="Arial" w:eastAsia="Arial" w:hAnsi="Arial"/>
          <w:sz w:val="16"/>
          <w:szCs w:val="16"/>
          <w:color w:val="auto"/>
        </w:rPr>
      </w:pPr>
    </w:p>
    <w:p>
      <w:pPr>
        <w:ind w:left="1300" w:right="160" w:firstLine="653"/>
        <w:spacing w:after="0" w:line="277" w:lineRule="auto"/>
        <w:tabs>
          <w:tab w:leader="none" w:pos="2617"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right="140" w:firstLine="653"/>
        <w:spacing w:after="0" w:line="277" w:lineRule="auto"/>
        <w:tabs>
          <w:tab w:leader="none" w:pos="2607"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ind w:left="1300" w:right="60" w:firstLine="653"/>
        <w:spacing w:after="0" w:line="264" w:lineRule="auto"/>
        <w:tabs>
          <w:tab w:leader="none" w:pos="2607"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64"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w:t>
      </w:r>
    </w:p>
    <w:p>
      <w:pPr>
        <w:spacing w:after="0" w:line="181" w:lineRule="exact"/>
        <w:rPr>
          <w:rFonts w:ascii="Arial" w:cs="Arial" w:eastAsia="Arial" w:hAnsi="Arial"/>
          <w:sz w:val="18"/>
          <w:szCs w:val="18"/>
          <w:color w:val="auto"/>
        </w:rPr>
      </w:pPr>
    </w:p>
    <w:p>
      <w:pPr>
        <w:ind w:left="1300" w:right="140" w:firstLine="653"/>
        <w:spacing w:after="0" w:line="259" w:lineRule="auto"/>
        <w:tabs>
          <w:tab w:leader="none" w:pos="2617" w:val="left"/>
        </w:tabs>
        <w:numPr>
          <w:ilvl w:val="2"/>
          <w:numId w:val="53"/>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any 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right="340" w:firstLine="653"/>
        <w:spacing w:after="0" w:line="277" w:lineRule="auto"/>
        <w:tabs>
          <w:tab w:leader="none" w:pos="2607"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left="1960" w:right="220" w:firstLine="641"/>
        <w:spacing w:after="0" w:line="277" w:lineRule="auto"/>
        <w:tabs>
          <w:tab w:leader="none" w:pos="32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Holder of such Restricted Definitive Securities proposes to exchange such Securities for an Unrestricted Definitive Security, a certificate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xml:space="preserve">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225" w:lineRule="exact"/>
        <w:rPr>
          <w:sz w:val="20"/>
          <w:szCs w:val="20"/>
          <w:color w:val="auto"/>
        </w:rPr>
      </w:pPr>
    </w:p>
    <w:p>
      <w:pPr>
        <w:ind w:left="1960" w:right="160" w:firstLine="641"/>
        <w:spacing w:after="0" w:line="264" w:lineRule="auto"/>
        <w:tabs>
          <w:tab w:leader="none" w:pos="32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1300" w:right="140"/>
        <w:spacing w:after="0" w:line="312" w:lineRule="auto"/>
        <w:rPr>
          <w:sz w:val="20"/>
          <w:szCs w:val="20"/>
          <w:color w:val="auto"/>
        </w:rPr>
      </w:pPr>
      <w:r>
        <w:rPr>
          <w:rFonts w:ascii="Arial" w:cs="Arial" w:eastAsia="Arial" w:hAnsi="Arial"/>
          <w:sz w:val="16"/>
          <w:szCs w:val="16"/>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jc w:val="both"/>
        <w:ind w:left="660" w:right="540" w:firstLine="645"/>
        <w:spacing w:after="0" w:line="312" w:lineRule="auto"/>
        <w:tabs>
          <w:tab w:leader="none" w:pos="1964"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Securities to Unrestricted Definitive Securities. </w:t>
      </w:r>
      <w:r>
        <w:rPr>
          <w:rFonts w:ascii="Arial" w:cs="Arial" w:eastAsia="Arial" w:hAnsi="Arial"/>
          <w:sz w:val="16"/>
          <w:szCs w:val="16"/>
          <w:color w:val="auto"/>
        </w:rPr>
        <w:t>A Holder of Unrestricted Definitive Securities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ectPr>
          <w:pgSz w:w="11900" w:h="16838" w:orient="portrait"/>
          <w:cols w:equalWidth="0" w:num="1">
            <w:col w:w="11420"/>
          </w:cols>
          <w:pgMar w:left="240" w:top="125" w:right="239" w:bottom="0" w:gutter="0" w:footer="0" w:header="0"/>
        </w:sectPr>
      </w:pPr>
    </w:p>
    <w:bookmarkStart w:id="22" w:name="page23"/>
    <w:bookmarkEnd w:id="22"/>
    <w:p>
      <w:pPr>
        <w:spacing w:after="0" w:line="83" w:lineRule="exact"/>
        <w:rPr>
          <w:sz w:val="20"/>
          <w:szCs w:val="20"/>
          <w:color w:val="auto"/>
        </w:rPr>
      </w:pPr>
    </w:p>
    <w:p>
      <w:pPr>
        <w:ind w:right="360" w:firstLine="656"/>
        <w:spacing w:after="0" w:line="277" w:lineRule="auto"/>
        <w:tabs>
          <w:tab w:leader="none" w:pos="130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Upon the occurrence of the Exchange Offer in accordance with the Registration Rights Agreement,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issue and, upon receipt of an Authentication Order in accordance with Section 2.02 hereof, the Trustee will authenticate: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 and</w:t>
      </w:r>
    </w:p>
    <w:p>
      <w:pPr>
        <w:spacing w:after="0" w:line="186" w:lineRule="exact"/>
        <w:rPr>
          <w:rFonts w:ascii="Arial" w:cs="Arial" w:eastAsia="Arial" w:hAnsi="Arial"/>
          <w:sz w:val="18"/>
          <w:szCs w:val="18"/>
          <w:color w:val="auto"/>
        </w:rPr>
      </w:pPr>
    </w:p>
    <w:p>
      <w:pPr>
        <w:jc w:val="both"/>
        <w:ind w:left="660" w:right="260" w:firstLine="645"/>
        <w:spacing w:after="0" w:line="291" w:lineRule="auto"/>
        <w:tabs>
          <w:tab w:leader="none" w:pos="1964" w:val="left"/>
        </w:tabs>
        <w:numPr>
          <w:ilvl w:val="1"/>
          <w:numId w:val="57"/>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w:t>
      </w:r>
    </w:p>
    <w:p>
      <w:pPr>
        <w:ind w:left="660"/>
        <w:spacing w:after="0"/>
        <w:rPr>
          <w:rFonts w:ascii="Arial" w:cs="Arial" w:eastAsia="Arial" w:hAnsi="Arial"/>
          <w:sz w:val="16"/>
          <w:szCs w:val="16"/>
          <w:color w:val="auto"/>
        </w:rPr>
      </w:pPr>
      <w:r>
        <w:rPr>
          <w:rFonts w:ascii="Arial" w:cs="Arial" w:eastAsia="Arial" w:hAnsi="Arial"/>
          <w:sz w:val="17"/>
          <w:szCs w:val="17"/>
          <w:color w:val="auto"/>
        </w:rPr>
        <w:t>(B) they are not participating in a distribution of the Exchange Notes and (C) they are not affiliates (as defined in Rule 144) of the Company.</w:t>
      </w:r>
    </w:p>
    <w:p>
      <w:pPr>
        <w:spacing w:after="0" w:line="22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Concurrently with the issuance of such Notes, the Trustee will cause the aggregate principal amount of the applicable Restricted Global Notes to be reduced accordingly, and the Company will execute and the Trustee will authenticate and deliver to the Persons designated by the Holders of Definitive Notes so accepted Unrestricted Definitive Notes in the appropriate principal amount.</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any exchange offer is contemplated in respect of any Series of Additional Securities, the terms thereof will be specified in and governed by the terms of the Supplemental Indenture pursuant to which such Series of Additional Securities is created.</w:t>
      </w:r>
    </w:p>
    <w:p>
      <w:pPr>
        <w:spacing w:after="0" w:line="170" w:lineRule="exact"/>
        <w:rPr>
          <w:sz w:val="20"/>
          <w:szCs w:val="20"/>
          <w:color w:val="auto"/>
        </w:rPr>
      </w:pPr>
    </w:p>
    <w:p>
      <w:pPr>
        <w:ind w:right="580" w:firstLine="656"/>
        <w:spacing w:after="0" w:line="264" w:lineRule="auto"/>
        <w:tabs>
          <w:tab w:leader="none" w:pos="131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20" w:firstLine="653"/>
        <w:spacing w:after="0" w:line="277" w:lineRule="auto"/>
        <w:tabs>
          <w:tab w:leader="none" w:pos="2617"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w:t>
      </w:r>
    </w:p>
    <w:p>
      <w:pPr>
        <w:spacing w:after="0" w:line="1" w:lineRule="exact"/>
        <w:rPr>
          <w:sz w:val="20"/>
          <w:szCs w:val="20"/>
          <w:color w:val="auto"/>
        </w:rPr>
      </w:pPr>
    </w:p>
    <w:p>
      <w:pPr>
        <w:ind w:right="120" w:firstLine="8"/>
        <w:spacing w:after="0" w:line="252" w:lineRule="auto"/>
        <w:tabs>
          <w:tab w:leader="none" w:pos="2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191" w:lineRule="exact"/>
        <w:rPr>
          <w:rFonts w:ascii="Arial" w:cs="Arial" w:eastAsia="Arial" w:hAnsi="Arial"/>
          <w:sz w:val="18"/>
          <w:szCs w:val="18"/>
          <w:color w:val="auto"/>
        </w:rPr>
      </w:pPr>
    </w:p>
    <w:p>
      <w:pPr>
        <w:ind w:left="1300" w:firstLine="653"/>
        <w:spacing w:after="0" w:line="264" w:lineRule="auto"/>
        <w:tabs>
          <w:tab w:leader="none" w:pos="26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subparagraphs (b)(4), (c)(2), (c)(3), (d)(2), (d)(3), (e)(2), (e)(3) or (f) of this Section 2.06 (and all Notes issued in exchange therefor or substitution thereof) will not bear the Private Placement Legend.</w:t>
      </w:r>
    </w:p>
    <w:p>
      <w:pPr>
        <w:spacing w:after="0" w:line="181"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w:t>
      </w:r>
    </w:p>
    <w:p>
      <w:pPr>
        <w:sectPr>
          <w:pgSz w:w="11900" w:h="16921" w:orient="portrait"/>
          <w:cols w:equalWidth="0" w:num="1">
            <w:col w:w="11400"/>
          </w:cols>
          <w:pgMar w:left="240" w:top="125" w:right="259" w:bottom="0" w:gutter="0" w:footer="0" w:header="0"/>
        </w:sectPr>
      </w:pPr>
    </w:p>
    <w:bookmarkStart w:id="23" w:name="page24"/>
    <w:bookmarkEnd w:id="23"/>
    <w:p>
      <w:pPr>
        <w:ind w:right="220"/>
        <w:spacing w:after="0" w:line="264" w:lineRule="auto"/>
        <w:rPr>
          <w:sz w:val="20"/>
          <w:szCs w:val="20"/>
          <w:color w:val="auto"/>
        </w:rPr>
      </w:pPr>
      <w:r>
        <w:rPr>
          <w:rFonts w:ascii="Arial" w:cs="Arial" w:eastAsia="Arial" w:hAnsi="Arial"/>
          <w:sz w:val="18"/>
          <w:szCs w:val="18"/>
          <w:color w:val="auto"/>
        </w:rPr>
        <w:t>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left="1960" w:hanging="655"/>
        <w:spacing w:after="0"/>
        <w:tabs>
          <w:tab w:leader="none" w:pos="19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Original Issue Discount Legend</w:t>
      </w:r>
      <w:r>
        <w:rPr>
          <w:rFonts w:ascii="Arial" w:cs="Arial" w:eastAsia="Arial" w:hAnsi="Arial"/>
          <w:sz w:val="17"/>
          <w:szCs w:val="17"/>
          <w:color w:val="auto"/>
        </w:rPr>
        <w:t>. Each Note issued with original issue discount, if any, will bear a legend in substantially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“FOR THE PURPOSES OF SECTIONS 1272, 1273 AND 1275 OF THE INTERNAL REVENUE CODE OF 1986, AS AMENDED, THIS SECURITY IS BEING ISSUED WITH ORIGINAL ISSUE DISCOUNT; FOR EACH $1,000 IN AGGREGATE PRINCIPAL AMOUNT OF THIS SECURITY, THE</w:t>
      </w:r>
    </w:p>
    <w:p>
      <w:pPr>
        <w:ind w:right="260"/>
        <w:spacing w:after="0" w:line="261" w:lineRule="auto"/>
        <w:rPr>
          <w:sz w:val="20"/>
          <w:szCs w:val="20"/>
          <w:color w:val="auto"/>
        </w:rPr>
      </w:pPr>
      <w:r>
        <w:rPr>
          <w:rFonts w:ascii="Arial" w:cs="Arial" w:eastAsia="Arial" w:hAnsi="Arial"/>
          <w:sz w:val="18"/>
          <w:szCs w:val="18"/>
          <w:color w:val="auto"/>
        </w:rPr>
        <w:t>ISSUE PRICE IS $[ ], THE AMOUNT OF ORIGINAL ISSUE DISCOUNT IS $[ ], THE ISSUE DATE IS [ ], 201[ ] AND THE YIELD TO MATURITY IS [ ]% PER ANNUM.”</w:t>
      </w:r>
    </w:p>
    <w:p>
      <w:pPr>
        <w:spacing w:after="0" w:line="184" w:lineRule="exact"/>
        <w:rPr>
          <w:sz w:val="20"/>
          <w:szCs w:val="20"/>
          <w:color w:val="auto"/>
        </w:rPr>
      </w:pPr>
    </w:p>
    <w:p>
      <w:pPr>
        <w:ind w:firstLine="656"/>
        <w:spacing w:after="0" w:line="253" w:lineRule="auto"/>
        <w:tabs>
          <w:tab w:leader="none" w:pos="130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and/or Adjustment of Global Securities. </w:t>
      </w:r>
      <w:r>
        <w:rPr>
          <w:rFonts w:ascii="Arial" w:cs="Arial" w:eastAsia="Arial" w:hAnsi="Arial"/>
          <w:sz w:val="18"/>
          <w:szCs w:val="18"/>
          <w:color w:val="auto"/>
        </w:rPr>
        <w:t>At such time as all beneficial interests in a particular Global Security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660" w:right="100" w:firstLine="645"/>
        <w:spacing w:after="0" w:line="342" w:lineRule="auto"/>
        <w:tabs>
          <w:tab w:leader="none" w:pos="19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660" w:right="80" w:firstLine="645"/>
        <w:spacing w:after="0" w:line="259" w:lineRule="auto"/>
        <w:tabs>
          <w:tab w:leader="none" w:pos="1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firstLine="645"/>
        <w:spacing w:after="0" w:line="277" w:lineRule="auto"/>
        <w:tabs>
          <w:tab w:leader="none" w:pos="1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left="660" w:right="100" w:firstLine="645"/>
        <w:spacing w:after="0" w:line="286" w:lineRule="auto"/>
        <w:tabs>
          <w:tab w:leader="none" w:pos="1964"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rFonts w:ascii="Arial" w:cs="Arial" w:eastAsia="Arial" w:hAnsi="Arial"/>
          <w:sz w:val="18"/>
          <w:szCs w:val="18"/>
          <w:color w:val="auto"/>
        </w:rPr>
      </w:pPr>
    </w:p>
    <w:p>
      <w:pPr>
        <w:ind w:left="1300" w:right="180" w:firstLine="653"/>
        <w:spacing w:after="0" w:line="342" w:lineRule="auto"/>
        <w:tabs>
          <w:tab w:leader="none" w:pos="2617"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Securities during a period beginning at the opening of business 15 days before the day of any selection of Securities for redemption and ending at the close of business on the day of selection;</w:t>
      </w:r>
    </w:p>
    <w:p>
      <w:pPr>
        <w:spacing w:after="0" w:line="123" w:lineRule="exact"/>
        <w:rPr>
          <w:rFonts w:ascii="Arial" w:cs="Arial" w:eastAsia="Arial" w:hAnsi="Arial"/>
          <w:sz w:val="16"/>
          <w:szCs w:val="16"/>
          <w:color w:val="auto"/>
        </w:rPr>
      </w:pPr>
    </w:p>
    <w:p>
      <w:pPr>
        <w:ind w:left="1300" w:right="100" w:firstLine="653"/>
        <w:spacing w:after="0" w:line="277" w:lineRule="auto"/>
        <w:tabs>
          <w:tab w:leader="none" w:pos="260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ind w:left="660" w:right="60" w:firstLine="645"/>
        <w:spacing w:after="0" w:line="259" w:lineRule="auto"/>
        <w:tabs>
          <w:tab w:leader="none" w:pos="1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2.06 to effect a registration of transfer or exchange may be submitted by facsimile or electronic format (e.g. “pdf” or “tif”).</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ectPr>
          <w:pgSz w:w="11900" w:h="16838" w:orient="portrait"/>
          <w:cols w:equalWidth="0" w:num="1">
            <w:col w:w="11420"/>
          </w:cols>
          <w:pgMar w:left="240" w:top="125" w:right="239" w:bottom="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48"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Treasury Securities.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ectPr>
          <w:pgSz w:w="11900" w:h="16838" w:orient="portrait"/>
          <w:cols w:equalWidth="0" w:num="1">
            <w:col w:w="11380"/>
          </w:cols>
          <w:pgMar w:left="240" w:top="341" w:right="279" w:bottom="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15 days but not more than 60 days before a redemption date, an Officers’ Certificate setting forth:</w:t>
      </w:r>
    </w:p>
    <w:p>
      <w:pPr>
        <w:spacing w:after="0" w:line="170" w:lineRule="exact"/>
        <w:rPr>
          <w:sz w:val="20"/>
          <w:szCs w:val="20"/>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redemption price or, where the redemption price cannot be calculated at the time of such notice, the method of calculation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15 nor more than 60 days prior to the redemption by the Trustee from the outstanding Notes not previously called for redemption.</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88"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No Notes of $2,000 or less shall be redeemed in part. Notices of redemption shall be mailed by first class mail at least 15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this Indenture.</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least 15 days but not more than 60 days before a redemption date, the Company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960" w:hanging="655"/>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redemption price or, where the redemption price cannot be calculated at the time of such notice, the method of calculation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right="620" w:firstLine="645"/>
        <w:spacing w:after="0" w:line="264"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ectPr>
          <w:pgSz w:w="11900" w:h="16838" w:orient="portrait"/>
          <w:cols w:equalWidth="0" w:num="1">
            <w:col w:w="11380"/>
          </w:cols>
          <w:pgMar w:left="240" w:top="125" w:right="279" w:bottom="0" w:gutter="0" w:footer="0" w:header="0"/>
        </w:sectPr>
      </w:pPr>
    </w:p>
    <w:bookmarkStart w:id="26" w:name="page27"/>
    <w:bookmarkEnd w:id="26"/>
    <w:p>
      <w:pPr>
        <w:ind w:left="660" w:right="2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Once notice of redemption is mailed in accordance with Section 3.03 hereof, Notes called for redemption become, subject to any conditions precedent set forth in the notice of redemption, irrevocably due and payable on the redemption date at the redemption price.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60" w:firstLine="656"/>
        <w:spacing w:after="0" w:line="302" w:lineRule="auto"/>
        <w:tabs>
          <w:tab w:leader="none" w:pos="129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At any time prior to October 15, 2021, the Company may on any one or more occasions redeem up to 35% of the aggregate principal amount of the Notes, upon not less than 15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4" w:lineRule="exact"/>
        <w:rPr>
          <w:rFonts w:ascii="Arial" w:cs="Arial" w:eastAsia="Arial" w:hAnsi="Arial"/>
          <w:sz w:val="16"/>
          <w:szCs w:val="16"/>
          <w:color w:val="auto"/>
        </w:rPr>
      </w:pPr>
    </w:p>
    <w:p>
      <w:pPr>
        <w:ind w:left="660" w:right="580" w:firstLine="645"/>
        <w:spacing w:after="0" w:line="308" w:lineRule="auto"/>
        <w:tabs>
          <w:tab w:leader="none" w:pos="1964" w:val="left"/>
        </w:tabs>
        <w:numPr>
          <w:ilvl w:val="1"/>
          <w:numId w:val="72"/>
        </w:numPr>
        <w:rPr>
          <w:rFonts w:ascii="Arial" w:cs="Arial" w:eastAsia="Arial" w:hAnsi="Arial"/>
          <w:sz w:val="17"/>
          <w:szCs w:val="17"/>
          <w:color w:val="auto"/>
        </w:rPr>
      </w:pPr>
      <w:r>
        <w:rPr>
          <w:rFonts w:ascii="Arial" w:cs="Arial" w:eastAsia="Arial" w:hAnsi="Arial"/>
          <w:sz w:val="17"/>
          <w:szCs w:val="17"/>
          <w:color w:val="auto"/>
        </w:rPr>
        <w:t>at least 65% of the aggregate principal amount of Notes originally issued under this Indenture (excluding Notes held by the Company, its Subsidiaries and parent entities) remains outstanding immediately after the occurrence of such redemption;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ind w:firstLine="656"/>
        <w:spacing w:after="0" w:line="259"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any time prior to October 15, 2021, the Company may on any one or more occasions redeem all or a part of the Notes, upon not less than 15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October 15, 2021.</w:t>
      </w:r>
    </w:p>
    <w:p>
      <w:pPr>
        <w:spacing w:after="0" w:line="236" w:lineRule="exact"/>
        <w:rPr>
          <w:rFonts w:ascii="Arial" w:cs="Arial" w:eastAsia="Arial" w:hAnsi="Arial"/>
          <w:sz w:val="17"/>
          <w:szCs w:val="17"/>
          <w:color w:val="auto"/>
        </w:rPr>
      </w:pPr>
    </w:p>
    <w:p>
      <w:pPr>
        <w:jc w:val="both"/>
        <w:ind w:right="140" w:firstLine="656"/>
        <w:spacing w:after="0" w:line="279" w:lineRule="auto"/>
        <w:tabs>
          <w:tab w:leader="none" w:pos="1304"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or after October 15, 2021, the Company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date of redemption, if redeemed during the 12-month period beginning on October 15 of the years indicated below, subject to the rights of Holders on the relevant record date to receive interest on the relevant interest payment date:</w:t>
      </w:r>
    </w:p>
    <w:p>
      <w:pPr>
        <w:sectPr>
          <w:pgSz w:w="11900" w:h="16838" w:orient="portrait"/>
          <w:cols w:equalWidth="0" w:num="1">
            <w:col w:w="11420"/>
          </w:cols>
          <w:pgMar w:left="240" w:top="125" w:right="239" w:bottom="123"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7" w:name="page28"/>
    <w:bookmarkEnd w:id="27"/>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bottom w:val="single" w:sz="8" w:color="CCEEFF"/>
            </w:tcBorders>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102.875%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101.437%</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right="20" w:firstLine="656"/>
        <w:spacing w:after="0" w:line="277" w:lineRule="auto"/>
        <w:tabs>
          <w:tab w:leader="none" w:pos="13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 The Company will pay all Special Interest, if any, in the same manner on the dates and in the amounts set forth in the Registration Rights Agreement.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references to “interest” on the Notes in this Indenture will be deemed to include all Special Interest payable pursuant to the Registration Rights Agreement, if any. Notwithstanding anything to the contrary contained herein, in the event the Company is required to pay Special Interest, the Company will provide written notice to the Trustee of the Company’s obligation to pay Special Interest no later than 15 days prior to the next interest payment date (or such shorter period as may be agreed by the Trustee), which notice shall set forth the amount of the Special Interest to be paid by the Company (but the failure to provide such notice shall not affect the Company’s obligation to pay such Special Interest when due). The Trustee shall not at any time be under any duty or responsibility to any Holders to determine whether any Special Interest is payable or the amount thereof.</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right="100" w:firstLine="656"/>
        <w:spacing w:after="0" w:line="277" w:lineRule="auto"/>
        <w:tabs>
          <w:tab w:leader="none" w:pos="12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In addition, after consummation of the Exchange Offer contemplated by the Registration Rights Agreement, the Company shall file a copy of each of the reports referred to in clauses (1) and (2) above with the SEC for public availability within the time periods specified in the rules and regulations applicable to such reports (unless the SEC will not accept such a filing). To the extent such filings are made, the reports shall be deemed to be furnished to the Trustee and Holders of Notes.</w:t>
      </w:r>
    </w:p>
    <w:p>
      <w:pPr>
        <w:spacing w:after="0" w:line="19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w:t>
      </w:r>
    </w:p>
    <w:p>
      <w:pPr>
        <w:sectPr>
          <w:pgSz w:w="11900" w:h="16854" w:orient="portrait"/>
          <w:cols w:equalWidth="0" w:num="1">
            <w:col w:w="11420"/>
          </w:cols>
          <w:pgMar w:left="240" w:top="333" w:right="239" w:bottom="0" w:gutter="0" w:footer="0" w:header="0"/>
        </w:sectPr>
      </w:pPr>
    </w:p>
    <w:bookmarkStart w:id="28" w:name="page29"/>
    <w:bookmarkEnd w:id="28"/>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 The Company shall at all times comply with TIA § 314(a).</w:t>
      </w:r>
    </w:p>
    <w:p>
      <w:pPr>
        <w:spacing w:after="0" w:line="187" w:lineRule="exact"/>
        <w:rPr>
          <w:sz w:val="20"/>
          <w:szCs w:val="20"/>
          <w:color w:val="auto"/>
        </w:rPr>
      </w:pPr>
    </w:p>
    <w:p>
      <w:pPr>
        <w:ind w:right="280" w:firstLine="656"/>
        <w:spacing w:after="0" w:line="312" w:lineRule="auto"/>
        <w:tabs>
          <w:tab w:leader="none" w:pos="13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86" w:lineRule="auto"/>
        <w:tabs>
          <w:tab w:leader="none" w:pos="1307"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ind w:firstLine="656"/>
        <w:spacing w:after="0" w:line="270" w:lineRule="auto"/>
        <w:tabs>
          <w:tab w:leader="none" w:pos="129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and each Guarantor (to the extent that such Guarantor is so required under the TIA)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77" w:lineRule="exact"/>
        <w:rPr>
          <w:rFonts w:ascii="Arial" w:cs="Arial" w:eastAsia="Arial" w:hAnsi="Arial"/>
          <w:sz w:val="17"/>
          <w:szCs w:val="17"/>
          <w:color w:val="auto"/>
        </w:rPr>
      </w:pPr>
    </w:p>
    <w:p>
      <w:pPr>
        <w:jc w:val="both"/>
        <w:ind w:right="200" w:firstLine="656"/>
        <w:spacing w:after="0" w:line="264" w:lineRule="auto"/>
        <w:tabs>
          <w:tab w:leader="none" w:pos="13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4"/>
          <w:szCs w:val="14"/>
          <w:i w:val="1"/>
          <w:iCs w:val="1"/>
          <w:color w:val="auto"/>
        </w:rPr>
        <w:t>Taxes.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i w:val="1"/>
          <w:iCs w:val="1"/>
          <w:color w:val="auto"/>
        </w:rPr>
        <w:t>Liens.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to secure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restriction will not apply to, or prevent the creation or existence of:</w:t>
      </w:r>
    </w:p>
    <w:p>
      <w:pPr>
        <w:spacing w:after="0" w:line="181" w:lineRule="exact"/>
        <w:rPr>
          <w:sz w:val="20"/>
          <w:szCs w:val="20"/>
          <w:color w:val="auto"/>
        </w:rPr>
      </w:pPr>
    </w:p>
    <w:p>
      <w:pPr>
        <w:ind w:left="660" w:right="420" w:firstLine="645"/>
        <w:spacing w:after="0" w:line="286" w:lineRule="auto"/>
        <w:tabs>
          <w:tab w:leader="none" w:pos="1964" w:val="left"/>
        </w:tabs>
        <w:numPr>
          <w:ilvl w:val="1"/>
          <w:numId w:val="78"/>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the Company or any of its Subsidiaries after the date hereof,</w:t>
      </w:r>
    </w:p>
    <w:p>
      <w:pPr>
        <w:spacing w:after="0" w:line="46" w:lineRule="exact"/>
        <w:rPr>
          <w:rFonts w:ascii="Arial" w:cs="Arial" w:eastAsia="Arial" w:hAnsi="Arial"/>
          <w:sz w:val="16"/>
          <w:szCs w:val="16"/>
          <w:color w:val="auto"/>
        </w:rPr>
      </w:pPr>
    </w:p>
    <w:p>
      <w:pPr>
        <w:ind w:left="660" w:right="200" w:hanging="4"/>
        <w:spacing w:after="0" w:line="271" w:lineRule="auto"/>
        <w:tabs>
          <w:tab w:leader="none" w:pos="9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78" w:lineRule="exact"/>
        <w:rPr>
          <w:rFonts w:ascii="Arial" w:cs="Arial" w:eastAsia="Arial" w:hAnsi="Arial"/>
          <w:sz w:val="17"/>
          <w:szCs w:val="17"/>
          <w:color w:val="auto"/>
        </w:rPr>
      </w:pPr>
    </w:p>
    <w:p>
      <w:pPr>
        <w:ind w:left="660" w:right="60" w:firstLine="645"/>
        <w:spacing w:after="0" w:line="342" w:lineRule="auto"/>
        <w:tabs>
          <w:tab w:leader="none" w:pos="1964" w:val="left"/>
        </w:tabs>
        <w:numPr>
          <w:ilvl w:val="1"/>
          <w:numId w:val="79"/>
        </w:numPr>
        <w:rPr>
          <w:rFonts w:ascii="Arial" w:cs="Arial" w:eastAsia="Arial" w:hAnsi="Arial"/>
          <w:sz w:val="16"/>
          <w:szCs w:val="16"/>
          <w:color w:val="auto"/>
        </w:rPr>
      </w:pPr>
      <w:r>
        <w:rPr>
          <w:rFonts w:ascii="Arial" w:cs="Arial" w:eastAsia="Arial" w:hAnsi="Arial"/>
          <w:sz w:val="16"/>
          <w:szCs w:val="16"/>
          <w:color w:val="auto"/>
        </w:rPr>
        <w:t>Liens securing Indebtedness of the Company or any Subsidiary Guarantor incurred to finance (whether prior to or within 365 days after) the acquisition, construction or improvement of assets (whether through the direct purchase of assets or through the purchase of the Equity</w:t>
      </w:r>
    </w:p>
    <w:p>
      <w:pPr>
        <w:sectPr>
          <w:pgSz w:w="11900" w:h="16975" w:orient="portrait"/>
          <w:cols w:equalWidth="0" w:num="1">
            <w:col w:w="11420"/>
          </w:cols>
          <w:pgMar w:left="240" w:top="125" w:right="239" w:bottom="0" w:gutter="0" w:footer="0" w:header="0"/>
        </w:sectPr>
      </w:pPr>
    </w:p>
    <w:bookmarkStart w:id="29" w:name="page30"/>
    <w:bookmarkEnd w:id="29"/>
    <w:p>
      <w:pPr>
        <w:spacing w:after="0" w:line="50"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 xml:space="preserve">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47" w:lineRule="exact"/>
        <w:rPr>
          <w:sz w:val="20"/>
          <w:szCs w:val="20"/>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the Company or any Subsidiary Guarantor;</w:t>
      </w:r>
    </w:p>
    <w:p>
      <w:pPr>
        <w:spacing w:after="0" w:line="236" w:lineRule="exact"/>
        <w:rPr>
          <w:rFonts w:ascii="Arial" w:cs="Arial" w:eastAsia="Arial" w:hAnsi="Arial"/>
          <w:sz w:val="17"/>
          <w:szCs w:val="17"/>
          <w:color w:val="auto"/>
        </w:rPr>
      </w:pPr>
    </w:p>
    <w:p>
      <w:pPr>
        <w:ind w:left="660" w:right="58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660" w:right="40" w:firstLine="645"/>
        <w:spacing w:after="0" w:line="257" w:lineRule="auto"/>
        <w:tabs>
          <w:tab w:leader="none" w:pos="19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8" w:lineRule="exact"/>
        <w:rPr>
          <w:rFonts w:ascii="Arial" w:cs="Arial" w:eastAsia="Arial" w:hAnsi="Arial"/>
          <w:sz w:val="18"/>
          <w:szCs w:val="18"/>
          <w:color w:val="auto"/>
        </w:rPr>
      </w:pPr>
    </w:p>
    <w:p>
      <w:pPr>
        <w:ind w:left="660" w:right="200" w:firstLine="645"/>
        <w:spacing w:after="0" w:line="264" w:lineRule="auto"/>
        <w:tabs>
          <w:tab w:leader="none" w:pos="19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will be permitted to classify such Lien on the date of its incurrence, or later reclassify all or a portion of such Lien, in any manner that complies with this Section 4.07.</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Article 5 hereof, the Company shall do or cause to be done all things necessary to preserve and keep in full force and effect:</w:t>
      </w:r>
    </w:p>
    <w:p>
      <w:pPr>
        <w:spacing w:after="0" w:line="225" w:lineRule="exact"/>
        <w:rPr>
          <w:sz w:val="20"/>
          <w:szCs w:val="20"/>
          <w:color w:val="auto"/>
        </w:rPr>
      </w:pPr>
    </w:p>
    <w:p>
      <w:pPr>
        <w:ind w:left="660" w:right="40" w:firstLine="645"/>
        <w:spacing w:after="0" w:line="264" w:lineRule="auto"/>
        <w:tabs>
          <w:tab w:leader="none" w:pos="1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1" w:lineRule="exact"/>
        <w:rPr>
          <w:rFonts w:ascii="Arial" w:cs="Arial" w:eastAsia="Arial" w:hAnsi="Arial"/>
          <w:sz w:val="18"/>
          <w:szCs w:val="18"/>
          <w:color w:val="auto"/>
        </w:rPr>
      </w:pPr>
    </w:p>
    <w:p>
      <w:pPr>
        <w:ind w:left="660" w:right="100" w:firstLine="645"/>
        <w:spacing w:after="0" w:line="297" w:lineRule="auto"/>
        <w:tabs>
          <w:tab w:leader="none" w:pos="19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ind w:right="160" w:firstLine="656"/>
        <w:spacing w:after="0" w:line="255" w:lineRule="auto"/>
        <w:tabs>
          <w:tab w:leader="none" w:pos="129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Upon the occurrence of a Change of Control Triggering Event, the Company will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Payment”</w:t>
      </w:r>
      <w:r>
        <w:rPr>
          <w:rFonts w:ascii="Arial" w:cs="Arial" w:eastAsia="Arial" w:hAnsi="Arial"/>
          <w:sz w:val="18"/>
          <w:szCs w:val="18"/>
          <w:color w:val="auto"/>
        </w:rPr>
        <w:t>). Within 30 days following any Change of Control Triggering Event, the Company will mail a notice to each Holder describing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transactions that constitute the Change of Control and stating:</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ectPr>
          <w:pgSz w:w="11900" w:h="16888" w:orient="portrait"/>
          <w:cols w:equalWidth="0" w:num="1">
            <w:col w:w="11420"/>
          </w:cols>
          <w:pgMar w:left="240" w:top="125" w:right="239" w:bottom="0" w:gutter="0" w:footer="0" w:header="0"/>
        </w:sectPr>
      </w:pPr>
    </w:p>
    <w:bookmarkStart w:id="30" w:name="page31"/>
    <w:bookmarkEnd w:id="30"/>
    <w:p>
      <w:pPr>
        <w:spacing w:after="0" w:line="90" w:lineRule="exact"/>
        <w:rPr>
          <w:sz w:val="20"/>
          <w:szCs w:val="20"/>
          <w:color w:val="auto"/>
        </w:rPr>
      </w:pPr>
    </w:p>
    <w:p>
      <w:pPr>
        <w:ind w:left="660" w:right="420" w:firstLine="645"/>
        <w:spacing w:after="0" w:line="342" w:lineRule="auto"/>
        <w:tabs>
          <w:tab w:leader="none" w:pos="1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purchase price and the purchase date, which shall be no earlier than 15 days (or such longer period required by applicable securities laws and regulations) and no later than 60 days from the date such notice is mailed (the </w:t>
      </w:r>
      <w:r>
        <w:rPr>
          <w:rFonts w:ascii="Arial" w:cs="Arial" w:eastAsia="Arial" w:hAnsi="Arial"/>
          <w:sz w:val="16"/>
          <w:szCs w:val="16"/>
          <w:i w:val="1"/>
          <w:iCs w:val="1"/>
          <w:color w:val="auto"/>
        </w:rPr>
        <w:t>“Change of Control Payment Date”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ind w:left="660" w:right="100" w:firstLine="645"/>
        <w:spacing w:after="0" w:line="286" w:lineRule="auto"/>
        <w:tabs>
          <w:tab w:leader="none" w:pos="1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165" w:lineRule="exact"/>
        <w:rPr>
          <w:rFonts w:ascii="Arial" w:cs="Arial" w:eastAsia="Arial" w:hAnsi="Arial"/>
          <w:sz w:val="17"/>
          <w:szCs w:val="17"/>
          <w:color w:val="auto"/>
        </w:rPr>
      </w:pPr>
    </w:p>
    <w:p>
      <w:pPr>
        <w:ind w:left="660" w:right="340" w:firstLine="645"/>
        <w:spacing w:after="0" w:line="312" w:lineRule="auto"/>
        <w:tabs>
          <w:tab w:leader="none" w:pos="1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6" w:lineRule="exact"/>
        <w:rPr>
          <w:rFonts w:ascii="Arial" w:cs="Arial" w:eastAsia="Arial" w:hAnsi="Arial"/>
          <w:sz w:val="16"/>
          <w:szCs w:val="16"/>
          <w:color w:val="auto"/>
        </w:rPr>
      </w:pPr>
    </w:p>
    <w:p>
      <w:pPr>
        <w:jc w:val="both"/>
        <w:ind w:left="660" w:right="40" w:firstLine="645"/>
        <w:spacing w:after="0" w:line="264"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4" w:lineRule="exact"/>
        <w:rPr>
          <w:sz w:val="20"/>
          <w:szCs w:val="20"/>
          <w:color w:val="auto"/>
        </w:rPr>
      </w:pPr>
    </w:p>
    <w:p>
      <w:pPr>
        <w:ind w:left="5620" w:right="4180" w:hanging="4964"/>
        <w:spacing w:after="0" w:line="528" w:lineRule="auto"/>
        <w:tabs>
          <w:tab w:leader="none" w:pos="13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 43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600" w:firstLine="645"/>
        <w:spacing w:after="0" w:line="277" w:lineRule="auto"/>
        <w:tabs>
          <w:tab w:leader="none" w:pos="1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-1367790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8" w:lineRule="exact"/>
        <w:rPr>
          <w:sz w:val="20"/>
          <w:szCs w:val="20"/>
          <w:color w:val="auto"/>
        </w:rPr>
      </w:pPr>
    </w:p>
    <w:p>
      <w:pPr>
        <w:ind w:firstLine="656"/>
        <w:spacing w:after="0" w:line="264"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1" w:lineRule="exact"/>
        <w:rPr>
          <w:rFonts w:ascii="Arial" w:cs="Arial" w:eastAsia="Arial" w:hAnsi="Arial"/>
          <w:sz w:val="18"/>
          <w:szCs w:val="18"/>
          <w:color w:val="auto"/>
        </w:rPr>
      </w:pPr>
    </w:p>
    <w:p>
      <w:pPr>
        <w:ind w:right="20" w:firstLine="656"/>
        <w:spacing w:after="0" w:line="255" w:lineRule="auto"/>
        <w:tabs>
          <w:tab w:leader="none" w:pos="13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89" w:lineRule="exact"/>
        <w:rPr>
          <w:rFonts w:ascii="Arial" w:cs="Arial" w:eastAsia="Arial" w:hAnsi="Arial"/>
          <w:sz w:val="18"/>
          <w:szCs w:val="18"/>
          <w:color w:val="auto"/>
        </w:rPr>
      </w:pPr>
    </w:p>
    <w:p>
      <w:pPr>
        <w:ind w:right="80" w:firstLine="656"/>
        <w:spacing w:after="0" w:line="255"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15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ectPr>
          <w:pgSz w:w="11900" w:h="16929" w:orient="portrait"/>
          <w:cols w:equalWidth="0" w:num="1">
            <w:col w:w="11400"/>
          </w:cols>
          <w:pgMar w:left="240" w:top="341" w:right="259" w:bottom="0" w:gutter="0" w:footer="0" w:header="0"/>
        </w:sectPr>
      </w:pPr>
    </w:p>
    <w:bookmarkStart w:id="31" w:name="page32"/>
    <w:bookmarkEnd w:id="31"/>
    <w:p>
      <w:pPr>
        <w:ind w:left="660" w:right="20" w:firstLine="645"/>
        <w:spacing w:after="0" w:line="277"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the Company or any Subsidiary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ind w:left="1300" w:right="40" w:firstLine="653"/>
        <w:spacing w:after="0" w:line="255" w:lineRule="auto"/>
        <w:tabs>
          <w:tab w:leader="none" w:pos="2607"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89" w:lineRule="exact"/>
        <w:rPr>
          <w:rFonts w:ascii="Arial" w:cs="Arial" w:eastAsia="Arial" w:hAnsi="Arial"/>
          <w:sz w:val="18"/>
          <w:szCs w:val="18"/>
          <w:color w:val="auto"/>
        </w:rPr>
      </w:pPr>
    </w:p>
    <w:p>
      <w:pPr>
        <w:ind w:left="660" w:right="240" w:firstLine="645"/>
        <w:spacing w:after="0" w:line="279" w:lineRule="auto"/>
        <w:tabs>
          <w:tab w:leader="none" w:pos="196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this Indenture and the Registration Rights Agreement pursuant to a supplemental indenture or other documents and agreements reasonably satisfactory to the Trustee; and</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ectPr>
          <w:pgSz w:w="11900" w:h="16838" w:orient="portrait"/>
          <w:cols w:equalWidth="0" w:num="1">
            <w:col w:w="11400"/>
          </w:cols>
          <w:pgMar w:left="240" w:top="341" w:right="259" w:bottom="100" w:gutter="0" w:footer="0" w:header="0"/>
        </w:sectPr>
      </w:pPr>
    </w:p>
    <w:bookmarkStart w:id="32" w:name="page33"/>
    <w:bookmarkEnd w:id="32"/>
    <w:p>
      <w:pPr>
        <w:spacing w:after="0" w:line="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ind w:left="660" w:right="360" w:firstLine="645"/>
        <w:spacing w:after="0" w:line="277" w:lineRule="auto"/>
        <w:tabs>
          <w:tab w:leader="none" w:pos="1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merger of the Parent Guarantor or the Company, as the case may be, with an Affiliate solely for the purpose of reforming the Parent Guarantor or the Company, as the case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may be, in another jurisdiction or forming a direct or indirect holding company of the Company that is a Wholly Owned Subsidiary of the Parent Guarantor; and</w:t>
      </w:r>
    </w:p>
    <w:p>
      <w:pPr>
        <w:spacing w:after="0" w:line="170" w:lineRule="exact"/>
        <w:rPr>
          <w:sz w:val="20"/>
          <w:szCs w:val="20"/>
          <w:color w:val="auto"/>
        </w:rPr>
      </w:pPr>
    </w:p>
    <w:p>
      <w:pPr>
        <w:ind w:left="660" w:right="620" w:firstLine="645"/>
        <w:spacing w:after="0" w:line="277"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failure by the Company or any Guarantor for 60 days after written notice to the Company given by the Trustee or the Holders of at least 25% in aggregate principal amount of the Notes that are then outstanding, to comply with any of the agreements in this Indenture (other than a default referred to in clause (1) or (2) of this Section 6.01);</w:t>
      </w:r>
    </w:p>
    <w:p>
      <w:pPr>
        <w:spacing w:after="0" w:line="181" w:lineRule="exact"/>
        <w:rPr>
          <w:rFonts w:ascii="Arial" w:cs="Arial" w:eastAsia="Arial" w:hAnsi="Arial"/>
          <w:sz w:val="18"/>
          <w:szCs w:val="18"/>
          <w:color w:val="auto"/>
        </w:rPr>
      </w:pPr>
    </w:p>
    <w:p>
      <w:pPr>
        <w:ind w:left="660" w:right="62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Company or any Guarantor (or the payment of which is Guaranteed by the Company or any Guarantor), whether such Indebtedness or Guarantee now exists, or is created after the Issue Date, if that default:</w:t>
      </w:r>
    </w:p>
    <w:p>
      <w:pPr>
        <w:spacing w:after="0" w:line="170" w:lineRule="exact"/>
        <w:rPr>
          <w:sz w:val="20"/>
          <w:szCs w:val="20"/>
          <w:color w:val="auto"/>
        </w:rPr>
      </w:pPr>
    </w:p>
    <w:p>
      <w:pPr>
        <w:ind w:left="1300" w:firstLine="653"/>
        <w:spacing w:after="0" w:line="277" w:lineRule="auto"/>
        <w:tabs>
          <w:tab w:leader="none" w:pos="261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right="320"/>
        <w:spacing w:after="0" w:line="291"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ind w:left="660" w:right="100" w:hanging="4"/>
        <w:spacing w:after="0" w:line="261" w:lineRule="auto"/>
        <w:tabs>
          <w:tab w:leader="none" w:pos="92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$100.0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(4) shall not apply to secured Indebtedness that becomes due as a result of the voluntary sale or transfer of the property or assets securing such Indebtedness to a Person that is not an Affiliate of the Company;</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greater of (i) 1.5% of Total Assets and</w:t>
      </w:r>
    </w:p>
    <w:p>
      <w:pPr>
        <w:spacing w:after="0" w:line="46" w:lineRule="exact"/>
        <w:rPr>
          <w:rFonts w:ascii="Arial" w:cs="Arial" w:eastAsia="Arial" w:hAnsi="Arial"/>
          <w:sz w:val="16"/>
          <w:szCs w:val="16"/>
          <w:color w:val="auto"/>
        </w:rPr>
      </w:pPr>
    </w:p>
    <w:p>
      <w:pPr>
        <w:ind w:left="660" w:right="100" w:hanging="4"/>
        <w:spacing w:after="0" w:line="255" w:lineRule="auto"/>
        <w:tabs>
          <w:tab w:leader="none" w:pos="9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$100.0 million (excluding therefrom any amount reasonably expected to be covered by insurance) shall be rendered against the Company or any Guarantor or Guarantors or any combination thereof and the same shall not have been paid, discharged or stayed for a period of 60 days after such judgment became final and non-appealable;</w:t>
      </w:r>
    </w:p>
    <w:p>
      <w:pPr>
        <w:sectPr>
          <w:pgSz w:w="11900" w:h="16909" w:orient="portrait"/>
          <w:cols w:equalWidth="0" w:num="1">
            <w:col w:w="11420"/>
          </w:cols>
          <w:pgMar w:left="240" w:top="125" w:right="239" w:bottom="0" w:gutter="0" w:footer="0" w:header="0"/>
        </w:sectPr>
      </w:pPr>
    </w:p>
    <w:bookmarkStart w:id="33" w:name="page34"/>
    <w:bookmarkEnd w:id="33"/>
    <w:p>
      <w:pPr>
        <w:spacing w:after="0" w:line="137" w:lineRule="exact"/>
        <w:rPr>
          <w:sz w:val="20"/>
          <w:szCs w:val="20"/>
          <w:color w:val="auto"/>
        </w:rPr>
      </w:pPr>
    </w:p>
    <w:p>
      <w:pPr>
        <w:ind w:left="660" w:firstLine="645"/>
        <w:spacing w:after="0" w:line="302" w:lineRule="auto"/>
        <w:tabs>
          <w:tab w:leader="none" w:pos="1964"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permitted by this Indenture, any Guarantee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154" w:lineRule="exact"/>
        <w:rPr>
          <w:rFonts w:ascii="Arial" w:cs="Arial" w:eastAsia="Arial" w:hAnsi="Arial"/>
          <w:sz w:val="16"/>
          <w:szCs w:val="16"/>
          <w:color w:val="auto"/>
        </w:rPr>
      </w:pPr>
    </w:p>
    <w:p>
      <w:pPr>
        <w:ind w:left="660" w:firstLine="645"/>
        <w:spacing w:after="0" w:line="277" w:lineRule="auto"/>
        <w:tabs>
          <w:tab w:leader="none" w:pos="19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firstLine="653"/>
        <w:spacing w:after="0" w:line="342" w:lineRule="auto"/>
        <w:tabs>
          <w:tab w:leader="none" w:pos="261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ind w:left="1300" w:right="500" w:firstLine="653"/>
        <w:spacing w:after="0" w:line="286" w:lineRule="auto"/>
        <w:tabs>
          <w:tab w:leader="none" w:pos="26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65" w:lineRule="exact"/>
        <w:rPr>
          <w:rFonts w:ascii="Arial" w:cs="Arial" w:eastAsia="Arial" w:hAnsi="Arial"/>
          <w:sz w:val="17"/>
          <w:szCs w:val="17"/>
          <w:color w:val="auto"/>
        </w:rPr>
      </w:pPr>
    </w:p>
    <w:p>
      <w:pPr>
        <w:ind w:left="1300" w:right="500" w:firstLine="653"/>
        <w:spacing w:after="0" w:line="264" w:lineRule="auto"/>
        <w:tabs>
          <w:tab w:leader="none" w:pos="26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case of an Event of Default specified in clause (7) or (8) of Section 6.01 hereof, with respect to the Company,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have been cured for every purpose of this Indenture; but no such waiver shall extend to any subsequent or other Default or impair any right consequent thereon.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w:t>
      </w:r>
    </w:p>
    <w:p>
      <w:pPr>
        <w:sectPr>
          <w:pgSz w:w="11900" w:h="16975" w:orient="portrait"/>
          <w:cols w:equalWidth="0" w:num="1">
            <w:col w:w="11400"/>
          </w:cols>
          <w:pgMar w:left="240" w:top="341" w:right="259" w:bottom="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follow any direction that conflicts with law or this Indenture that the Trustee determines may be unduly prejudicial to the rights of other Holders of Securities or that may involve the Trustee in personal liability.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outstanding Notes make a written request to the Trustee to pursue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960" w:hanging="655"/>
        <w:spacing w:after="0"/>
        <w:tabs>
          <w:tab w:leader="none" w:pos="1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Holders have offered the Trustee security or indemnity reasonably satisfactory to the Trustee against any loss, liability or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180" w:firstLine="645"/>
        <w:spacing w:after="0" w:line="277" w:lineRule="auto"/>
        <w:tabs>
          <w:tab w:leader="none" w:pos="1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Trustee (including any claim for the reasonable compensation, expenses, disbursements and advances of the Trustee, its agents and counsel)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Notes allowed in any judicial proceedings relative to the Company (or any other obligor upon the Notes), its creditors or its property and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entitled and empowered to collect, receive and distribute any money or other property payable or deliverable on any such claims and any custodian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judicial proceeding is hereby authorized by each Holder to make such payments to the Trustee, and in the event that the Trustee shall consent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making of such payments directly to the Holders, to pay to the Trustee any amount due to it for the reasonable compensation, expenses, disbursements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advances of the Trustee, its agents and counsel, and any other amounts due to the Trustee under this Indenture, including without limitation,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7.07 hereof. To the extent that the payment of any such compensation, expenses, disbursements and advances of the Trustee, its agents and counsel,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other amounts due to the Trustee under this Indenture, including without limitation, under Section 7.07 hereof out of the estate in any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proceeding, shall be denied for any reason, payment of the same shall be secured by a Lien on, and shall be paid out of, any and all distributions,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money, securities and other properties that the Holders may be entitled to receive in such proceeding whether in liquidation or under any plan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or arrangement or otherwise. Nothing herein contained shall be deemed to authorize the Trustee to authorize or consent to or accept or adopt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any Holder any plan of reorganization, arrangement, adjustment or composition affecting the Notes or the rights of any Holder, or to authorize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Trustee to vote in respect of the claim of any Holder in any such proceeding.</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right="34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170"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1"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ectPr>
          <w:pgSz w:w="11900" w:h="16838" w:orient="portrait"/>
          <w:cols w:equalWidth="0" w:num="1">
            <w:col w:w="11360"/>
          </w:cols>
          <w:pgMar w:left="240" w:top="125" w:right="299" w:bottom="100" w:gutter="0" w:footer="0" w:header="0"/>
        </w:sectPr>
      </w:pPr>
    </w:p>
    <w:bookmarkStart w:id="35" w:name="page36"/>
    <w:bookmarkEnd w:id="35"/>
    <w:p>
      <w:pPr>
        <w:ind w:right="40" w:firstLine="648"/>
        <w:spacing w:after="0" w:line="302"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6.07 hereof, or a suit by Holders of more than 10% in aggregate principal amount of the then outstanding Notes.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ind w:firstLine="656"/>
        <w:spacing w:after="0" w:line="264" w:lineRule="auto"/>
        <w:tabs>
          <w:tab w:leader="none" w:pos="12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right="240" w:firstLine="645"/>
        <w:spacing w:after="0" w:line="264"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60" w:firstLine="645"/>
        <w:spacing w:after="0" w:line="312" w:lineRule="auto"/>
        <w:tabs>
          <w:tab w:leader="none" w:pos="196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right="820" w:firstLine="656"/>
        <w:spacing w:after="0" w:line="277" w:lineRule="auto"/>
        <w:tabs>
          <w:tab w:leader="none" w:pos="13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1" w:lineRule="exact"/>
        <w:rPr>
          <w:rFonts w:ascii="Arial" w:cs="Arial" w:eastAsia="Arial" w:hAnsi="Arial"/>
          <w:sz w:val="18"/>
          <w:szCs w:val="18"/>
          <w:color w:val="auto"/>
        </w:rPr>
      </w:pPr>
    </w:p>
    <w:p>
      <w:pPr>
        <w:ind w:right="580" w:firstLine="656"/>
        <w:spacing w:after="0" w:line="277" w:lineRule="auto"/>
        <w:tabs>
          <w:tab w:leader="none" w:pos="13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7" w:lineRule="auto"/>
        <w:tabs>
          <w:tab w:leader="none" w:pos="13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right="420" w:firstLine="656"/>
        <w:spacing w:after="0" w:line="277" w:lineRule="auto"/>
        <w:tabs>
          <w:tab w:leader="none" w:pos="129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right="120" w:firstLine="656"/>
        <w:spacing w:after="0" w:line="259"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ectPr>
          <w:pgSz w:w="11900" w:h="16838" w:orient="portrait"/>
          <w:cols w:equalWidth="0" w:num="1">
            <w:col w:w="11420"/>
          </w:cols>
          <w:pgMar w:left="240" w:top="125" w:right="239" w:bottom="0" w:gutter="0" w:footer="0" w:header="0"/>
        </w:sectPr>
      </w:pPr>
    </w:p>
    <w:bookmarkStart w:id="36" w:name="page37"/>
    <w:bookmarkEnd w:id="36"/>
    <w:p>
      <w:pPr>
        <w:spacing w:after="0" w:line="106" w:lineRule="exact"/>
        <w:rPr>
          <w:sz w:val="20"/>
          <w:szCs w:val="20"/>
          <w:color w:val="auto"/>
        </w:rPr>
      </w:pPr>
    </w:p>
    <w:p>
      <w:pPr>
        <w:ind w:right="280" w:firstLine="656"/>
        <w:spacing w:after="0" w:line="277" w:lineRule="auto"/>
        <w:tabs>
          <w:tab w:leader="none" w:pos="130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right="120" w:firstLine="656"/>
        <w:spacing w:after="0" w:line="342" w:lineRule="auto"/>
        <w:tabs>
          <w:tab w:leader="none" w:pos="130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23" w:lineRule="exact"/>
        <w:rPr>
          <w:rFonts w:ascii="Arial" w:cs="Arial" w:eastAsia="Arial" w:hAnsi="Arial"/>
          <w:sz w:val="16"/>
          <w:szCs w:val="16"/>
          <w:color w:val="auto"/>
        </w:rPr>
      </w:pPr>
    </w:p>
    <w:p>
      <w:pPr>
        <w:ind w:firstLine="656"/>
        <w:spacing w:after="0" w:line="342" w:lineRule="auto"/>
        <w:tabs>
          <w:tab w:leader="none" w:pos="13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123" w:lineRule="exact"/>
        <w:rPr>
          <w:rFonts w:ascii="Arial" w:cs="Arial" w:eastAsia="Arial" w:hAnsi="Arial"/>
          <w:sz w:val="16"/>
          <w:szCs w:val="16"/>
          <w:color w:val="auto"/>
        </w:rPr>
      </w:pPr>
    </w:p>
    <w:p>
      <w:pPr>
        <w:ind w:right="100" w:firstLine="656"/>
        <w:spacing w:after="0" w:line="277" w:lineRule="auto"/>
        <w:tabs>
          <w:tab w:leader="none" w:pos="13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70" w:lineRule="exact"/>
        <w:rPr>
          <w:rFonts w:ascii="Arial" w:cs="Arial" w:eastAsia="Arial" w:hAnsi="Arial"/>
          <w:sz w:val="18"/>
          <w:szCs w:val="18"/>
          <w:color w:val="auto"/>
        </w:rPr>
      </w:pPr>
    </w:p>
    <w:p>
      <w:pPr>
        <w:ind w:right="120" w:firstLine="656"/>
        <w:spacing w:after="0" w:line="342" w:lineRule="auto"/>
        <w:tabs>
          <w:tab w:leader="none" w:pos="13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right="100" w:firstLine="656"/>
        <w:spacing w:after="0" w:line="342" w:lineRule="auto"/>
        <w:tabs>
          <w:tab w:leader="none" w:pos="130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23" w:lineRule="exact"/>
        <w:rPr>
          <w:rFonts w:ascii="Arial" w:cs="Arial" w:eastAsia="Arial" w:hAnsi="Arial"/>
          <w:sz w:val="16"/>
          <w:szCs w:val="16"/>
          <w:color w:val="auto"/>
        </w:rPr>
      </w:pPr>
    </w:p>
    <w:p>
      <w:pPr>
        <w:ind w:right="420" w:firstLine="656"/>
        <w:spacing w:after="0" w:line="286" w:lineRule="auto"/>
        <w:tabs>
          <w:tab w:leader="none" w:pos="130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65" w:lineRule="exact"/>
        <w:rPr>
          <w:sz w:val="20"/>
          <w:szCs w:val="20"/>
          <w:color w:val="auto"/>
        </w:rPr>
      </w:pPr>
    </w:p>
    <w:p>
      <w:pPr>
        <w:ind w:left="1320" w:hanging="664"/>
        <w:spacing w:after="0"/>
        <w:tabs>
          <w:tab w:leader="none" w:pos="1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duty.</w:t>
      </w:r>
    </w:p>
    <w:p>
      <w:pPr>
        <w:spacing w:after="0" w:line="211" w:lineRule="exact"/>
        <w:rPr>
          <w:sz w:val="20"/>
          <w:szCs w:val="20"/>
          <w:color w:val="auto"/>
        </w:rPr>
      </w:pPr>
    </w:p>
    <w:p>
      <w:pPr>
        <w:ind w:right="60" w:firstLine="656"/>
        <w:spacing w:after="0" w:line="264"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1" w:lineRule="exact"/>
        <w:rPr>
          <w:rFonts w:ascii="Arial" w:cs="Arial" w:eastAsia="Arial" w:hAnsi="Arial"/>
          <w:sz w:val="18"/>
          <w:szCs w:val="18"/>
          <w:color w:val="auto"/>
        </w:rPr>
      </w:pPr>
    </w:p>
    <w:p>
      <w:pPr>
        <w:ind w:right="440" w:firstLine="656"/>
        <w:spacing w:after="0" w:line="277" w:lineRule="auto"/>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Reports by Trustee to Holders of the Securities.</w:t>
      </w:r>
    </w:p>
    <w:p>
      <w:pPr>
        <w:spacing w:after="0" w:line="225" w:lineRule="exact"/>
        <w:rPr>
          <w:sz w:val="20"/>
          <w:szCs w:val="20"/>
          <w:color w:val="auto"/>
        </w:rPr>
      </w:pPr>
    </w:p>
    <w:p>
      <w:pPr>
        <w:ind w:right="120" w:firstLine="656"/>
        <w:spacing w:after="0" w:line="302" w:lineRule="auto"/>
        <w:tabs>
          <w:tab w:leader="none" w:pos="12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required under TIA §313(a), within 60 days after each October 15 beginning with the October 15 following the date of this Indenture, and for so long as any Securities remain outstanding, the Trustee will mail to the Holders of the Securities a brief report dated as of such reporting date that complies with TIA §313(a) (but if no event described in TIA §313(a) has occurred within the twelve months preceding the reporting date, no report need be transmitted). The Trustee also will comply with TIA §313(b)(2). The Trustee will also transmit by mail all reports as required by TIA §313(c).</w:t>
      </w:r>
    </w:p>
    <w:p>
      <w:pPr>
        <w:sectPr>
          <w:pgSz w:w="11900" w:h="16945" w:orient="portrait"/>
          <w:cols w:equalWidth="0" w:num="1">
            <w:col w:w="11420"/>
          </w:cols>
          <w:pgMar w:left="240" w:top="125" w:right="239" w:bottom="0" w:gutter="0" w:footer="0" w:header="0"/>
        </w:sectPr>
      </w:pPr>
    </w:p>
    <w:bookmarkStart w:id="37" w:name="page38"/>
    <w:bookmarkEnd w:id="37"/>
    <w:p>
      <w:pPr>
        <w:jc w:val="both"/>
        <w:ind w:right="500" w:firstLine="656"/>
        <w:spacing w:after="0" w:line="264"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will be mailed by the Trustee to the Company and filed by the Company with the SEC and each stock exchange on such Securities are listed in accordance with TIA §313(d). The Company will promptly notify the Trustee when any Securities are listed on any stock exchange.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ind w:right="360" w:firstLine="656"/>
        <w:spacing w:after="0" w:line="302" w:lineRule="auto"/>
        <w:tabs>
          <w:tab w:leader="none" w:pos="129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54" w:lineRule="exact"/>
        <w:rPr>
          <w:rFonts w:ascii="Arial" w:cs="Arial" w:eastAsia="Arial" w:hAnsi="Arial"/>
          <w:sz w:val="16"/>
          <w:szCs w:val="16"/>
          <w:color w:val="auto"/>
        </w:rPr>
      </w:pPr>
    </w:p>
    <w:p>
      <w:pPr>
        <w:ind w:right="100" w:firstLine="656"/>
        <w:spacing w:after="0" w:line="270" w:lineRule="auto"/>
        <w:tabs>
          <w:tab w:leader="none" w:pos="13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rFonts w:ascii="Arial" w:cs="Arial" w:eastAsia="Arial" w:hAnsi="Arial"/>
          <w:sz w:val="16"/>
          <w:szCs w:val="16"/>
          <w:color w:val="auto"/>
        </w:rPr>
      </w:pPr>
    </w:p>
    <w:p>
      <w:pPr>
        <w:ind w:right="160" w:firstLine="656"/>
        <w:spacing w:after="0" w:line="264" w:lineRule="auto"/>
        <w:tabs>
          <w:tab w:leader="none" w:pos="13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1" w:lineRule="exact"/>
        <w:rPr>
          <w:rFonts w:ascii="Arial" w:cs="Arial" w:eastAsia="Arial" w:hAnsi="Arial"/>
          <w:sz w:val="18"/>
          <w:szCs w:val="18"/>
          <w:color w:val="auto"/>
        </w:rPr>
      </w:pPr>
    </w:p>
    <w:p>
      <w:pPr>
        <w:ind w:right="140" w:firstLine="656"/>
        <w:spacing w:after="0" w:line="264" w:lineRule="auto"/>
        <w:tabs>
          <w:tab w:leader="none" w:pos="13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(7) or (8) of Section 6.01 hereof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will comply with the provisions of TIA §313(b)(2) to the extent applicable.</w:t>
      </w:r>
    </w:p>
    <w:p>
      <w:pPr>
        <w:spacing w:after="0" w:line="225" w:lineRule="exact"/>
        <w:rPr>
          <w:rFonts w:ascii="Arial" w:cs="Arial" w:eastAsia="Arial" w:hAnsi="Arial"/>
          <w:sz w:val="18"/>
          <w:szCs w:val="18"/>
          <w:color w:val="auto"/>
        </w:rPr>
      </w:pPr>
    </w:p>
    <w:p>
      <w:pPr>
        <w:ind w:right="20" w:firstLine="656"/>
        <w:spacing w:after="0" w:line="342" w:lineRule="auto"/>
        <w:tabs>
          <w:tab w:leader="none" w:pos="13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right="320" w:firstLine="656"/>
        <w:spacing w:after="0" w:line="277" w:lineRule="auto"/>
        <w:tabs>
          <w:tab w:leader="none" w:pos="129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ind w:firstLine="656"/>
        <w:spacing w:after="0" w:line="264"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220" w:firstLine="656"/>
        <w:spacing w:after="0" w:line="264"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right="100" w:firstLine="656"/>
        <w:spacing w:after="0" w:line="255"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ectPr>
          <w:pgSz w:w="11900" w:h="16838" w:orient="portrait"/>
          <w:cols w:equalWidth="0" w:num="1">
            <w:col w:w="11420"/>
          </w:cols>
          <w:pgMar w:left="240" w:top="341" w:right="239" w:bottom="0" w:gutter="0" w:footer="0" w:header="0"/>
        </w:sectPr>
      </w:pPr>
    </w:p>
    <w:bookmarkStart w:id="38" w:name="page39"/>
    <w:bookmarkEnd w:id="38"/>
    <w:p>
      <w:pPr>
        <w:ind w:right="40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Indenture will always have a Trustee who satisfies the requirements of TIA §310(a)(1), (2) and (5). The Trustee is subject to TIA §310(b).</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Preferential Collection of Claims Against Company.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Trustee is subject to TIA §311(a), excluding any creditor relationship listed in TIA §311(b). A Trustee who has resigned or been removed shall be subject to TIA §311(a) to the extent indicated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79" w:lineRule="exact"/>
        <w:rPr>
          <w:sz w:val="20"/>
          <w:szCs w:val="20"/>
          <w:color w:val="auto"/>
        </w:rPr>
      </w:pPr>
    </w:p>
    <w:p>
      <w:pPr>
        <w:ind w:left="660" w:right="200" w:firstLine="645"/>
        <w:spacing w:after="0" w:line="27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(4), (5) and (8) hereof shall not constitute Events of Default.</w:t>
      </w:r>
    </w:p>
    <w:p>
      <w:pPr>
        <w:sectPr>
          <w:pgSz w:w="11900" w:h="16838" w:orient="portrait"/>
          <w:cols w:equalWidth="0" w:num="1">
            <w:col w:w="11400"/>
          </w:cols>
          <w:pgMar w:left="240" w:top="125" w:right="259" w:bottom="0" w:gutter="0" w:footer="0" w:header="0"/>
        </w:sectPr>
      </w:pPr>
    </w:p>
    <w:bookmarkStart w:id="39" w:name="page40"/>
    <w:bookmarkEnd w:id="39"/>
    <w:p>
      <w:pPr>
        <w:spacing w:after="0" w:line="1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ind w:left="660" w:right="40" w:firstLine="645"/>
        <w:spacing w:after="0" w:line="276" w:lineRule="auto"/>
        <w:tabs>
          <w:tab w:leader="none" w:pos="196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2" w:lineRule="exact"/>
        <w:rPr>
          <w:rFonts w:ascii="Arial" w:cs="Arial" w:eastAsia="Arial" w:hAnsi="Arial"/>
          <w:sz w:val="17"/>
          <w:szCs w:val="17"/>
          <w:color w:val="auto"/>
        </w:rPr>
      </w:pPr>
    </w:p>
    <w:p>
      <w:pPr>
        <w:ind w:left="660" w:right="240" w:firstLine="645"/>
        <w:spacing w:after="0" w:line="277" w:lineRule="auto"/>
        <w:tabs>
          <w:tab w:leader="none" w:pos="1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sz w:val="20"/>
          <w:szCs w:val="20"/>
          <w:color w:val="auto"/>
        </w:rPr>
      </w:pPr>
    </w:p>
    <w:p>
      <w:pPr>
        <w:ind w:left="5620" w:right="1200" w:hanging="3667"/>
        <w:spacing w:after="0" w:line="528" w:lineRule="auto"/>
        <w:tabs>
          <w:tab w:leader="none" w:pos="26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 58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20" w:hanging="667"/>
        <w:spacing w:after="0"/>
        <w:tabs>
          <w:tab w:leader="none" w:pos="2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300"/>
        <w:spacing w:after="0" w:line="312"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7" w:lineRule="exact"/>
        <w:rPr>
          <w:sz w:val="20"/>
          <w:szCs w:val="20"/>
          <w:color w:val="auto"/>
        </w:rPr>
      </w:pPr>
    </w:p>
    <w:p>
      <w:pPr>
        <w:ind w:left="660" w:right="240" w:firstLine="645"/>
        <w:spacing w:after="0" w:line="279" w:lineRule="auto"/>
        <w:tabs>
          <w:tab w:leader="none" w:pos="196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jc w:val="both"/>
        <w:ind w:left="660" w:right="160" w:firstLine="645"/>
        <w:spacing w:after="0" w:line="264"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1" w:lineRule="exact"/>
        <w:rPr>
          <w:rFonts w:ascii="Arial" w:cs="Arial" w:eastAsia="Arial" w:hAnsi="Arial"/>
          <w:sz w:val="18"/>
          <w:szCs w:val="18"/>
          <w:color w:val="auto"/>
        </w:rPr>
      </w:pPr>
    </w:p>
    <w:p>
      <w:pPr>
        <w:ind w:left="660" w:right="200" w:firstLine="645"/>
        <w:spacing w:after="0" w:line="259"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1" w:lineRule="exact"/>
        <w:rPr>
          <w:rFonts w:ascii="Arial" w:cs="Arial" w:eastAsia="Arial" w:hAnsi="Arial"/>
          <w:sz w:val="18"/>
          <w:szCs w:val="18"/>
          <w:color w:val="auto"/>
        </w:rPr>
      </w:pPr>
    </w:p>
    <w:p>
      <w:pPr>
        <w:ind w:left="660" w:right="560" w:firstLine="645"/>
        <w:spacing w:after="0" w:line="277"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hereof or the principal and interest received in respect thereof other than any such tax, fee or other charge which by law is for the account of the Holders of the outstanding Notes.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w:t>
      </w:r>
      <w:r>
        <w:rPr>
          <w:rFonts w:ascii="Arial" w:cs="Arial" w:eastAsia="Arial" w:hAnsi="Arial"/>
          <w:sz w:val="18"/>
          <w:szCs w:val="18"/>
          <w:i w:val="1"/>
          <w:iCs w:val="1"/>
          <w:color w:val="auto"/>
        </w:rPr>
        <w:t>delivered</w:t>
      </w:r>
      <w:r>
        <w:rPr>
          <w:rFonts w:ascii="Arial" w:cs="Arial" w:eastAsia="Arial" w:hAnsi="Arial"/>
          <w:sz w:val="18"/>
          <w:szCs w:val="18"/>
          <w:color w:val="auto"/>
        </w:rPr>
        <w:t xml:space="preserve">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w:t>
      </w:r>
    </w:p>
    <w:p>
      <w:pPr>
        <w:sectPr>
          <w:pgSz w:w="11900" w:h="16945" w:orient="portrait"/>
          <w:cols w:equalWidth="0" w:num="1">
            <w:col w:w="11420"/>
          </w:cols>
          <w:pgMar w:left="240" w:top="125" w:right="239" w:bottom="0" w:gutter="0" w:footer="0" w:header="0"/>
        </w:sectPr>
      </w:pPr>
    </w:p>
    <w:bookmarkStart w:id="40" w:name="page41"/>
    <w:bookmarkEnd w:id="40"/>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liability of the Company as trustee thereof, will thereupon cease;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70" w:lineRule="exact"/>
        <w:rPr>
          <w:sz w:val="20"/>
          <w:szCs w:val="20"/>
          <w:color w:val="auto"/>
        </w:rPr>
      </w:pPr>
    </w:p>
    <w:p>
      <w:pPr>
        <w:ind w:left="5620" w:right="5440" w:hanging="4315"/>
        <w:spacing w:after="0" w:line="624" w:lineRule="auto"/>
        <w:tabs>
          <w:tab w:leader="none" w:pos="195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cure any ambiguity, mistake, defect or inconsistency; 60</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660" w:right="68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Securities in the case of a merger or consolidation or sale of all or substantially all of the Company’s assets;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94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right="58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-3246755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w:t>
      </w:r>
    </w:p>
    <w:p>
      <w:pPr>
        <w:sectPr>
          <w:pgSz w:w="11900" w:h="16952" w:orient="portrait"/>
          <w:cols w:equalWidth="0" w:num="1">
            <w:col w:w="11420"/>
          </w:cols>
          <w:pgMar w:left="240" w:top="125" w:right="239" w:bottom="0" w:gutter="0" w:footer="0" w:header="0"/>
        </w:sectPr>
      </w:pPr>
    </w:p>
    <w:bookmarkStart w:id="41" w:name="page42"/>
    <w:bookmarkEnd w:id="41"/>
    <w:p>
      <w:pPr>
        <w:ind w:right="520"/>
        <w:spacing w:after="0" w:line="277" w:lineRule="auto"/>
        <w:rPr>
          <w:sz w:val="20"/>
          <w:szCs w:val="20"/>
          <w:color w:val="auto"/>
        </w:rPr>
      </w:pPr>
      <w:r>
        <w:rPr>
          <w:rFonts w:ascii="Arial" w:cs="Arial" w:eastAsia="Arial" w:hAnsi="Arial"/>
          <w:sz w:val="18"/>
          <w:szCs w:val="18"/>
          <w:color w:val="auto"/>
        </w:rPr>
        <w:t>affects the Trustee’s own rights, duties or immunities under this Indenture or otherwise, in which case the Trustee may in its discretion, but will not be obligated to, enter into such amended or supplemental Indenture.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to the Holders of Securities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89" w:lineRule="exact"/>
        <w:rPr>
          <w:sz w:val="20"/>
          <w:szCs w:val="20"/>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ind w:left="660" w:right="400" w:firstLine="645"/>
        <w:spacing w:after="0" w:line="264" w:lineRule="auto"/>
        <w:tabs>
          <w:tab w:leader="none" w:pos="1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right="220" w:firstLine="645"/>
        <w:spacing w:after="0" w:line="277" w:lineRule="auto"/>
        <w:tabs>
          <w:tab w:leader="none" w:pos="1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Compliance with Trust Indenture Act.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Every amendment or supplement to this Indenture or the Securities will be set forth in an amended or supplemental indenture that complies with the TIA as then in effect.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Security will not affect the validity and effect of such amendment, supplement or waiver.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ectPr>
          <w:pgSz w:w="11900" w:h="16838" w:orient="portrait"/>
          <w:cols w:equalWidth="0" w:num="1">
            <w:col w:w="11340"/>
          </w:cols>
          <w:pgMar w:left="240" w:top="125" w:right="319" w:bottom="0" w:gutter="0" w:footer="0" w:header="0"/>
        </w:sectPr>
      </w:pP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10.01.</w:t>
      </w:r>
      <w:r>
        <w:rPr>
          <w:sz w:val="20"/>
          <w:szCs w:val="20"/>
          <w:color w:val="auto"/>
        </w:rPr>
        <w:tab/>
      </w:r>
      <w:r>
        <w:rPr>
          <w:rFonts w:ascii="Arial" w:cs="Arial" w:eastAsia="Arial" w:hAnsi="Arial"/>
          <w:sz w:val="16"/>
          <w:szCs w:val="16"/>
          <w:i w:val="1"/>
          <w:iCs w:val="1"/>
          <w:color w:val="auto"/>
        </w:rPr>
        <w:t>Guarantee.</w:t>
      </w:r>
    </w:p>
    <w:p>
      <w:pPr>
        <w:sectPr>
          <w:pgSz w:w="11900" w:h="16838" w:orient="portrait"/>
          <w:cols w:equalWidth="0" w:num="1">
            <w:col w:w="11340"/>
          </w:cols>
          <w:pgMar w:left="240" w:top="125" w:right="319" w:bottom="0" w:gutter="0" w:footer="0" w:header="0"/>
          <w:type w:val="continuous"/>
        </w:sectPr>
      </w:pPr>
    </w:p>
    <w:bookmarkStart w:id="42" w:name="page43"/>
    <w:bookmarkEnd w:id="42"/>
    <w:p>
      <w:pPr>
        <w:ind w:right="380" w:firstLine="656"/>
        <w:spacing w:after="0" w:line="264" w:lineRule="auto"/>
        <w:tabs>
          <w:tab w:leader="none" w:pos="129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9" w:lineRule="auto"/>
        <w:tabs>
          <w:tab w:leader="none" w:pos="19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660" w:firstLine="645"/>
        <w:spacing w:after="0" w:line="342" w:lineRule="auto"/>
        <w:tabs>
          <w:tab w:leader="none" w:pos="196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2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120" w:firstLine="656"/>
        <w:spacing w:after="0" w:line="255"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89" w:lineRule="exact"/>
        <w:rPr>
          <w:rFonts w:ascii="Arial" w:cs="Arial" w:eastAsia="Arial" w:hAnsi="Arial"/>
          <w:sz w:val="18"/>
          <w:szCs w:val="18"/>
          <w:color w:val="auto"/>
        </w:rPr>
      </w:pPr>
    </w:p>
    <w:p>
      <w:pPr>
        <w:ind w:right="320" w:firstLine="656"/>
        <w:spacing w:after="0" w:line="264" w:lineRule="auto"/>
        <w:tabs>
          <w:tab w:leader="none" w:pos="1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1" w:lineRule="exact"/>
        <w:rPr>
          <w:rFonts w:ascii="Arial" w:cs="Arial" w:eastAsia="Arial" w:hAnsi="Arial"/>
          <w:sz w:val="18"/>
          <w:szCs w:val="18"/>
          <w:color w:val="auto"/>
        </w:rPr>
      </w:pPr>
    </w:p>
    <w:p>
      <w:pPr>
        <w:ind w:right="40" w:firstLine="656"/>
        <w:spacing w:after="0" w:line="291" w:lineRule="auto"/>
        <w:tabs>
          <w:tab w:leader="none" w:pos="13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14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10.03.</w:t>
      </w:r>
      <w:r>
        <w:rPr>
          <w:sz w:val="20"/>
          <w:szCs w:val="20"/>
          <w:color w:val="auto"/>
        </w:rPr>
        <w:tab/>
      </w:r>
      <w:r>
        <w:rPr>
          <w:rFonts w:ascii="Arial" w:cs="Arial" w:eastAsia="Arial" w:hAnsi="Arial"/>
          <w:sz w:val="16"/>
          <w:szCs w:val="16"/>
          <w:i w:val="1"/>
          <w:iCs w:val="1"/>
          <w:color w:val="auto"/>
        </w:rPr>
        <w:t>Execution and Delivery of Guarantee.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1" w:lineRule="exact"/>
        <w:rPr>
          <w:sz w:val="20"/>
          <w:szCs w:val="20"/>
          <w:color w:val="auto"/>
        </w:rPr>
      </w:pPr>
    </w:p>
    <w:p>
      <w:pPr>
        <w:ind w:left="1960" w:hanging="655"/>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ectPr>
          <w:pgSz w:w="11900" w:h="16838" w:orient="portrait"/>
          <w:cols w:equalWidth="0" w:num="1">
            <w:col w:w="11420"/>
          </w:cols>
          <w:pgMar w:left="240" w:top="341" w:right="239" w:bottom="32" w:gutter="0" w:footer="0" w:header="0"/>
        </w:sectPr>
      </w:pPr>
    </w:p>
    <w:bookmarkStart w:id="43" w:name="page44"/>
    <w:bookmarkEnd w:id="43"/>
    <w:p>
      <w:pPr>
        <w:ind w:left="660" w:right="280" w:firstLine="645"/>
        <w:spacing w:after="0" w:line="259" w:lineRule="auto"/>
        <w:tabs>
          <w:tab w:leader="none" w:pos="1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the Registration Rights Agreement on the terms set forth herein or therein, pursuant to a supplemental indenture in form and substance reasonably satisfactory to the Trustee;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10.05.</w:t>
      </w:r>
      <w:r>
        <w:rPr>
          <w:sz w:val="20"/>
          <w:szCs w:val="20"/>
          <w:color w:val="auto"/>
        </w:rPr>
        <w:tab/>
      </w:r>
      <w:r>
        <w:rPr>
          <w:rFonts w:ascii="Arial" w:cs="Arial" w:eastAsia="Arial" w:hAnsi="Arial"/>
          <w:sz w:val="15"/>
          <w:szCs w:val="15"/>
          <w:i w:val="1"/>
          <w:iCs w:val="1"/>
          <w:color w:val="auto"/>
        </w:rPr>
        <w:t>Releases.</w:t>
      </w:r>
    </w:p>
    <w:p>
      <w:pPr>
        <w:spacing w:after="0" w:line="225" w:lineRule="exact"/>
        <w:rPr>
          <w:sz w:val="20"/>
          <w:szCs w:val="20"/>
          <w:color w:val="auto"/>
        </w:rPr>
      </w:pPr>
    </w:p>
    <w:p>
      <w:pPr>
        <w:ind w:left="1300" w:hanging="603"/>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20" w:hanging="623"/>
        <w:spacing w:after="0"/>
        <w:tabs>
          <w:tab w:leader="none" w:pos="13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right="200" w:firstLine="645"/>
        <w:spacing w:after="0" w:line="264" w:lineRule="auto"/>
        <w:tabs>
          <w:tab w:leader="none" w:pos="196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this Indenture;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3"/>
          <w:numId w:val="126"/>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ind w:left="1300" w:right="40" w:firstLine="653"/>
        <w:spacing w:after="0" w:line="255" w:lineRule="auto"/>
        <w:tabs>
          <w:tab w:leader="none" w:pos="2607" w:val="left"/>
        </w:tabs>
        <w:numPr>
          <w:ilvl w:val="3"/>
          <w:numId w:val="126"/>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3" w:lineRule="exact"/>
        <w:rPr>
          <w:rFonts w:ascii="Arial" w:cs="Arial" w:eastAsia="Arial" w:hAnsi="Arial"/>
          <w:sz w:val="18"/>
          <w:szCs w:val="18"/>
          <w:color w:val="auto"/>
        </w:rPr>
      </w:pPr>
    </w:p>
    <w:p>
      <w:pPr>
        <w:ind w:left="1300" w:right="400" w:firstLine="653"/>
        <w:spacing w:after="0" w:line="279" w:lineRule="auto"/>
        <w:tabs>
          <w:tab w:leader="none" w:pos="2607" w:val="left"/>
        </w:tabs>
        <w:numPr>
          <w:ilvl w:val="3"/>
          <w:numId w:val="126"/>
        </w:numPr>
        <w:rPr>
          <w:rFonts w:ascii="Arial" w:cs="Arial" w:eastAsia="Arial" w:hAnsi="Arial"/>
          <w:sz w:val="17"/>
          <w:szCs w:val="17"/>
          <w:color w:val="auto"/>
        </w:rPr>
      </w:pPr>
      <w:r>
        <w:rPr>
          <w:rFonts w:ascii="Arial" w:cs="Arial" w:eastAsia="Arial" w:hAnsi="Arial"/>
          <w:sz w:val="17"/>
          <w:szCs w:val="17"/>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71" w:lineRule="exact"/>
        <w:rPr>
          <w:rFonts w:ascii="Arial" w:cs="Arial" w:eastAsia="Arial" w:hAnsi="Arial"/>
          <w:sz w:val="17"/>
          <w:szCs w:val="17"/>
          <w:color w:val="auto"/>
        </w:rPr>
      </w:pPr>
    </w:p>
    <w:p>
      <w:pPr>
        <w:ind w:right="240" w:firstLine="656"/>
        <w:spacing w:after="0" w:line="277" w:lineRule="auto"/>
        <w:tabs>
          <w:tab w:leader="none" w:pos="13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delivery by the Company to the Trustee of an Officers’ Certificate and an Opinion of Counsel to the effect that the action or event giving rise to the applicable release has occurred or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made by the Company in accordance with the provisions of this Indenture the Trustee shall execute any documents reasonably required in order to evidence the release of any Guarantor from its obligations under its Guarantee.</w:t>
      </w:r>
    </w:p>
    <w:p>
      <w:pPr>
        <w:spacing w:after="0" w:line="170" w:lineRule="exact"/>
        <w:rPr>
          <w:sz w:val="20"/>
          <w:szCs w:val="20"/>
          <w:color w:val="auto"/>
        </w:rPr>
      </w:pPr>
    </w:p>
    <w:p>
      <w:pPr>
        <w:ind w:right="60" w:firstLine="656"/>
        <w:spacing w:after="0" w:line="342" w:lineRule="auto"/>
        <w:tabs>
          <w:tab w:leader="none" w:pos="130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ectPr>
          <w:pgSz w:w="11900" w:h="16838" w:orient="portrait"/>
          <w:cols w:equalWidth="0" w:num="1">
            <w:col w:w="11400"/>
          </w:cols>
          <w:pgMar w:left="240" w:top="125" w:right="259" w:bottom="0" w:gutter="0" w:footer="0" w:header="0"/>
        </w:sectPr>
      </w:pPr>
    </w:p>
    <w:bookmarkStart w:id="44" w:name="page45"/>
    <w:bookmarkEnd w:id="44"/>
    <w:p>
      <w:pPr>
        <w:ind w:right="100" w:firstLine="648"/>
        <w:spacing w:after="0" w:line="312"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660" w:right="300" w:firstLine="1293"/>
        <w:spacing w:after="0" w:line="264" w:lineRule="auto"/>
        <w:tabs>
          <w:tab w:leader="none" w:pos="22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81" w:lineRule="exact"/>
        <w:rPr>
          <w:rFonts w:ascii="Arial" w:cs="Arial" w:eastAsia="Arial" w:hAnsi="Arial"/>
          <w:sz w:val="18"/>
          <w:szCs w:val="18"/>
          <w:color w:val="auto"/>
        </w:rPr>
      </w:pPr>
    </w:p>
    <w:p>
      <w:pPr>
        <w:ind w:left="660" w:right="60" w:firstLine="1293"/>
        <w:spacing w:after="0" w:line="273" w:lineRule="auto"/>
        <w:tabs>
          <w:tab w:leader="none" w:pos="228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8" w:lineRule="exact"/>
        <w:rPr>
          <w:rFonts w:ascii="Arial" w:cs="Arial" w:eastAsia="Arial" w:hAnsi="Arial"/>
          <w:sz w:val="17"/>
          <w:szCs w:val="17"/>
          <w:color w:val="auto"/>
        </w:rPr>
      </w:pPr>
    </w:p>
    <w:p>
      <w:pPr>
        <w:jc w:val="both"/>
        <w:ind w:left="660" w:right="60" w:firstLine="645"/>
        <w:spacing w:after="0" w:line="259" w:lineRule="auto"/>
        <w:tabs>
          <w:tab w:leader="none" w:pos="19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firstLine="645"/>
        <w:spacing w:after="0" w:line="277" w:lineRule="auto"/>
        <w:tabs>
          <w:tab w:leader="none" w:pos="201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right="60" w:firstLine="8"/>
        <w:spacing w:after="0" w:line="261"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will control.</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Clearway Energy, Inc.</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300 Carnegie Center Drive, Suite 300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ogc@nrgyield.com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Preston Bernhisel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TIA §313(c), to the extent required by the TIA. Failure to mail a notice or communication to a Holder or any defect in it will not affect its sufficiency with respect to other Holders.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Communication by Holders of Securities with Other Holders of Securities.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Holders may communicate pursuant to TIA §312(b) with other Holders with respect to their rights under this Indenture or the Securities. The Company, the Trustee, the Registrar and anyone else shall have the protection of TIA §312(c).</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firstLine="645"/>
        <w:spacing w:after="0" w:line="264" w:lineRule="auto"/>
        <w:tabs>
          <w:tab w:leader="none" w:pos="20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1" w:lineRule="exact"/>
        <w:rPr>
          <w:rFonts w:ascii="Arial" w:cs="Arial" w:eastAsia="Arial" w:hAnsi="Arial"/>
          <w:sz w:val="18"/>
          <w:szCs w:val="18"/>
          <w:color w:val="auto"/>
        </w:rPr>
      </w:pPr>
    </w:p>
    <w:p>
      <w:pPr>
        <w:ind w:left="660" w:firstLine="645"/>
        <w:spacing w:after="0" w:line="308" w:lineRule="auto"/>
        <w:tabs>
          <w:tab w:leader="none" w:pos="201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§314(a)(4)) must comply with the provisions of TIA §314(e) and must include:</w:t>
      </w:r>
    </w:p>
    <w:p>
      <w:pPr>
        <w:spacing w:after="0" w:line="170" w:lineRule="exact"/>
        <w:rPr>
          <w:sz w:val="20"/>
          <w:szCs w:val="20"/>
          <w:color w:val="auto"/>
        </w:rPr>
      </w:pPr>
    </w:p>
    <w:p>
      <w:pPr>
        <w:ind w:left="2000" w:hanging="695"/>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201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201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ectPr>
          <w:pgSz w:w="11900" w:h="16838" w:orient="portrait"/>
          <w:cols w:equalWidth="0" w:num="1">
            <w:col w:w="11420"/>
          </w:cols>
          <w:pgMar w:left="240" w:top="733" w:right="239" w:bottom="140" w:gutter="0" w:footer="0" w:header="0"/>
        </w:sectPr>
      </w:pPr>
    </w:p>
    <w:bookmarkStart w:id="46" w:name="page47"/>
    <w:bookmarkEnd w:id="46"/>
    <w:p>
      <w:pPr>
        <w:ind w:right="12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5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Clearway Energy LLC, as managing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w w:val="96"/>
              </w:rPr>
              <w:t>Senior Vice President, Chief Financial Officer and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7" w:name="page48"/>
    <w:bookmarkEnd w:id="47"/>
    <w:p>
      <w:pPr>
        <w:ind w:left="616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222" w:lineRule="exact"/>
        <w:rPr>
          <w:sz w:val="20"/>
          <w:szCs w:val="20"/>
          <w:color w:val="auto"/>
        </w:rPr>
      </w:pPr>
    </w:p>
    <w:p>
      <w:pPr>
        <w:sectPr>
          <w:pgSz w:w="11900" w:h="16838" w:orient="portrait"/>
          <w:cols w:equalWidth="0" w:num="2">
            <w:col w:w="6640" w:space="160"/>
            <w:col w:w="4620"/>
          </w:cols>
          <w:pgMar w:left="240" w:top="125" w:right="239" w:bottom="0" w:gutter="0" w:footer="0" w:header="0"/>
        </w:sectPr>
      </w:pPr>
    </w:p>
    <w:p>
      <w:pPr>
        <w:spacing w:after="0" w:line="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LLC, as Guarantor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 as Guarantors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NYLD Fuel Cell Holdings LLC, as managing member</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Chad Plotkin</w:t>
      </w:r>
    </w:p>
    <w:p>
      <w:pPr>
        <w:spacing w:after="0" w:line="2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DGPV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SOLAR LAS VEGAS MB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Guarantors,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Clearway Energy Operating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II-B, LLC, as Guarantors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SPP Fund II Holdings,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TRUST COMPANY, as Trustee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Musarra</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Musarra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CUSIP/CINS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5.750% Senior Notes due 2025</w:t>
      </w:r>
    </w:p>
    <w:p>
      <w:pPr>
        <w:spacing w:after="0" w:line="225" w:lineRule="exact"/>
        <w:rPr>
          <w:sz w:val="20"/>
          <w:szCs w:val="20"/>
          <w:color w:val="auto"/>
        </w:rPr>
      </w:pPr>
    </w:p>
    <w:p>
      <w:pPr>
        <w:spacing w:after="0"/>
        <w:tabs>
          <w:tab w:leader="none" w:pos="103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7"/>
          <w:szCs w:val="17"/>
          <w:color w:val="auto"/>
        </w:rPr>
        <w:t>CLEARWAY ENERGY OPERATING LLC</w:t>
      </w:r>
    </w:p>
    <w:p>
      <w:pPr>
        <w:sectPr>
          <w:pgSz w:w="11900" w:h="16838" w:orient="portrait"/>
          <w:cols w:equalWidth="0" w:num="1">
            <w:col w:w="11400"/>
          </w:cols>
          <w:pgMar w:left="240" w:top="341" w:right="259" w:bottom="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211" w:lineRule="exact"/>
        <w:rPr>
          <w:sz w:val="20"/>
          <w:szCs w:val="20"/>
          <w:color w:val="auto"/>
        </w:rPr>
      </w:pPr>
    </w:p>
    <w:p>
      <w:pPr>
        <w:sectPr>
          <w:pgSz w:w="11900" w:h="16838" w:orient="portrait"/>
          <w:cols w:equalWidth="0" w:num="2">
            <w:col w:w="1340" w:space="720"/>
            <w:col w:w="9340"/>
          </w:cols>
          <w:pgMar w:left="240" w:top="341" w:right="25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sum of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DOLLARS on October 15, 2025.</w:t>
      </w:r>
    </w:p>
    <w:p>
      <w:pPr>
        <w:spacing w:after="0" w:line="200" w:lineRule="exact"/>
        <w:rPr>
          <w:sz w:val="20"/>
          <w:szCs w:val="20"/>
          <w:color w:val="auto"/>
        </w:rPr>
      </w:pPr>
    </w:p>
    <w:p>
      <w:pPr>
        <w:sectPr>
          <w:pgSz w:w="11900" w:h="16838" w:orient="portrait"/>
          <w:cols w:equalWidth="0" w:num="2">
            <w:col w:w="3440" w:space="720"/>
            <w:col w:w="7240"/>
          </w:cols>
          <w:pgMar w:left="240" w:top="341" w:right="25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April 15 and October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April 1 and October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095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CLEARWAY ENERGY OPERATING LLC</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2670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5.750% Senior Notes due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1960" w:hanging="655"/>
        <w:spacing w:after="0"/>
        <w:tabs>
          <w:tab w:leader="none" w:pos="196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Clearway Energy Operating LLC,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w:t>
      </w:r>
    </w:p>
    <w:p>
      <w:pPr>
        <w:spacing w:after="0" w:line="46" w:lineRule="exact"/>
        <w:rPr>
          <w:sz w:val="20"/>
          <w:szCs w:val="20"/>
          <w:color w:val="auto"/>
        </w:rPr>
      </w:pPr>
    </w:p>
    <w:p>
      <w:pPr>
        <w:ind w:left="660" w:right="40"/>
        <w:spacing w:after="0" w:line="281" w:lineRule="auto"/>
        <w:rPr>
          <w:sz w:val="20"/>
          <w:szCs w:val="20"/>
          <w:color w:val="auto"/>
        </w:rPr>
      </w:pPr>
      <w:r>
        <w:rPr>
          <w:rFonts w:ascii="Arial" w:cs="Arial" w:eastAsia="Arial" w:hAnsi="Arial"/>
          <w:sz w:val="16"/>
          <w:szCs w:val="16"/>
          <w:color w:val="auto"/>
        </w:rPr>
        <w:t>the principal amount of this Note at 5.750% per annum from , until maturity. The Company shall pay interest semi-annually in arrears on April 15 and October 15 of each year, or if any such day is not a Business Day, on the next succeeding Business Day (each, an “</w:t>
      </w:r>
      <w:r>
        <w:rPr>
          <w:rFonts w:ascii="Arial" w:cs="Arial" w:eastAsia="Arial" w:hAnsi="Arial"/>
          <w:sz w:val="16"/>
          <w:szCs w:val="16"/>
          <w:i w:val="1"/>
          <w:iCs w:val="1"/>
          <w:color w:val="auto"/>
        </w:rPr>
        <w:t>Interest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Interest on the Notes will accrue from the most recent date to which interest has been paid or, if no interest has been paid,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p>
    <w:p>
      <w:pPr>
        <w:spacing w:after="0" w:line="3" w:lineRule="exact"/>
        <w:rPr>
          <w:sz w:val="20"/>
          <w:szCs w:val="20"/>
          <w:color w:val="auto"/>
        </w:rPr>
      </w:pPr>
    </w:p>
    <w:p>
      <w:pPr>
        <w:ind w:left="660"/>
        <w:spacing w:after="0"/>
        <w:tabs>
          <w:tab w:leader="none" w:pos="4800" w:val="left"/>
        </w:tabs>
        <w:rPr>
          <w:sz w:val="20"/>
          <w:szCs w:val="20"/>
          <w:color w:val="auto"/>
        </w:rPr>
      </w:pPr>
      <w:r>
        <w:rPr>
          <w:rFonts w:ascii="Arial" w:cs="Arial" w:eastAsia="Arial" w:hAnsi="Arial"/>
          <w:sz w:val="18"/>
          <w:szCs w:val="18"/>
          <w:i w:val="1"/>
          <w:iCs w:val="1"/>
          <w:color w:val="auto"/>
        </w:rPr>
        <w:t>further</w:t>
      </w:r>
      <w:r>
        <w:rPr>
          <w:rFonts w:ascii="Arial" w:cs="Arial" w:eastAsia="Arial" w:hAnsi="Arial"/>
          <w:sz w:val="18"/>
          <w:szCs w:val="18"/>
          <w:color w:val="auto"/>
        </w:rPr>
        <w:t>, that the first Interest Payment Date shall be</w:t>
      </w:r>
      <w:r>
        <w:rPr>
          <w:sz w:val="20"/>
          <w:szCs w:val="20"/>
          <w:color w:val="auto"/>
        </w:rPr>
        <w:tab/>
      </w:r>
      <w:r>
        <w:rPr>
          <w:rFonts w:ascii="Arial" w:cs="Arial" w:eastAsia="Arial" w:hAnsi="Arial"/>
          <w:sz w:val="16"/>
          <w:szCs w:val="16"/>
          <w:color w:val="auto"/>
        </w:rPr>
        <w:t>. Interest will be computed on the basis of a 360-day year of twelve 30-day months.</w:t>
      </w:r>
    </w:p>
    <w:p>
      <w:pPr>
        <w:spacing w:after="0" w:line="211" w:lineRule="exact"/>
        <w:rPr>
          <w:sz w:val="20"/>
          <w:szCs w:val="20"/>
          <w:color w:val="auto"/>
        </w:rPr>
      </w:pPr>
    </w:p>
    <w:p>
      <w:pPr>
        <w:ind w:left="660" w:right="40" w:firstLine="645"/>
        <w:spacing w:after="0" w:line="270" w:lineRule="auto"/>
        <w:tabs>
          <w:tab w:leader="none" w:pos="1964"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shall pay interest on the Notes (except defaulted interest) to the Persons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registered Holders of Notes at the close of business on the April 1 and October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1" w:lineRule="exact"/>
        <w:rPr>
          <w:rFonts w:ascii="Arial" w:cs="Arial" w:eastAsia="Arial" w:hAnsi="Arial"/>
          <w:sz w:val="17"/>
          <w:szCs w:val="17"/>
          <w:color w:val="auto"/>
        </w:rPr>
      </w:pPr>
    </w:p>
    <w:p>
      <w:pPr>
        <w:jc w:val="both"/>
        <w:ind w:left="660" w:firstLine="645"/>
        <w:spacing w:after="0" w:line="264"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Delaware Trust Company,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the Paying Agent or Registrar without prior notice to the Holders of the Notes. The Company or any of its Subsidiaries or parent entities may act as Paying Agent or Registrar.</w:t>
      </w:r>
    </w:p>
    <w:p>
      <w:pPr>
        <w:spacing w:after="0" w:line="181" w:lineRule="exact"/>
        <w:rPr>
          <w:rFonts w:ascii="Arial" w:cs="Arial" w:eastAsia="Arial" w:hAnsi="Arial"/>
          <w:sz w:val="18"/>
          <w:szCs w:val="18"/>
          <w:color w:val="auto"/>
        </w:rPr>
      </w:pPr>
    </w:p>
    <w:p>
      <w:pPr>
        <w:ind w:left="660" w:right="40" w:firstLine="645"/>
        <w:spacing w:after="0" w:line="255"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Guarantors and the Trustee. The terms of the Notes include those stated in the Indenture and those made part of the Indenture by reference to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type w:val="continuous"/>
        </w:sectPr>
      </w:pPr>
    </w:p>
    <w:bookmarkStart w:id="49" w:name="page50"/>
    <w:bookmarkEnd w:id="49"/>
    <w:p>
      <w:pPr>
        <w:ind w:left="1300" w:hanging="655"/>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225" w:lineRule="exact"/>
        <w:rPr>
          <w:rFonts w:ascii="Arial" w:cs="Arial" w:eastAsia="Arial" w:hAnsi="Arial"/>
          <w:sz w:val="18"/>
          <w:szCs w:val="18"/>
          <w:color w:val="auto"/>
        </w:rPr>
      </w:pPr>
    </w:p>
    <w:p>
      <w:pPr>
        <w:ind w:right="440" w:firstLine="1293"/>
        <w:spacing w:after="0" w:line="257" w:lineRule="auto"/>
        <w:tabs>
          <w:tab w:leader="none" w:pos="194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At any time prior to October 15, 2021, the Company may on any one or more occasions redeem up to 35% of the aggregate principal amount of the Notes, upon not less than 15 nor more than 60 days’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rFonts w:ascii="Arial" w:cs="Arial" w:eastAsia="Arial" w:hAnsi="Arial"/>
          <w:sz w:val="18"/>
          <w:szCs w:val="18"/>
          <w:color w:val="auto"/>
        </w:rPr>
      </w:pPr>
    </w:p>
    <w:p>
      <w:pPr>
        <w:ind w:left="1300" w:right="120" w:firstLine="641"/>
        <w:spacing w:after="0" w:line="264" w:lineRule="auto"/>
        <w:tabs>
          <w:tab w:leader="none" w:pos="2618"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its Subsidiaries and parent entities) remains outstanding immediately after the occurrence of such redemption; and</w:t>
      </w:r>
    </w:p>
    <w:p>
      <w:pPr>
        <w:spacing w:after="0" w:line="181" w:lineRule="exact"/>
        <w:rPr>
          <w:rFonts w:ascii="Arial" w:cs="Arial" w:eastAsia="Arial" w:hAnsi="Arial"/>
          <w:sz w:val="18"/>
          <w:szCs w:val="18"/>
          <w:color w:val="auto"/>
        </w:rPr>
      </w:pPr>
    </w:p>
    <w:p>
      <w:pPr>
        <w:ind w:left="2620" w:hanging="679"/>
        <w:spacing w:after="0"/>
        <w:tabs>
          <w:tab w:leader="none" w:pos="262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ind w:right="60" w:firstLine="1293"/>
        <w:spacing w:after="0" w:line="259" w:lineRule="auto"/>
        <w:tabs>
          <w:tab w:leader="none" w:pos="195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At any time prior to October 15, 2021, the Company may on any one or more occasions redeem all or a part of the Notes, upon not less than 15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960" w:hanging="667"/>
        <w:spacing w:after="0"/>
        <w:tabs>
          <w:tab w:leader="none" w:pos="19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w:t>
      </w:r>
    </w:p>
    <w:p>
      <w:pPr>
        <w:spacing w:after="0" w:line="211" w:lineRule="exact"/>
        <w:rPr>
          <w:sz w:val="20"/>
          <w:szCs w:val="20"/>
          <w:color w:val="auto"/>
        </w:rPr>
      </w:pPr>
    </w:p>
    <w:p>
      <w:pPr>
        <w:ind w:right="20" w:firstLine="1293"/>
        <w:spacing w:after="0" w:line="257" w:lineRule="auto"/>
        <w:tabs>
          <w:tab w:leader="none" w:pos="19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or after October 15, 2021, the Company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date of redemption, if redeemed during the twelve-month period beginning on October 15 of the years indicated below, subject to the rights of Holders on the relevant record date to receive interest on the relevant interest payment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bottom w:val="single" w:sz="8" w:color="CCEEFF"/>
            </w:tcBorders>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102.875%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101.437%</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left="1960" w:hanging="667"/>
        <w:spacing w:after="0"/>
        <w:tabs>
          <w:tab w:leader="none" w:pos="1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420" w:firstLine="1293"/>
        <w:spacing w:after="0" w:line="277" w:lineRule="auto"/>
        <w:tabs>
          <w:tab w:leader="none" w:pos="194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ind w:right="440" w:firstLine="645"/>
        <w:spacing w:after="0" w:line="277" w:lineRule="auto"/>
        <w:tabs>
          <w:tab w:leader="none" w:pos="1304"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mandatory redemption or sinking fund payments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Notes.</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REPURCHASE AT THE OPTION OF HOLDER.</w:t>
      </w:r>
    </w:p>
    <w:p>
      <w:pPr>
        <w:spacing w:after="0" w:line="225" w:lineRule="exact"/>
        <w:rPr>
          <w:rFonts w:ascii="Arial" w:cs="Arial" w:eastAsia="Arial" w:hAnsi="Arial"/>
          <w:sz w:val="18"/>
          <w:szCs w:val="18"/>
          <w:color w:val="auto"/>
        </w:rPr>
      </w:pPr>
    </w:p>
    <w:p>
      <w:pPr>
        <w:ind w:right="40" w:firstLine="1293"/>
        <w:spacing w:after="0" w:line="273" w:lineRule="auto"/>
        <w:tabs>
          <w:tab w:leader="none" w:pos="194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Upon the occurrence of a Change of Control Triggering Event, the Company will make an offer (a “</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Offer</w:t>
      </w:r>
      <w:r>
        <w:rPr>
          <w:rFonts w:ascii="Arial" w:cs="Arial" w:eastAsia="Arial" w:hAnsi="Arial"/>
          <w:sz w:val="17"/>
          <w:szCs w:val="17"/>
          <w:color w:val="auto"/>
        </w:rPr>
        <w:t>”) to each Holder to repurchase all or any part (equal to $2,000 or an integral multiple of $1,000 in excess of $2,000) of that Holder’s Notes at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 of Control Payment</w:t>
      </w:r>
      <w:r>
        <w:rPr>
          <w:rFonts w:ascii="Arial" w:cs="Arial" w:eastAsia="Arial" w:hAnsi="Arial"/>
          <w:sz w:val="17"/>
          <w:szCs w:val="17"/>
          <w:color w:val="auto"/>
        </w:rPr>
        <w:t>”). Within 30 days following any Change of Control, the Company will mail a notice to each Holder setting forth the procedures governing the Change of Control Offer as required by the Indenture.</w:t>
      </w:r>
    </w:p>
    <w:p>
      <w:pPr>
        <w:spacing w:after="0" w:line="178" w:lineRule="exact"/>
        <w:rPr>
          <w:rFonts w:ascii="Arial" w:cs="Arial" w:eastAsia="Arial" w:hAnsi="Arial"/>
          <w:sz w:val="17"/>
          <w:szCs w:val="17"/>
          <w:color w:val="auto"/>
        </w:rPr>
      </w:pPr>
    </w:p>
    <w:p>
      <w:pPr>
        <w:ind w:right="160" w:firstLine="645"/>
        <w:spacing w:after="0" w:line="273"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NOTICE OF REDEMPTION</w:t>
      </w:r>
      <w:r>
        <w:rPr>
          <w:rFonts w:ascii="Arial" w:cs="Arial" w:eastAsia="Arial" w:hAnsi="Arial"/>
          <w:sz w:val="17"/>
          <w:szCs w:val="17"/>
          <w:color w:val="auto"/>
        </w:rPr>
        <w:t>. At least 15 days but not more than 60 days before a redemption date, the Company shall mail 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78" w:lineRule="exact"/>
        <w:rPr>
          <w:rFonts w:ascii="Arial" w:cs="Arial" w:eastAsia="Arial" w:hAnsi="Arial"/>
          <w:sz w:val="17"/>
          <w:szCs w:val="17"/>
          <w:color w:val="auto"/>
        </w:rPr>
      </w:pPr>
    </w:p>
    <w:p>
      <w:pPr>
        <w:ind w:firstLine="645"/>
        <w:spacing w:after="0" w:line="272"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Notes are in registered form without coupons in denominations of $2,000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right="720" w:firstLine="645"/>
        <w:spacing w:after="0" w:line="277" w:lineRule="auto"/>
        <w:tabs>
          <w:tab w:leader="none" w:pos="1299"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the owner of it for all purposes. Only</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Holders have rights under the Indenture.</w:t>
      </w:r>
    </w:p>
    <w:p>
      <w:pPr>
        <w:sectPr>
          <w:pgSz w:w="11900" w:h="16838" w:orient="portrait"/>
          <w:cols w:equalWidth="0" w:num="1">
            <w:col w:w="10760"/>
          </w:cols>
          <w:pgMar w:left="900" w:top="584" w:right="239" w:bottom="72" w:gutter="0" w:footer="0" w:header="0"/>
        </w:sectPr>
      </w:pPr>
    </w:p>
    <w:bookmarkStart w:id="50" w:name="page51"/>
    <w:bookmarkEnd w:id="50"/>
    <w:p>
      <w:pPr>
        <w:ind w:left="4" w:right="80" w:firstLine="645"/>
        <w:spacing w:after="0" w:line="253"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the Notes or the Guarantees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w:t>
      </w:r>
    </w:p>
    <w:p>
      <w:pPr>
        <w:spacing w:after="0" w:line="19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such Holder, (v) to comply with the requirements of the SEC in order to effect or maintain the qualification of the Indenture under the TIA,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w:t>
      </w:r>
    </w:p>
    <w:p>
      <w:pPr>
        <w:spacing w:after="0" w:line="2" w:lineRule="exact"/>
        <w:rPr>
          <w:sz w:val="20"/>
          <w:szCs w:val="20"/>
          <w:color w:val="auto"/>
        </w:rPr>
      </w:pPr>
    </w:p>
    <w:p>
      <w:pPr>
        <w:ind w:left="304" w:hanging="304"/>
        <w:spacing w:after="0"/>
        <w:tabs>
          <w:tab w:leader="none" w:pos="3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Guarantee with respect to the Notes.</w:t>
      </w:r>
    </w:p>
    <w:p>
      <w:pPr>
        <w:spacing w:after="0" w:line="210" w:lineRule="exact"/>
        <w:rPr>
          <w:rFonts w:ascii="Arial" w:cs="Arial" w:eastAsia="Arial" w:hAnsi="Arial"/>
          <w:sz w:val="18"/>
          <w:szCs w:val="18"/>
          <w:color w:val="auto"/>
        </w:rPr>
      </w:pPr>
    </w:p>
    <w:p>
      <w:pPr>
        <w:ind w:left="4" w:right="80" w:firstLine="645"/>
        <w:spacing w:after="0" w:line="283" w:lineRule="auto"/>
        <w:tabs>
          <w:tab w:leader="none" w:pos="1303"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(ii) default in the payment when due of the principal of, or premium on, if any, the Notes, (iii) failure by the Company or any Guarantor for 60 days after written notice to the Company by the Trustee or the Holders of at least 25% in aggregate principal amount of the Notes then outstanding to comply with any of the agreements in the Indenture (other than a default referred to in clause (i) or (ii)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w:t>
      </w:r>
    </w:p>
    <w:p>
      <w:pPr>
        <w:spacing w:after="0" w:line="4" w:lineRule="exact"/>
        <w:rPr>
          <w:rFonts w:ascii="Arial" w:cs="Arial" w:eastAsia="Arial" w:hAnsi="Arial"/>
          <w:sz w:val="16"/>
          <w:szCs w:val="16"/>
          <w:color w:val="auto"/>
        </w:rPr>
      </w:pPr>
    </w:p>
    <w:p>
      <w:pPr>
        <w:ind w:left="4"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(2) $100.0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 to secured Indebtedness that becomes due as a result of the voluntary sale or transfer of the property or assets securing such Indebtedness to a Person that is not an Affiliate of the Company; (v) one or more judgments for the payment of money in an aggregate amount in excess of the greater of (i) 1.5% of Total Assets and (ii) $100.0 million (excluding therefrom any amount reasonably expected to be covered by insurance) shall be rendered against the Company or any Guarantor or Guarantors or any combination thereof and the same shall not have been paid, discharged or stayed for a period of 60 days after such judgment became final and non-appealable; (vi) except as permitted by the Indenture, any Guarantee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w:t>
      </w:r>
    </w:p>
    <w:p>
      <w:pPr>
        <w:spacing w:after="0" w:line="6" w:lineRule="exact"/>
        <w:rPr>
          <w:rFonts w:ascii="Arial" w:cs="Arial" w:eastAsia="Arial" w:hAnsi="Arial"/>
          <w:sz w:val="16"/>
          <w:szCs w:val="16"/>
          <w:color w:val="auto"/>
        </w:rPr>
      </w:pPr>
    </w:p>
    <w:p>
      <w:pPr>
        <w:ind w:left="4" w:right="40" w:hanging="4"/>
        <w:spacing w:after="0" w:line="268" w:lineRule="auto"/>
        <w:tabs>
          <w:tab w:leader="none" w:pos="35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w:t>
      </w:r>
    </w:p>
    <w:p>
      <w:pPr>
        <w:spacing w:after="0" w:line="18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188" w:lineRule="exact"/>
        <w:rPr>
          <w:sz w:val="20"/>
          <w:szCs w:val="20"/>
          <w:color w:val="auto"/>
        </w:rPr>
      </w:pPr>
    </w:p>
    <w:p>
      <w:pPr>
        <w:ind w:left="4" w:right="40" w:firstLine="645"/>
        <w:spacing w:after="0" w:line="257" w:lineRule="auto"/>
        <w:tabs>
          <w:tab w:leader="none" w:pos="1303"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make loans to, accept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8" w:lineRule="exact"/>
        <w:rPr>
          <w:rFonts w:ascii="Arial" w:cs="Arial" w:eastAsia="Arial" w:hAnsi="Arial"/>
          <w:sz w:val="18"/>
          <w:szCs w:val="18"/>
          <w:color w:val="auto"/>
        </w:rPr>
      </w:pPr>
    </w:p>
    <w:p>
      <w:pPr>
        <w:ind w:left="4" w:firstLine="645"/>
        <w:spacing w:after="0" w:line="257" w:lineRule="auto"/>
        <w:tabs>
          <w:tab w:leader="none" w:pos="1303"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director, officer, employee, incorporator or stockholder of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 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agent.</w:t>
      </w:r>
    </w:p>
    <w:p>
      <w:pPr>
        <w:sectPr>
          <w:pgSz w:w="11900" w:h="16838" w:orient="portrait"/>
          <w:cols w:equalWidth="0" w:num="1">
            <w:col w:w="10764"/>
          </w:cols>
          <w:pgMar w:left="896" w:top="125" w:right="239" w:bottom="18" w:gutter="0" w:footer="0" w:header="0"/>
        </w:sectPr>
      </w:pPr>
    </w:p>
    <w:bookmarkStart w:id="51" w:name="page52"/>
    <w:bookmarkEnd w:id="51"/>
    <w:p>
      <w:pPr>
        <w:ind w:left="660" w:right="120" w:firstLine="645"/>
        <w:spacing w:after="0" w:line="264" w:lineRule="auto"/>
        <w:tabs>
          <w:tab w:leader="none" w:pos="195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5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rights provided to Holders of Notes under the Indenture, Holders of Restricted Global Notes and Restricted Definitive Notes will have all the rights set forth in the Registration Rights Agreement dated as of October 1, 2018, among the Company, the Guarantors and the other parties named on the signature pages thereof or, in the case of Additional Notes, Holders of Restricted Global Notes and Restricted Definitive Notes will have the rights set forth in one or more registration rights agreements, if any, among the Company, the Guarantors and the other parties thereto, relating to rights given by the Company and the Guarantors to the purchasers of any Additional Notes (collectively, the “</w:t>
      </w:r>
      <w:r>
        <w:rPr>
          <w:rFonts w:ascii="Arial" w:cs="Arial" w:eastAsia="Arial" w:hAnsi="Arial"/>
          <w:sz w:val="18"/>
          <w:szCs w:val="18"/>
          <w:i w:val="1"/>
          <w:i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20" w:firstLine="645"/>
        <w:spacing w:after="0" w:line="279" w:lineRule="auto"/>
        <w:tabs>
          <w:tab w:leader="none" w:pos="1959"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CUSIP NUMBERS</w:t>
      </w:r>
      <w:r>
        <w:rPr>
          <w:rFonts w:ascii="Arial" w:cs="Arial" w:eastAsia="Arial" w:hAnsi="Arial"/>
          <w:sz w:val="17"/>
          <w:szCs w:val="17"/>
          <w:color w:val="auto"/>
        </w:rPr>
        <w:t>. Pursuant to a recommendation promulgated by the Committee on Uniform Security Identification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firstLine="645"/>
        <w:spacing w:after="0" w:line="259" w:lineRule="auto"/>
        <w:tabs>
          <w:tab w:leader="none" w:pos="1959"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and/or the Registration Rights Agreement. Requests may be made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-130810</wp:posOffset>
            </wp:positionV>
            <wp:extent cx="48450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9360" w:type="dxa"/>
            <w:vAlign w:val="bottom"/>
            <w:tcBorders>
              <w:top w:val="single" w:sz="8" w:color="auto"/>
            </w:tcBorders>
            <w:gridSpan w:val="3"/>
          </w:tcPr>
          <w:p>
            <w:pPr>
              <w:ind w:left="1740"/>
              <w:spacing w:after="0"/>
              <w:rPr>
                <w:sz w:val="20"/>
                <w:szCs w:val="20"/>
                <w:color w:val="auto"/>
              </w:rPr>
            </w:pPr>
            <w:r>
              <w:rPr>
                <w:rFonts w:ascii="Arial" w:cs="Arial" w:eastAsia="Arial" w:hAnsi="Arial"/>
                <w:sz w:val="18"/>
                <w:szCs w:val="18"/>
                <w:color w:val="auto"/>
              </w:rPr>
              <w:t>(Print or type assignee’s name, address and zip code)</w:t>
            </w:r>
          </w:p>
        </w:tc>
      </w:tr>
      <w:tr>
        <w:trPr>
          <w:trHeight w:val="404"/>
        </w:trPr>
        <w:tc>
          <w:tcPr>
            <w:tcW w:w="20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360" w:type="dxa"/>
            <w:vAlign w:val="bottom"/>
            <w:gridSpan w:val="3"/>
          </w:tcPr>
          <w:p>
            <w:pPr>
              <w:ind w:left="2900"/>
              <w:spacing w:after="0"/>
              <w:rPr>
                <w:sz w:val="20"/>
                <w:szCs w:val="20"/>
                <w:color w:val="auto"/>
              </w:rPr>
            </w:pPr>
            <w:r>
              <w:rPr>
                <w:rFonts w:ascii="Arial" w:cs="Arial" w:eastAsia="Arial" w:hAnsi="Arial"/>
                <w:sz w:val="18"/>
                <w:szCs w:val="18"/>
                <w:color w:val="auto"/>
                <w:w w:val="92"/>
              </w:rPr>
              <w:t>to transfer this Note on the books of the Company. The agent may substitute another to</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act for him.</w:t>
            </w:r>
          </w:p>
        </w:tc>
        <w:tc>
          <w:tcPr>
            <w:tcW w:w="3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2"/>
        </w:trPr>
        <w:tc>
          <w:tcPr>
            <w:tcW w:w="2060" w:type="dxa"/>
            <w:vAlign w:val="bottom"/>
            <w:gridSpan w:val="2"/>
          </w:tcPr>
          <w:p>
            <w:pPr>
              <w:spacing w:after="0"/>
              <w:rPr>
                <w:sz w:val="20"/>
                <w:szCs w:val="20"/>
                <w:color w:val="auto"/>
              </w:rPr>
            </w:pPr>
            <w:r>
              <w:rPr>
                <w:rFonts w:ascii="Arial" w:cs="Arial" w:eastAsia="Arial" w:hAnsi="Arial"/>
                <w:sz w:val="18"/>
                <w:szCs w:val="18"/>
                <w:color w:val="auto"/>
              </w:rPr>
              <w:t>Date:</w:t>
            </w:r>
          </w:p>
        </w:tc>
        <w:tc>
          <w:tcPr>
            <w:tcW w:w="3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1700" w:type="dxa"/>
            <w:vAlign w:val="bottom"/>
          </w:tcPr>
          <w:p>
            <w:pPr>
              <w:ind w:left="220"/>
              <w:spacing w:after="0"/>
              <w:rPr>
                <w:sz w:val="20"/>
                <w:szCs w:val="20"/>
                <w:color w:val="auto"/>
              </w:rPr>
            </w:pPr>
            <w:r>
              <w:rPr>
                <w:rFonts w:ascii="Arial" w:cs="Arial" w:eastAsia="Arial" w:hAnsi="Arial"/>
                <w:sz w:val="18"/>
                <w:szCs w:val="18"/>
                <w:color w:val="auto"/>
              </w:rPr>
              <w:t>Your Signature:</w:t>
            </w:r>
          </w:p>
        </w:tc>
        <w:tc>
          <w:tcPr>
            <w:tcW w:w="4100" w:type="dxa"/>
            <w:vAlign w:val="bottom"/>
            <w:tcBorders>
              <w:bottom w:val="single" w:sz="8" w:color="auto"/>
            </w:tcBorders>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800" w:type="dxa"/>
            <w:vAlign w:val="bottom"/>
            <w:gridSpan w:val="2"/>
          </w:tcPr>
          <w:p>
            <w:pPr>
              <w:ind w:left="1460"/>
              <w:spacing w:after="0"/>
              <w:rPr>
                <w:sz w:val="20"/>
                <w:szCs w:val="20"/>
                <w:color w:val="auto"/>
              </w:rPr>
            </w:pPr>
            <w:r>
              <w:rPr>
                <w:rFonts w:ascii="Arial" w:cs="Arial" w:eastAsia="Arial" w:hAnsi="Arial"/>
                <w:sz w:val="18"/>
                <w:szCs w:val="18"/>
                <w:color w:val="auto"/>
                <w:w w:val="89"/>
              </w:rPr>
              <w:t>(Sign exactly as your name appears on the face of this Note)</w:t>
            </w:r>
          </w:p>
        </w:tc>
      </w:tr>
      <w:tr>
        <w:trPr>
          <w:trHeight w:val="404"/>
        </w:trPr>
        <w:tc>
          <w:tcPr>
            <w:tcW w:w="20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356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80" w:right="1820" w:hanging="5572"/>
        <w:spacing w:after="0" w:line="528" w:lineRule="auto"/>
        <w:tabs>
          <w:tab w:leader="none" w:pos="6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to elect to have this Note purchased by the Company pursuant to Section 4.09 of the Indenture, check here: o</w:t>
      </w:r>
    </w:p>
    <w:p>
      <w:pPr>
        <w:sectPr>
          <w:pgSz w:w="11900" w:h="16838" w:orient="portrait"/>
          <w:cols w:equalWidth="0" w:num="1">
            <w:col w:w="11420"/>
          </w:cols>
          <w:pgMar w:left="240" w:top="125" w:right="239" w:bottom="0" w:gutter="0" w:footer="0" w:header="0"/>
        </w:sectPr>
      </w:pPr>
    </w:p>
    <w:bookmarkStart w:id="52" w:name="page53"/>
    <w:bookmarkEnd w:id="52"/>
    <w:p>
      <w:pPr>
        <w:spacing w:after="0" w:line="2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902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-116205</wp:posOffset>
            </wp:positionV>
            <wp:extent cx="26073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2263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1820" w:hanging="5572"/>
        <w:spacing w:after="0" w:line="528" w:lineRule="auto"/>
        <w:tabs>
          <w:tab w:leader="none" w:pos="65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 *</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decrease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20" w:right="5520" w:hanging="5512"/>
        <w:spacing w:after="0" w:line="573" w:lineRule="auto"/>
        <w:tabs>
          <w:tab w:leader="none" w:pos="319"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5.750% Senior Notes due 2025</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Reference is hereby made to the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i w:val="1"/>
          <w:iCs w:val="1"/>
          <w:color w:val="auto"/>
        </w:rPr>
        <w:t>Transferor</w:t>
      </w:r>
      <w:r>
        <w:rPr>
          <w:rFonts w:ascii="Arial" w:cs="Arial" w:eastAsia="Arial" w:hAnsi="Arial"/>
          <w:sz w:val="17"/>
          <w:szCs w:val="17"/>
          <w:color w:val="auto"/>
        </w:rPr>
        <w:t>”) owns and proposes to transfer the Note[s] or interest in such Note[s] specified in Annex A hereto, in the</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principal amount of $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221" w:lineRule="exact"/>
        <w:rPr>
          <w:sz w:val="20"/>
          <w:szCs w:val="20"/>
          <w:color w:val="auto"/>
        </w:rPr>
      </w:pPr>
    </w:p>
    <w:p>
      <w:pPr>
        <w:ind w:right="20" w:firstLine="656"/>
        <w:spacing w:after="0" w:line="292" w:lineRule="auto"/>
        <w:tabs>
          <w:tab w:leader="none" w:pos="87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Rule 144A</w:t>
      </w:r>
      <w:r>
        <w:rPr>
          <w:rFonts w:ascii="Arial" w:cs="Arial" w:eastAsia="Arial" w:hAnsi="Arial"/>
          <w:sz w:val="16"/>
          <w:szCs w:val="16"/>
          <w:color w:val="auto"/>
        </w:rPr>
        <w:t>. The Transfer is being effected pursuant to and in accordance with Rule 144A under the Securities Act of 1933, as amended (the “</w:t>
      </w:r>
      <w:r>
        <w:rPr>
          <w:rFonts w:ascii="Arial" w:cs="Arial" w:eastAsia="Arial" w:hAnsi="Arial"/>
          <w:sz w:val="16"/>
          <w:szCs w:val="16"/>
          <w:i w:val="1"/>
          <w:iCs w:val="1"/>
          <w:color w:val="auto"/>
        </w:rPr>
        <w:t>Securities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accordingly, the Transferor hereby further certifies that the beneficial interest or Definitive Note is being transferred to a Person that the Transferor</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w:t>
      </w:r>
    </w:p>
    <w:p>
      <w:pPr>
        <w:sectPr>
          <w:pgSz w:w="11900" w:h="16866" w:orient="portrait"/>
          <w:cols w:equalWidth="0" w:num="1">
            <w:col w:w="11420"/>
          </w:cols>
          <w:pgMar w:left="240" w:top="341" w:right="239" w:bottom="0" w:gutter="0" w:footer="0" w:header="0"/>
        </w:sectPr>
      </w:pPr>
    </w:p>
    <w:bookmarkStart w:id="53" w:name="page54"/>
    <w:bookmarkEnd w:id="53"/>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 subject to the restrictions on transfer enumerated in the Private Placement Legend printed on the 144A Global Note and/or the Restricted Definitive Note and in the Indenture and the Securities Act.</w:t>
      </w:r>
    </w:p>
    <w:p>
      <w:pPr>
        <w:spacing w:after="0" w:line="166" w:lineRule="exact"/>
        <w:rPr>
          <w:sz w:val="20"/>
          <w:szCs w:val="20"/>
          <w:color w:val="auto"/>
        </w:rPr>
      </w:pPr>
    </w:p>
    <w:p>
      <w:pPr>
        <w:ind w:right="100" w:firstLine="656"/>
        <w:spacing w:after="0" w:line="273" w:lineRule="auto"/>
        <w:tabs>
          <w:tab w:leader="none" w:pos="87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 pursuant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to Regulation S</w:t>
      </w:r>
      <w:r>
        <w:rPr>
          <w:rFonts w:ascii="Arial" w:cs="Arial" w:eastAsia="Arial" w:hAnsi="Arial"/>
          <w:sz w:val="17"/>
          <w:szCs w:val="17"/>
          <w:color w:val="auto"/>
        </w:rPr>
        <w:t>. The Transfer is being effected pursuant to and in accordance with Rule 903 or Rule 904 under the Securities Act and, accordingly,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69" w:lineRule="exact"/>
        <w:rPr>
          <w:sz w:val="20"/>
          <w:szCs w:val="20"/>
          <w:color w:val="auto"/>
        </w:rPr>
      </w:pPr>
    </w:p>
    <w:p>
      <w:pPr>
        <w:ind w:right="60" w:firstLine="656"/>
        <w:spacing w:after="0" w:line="303" w:lineRule="auto"/>
        <w:tabs>
          <w:tab w:leader="none" w:pos="87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pursuant to any provision of the Securities Act other than Rule 144A or Regulation S</w:t>
      </w:r>
      <w:r>
        <w:rPr>
          <w:rFonts w:ascii="Arial" w:cs="Arial" w:eastAsia="Arial" w:hAnsi="Arial"/>
          <w:sz w:val="16"/>
          <w:szCs w:val="16"/>
          <w:color w:val="auto"/>
        </w:rPr>
        <w:t>. The Transfer is being effected in compliance with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5" w:lineRule="exact"/>
        <w:rPr>
          <w:rFonts w:ascii="Arial" w:cs="Arial" w:eastAsia="Arial" w:hAnsi="Arial"/>
          <w:sz w:val="16"/>
          <w:szCs w:val="16"/>
          <w:color w:val="auto"/>
        </w:rPr>
      </w:pPr>
    </w:p>
    <w:p>
      <w:pPr>
        <w:ind w:left="1960" w:hanging="649"/>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 such Transfer is being effected pursuant to and in accordance with Rule 144 under the Securities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640" w:right="4140" w:hanging="4329"/>
        <w:spacing w:after="0" w:line="501" w:lineRule="auto"/>
        <w:tabs>
          <w:tab w:leader="none" w:pos="196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 such Transfer is being effected to the Company or a subsidiary thereof; or</w:t>
      </w:r>
    </w:p>
    <w:p>
      <w:pPr>
        <w:ind w:left="820" w:right="200" w:firstLine="491"/>
        <w:spacing w:after="0" w:line="277" w:lineRule="auto"/>
        <w:tabs>
          <w:tab w:leader="none" w:pos="19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 such Transfer is being effected pursuant to an effective registration statement under the Securities Act and in compliance with the prospectus delivery requirements of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820" w:right="20" w:firstLine="491"/>
        <w:spacing w:after="0" w:line="270" w:lineRule="auto"/>
        <w:tabs>
          <w:tab w:leader="none" w:pos="196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o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3" w:lineRule="exact"/>
        <w:rPr>
          <w:rFonts w:ascii="Arial" w:cs="Arial" w:eastAsia="Arial" w:hAnsi="Arial"/>
          <w:sz w:val="17"/>
          <w:szCs w:val="17"/>
          <w:color w:val="auto"/>
        </w:rPr>
      </w:pPr>
    </w:p>
    <w:p>
      <w:pPr>
        <w:ind w:left="880" w:hanging="224"/>
        <w:spacing w:after="0"/>
        <w:tabs>
          <w:tab w:leader="none" w:pos="8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7"/>
          <w:szCs w:val="17"/>
          <w:color w:val="auto"/>
        </w:rPr>
        <w:t>.</w:t>
      </w:r>
    </w:p>
    <w:p>
      <w:pPr>
        <w:spacing w:after="0" w:line="237" w:lineRule="exact"/>
        <w:rPr>
          <w:sz w:val="20"/>
          <w:szCs w:val="20"/>
          <w:color w:val="auto"/>
        </w:rPr>
      </w:pPr>
    </w:p>
    <w:p>
      <w:pPr>
        <w:ind w:right="600" w:firstLine="656"/>
        <w:spacing w:after="0" w:line="282" w:lineRule="auto"/>
        <w:tabs>
          <w:tab w:leader="none" w:pos="93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Transfer is pursuant to Rule 144</w:t>
      </w:r>
      <w:r>
        <w:rPr>
          <w:rFonts w:ascii="Arial" w:cs="Arial" w:eastAsia="Arial" w:hAnsi="Arial"/>
          <w:sz w:val="18"/>
          <w:szCs w:val="18"/>
          <w:color w:val="auto"/>
        </w:rPr>
        <w:t>. (i) The Transfer is being effected pursuant to and in accordance with Rule 144 under the Securities Act and in compliance with the transfer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4" w:lineRule="exact"/>
        <w:rPr>
          <w:sz w:val="20"/>
          <w:szCs w:val="20"/>
          <w:color w:val="auto"/>
        </w:rPr>
      </w:pPr>
    </w:p>
    <w:p>
      <w:pPr>
        <w:ind w:right="80" w:firstLine="656"/>
        <w:spacing w:after="0" w:line="256" w:lineRule="auto"/>
        <w:tabs>
          <w:tab w:leader="none" w:pos="94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Transfer is Pursuant to Regulation S</w:t>
      </w:r>
      <w:r>
        <w:rPr>
          <w:rFonts w:ascii="Arial" w:cs="Arial" w:eastAsia="Arial" w:hAnsi="Arial"/>
          <w:sz w:val="18"/>
          <w:szCs w:val="18"/>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7" w:lineRule="exact"/>
        <w:rPr>
          <w:rFonts w:ascii="Arial" w:cs="Arial" w:eastAsia="Arial" w:hAnsi="Arial"/>
          <w:sz w:val="18"/>
          <w:szCs w:val="18"/>
          <w:color w:val="auto"/>
        </w:rPr>
      </w:pPr>
    </w:p>
    <w:p>
      <w:pPr>
        <w:ind w:firstLine="656"/>
        <w:spacing w:after="0" w:line="303" w:lineRule="auto"/>
        <w:tabs>
          <w:tab w:leader="none" w:pos="93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Check if Transfer is Pursuant to Other Exemption</w:t>
      </w:r>
      <w:r>
        <w:rPr>
          <w:rFonts w:ascii="Arial" w:cs="Arial" w:eastAsia="Arial" w:hAnsi="Arial"/>
          <w:sz w:val="16"/>
          <w:szCs w:val="16"/>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w:t>
      </w:r>
    </w:p>
    <w:p>
      <w:pPr>
        <w:sectPr>
          <w:pgSz w:w="11900" w:h="16944" w:orient="portrait"/>
          <w:cols w:equalWidth="0" w:num="1">
            <w:col w:w="11400"/>
          </w:cols>
          <w:pgMar w:left="240" w:top="125" w:right="259" w:bottom="0" w:gutter="0" w:footer="0" w:header="0"/>
        </w:sectPr>
      </w:pPr>
    </w:p>
    <w:bookmarkStart w:id="54" w:name="page55"/>
    <w:bookmarkEnd w:id="54"/>
    <w:p>
      <w:pPr>
        <w:ind w:right="140"/>
        <w:spacing w:after="0" w:line="308" w:lineRule="auto"/>
        <w:rPr>
          <w:sz w:val="20"/>
          <w:szCs w:val="20"/>
          <w:color w:val="auto"/>
        </w:rPr>
      </w:pPr>
      <w:r>
        <w:rPr>
          <w:rFonts w:ascii="Arial" w:cs="Arial" w:eastAsia="Arial" w:hAnsi="Arial"/>
          <w:sz w:val="17"/>
          <w:szCs w:val="17"/>
          <w:color w:val="auto"/>
        </w:rPr>
        <w:t>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26416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 OF (a) OR (b)]</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o a beneficial interest in the: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o 144A Global Note (CUSIP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11" w:lineRule="exact"/>
        <w:rPr>
          <w:sz w:val="20"/>
          <w:szCs w:val="20"/>
          <w:color w:val="auto"/>
        </w:rPr>
      </w:pPr>
    </w:p>
    <w:p>
      <w:pPr>
        <w:sectPr>
          <w:pgSz w:w="11900" w:h="16838" w:orient="portrait"/>
          <w:cols w:equalWidth="0" w:num="2">
            <w:col w:w="4720" w:space="460"/>
            <w:col w:w="6240"/>
          </w:cols>
          <w:pgMar w:left="240" w:top="125" w:right="239" w:bottom="0" w:gutter="0" w:footer="0" w:header="0"/>
          <w:type w:val="continuous"/>
        </w:sectPr>
      </w:pPr>
    </w:p>
    <w:p>
      <w:pPr>
        <w:spacing w:after="0" w:line="37"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o Regulation S Global Note (CUSIP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260" w:space="460"/>
            <w:col w:w="5700"/>
          </w:cols>
          <w:pgMar w:left="240" w:top="125" w:right="239" w:bottom="0" w:gutter="0" w:footer="0" w:header="0"/>
          <w:type w:val="continuous"/>
        </w:sectPr>
      </w:pPr>
    </w:p>
    <w:p>
      <w:pPr>
        <w:spacing w:after="0" w:line="48"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o IAI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11" w:lineRule="exact"/>
        <w:rPr>
          <w:sz w:val="20"/>
          <w:szCs w:val="20"/>
          <w:color w:val="auto"/>
        </w:rPr>
      </w:pPr>
    </w:p>
    <w:p>
      <w:pPr>
        <w:sectPr>
          <w:pgSz w:w="11900" w:h="16838" w:orient="portrait"/>
          <w:cols w:equalWidth="0" w:num="2">
            <w:col w:w="4580" w:space="460"/>
            <w:col w:w="6380"/>
          </w:cols>
          <w:pgMar w:left="240" w:top="125" w:right="239" w:bottom="0" w:gutter="0" w:footer="0" w:header="0"/>
          <w:type w:val="continuous"/>
        </w:sectPr>
      </w:pPr>
    </w:p>
    <w:p>
      <w:pPr>
        <w:spacing w:after="0" w:line="37" w:lineRule="exact"/>
        <w:rPr>
          <w:sz w:val="20"/>
          <w:szCs w:val="20"/>
          <w:color w:val="auto"/>
        </w:rPr>
      </w:pPr>
    </w:p>
    <w:p>
      <w:pPr>
        <w:ind w:left="2000" w:hanging="294"/>
        <w:spacing w:after="0"/>
        <w:tabs>
          <w:tab w:leader="none" w:pos="20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 a Restricted Definitive Note.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w w:val="95"/>
              </w:rPr>
              <w:t>[CHECK ONE]</w:t>
            </w:r>
          </w:p>
        </w:tc>
      </w:tr>
      <w:tr>
        <w:trPr>
          <w:trHeight w:val="432"/>
        </w:trPr>
        <w:tc>
          <w:tcPr>
            <w:tcW w:w="3180" w:type="dxa"/>
            <w:vAlign w:val="bottom"/>
            <w:gridSpan w:val="3"/>
          </w:tcPr>
          <w:p>
            <w:pPr>
              <w:spacing w:after="0"/>
              <w:rPr>
                <w:sz w:val="20"/>
                <w:szCs w:val="20"/>
                <w:color w:val="auto"/>
              </w:rPr>
            </w:pPr>
            <w:r>
              <w:rPr>
                <w:rFonts w:ascii="Arial" w:cs="Arial" w:eastAsia="Arial" w:hAnsi="Arial"/>
                <w:sz w:val="18"/>
                <w:szCs w:val="18"/>
                <w:color w:val="auto"/>
              </w:rPr>
              <w:t>(a) o a beneficial interest in the: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o 144A Global Note (CUSIP</w:t>
            </w:r>
          </w:p>
        </w:tc>
        <w:tc>
          <w:tcPr>
            <w:tcW w:w="700" w:type="dxa"/>
            <w:vAlign w:val="bottom"/>
          </w:tcPr>
          <w:p>
            <w:pPr>
              <w:ind w:left="300"/>
              <w:spacing w:after="0"/>
              <w:rPr>
                <w:sz w:val="20"/>
                <w:szCs w:val="20"/>
                <w:color w:val="auto"/>
              </w:rPr>
            </w:pPr>
            <w:r>
              <w:rPr>
                <w:rFonts w:ascii="Arial" w:cs="Arial" w:eastAsia="Arial" w:hAnsi="Arial"/>
                <w:sz w:val="18"/>
                <w:szCs w:val="18"/>
                <w:color w:val="auto"/>
              </w:rPr>
              <w:t>), or</w:t>
            </w:r>
          </w:p>
        </w:tc>
        <w:tc>
          <w:tcPr>
            <w:tcW w:w="700" w:type="dxa"/>
            <w:vAlign w:val="bottom"/>
          </w:tcPr>
          <w:p>
            <w:pPr>
              <w:spacing w:after="0"/>
              <w:rPr>
                <w:sz w:val="24"/>
                <w:szCs w:val="24"/>
                <w:color w:val="auto"/>
              </w:rPr>
            </w:pP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(ii)</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o</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Regulation S Global Note (CUSIP</w:t>
            </w:r>
          </w:p>
        </w:tc>
        <w:tc>
          <w:tcPr>
            <w:tcW w:w="700" w:type="dxa"/>
            <w:vAlign w:val="bottom"/>
          </w:tcPr>
          <w:p>
            <w:pPr>
              <w:ind w:left="140"/>
              <w:spacing w:after="0"/>
              <w:rPr>
                <w:sz w:val="20"/>
                <w:szCs w:val="20"/>
                <w:color w:val="auto"/>
              </w:rPr>
            </w:pPr>
            <w:r>
              <w:rPr>
                <w:rFonts w:ascii="Arial" w:cs="Arial" w:eastAsia="Arial" w:hAnsi="Arial"/>
                <w:sz w:val="18"/>
                <w:szCs w:val="18"/>
                <w:color w:val="auto"/>
              </w:rPr>
              <w:t>), or</w:t>
            </w: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(iii)</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o</w:t>
            </w:r>
          </w:p>
        </w:tc>
        <w:tc>
          <w:tcPr>
            <w:tcW w:w="2140" w:type="dxa"/>
            <w:vAlign w:val="bottom"/>
          </w:tcPr>
          <w:p>
            <w:pPr>
              <w:ind w:left="60"/>
              <w:spacing w:after="0"/>
              <w:rPr>
                <w:sz w:val="20"/>
                <w:szCs w:val="20"/>
                <w:color w:val="auto"/>
              </w:rPr>
            </w:pPr>
            <w:r>
              <w:rPr>
                <w:rFonts w:ascii="Arial" w:cs="Arial" w:eastAsia="Arial" w:hAnsi="Arial"/>
                <w:sz w:val="18"/>
                <w:szCs w:val="18"/>
                <w:color w:val="auto"/>
              </w:rPr>
              <w:t>IAI Global Note (CUSIP</w:t>
            </w:r>
          </w:p>
        </w:tc>
        <w:tc>
          <w:tcPr>
            <w:tcW w:w="700" w:type="dxa"/>
            <w:vAlign w:val="bottom"/>
          </w:tcPr>
          <w:p>
            <w:pPr>
              <w:ind w:left="160"/>
              <w:spacing w:after="0"/>
              <w:rPr>
                <w:sz w:val="20"/>
                <w:szCs w:val="20"/>
                <w:color w:val="auto"/>
              </w:rPr>
            </w:pPr>
            <w:r>
              <w:rPr>
                <w:rFonts w:ascii="Arial" w:cs="Arial" w:eastAsia="Arial" w:hAnsi="Arial"/>
                <w:sz w:val="18"/>
                <w:szCs w:val="18"/>
                <w:color w:val="auto"/>
              </w:rPr>
              <w:t>); or</w:t>
            </w:r>
          </w:p>
        </w:tc>
        <w:tc>
          <w:tcPr>
            <w:tcW w:w="700" w:type="dxa"/>
            <w:vAlign w:val="bottom"/>
          </w:tcPr>
          <w:p>
            <w:pPr>
              <w:spacing w:after="0"/>
              <w:rPr>
                <w:sz w:val="24"/>
                <w:szCs w:val="24"/>
                <w:color w:val="auto"/>
              </w:rPr>
            </w:pPr>
          </w:p>
        </w:tc>
      </w:tr>
      <w:tr>
        <w:trPr>
          <w:trHeight w:val="432"/>
        </w:trPr>
        <w:tc>
          <w:tcPr>
            <w:tcW w:w="760" w:type="dxa"/>
            <w:vAlign w:val="bottom"/>
          </w:tcPr>
          <w:p>
            <w:pPr>
              <w:ind w:left="340"/>
              <w:spacing w:after="0"/>
              <w:rPr>
                <w:sz w:val="20"/>
                <w:szCs w:val="20"/>
                <w:color w:val="auto"/>
              </w:rPr>
            </w:pPr>
            <w:r>
              <w:rPr>
                <w:rFonts w:ascii="Arial" w:cs="Arial" w:eastAsia="Arial" w:hAnsi="Arial"/>
                <w:sz w:val="18"/>
                <w:szCs w:val="18"/>
                <w:color w:val="auto"/>
              </w:rPr>
              <w:t>(iv)</w:t>
            </w:r>
          </w:p>
        </w:tc>
        <w:tc>
          <w:tcPr>
            <w:tcW w:w="280" w:type="dxa"/>
            <w:vAlign w:val="bottom"/>
          </w:tcPr>
          <w:p>
            <w:pPr>
              <w:ind w:left="140"/>
              <w:spacing w:after="0"/>
              <w:rPr>
                <w:sz w:val="20"/>
                <w:szCs w:val="20"/>
                <w:color w:val="auto"/>
              </w:rPr>
            </w:pPr>
            <w:r>
              <w:rPr>
                <w:rFonts w:ascii="Arial" w:cs="Arial" w:eastAsia="Arial" w:hAnsi="Arial"/>
                <w:sz w:val="18"/>
                <w:szCs w:val="18"/>
                <w:color w:val="auto"/>
              </w:rPr>
              <w:t>o</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Unrestricted Global Note (CUSIP</w:t>
            </w:r>
          </w:p>
        </w:tc>
        <w:tc>
          <w:tcPr>
            <w:tcW w:w="700" w:type="dxa"/>
            <w:vAlign w:val="bottom"/>
          </w:tcPr>
          <w:p>
            <w:pPr>
              <w:ind w:left="80"/>
              <w:spacing w:after="0"/>
              <w:rPr>
                <w:sz w:val="20"/>
                <w:szCs w:val="20"/>
                <w:color w:val="auto"/>
              </w:rPr>
            </w:pPr>
            <w:r>
              <w:rPr>
                <w:rFonts w:ascii="Arial" w:cs="Arial" w:eastAsia="Arial" w:hAnsi="Arial"/>
                <w:sz w:val="18"/>
                <w:szCs w:val="18"/>
                <w:color w:val="auto"/>
              </w:rPr>
              <w:t>); or</w:t>
            </w:r>
          </w:p>
        </w:tc>
      </w:tr>
    </w:tbl>
    <w:p>
      <w:pPr>
        <w:spacing w:after="0" w:line="202" w:lineRule="exact"/>
        <w:rPr>
          <w:sz w:val="20"/>
          <w:szCs w:val="20"/>
          <w:color w:val="auto"/>
        </w:rPr>
      </w:pPr>
    </w:p>
    <w:p>
      <w:pPr>
        <w:ind w:left="2000" w:hanging="294"/>
        <w:spacing w:after="0"/>
        <w:tabs>
          <w:tab w:leader="none" w:pos="2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 a Restricted Definitive Note; or</w:t>
      </w:r>
    </w:p>
    <w:p>
      <w:pPr>
        <w:spacing w:after="0" w:line="225" w:lineRule="exact"/>
        <w:rPr>
          <w:rFonts w:ascii="Arial" w:cs="Arial" w:eastAsia="Arial" w:hAnsi="Arial"/>
          <w:sz w:val="18"/>
          <w:szCs w:val="18"/>
          <w:color w:val="auto"/>
        </w:rPr>
      </w:pPr>
    </w:p>
    <w:p>
      <w:pPr>
        <w:ind w:left="2000" w:hanging="294"/>
        <w:spacing w:after="0"/>
        <w:tabs>
          <w:tab w:leader="none" w:pos="2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 an Unrestricted Definitive Note,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in accordance with the terms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5.750% Senior Notes due 2025</w:t>
      </w:r>
    </w:p>
    <w:p>
      <w:pPr>
        <w:sectPr>
          <w:pgSz w:w="11900" w:h="16838" w:orient="portrait"/>
          <w:cols w:equalWidth="0" w:num="1">
            <w:col w:w="11420"/>
          </w:cols>
          <w:pgMar w:left="240" w:top="125" w:right="239" w:bottom="0" w:gutter="0" w:footer="0" w:header="0"/>
          <w:type w:val="continuous"/>
        </w:sectPr>
      </w:pPr>
    </w:p>
    <w:bookmarkStart w:id="55" w:name="page56"/>
    <w:bookmarkEnd w:id="55"/>
    <w:p>
      <w:pPr>
        <w:ind w:left="5120"/>
        <w:spacing w:after="0"/>
        <w:tabs>
          <w:tab w:leader="none" w:pos="618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Reference is hereby made to the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46" w:lineRule="exact"/>
        <w:rPr>
          <w:sz w:val="20"/>
          <w:szCs w:val="20"/>
          <w:color w:val="auto"/>
        </w:rPr>
      </w:pPr>
    </w:p>
    <w:p>
      <w:pPr>
        <w:ind w:left="680" w:hanging="672"/>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6" w:lineRule="exact"/>
        <w:rPr>
          <w:rFonts w:ascii="Arial" w:cs="Arial" w:eastAsia="Arial" w:hAnsi="Arial"/>
          <w:sz w:val="18"/>
          <w:szCs w:val="18"/>
          <w:color w:val="auto"/>
        </w:rPr>
      </w:pPr>
    </w:p>
    <w:p>
      <w:pPr>
        <w:ind w:right="420" w:firstLine="656"/>
        <w:spacing w:after="0" w:line="282" w:lineRule="auto"/>
        <w:tabs>
          <w:tab w:leader="none" w:pos="1296" w:val="left"/>
        </w:tabs>
        <w:numPr>
          <w:ilvl w:val="1"/>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ind w:right="120" w:firstLine="656"/>
        <w:spacing w:after="0" w:line="273" w:lineRule="auto"/>
        <w:tabs>
          <w:tab w:leader="none" w:pos="93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beneficial interest in a Restricted Global Note to beneficial interest in an Unrestricted Global Note</w:t>
      </w:r>
      <w:r>
        <w:rPr>
          <w:rFonts w:ascii="Arial" w:cs="Arial" w:eastAsia="Arial" w:hAnsi="Arial"/>
          <w:sz w:val="17"/>
          <w:szCs w:val="17"/>
          <w:color w:val="auto"/>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2" w:lineRule="exact"/>
        <w:rPr>
          <w:rFonts w:ascii="Arial" w:cs="Arial" w:eastAsia="Arial" w:hAnsi="Arial"/>
          <w:sz w:val="17"/>
          <w:szCs w:val="17"/>
          <w:color w:val="auto"/>
        </w:rPr>
      </w:pPr>
    </w:p>
    <w:p>
      <w:pPr>
        <w:ind w:firstLine="656"/>
        <w:spacing w:after="0" w:line="256" w:lineRule="auto"/>
        <w:tabs>
          <w:tab w:leader="none" w:pos="9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Exchange is from beneficial interest in a Restricted Global Note to Unrestricted Definitive Note</w:t>
      </w:r>
      <w:r>
        <w:rPr>
          <w:rFonts w:ascii="Arial" w:cs="Arial" w:eastAsia="Arial" w:hAnsi="Arial"/>
          <w:sz w:val="18"/>
          <w:szCs w:val="18"/>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56"/>
        <w:spacing w:after="0" w:line="274" w:lineRule="auto"/>
        <w:tabs>
          <w:tab w:leader="none" w:pos="93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Restricted Definitive Note to beneficial interest in an Unrestricted Global Note</w:t>
      </w:r>
      <w:r>
        <w:rPr>
          <w:rFonts w:ascii="Arial" w:cs="Arial" w:eastAsia="Arial" w:hAnsi="Arial"/>
          <w:sz w:val="17"/>
          <w:szCs w:val="17"/>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right="80" w:firstLine="656"/>
        <w:spacing w:after="0" w:line="256" w:lineRule="auto"/>
        <w:tabs>
          <w:tab w:leader="none" w:pos="9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Exchange is from Restricted Definitive Note to Unrestricted Definitive Note</w:t>
      </w:r>
      <w:r>
        <w:rPr>
          <w:rFonts w:ascii="Arial" w:cs="Arial" w:eastAsia="Arial" w:hAnsi="Arial"/>
          <w:sz w:val="18"/>
          <w:szCs w:val="18"/>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88" w:lineRule="exact"/>
        <w:rPr>
          <w:sz w:val="20"/>
          <w:szCs w:val="20"/>
          <w:color w:val="auto"/>
        </w:rPr>
      </w:pPr>
    </w:p>
    <w:p>
      <w:pPr>
        <w:ind w:right="680" w:firstLine="656"/>
        <w:spacing w:after="0" w:line="282" w:lineRule="auto"/>
        <w:tabs>
          <w:tab w:leader="none" w:pos="1296"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2" w:lineRule="exact"/>
        <w:rPr>
          <w:sz w:val="20"/>
          <w:szCs w:val="20"/>
          <w:color w:val="auto"/>
        </w:rPr>
      </w:pPr>
    </w:p>
    <w:p>
      <w:pPr>
        <w:ind w:firstLine="656"/>
        <w:spacing w:after="0" w:line="277" w:lineRule="auto"/>
        <w:tabs>
          <w:tab w:leader="none" w:pos="93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beneficial interest in a Restricted Global Note to Restricted Definitive Note.</w:t>
      </w:r>
      <w:r>
        <w:rPr>
          <w:rFonts w:ascii="Arial" w:cs="Arial" w:eastAsia="Arial" w:hAnsi="Arial"/>
          <w:sz w:val="17"/>
          <w:szCs w:val="17"/>
          <w:color w:val="auto"/>
        </w:rPr>
        <w:t xml:space="preserv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8" w:lineRule="exact"/>
        <w:rPr>
          <w:rFonts w:ascii="Arial" w:cs="Arial" w:eastAsia="Arial" w:hAnsi="Arial"/>
          <w:sz w:val="17"/>
          <w:szCs w:val="17"/>
          <w:color w:val="auto"/>
        </w:rPr>
      </w:pPr>
    </w:p>
    <w:p>
      <w:pPr>
        <w:ind w:right="20" w:firstLine="656"/>
        <w:spacing w:after="0" w:line="273" w:lineRule="auto"/>
        <w:tabs>
          <w:tab w:leader="none" w:pos="94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Restricted Definitive Note to beneficial interest in a Restricted Global Note</w:t>
      </w:r>
      <w:r>
        <w:rPr>
          <w:rFonts w:ascii="Arial" w:cs="Arial" w:eastAsia="Arial" w:hAnsi="Arial"/>
          <w:sz w:val="17"/>
          <w:szCs w:val="17"/>
          <w:color w:val="auto"/>
        </w:rPr>
        <w:t>. In connection with the Exchange of the Owner’s Restricted Definitive Note for a beneficial interest in the [CHECK ONE] o 144A Global Note, o Regulation S Global Note, o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341"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299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5.750% Senior Notes due 2025</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Reference is hereby made to the Indenture, dated as of October 1, 2018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1" w:lineRule="exact"/>
        <w:rPr>
          <w:sz w:val="20"/>
          <w:szCs w:val="20"/>
          <w:color w:val="auto"/>
        </w:rPr>
      </w:pPr>
    </w:p>
    <w:p>
      <w:pPr>
        <w:ind w:left="660"/>
        <w:spacing w:after="0"/>
        <w:tabs>
          <w:tab w:leader="none" w:pos="458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225" w:lineRule="exact"/>
        <w:rPr>
          <w:sz w:val="20"/>
          <w:szCs w:val="20"/>
          <w:color w:val="auto"/>
        </w:rPr>
      </w:pPr>
    </w:p>
    <w:p>
      <w:pPr>
        <w:ind w:left="940" w:hanging="284"/>
        <w:spacing w:after="0"/>
        <w:tabs>
          <w:tab w:leader="none" w:pos="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 a beneficial interest in a Global Note, or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 a Definitive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right="80" w:firstLine="656"/>
        <w:spacing w:after="0" w:line="286" w:lineRule="auto"/>
        <w:tabs>
          <w:tab w:leader="none" w:pos="1296"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20" w:firstLine="656"/>
        <w:spacing w:after="0" w:line="284" w:lineRule="auto"/>
        <w:tabs>
          <w:tab w:leader="none" w:pos="129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w:t>
      </w:r>
    </w:p>
    <w:p>
      <w:pPr>
        <w:spacing w:after="0" w:line="1" w:lineRule="exact"/>
        <w:rPr>
          <w:rFonts w:ascii="Arial" w:cs="Arial" w:eastAsia="Arial" w:hAnsi="Arial"/>
          <w:sz w:val="16"/>
          <w:szCs w:val="16"/>
          <w:color w:val="auto"/>
        </w:rPr>
      </w:pPr>
    </w:p>
    <w:p>
      <w:pPr>
        <w:ind w:right="240" w:firstLine="8"/>
        <w:spacing w:after="0" w:line="255" w:lineRule="auto"/>
        <w:tabs>
          <w:tab w:leader="none" w:pos="26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60" w:firstLine="656"/>
        <w:spacing w:after="0" w:line="312" w:lineRule="auto"/>
        <w:tabs>
          <w:tab w:leader="none" w:pos="129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46" w:lineRule="exact"/>
        <w:rPr>
          <w:rFonts w:ascii="Arial" w:cs="Arial" w:eastAsia="Arial" w:hAnsi="Arial"/>
          <w:sz w:val="16"/>
          <w:szCs w:val="16"/>
          <w:color w:val="auto"/>
        </w:rPr>
      </w:pPr>
    </w:p>
    <w:p>
      <w:pPr>
        <w:ind w:firstLine="656"/>
        <w:spacing w:after="0" w:line="264"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1" w:lineRule="exact"/>
        <w:rPr>
          <w:rFonts w:ascii="Arial" w:cs="Arial" w:eastAsia="Arial" w:hAnsi="Arial"/>
          <w:sz w:val="18"/>
          <w:szCs w:val="18"/>
          <w:color w:val="auto"/>
        </w:rPr>
      </w:pPr>
    </w:p>
    <w:p>
      <w:pPr>
        <w:ind w:right="60" w:firstLine="656"/>
        <w:spacing w:after="0" w:line="277"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40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7" w:name="page58"/>
    <w:bookmarkEnd w:id="57"/>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216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 among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Clearway Energy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right="20" w:firstLine="656"/>
        <w:spacing w:after="0" w:line="257"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80" w:firstLine="656"/>
        <w:spacing w:after="0" w:line="264"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460" w:firstLine="656"/>
        <w:spacing w:after="0" w:line="264"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420"/>
          </w:cols>
          <w:pgMar w:left="240" w:top="125" w:right="239" w:bottom="0" w:gutter="0" w:footer="0" w:header="0"/>
        </w:sectPr>
      </w:pPr>
    </w:p>
    <w:bookmarkStart w:id="58" w:name="page59"/>
    <w:bookmarkEnd w:id="58"/>
    <w:p>
      <w:pPr>
        <w:spacing w:after="0"/>
        <w:tabs>
          <w:tab w:leader="none" w:pos="1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CLEARWAY ENERGY OPERATING LLC</w:t>
      </w:r>
    </w:p>
    <w:p>
      <w:pPr>
        <w:spacing w:after="0" w:line="23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-130810</wp:posOffset>
            </wp:positionV>
            <wp:extent cx="32670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$600,000,000 5.750% Senior Notes Due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October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Clearway Energy Operating LLC, a limited liability company organized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sell to the several parties in Schedule I hereto (each, an “</w:t>
      </w:r>
      <w:r>
        <w:rPr>
          <w:rFonts w:ascii="Arial" w:cs="Arial" w:eastAsia="Arial" w:hAnsi="Arial"/>
          <w:sz w:val="18"/>
          <w:szCs w:val="18"/>
          <w:b w:val="1"/>
          <w:bCs w:val="1"/>
          <w:color w:val="auto"/>
        </w:rPr>
        <w:t>Initial 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Initial Purchasers</w:t>
      </w:r>
      <w:r>
        <w:rPr>
          <w:rFonts w:ascii="Arial" w:cs="Arial" w:eastAsia="Arial" w:hAnsi="Arial"/>
          <w:sz w:val="18"/>
          <w:szCs w:val="18"/>
          <w:color w:val="auto"/>
        </w:rPr>
        <w:t>”) for whom you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w:t>
      </w:r>
      <w:r>
        <w:rPr>
          <w:rFonts w:ascii="Arial" w:cs="Arial" w:eastAsia="Arial" w:hAnsi="Arial"/>
          <w:sz w:val="16"/>
          <w:szCs w:val="16"/>
          <w:color w:val="auto"/>
        </w:rPr>
        <w:t>”) are acting as representative, $600,000,000 principal amount of its 5.750% Senior Notes due 2025 (the “</w:t>
      </w:r>
      <w:r>
        <w:rPr>
          <w:rFonts w:ascii="Arial" w:cs="Arial" w:eastAsia="Arial" w:hAnsi="Arial"/>
          <w:sz w:val="16"/>
          <w:szCs w:val="16"/>
          <w:b w:val="1"/>
          <w:bCs w:val="1"/>
          <w:color w:val="auto"/>
        </w:rPr>
        <w:t>Notes</w:t>
      </w:r>
      <w:r>
        <w:rPr>
          <w:rFonts w:ascii="Arial" w:cs="Arial" w:eastAsia="Arial" w:hAnsi="Arial"/>
          <w:sz w:val="16"/>
          <w:szCs w:val="16"/>
          <w:color w:val="auto"/>
        </w:rPr>
        <w:t>”), upon the terms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as of September 17, 2018, among the Representative, the Company, Clearway Energy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Clearway LLC</w:t>
      </w:r>
      <w:r>
        <w:rPr>
          <w:rFonts w:ascii="Arial" w:cs="Arial" w:eastAsia="Arial" w:hAnsi="Arial"/>
          <w:sz w:val="17"/>
          <w:szCs w:val="17"/>
          <w:color w:val="auto"/>
        </w:rPr>
        <w:t>”) and the other guarantors listed on the signature pages thereto (the “</w:t>
      </w:r>
      <w:r>
        <w:rPr>
          <w:rFonts w:ascii="Arial" w:cs="Arial" w:eastAsia="Arial" w:hAnsi="Arial"/>
          <w:sz w:val="17"/>
          <w:szCs w:val="17"/>
          <w:b w:val="1"/>
          <w:bCs w:val="1"/>
          <w:color w:val="auto"/>
        </w:rPr>
        <w:t>Subsidiary Guarantors</w:t>
      </w:r>
      <w:r>
        <w:rPr>
          <w:rFonts w:ascii="Arial" w:cs="Arial" w:eastAsia="Arial" w:hAnsi="Arial"/>
          <w:sz w:val="17"/>
          <w:szCs w:val="17"/>
          <w:color w:val="auto"/>
        </w:rPr>
        <w:t>” and together with the Company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Clearway LLC, the “</w:t>
      </w:r>
      <w:r>
        <w:rPr>
          <w:rFonts w:ascii="Arial" w:cs="Arial" w:eastAsia="Arial" w:hAnsi="Arial"/>
          <w:sz w:val="16"/>
          <w:szCs w:val="16"/>
          <w:b w:val="1"/>
          <w:bCs w:val="1"/>
          <w:color w:val="auto"/>
        </w:rPr>
        <w:t>Issuers</w:t>
      </w:r>
      <w:r>
        <w:rPr>
          <w:rFonts w:ascii="Arial" w:cs="Arial" w:eastAsia="Arial" w:hAnsi="Arial"/>
          <w:sz w:val="16"/>
          <w:szCs w:val="16"/>
          <w:color w:val="auto"/>
        </w:rPr>
        <w:t>”) relating to the initial placement of the Notes (the “</w:t>
      </w:r>
      <w:r>
        <w:rPr>
          <w:rFonts w:ascii="Arial" w:cs="Arial" w:eastAsia="Arial" w:hAnsi="Arial"/>
          <w:sz w:val="16"/>
          <w:szCs w:val="16"/>
          <w:b w:val="1"/>
          <w:bCs w:val="1"/>
          <w:color w:val="auto"/>
        </w:rPr>
        <w:t>Initial Placement</w:t>
      </w:r>
      <w:r>
        <w:rPr>
          <w:rFonts w:ascii="Arial" w:cs="Arial" w:eastAsia="Arial" w:hAnsi="Arial"/>
          <w:sz w:val="16"/>
          <w:szCs w:val="16"/>
          <w:color w:val="auto"/>
        </w:rPr>
        <w:t>”). The Company’s obligations under the Notes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defined below) will be jointly and severally, unconditionally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 senior basis, by Clearway LLC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Guarantors. The Notes and the Guarantees are herein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issued under an indenture, dated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hereof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Clearway LLC, the Subsidiary Guarantors and Delaware Trust Company,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induce the Representative to enter into the Purchase Agreement and to satisfy a condition of your obligations thereunder, the Issuers agree with you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your benefit and the benefit of the holders from time to time of the Securities and Exchange Notes (including the Initial Purchasers) (each a “</w:t>
      </w:r>
      <w:r>
        <w:rPr>
          <w:rFonts w:ascii="Arial" w:cs="Arial" w:eastAsia="Arial" w:hAnsi="Arial"/>
          <w:sz w:val="16"/>
          <w:szCs w:val="16"/>
          <w:b w:val="1"/>
          <w:bCs w:val="1"/>
          <w:color w:val="auto"/>
        </w:rPr>
        <w:t>Holder</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Holders</w:t>
      </w:r>
      <w:r>
        <w:rPr>
          <w:rFonts w:ascii="Arial" w:cs="Arial" w:eastAsia="Arial" w:hAnsi="Arial"/>
          <w:sz w:val="18"/>
          <w:szCs w:val="18"/>
          <w:color w:val="auto"/>
        </w:rPr>
        <w:t>”), as follows:</w:t>
      </w:r>
    </w:p>
    <w:p>
      <w:pPr>
        <w:spacing w:after="0" w:line="211" w:lineRule="exact"/>
        <w:rPr>
          <w:sz w:val="20"/>
          <w:szCs w:val="20"/>
          <w:color w:val="auto"/>
        </w:rPr>
      </w:pPr>
    </w:p>
    <w:p>
      <w:pPr>
        <w:ind w:right="940" w:firstLine="1305"/>
        <w:spacing w:after="0" w:line="277" w:lineRule="auto"/>
        <w:tabs>
          <w:tab w:leader="none" w:pos="16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their respective meanings set forth in the Purchase Agreement. As used in this Agreement, the following capitalized defined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specified in Rule 405 under the Act and the terms “controlling” and “controlled” shall have meanings correlative thereto.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Broker-Dealer</w:t>
      </w:r>
      <w:r>
        <w:rPr>
          <w:rFonts w:ascii="Arial" w:cs="Arial" w:eastAsia="Arial" w:hAnsi="Arial"/>
          <w:sz w:val="18"/>
          <w:szCs w:val="18"/>
          <w:color w:val="auto"/>
        </w:rPr>
        <w:t>” shall mean any broker or dealer registered as such under the Exchange Act.</w:t>
      </w:r>
    </w:p>
    <w:p>
      <w:pPr>
        <w:spacing w:after="0" w:line="225"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the first issuance of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Period</w:t>
      </w:r>
      <w:r>
        <w:rPr>
          <w:rFonts w:ascii="Arial" w:cs="Arial" w:eastAsia="Arial" w:hAnsi="Arial"/>
          <w:sz w:val="18"/>
          <w:szCs w:val="18"/>
          <w:color w:val="auto"/>
        </w:rPr>
        <w:t>” shall have the meaning indicated in Section 4(l) hereof.</w:t>
      </w:r>
    </w:p>
    <w:p>
      <w:pPr>
        <w:spacing w:after="0" w:line="225" w:lineRule="exact"/>
        <w:rPr>
          <w:sz w:val="20"/>
          <w:szCs w:val="20"/>
          <w:color w:val="auto"/>
        </w:rPr>
      </w:pPr>
    </w:p>
    <w:p>
      <w:pPr>
        <w:ind w:right="8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Exchanging Dealer</w:t>
      </w:r>
      <w:r>
        <w:rPr>
          <w:rFonts w:ascii="Arial" w:cs="Arial" w:eastAsia="Arial" w:hAnsi="Arial"/>
          <w:sz w:val="18"/>
          <w:szCs w:val="18"/>
          <w:color w:val="auto"/>
        </w:rPr>
        <w:t>” shall mean any Holder (which may include any Initial Purchaser) that is a Broker-Dealer and elects to exchange for Exchange Notes any Securities that it acquired for its own account as a result of market-making activities or other trading activities (but not directly from any Issuer or any Affiliate of any Issuer) for Exchange Notes.</w:t>
      </w:r>
    </w:p>
    <w:p>
      <w:pPr>
        <w:spacing w:after="0" w:line="176"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w:t>
      </w:r>
      <w:r>
        <w:rPr>
          <w:rFonts w:ascii="Arial" w:cs="Arial" w:eastAsia="Arial" w:hAnsi="Arial"/>
          <w:sz w:val="18"/>
          <w:szCs w:val="18"/>
          <w:color w:val="auto"/>
        </w:rPr>
        <w:t>” shall mean debt securities of the Issuers identical in all material respects to the Securities (except that the transfer restrictions shall be modified or eliminated, as appropriate) to be issued under the Exchange Notes Indenture.</w:t>
      </w:r>
    </w:p>
    <w:p>
      <w:pPr>
        <w:spacing w:after="0" w:line="162"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Indenture</w:t>
      </w:r>
      <w:r>
        <w:rPr>
          <w:rFonts w:ascii="Arial" w:cs="Arial" w:eastAsia="Arial" w:hAnsi="Arial"/>
          <w:sz w:val="18"/>
          <w:szCs w:val="18"/>
          <w:color w:val="auto"/>
        </w:rPr>
        <w:t>” shall mean an indenture among the Issuers and the Exchange Notes Trustee, identical in all material respects to the Indenture (except that the transfer restrictions shall be modified or eliminated, as appropriate), which may be the Indenture if in the terms thereof appropriate provision is made for the Exchange Notes.</w:t>
      </w:r>
    </w:p>
    <w:p>
      <w:pPr>
        <w:sectPr>
          <w:pgSz w:w="11900" w:h="16838" w:orient="portrait"/>
          <w:cols w:equalWidth="0" w:num="1">
            <w:col w:w="11420"/>
          </w:cols>
          <w:pgMar w:left="240" w:top="121" w:right="239" w:bottom="0" w:gutter="0" w:footer="0" w:header="0"/>
        </w:sectPr>
      </w:pPr>
    </w:p>
    <w:bookmarkStart w:id="60" w:name="page61"/>
    <w:bookmarkEnd w:id="60"/>
    <w:p>
      <w:pPr>
        <w:spacing w:after="0" w:line="24"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Trustee</w:t>
      </w:r>
      <w:r>
        <w:rPr>
          <w:rFonts w:ascii="Arial" w:cs="Arial" w:eastAsia="Arial" w:hAnsi="Arial"/>
          <w:sz w:val="18"/>
          <w:szCs w:val="18"/>
          <w:color w:val="auto"/>
        </w:rPr>
        <w:t>” shall mean a bank or trust company reasonably satisfactory to the Representative, as trustee with respect to the Exchange Notes under the Exchange Notes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w:t>
      </w:r>
      <w:r>
        <w:rPr>
          <w:rFonts w:ascii="Arial" w:cs="Arial" w:eastAsia="Arial" w:hAnsi="Arial"/>
          <w:sz w:val="18"/>
          <w:szCs w:val="18"/>
          <w:color w:val="auto"/>
        </w:rPr>
        <w:t>” shall mean the proposed offer of the Issuers to issue and deliver to the Holders of the Securities that are not prohibited by any law or policy of the Commission from participating in such offer, in exchange for the Securities, a like aggregate principal amount of the Exchange Notes.</w:t>
      </w:r>
    </w:p>
    <w:p>
      <w:pPr>
        <w:spacing w:after="0" w:line="176" w:lineRule="exact"/>
        <w:rPr>
          <w:sz w:val="20"/>
          <w:szCs w:val="20"/>
          <w:color w:val="auto"/>
        </w:rPr>
      </w:pPr>
    </w:p>
    <w:p>
      <w:pPr>
        <w:ind w:right="32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Offer Registration Period</w:t>
      </w:r>
      <w:r>
        <w:rPr>
          <w:rFonts w:ascii="Arial" w:cs="Arial" w:eastAsia="Arial" w:hAnsi="Arial"/>
          <w:sz w:val="16"/>
          <w:szCs w:val="16"/>
          <w:color w:val="auto"/>
        </w:rPr>
        <w:t>” shall mean the one-year period following the consummation of the Registered Exchange Offer, exclusive of any period during which any stop order shall be in effect suspending the effectiveness of the Exchange Offer Registration Statement.</w:t>
      </w:r>
    </w:p>
    <w:p>
      <w:pPr>
        <w:spacing w:after="0" w:line="116" w:lineRule="exact"/>
        <w:rPr>
          <w:sz w:val="20"/>
          <w:szCs w:val="20"/>
          <w:color w:val="auto"/>
        </w:rPr>
      </w:pPr>
    </w:p>
    <w:p>
      <w:pPr>
        <w:jc w:val="both"/>
        <w:ind w:right="28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Offer Registration Statement</w:t>
      </w:r>
      <w:r>
        <w:rPr>
          <w:rFonts w:ascii="Arial" w:cs="Arial" w:eastAsia="Arial" w:hAnsi="Arial"/>
          <w:sz w:val="17"/>
          <w:szCs w:val="17"/>
          <w:color w:val="auto"/>
        </w:rPr>
        <w:t>” shall mean a registration statement of the Issuers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Offering Memorandum</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 Rules</w:t>
      </w:r>
      <w:r>
        <w:rPr>
          <w:rFonts w:ascii="Arial" w:cs="Arial" w:eastAsia="Arial" w:hAnsi="Arial"/>
          <w:sz w:val="18"/>
          <w:szCs w:val="18"/>
          <w:color w:val="auto"/>
        </w:rPr>
        <w:t>” shall mean the Conduct Rules and the By-Laws of the Financial Industry Regulatory Authority.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Placement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set forth in Section 6(d) hereof.</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Holders</w:t>
      </w:r>
      <w:r>
        <w:rPr>
          <w:rFonts w:ascii="Arial" w:cs="Arial" w:eastAsia="Arial" w:hAnsi="Arial"/>
          <w:sz w:val="18"/>
          <w:szCs w:val="18"/>
          <w:color w:val="auto"/>
        </w:rPr>
        <w:t>” shall mean, the Holders of a majority of the aggregate principal amount of Securities and Exchange Notes registered under a Registration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Underwriters</w:t>
      </w:r>
      <w:r>
        <w:rPr>
          <w:rFonts w:ascii="Arial" w:cs="Arial" w:eastAsia="Arial" w:hAnsi="Arial"/>
          <w:sz w:val="18"/>
          <w:szCs w:val="18"/>
          <w:color w:val="auto"/>
        </w:rPr>
        <w:t>” shall mean the investment banker or investment bankers and manager or managers that administer an underwritten offering, if any, under a Registration Statement.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9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62"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prospectus included in any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Exchange Notes covered by such Registration Statement, and all amendments and supplements thereto, including any and all exhibits thereto and any information incorporated by reference therein.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0" w:firstLine="133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shall mean each of the Notes (and the related Guarantee) until the earliest to occur of: (A) the date on which such Note (and the related Guarantee) has been exchanged by a Person other than a Broker-Dealer for an Exchange Note in the Exchange Offer; (B) following the exchange by a Broker-Dealer in the Exchange Offer of a Note (and the related Guarantee) for an Exchange Note, the date on which such Exchange Note is sold to a purchaser who receives from such Broker-Dealer on or prior to the date of such sale a copy of the Prospectus contained in the Exchange Offer Registration Statement; (C) the date on which such Note (and the related Guarantee) has been effectively registered under the Act and disposed of in accordance with the Shelf Registration Statement; or (D) the date on which such Note (and the related Guarantee) is actually sold pursuant to Rule 144 under the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Note will not cease to be a Registrable Security for purposes of the Exchange Offer by virtue of this clause (D).</w:t>
      </w:r>
    </w:p>
    <w:p>
      <w:pPr>
        <w:spacing w:after="0" w:line="162" w:lineRule="exact"/>
        <w:rPr>
          <w:sz w:val="20"/>
          <w:szCs w:val="20"/>
          <w:color w:val="auto"/>
        </w:rPr>
      </w:pPr>
    </w:p>
    <w:p>
      <w:pPr>
        <w:jc w:val="both"/>
        <w:ind w:right="26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mean any Exchange Offer Registration Statement or Shelf Registration Statement that covers any of the Securities or the Exchange Notes pursuant to the provisions of this Agreement, any amendments and supplements to such registration statement, including post-effective amendments (in each case including the Prospectus contained therein), all exhibits thereto and all material incorporated by reference therein.</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shall have the meaning set forth in the preamble hereto.</w:t>
      </w:r>
    </w:p>
    <w:p>
      <w:pPr>
        <w:sectPr>
          <w:pgSz w:w="11900" w:h="16862" w:orient="portrait"/>
          <w:cols w:equalWidth="0" w:num="1">
            <w:col w:w="11420"/>
          </w:cols>
          <w:pgMar w:left="240" w:top="121" w:right="239"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62" w:orient="portrait"/>
          <w:cols w:equalWidth="0" w:num="1">
            <w:col w:w="11420"/>
          </w:cols>
          <w:pgMar w:left="240" w:top="121" w:right="239" w:bottom="0" w:gutter="0" w:footer="0" w:header="0"/>
          <w:type w:val="continuous"/>
        </w:sectPr>
      </w:pPr>
    </w:p>
    <w:bookmarkStart w:id="61" w:name="page62"/>
    <w:bookmarkEnd w:id="61"/>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Securities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shall mean a registration effected pursuant to Section 3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Period</w:t>
      </w:r>
      <w:r>
        <w:rPr>
          <w:rFonts w:ascii="Arial" w:cs="Arial" w:eastAsia="Arial" w:hAnsi="Arial"/>
          <w:sz w:val="18"/>
          <w:szCs w:val="18"/>
          <w:color w:val="auto"/>
        </w:rPr>
        <w:t>” shall have the meaning set forth in Section 3(c) hereof.</w:t>
      </w:r>
    </w:p>
    <w:p>
      <w:pPr>
        <w:spacing w:after="0" w:line="225" w:lineRule="exact"/>
        <w:rPr>
          <w:sz w:val="20"/>
          <w:szCs w:val="20"/>
          <w:color w:val="auto"/>
        </w:rPr>
      </w:pPr>
    </w:p>
    <w:p>
      <w:pPr>
        <w:ind w:right="28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shall mean a “shelf” registration statement of the Issuers pursuant to the provisions of Section 3 hereof which covers some or all of the Securities or Exchange Notes,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shall have the meaning set forth in Section 8 hereof.</w:t>
      </w:r>
    </w:p>
    <w:p>
      <w:pPr>
        <w:spacing w:after="0" w:line="225"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w:t>
      </w:r>
      <w:r>
        <w:rPr>
          <w:rFonts w:ascii="Arial" w:cs="Arial" w:eastAsia="Arial" w:hAnsi="Arial"/>
          <w:sz w:val="17"/>
          <w:szCs w:val="17"/>
          <w:color w:val="auto"/>
        </w:rPr>
        <w:t>” shall mean any underwriter of Securities in connection with an offering thereof under a Shelf Registration Statement.</w:t>
      </w:r>
    </w:p>
    <w:p>
      <w:pPr>
        <w:spacing w:after="0" w:line="241" w:lineRule="exact"/>
        <w:rPr>
          <w:sz w:val="20"/>
          <w:szCs w:val="20"/>
          <w:color w:val="auto"/>
        </w:rPr>
      </w:pPr>
    </w:p>
    <w:p>
      <w:pPr>
        <w:ind w:left="1620" w:hanging="315"/>
        <w:spacing w:after="0"/>
        <w:tabs>
          <w:tab w:leader="none" w:pos="16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Exchange Offer</w:t>
      </w:r>
      <w:r>
        <w:rPr>
          <w:rFonts w:ascii="Arial" w:cs="Arial" w:eastAsia="Arial" w:hAnsi="Arial"/>
          <w:sz w:val="18"/>
          <w:szCs w:val="18"/>
          <w:color w:val="auto"/>
        </w:rPr>
        <w:t>.</w:t>
      </w:r>
    </w:p>
    <w:p>
      <w:pPr>
        <w:spacing w:after="0" w:line="225" w:lineRule="exact"/>
        <w:rPr>
          <w:sz w:val="20"/>
          <w:szCs w:val="20"/>
          <w:color w:val="auto"/>
        </w:rPr>
      </w:pPr>
    </w:p>
    <w:p>
      <w:pPr>
        <w:ind w:left="1620" w:hanging="315"/>
        <w:spacing w:after="0"/>
        <w:tabs>
          <w:tab w:leader="none" w:pos="16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Unless the Exchange Offer would not be permitted by applicable law or Commission policy, the Issuers will: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use all commercially reasonable efforts to cause to be filed with the Commission, after the Closing Date, a Registration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Statement; and</w:t>
      </w:r>
    </w:p>
    <w:p>
      <w:pPr>
        <w:spacing w:after="0" w:line="210" w:lineRule="exact"/>
        <w:rPr>
          <w:rFonts w:ascii="Arial" w:cs="Arial" w:eastAsia="Arial" w:hAnsi="Arial"/>
          <w:sz w:val="16"/>
          <w:szCs w:val="16"/>
          <w:color w:val="auto"/>
        </w:rPr>
      </w:pPr>
    </w:p>
    <w:p>
      <w:pPr>
        <w:ind w:left="1300" w:right="260" w:firstLine="653"/>
        <w:spacing w:after="0" w:line="277" w:lineRule="auto"/>
        <w:tabs>
          <w:tab w:leader="none" w:pos="262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use all commercially reasonable efforts to cause such Registration Statement to become effective under the Act within 365 days of the Closing Date.</w:t>
      </w:r>
    </w:p>
    <w:p>
      <w:pPr>
        <w:spacing w:after="0" w:line="170" w:lineRule="exact"/>
        <w:rPr>
          <w:rFonts w:ascii="Arial" w:cs="Arial" w:eastAsia="Arial" w:hAnsi="Arial"/>
          <w:sz w:val="18"/>
          <w:szCs w:val="18"/>
          <w:color w:val="auto"/>
        </w:rPr>
      </w:pPr>
    </w:p>
    <w:p>
      <w:pPr>
        <w:ind w:right="60" w:firstLine="1305"/>
        <w:spacing w:after="0" w:line="277" w:lineRule="auto"/>
        <w:tabs>
          <w:tab w:leader="none" w:pos="16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Upon the effectiveness of the Exchange Offer Registration Statement, unless the Exchange Offer would not be permitted by applicable law or Commission policy, the Issuers shall promptly commence the Exchange Offer.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0" w:hanging="335"/>
        <w:spacing w:after="0"/>
        <w:tabs>
          <w:tab w:leader="none" w:pos="1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connection with the Exchange Offer, the Issuers shall:</w:t>
      </w:r>
    </w:p>
    <w:p>
      <w:pPr>
        <w:spacing w:after="0" w:line="225" w:lineRule="exact"/>
        <w:rPr>
          <w:rFonts w:ascii="Arial" w:cs="Arial" w:eastAsia="Arial" w:hAnsi="Arial"/>
          <w:sz w:val="18"/>
          <w:szCs w:val="18"/>
          <w:color w:val="auto"/>
        </w:rPr>
      </w:pPr>
    </w:p>
    <w:p>
      <w:pPr>
        <w:ind w:left="1300" w:right="220" w:firstLine="653"/>
        <w:spacing w:after="0" w:line="277" w:lineRule="auto"/>
        <w:tabs>
          <w:tab w:leader="none" w:pos="261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distribute to each Holder a copy of the Prospectus forming part of the Exchange Offer Registration Statement, together with an appropriate letter of transmittal and related documents;</w:t>
      </w:r>
    </w:p>
    <w:p>
      <w:pPr>
        <w:spacing w:after="0" w:line="170" w:lineRule="exact"/>
        <w:rPr>
          <w:rFonts w:ascii="Arial" w:cs="Arial" w:eastAsia="Arial" w:hAnsi="Arial"/>
          <w:sz w:val="18"/>
          <w:szCs w:val="18"/>
          <w:color w:val="auto"/>
        </w:rPr>
      </w:pPr>
    </w:p>
    <w:p>
      <w:pPr>
        <w:ind w:left="1300" w:right="400" w:firstLine="653"/>
        <w:spacing w:after="0" w:line="277" w:lineRule="auto"/>
        <w:tabs>
          <w:tab w:leader="none" w:pos="26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keep the Exchange Offer open for not less than 20 Business Days and not more than 30 Business Days after the date notice thereof is mailed to the Holders (or, in each case, longer if required by applicable law);</w:t>
      </w:r>
    </w:p>
    <w:p>
      <w:pPr>
        <w:spacing w:after="0" w:line="170" w:lineRule="exact"/>
        <w:rPr>
          <w:rFonts w:ascii="Arial" w:cs="Arial" w:eastAsia="Arial" w:hAnsi="Arial"/>
          <w:sz w:val="18"/>
          <w:szCs w:val="18"/>
          <w:color w:val="auto"/>
        </w:rPr>
      </w:pPr>
    </w:p>
    <w:p>
      <w:pPr>
        <w:jc w:val="both"/>
        <w:ind w:left="1300" w:right="40" w:firstLine="653"/>
        <w:spacing w:after="0" w:line="264" w:lineRule="auto"/>
        <w:tabs>
          <w:tab w:leader="none" w:pos="26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use their reasonable best efforts to keep the Exchange Offer Registration Statement continuously effective, supplemented and amended as required, under the Act in order to ensure that it is available for sales of Exchange Notes by Exchanging Dealers during the Exchange Offer Registration Period;</w:t>
      </w:r>
    </w:p>
    <w:p>
      <w:pPr>
        <w:spacing w:after="0" w:line="181" w:lineRule="exact"/>
        <w:rPr>
          <w:rFonts w:ascii="Arial" w:cs="Arial" w:eastAsia="Arial" w:hAnsi="Arial"/>
          <w:sz w:val="18"/>
          <w:szCs w:val="18"/>
          <w:color w:val="auto"/>
        </w:rPr>
      </w:pPr>
    </w:p>
    <w:p>
      <w:pPr>
        <w:ind w:left="1300" w:right="360" w:firstLine="653"/>
        <w:spacing w:after="0" w:line="277" w:lineRule="auto"/>
        <w:tabs>
          <w:tab w:leader="none" w:pos="261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utilize the services of a depositary for the Exchange Offer with an address in the Borough of Manhattan in New York City, which may be the Trustee, the Exchange Notes Trustee or an Affiliate of either of them;</w:t>
      </w:r>
    </w:p>
    <w:p>
      <w:pPr>
        <w:spacing w:after="0" w:line="170" w:lineRule="exact"/>
        <w:rPr>
          <w:rFonts w:ascii="Arial" w:cs="Arial" w:eastAsia="Arial" w:hAnsi="Arial"/>
          <w:sz w:val="18"/>
          <w:szCs w:val="18"/>
          <w:color w:val="auto"/>
        </w:rPr>
      </w:pPr>
    </w:p>
    <w:p>
      <w:pPr>
        <w:ind w:left="1300" w:right="400" w:firstLine="653"/>
        <w:spacing w:after="0" w:line="277" w:lineRule="auto"/>
        <w:tabs>
          <w:tab w:leader="none" w:pos="26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Exchange Offer is open;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prior to effectiveness of the Exchange Offer Registration Statement, provide a supplemental letter to the Commission</w:t>
      </w:r>
    </w:p>
    <w:p>
      <w:pPr>
        <w:spacing w:after="0" w:line="34" w:lineRule="exact"/>
        <w:rPr>
          <w:rFonts w:ascii="Arial" w:cs="Arial" w:eastAsia="Arial" w:hAnsi="Arial"/>
          <w:sz w:val="17"/>
          <w:szCs w:val="17"/>
          <w:color w:val="auto"/>
        </w:rPr>
      </w:pPr>
    </w:p>
    <w:p>
      <w:pPr>
        <w:ind w:left="1300"/>
        <w:spacing w:after="0" w:line="252" w:lineRule="auto"/>
        <w:rPr>
          <w:rFonts w:ascii="Arial" w:cs="Arial" w:eastAsia="Arial" w:hAnsi="Arial"/>
          <w:sz w:val="17"/>
          <w:szCs w:val="17"/>
          <w:color w:val="auto"/>
        </w:rPr>
      </w:pPr>
      <w:r>
        <w:rPr>
          <w:rFonts w:ascii="Arial" w:cs="Arial" w:eastAsia="Arial" w:hAnsi="Arial"/>
          <w:sz w:val="18"/>
          <w:szCs w:val="18"/>
          <w:color w:val="auto"/>
        </w:rPr>
        <w:t xml:space="preserve">(A) stating that the Issuers are conducting the Exchange Offer in reliance on the position of the Commission in </w:t>
      </w:r>
      <w:r>
        <w:rPr>
          <w:rFonts w:ascii="Arial" w:cs="Arial" w:eastAsia="Arial" w:hAnsi="Arial"/>
          <w:sz w:val="18"/>
          <w:szCs w:val="18"/>
          <w:i w:val="1"/>
          <w:iCs w:val="1"/>
          <w:u w:val="single" w:color="auto"/>
          <w:color w:val="auto"/>
        </w:rPr>
        <w:t>Exxon Capital Holdings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(pub. avail. May 13, 1988)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Morgan Stanley and Co., Inc</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(pub. avail. June 5, 1991); and (B) including a representation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have not entered into any arrangement or understanding with any Person to distribute the Exchange Notes to be received in the Exchange Offer and that, to the best of the Issuers’ information and belief, each Holder participating in the Exchange Offer is acquiring the Exchange Notes in the ordinary course of business and has no arrangement or understanding with any Person to participate in the distribution of the Exchange Notes; and</w:t>
      </w:r>
    </w:p>
    <w:p>
      <w:pPr>
        <w:spacing w:after="0" w:line="194" w:lineRule="exact"/>
        <w:rPr>
          <w:rFonts w:ascii="Arial" w:cs="Arial" w:eastAsia="Arial" w:hAnsi="Arial"/>
          <w:sz w:val="17"/>
          <w:szCs w:val="17"/>
          <w:color w:val="auto"/>
        </w:rPr>
      </w:pPr>
    </w:p>
    <w:p>
      <w:pPr>
        <w:ind w:left="2620" w:hanging="667"/>
        <w:spacing w:after="0"/>
        <w:tabs>
          <w:tab w:leader="none" w:pos="2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comply in all respects with all applicable 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0" w:hanging="335"/>
        <w:spacing w:after="0"/>
        <w:tabs>
          <w:tab w:leader="none" w:pos="1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soon as practicable after the close of the Exchange Offer, the Issuers shall: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accept for exchange all Securities tendered and not validly withdrawn pursuant to the Exchange Offer;</w:t>
      </w:r>
    </w:p>
    <w:p>
      <w:pPr>
        <w:sectPr>
          <w:pgSz w:w="11900" w:h="16838" w:orient="portrait"/>
          <w:cols w:equalWidth="0" w:num="1">
            <w:col w:w="11400"/>
          </w:cols>
          <w:pgMar w:left="240" w:top="729" w:right="259" w:bottom="0" w:gutter="0" w:footer="0" w:header="0"/>
        </w:sectPr>
      </w:pPr>
    </w:p>
    <w:bookmarkStart w:id="62" w:name="page63"/>
    <w:bookmarkEnd w:id="62"/>
    <w:p>
      <w:pPr>
        <w:ind w:left="2640" w:hanging="687"/>
        <w:spacing w:after="0"/>
        <w:tabs>
          <w:tab w:leader="none" w:pos="264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deliver to the Trustee for cancellation in accordance with Section 4(s) all Securities so accepted for exchange; and</w:t>
      </w:r>
    </w:p>
    <w:p>
      <w:pPr>
        <w:spacing w:after="0" w:line="236" w:lineRule="exact"/>
        <w:rPr>
          <w:rFonts w:ascii="Arial" w:cs="Arial" w:eastAsia="Arial" w:hAnsi="Arial"/>
          <w:sz w:val="17"/>
          <w:szCs w:val="17"/>
          <w:color w:val="auto"/>
        </w:rPr>
      </w:pPr>
    </w:p>
    <w:p>
      <w:pPr>
        <w:ind w:left="1300" w:right="20" w:firstLine="653"/>
        <w:spacing w:after="0" w:line="277" w:lineRule="auto"/>
        <w:tabs>
          <w:tab w:leader="none" w:pos="263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cause the Exchange Notes Trustee promptly to authenticate and deliver to each Holder of Securities a principal amount of Exchange Notes equal to the principal amount of the Securities of such Holder so accepted for exchange.</w:t>
      </w:r>
    </w:p>
    <w:p>
      <w:pPr>
        <w:spacing w:after="0" w:line="170" w:lineRule="exact"/>
        <w:rPr>
          <w:rFonts w:ascii="Arial" w:cs="Arial" w:eastAsia="Arial" w:hAnsi="Arial"/>
          <w:sz w:val="18"/>
          <w:szCs w:val="18"/>
          <w:color w:val="auto"/>
        </w:rPr>
      </w:pPr>
    </w:p>
    <w:p>
      <w:pPr>
        <w:ind w:right="40" w:firstLine="1305"/>
        <w:spacing w:after="0" w:line="290" w:lineRule="auto"/>
        <w:tabs>
          <w:tab w:leader="none" w:pos="163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Each Holder hereby acknowledges and agrees that any Broker-Dealer and any such Holder using the Exchange Offer to participate in a distribution of the Exchange Notes (x) could not under Commission policy as in effect on the date of this Agreement rely on the position of the Commission in </w:t>
      </w:r>
      <w:r>
        <w:rPr>
          <w:rFonts w:ascii="Arial" w:cs="Arial" w:eastAsia="Arial" w:hAnsi="Arial"/>
          <w:sz w:val="16"/>
          <w:szCs w:val="16"/>
          <w:i w:val="1"/>
          <w:iCs w:val="1"/>
          <w:u w:val="single" w:color="auto"/>
          <w:color w:val="auto"/>
        </w:rPr>
        <w:t>Exxon Capital Holdings Corporation</w:t>
      </w:r>
      <w:r>
        <w:rPr>
          <w:rFonts w:ascii="Arial" w:cs="Arial" w:eastAsia="Arial" w:hAnsi="Arial"/>
          <w:sz w:val="16"/>
          <w:szCs w:val="16"/>
          <w:color w:val="auto"/>
        </w:rPr>
        <w:t xml:space="preserve"> (pub. avail. May 13, 1988) and </w:t>
      </w:r>
      <w:r>
        <w:rPr>
          <w:rFonts w:ascii="Arial" w:cs="Arial" w:eastAsia="Arial" w:hAnsi="Arial"/>
          <w:sz w:val="16"/>
          <w:szCs w:val="16"/>
          <w:i w:val="1"/>
          <w:iCs w:val="1"/>
          <w:u w:val="single" w:color="auto"/>
          <w:color w:val="auto"/>
        </w:rPr>
        <w:t>Morgan Stanley and Co., Inc</w:t>
      </w:r>
      <w:r>
        <w:rPr>
          <w:rFonts w:ascii="Arial" w:cs="Arial" w:eastAsia="Arial" w:hAnsi="Arial"/>
          <w:sz w:val="16"/>
          <w:szCs w:val="16"/>
          <w:u w:val="single" w:color="auto"/>
          <w:color w:val="auto"/>
        </w:rPr>
        <w:t>.</w:t>
      </w:r>
      <w:r>
        <w:rPr>
          <w:rFonts w:ascii="Arial" w:cs="Arial" w:eastAsia="Arial" w:hAnsi="Arial"/>
          <w:sz w:val="16"/>
          <w:szCs w:val="16"/>
          <w:color w:val="auto"/>
        </w:rPr>
        <w:t xml:space="preserve"> (pub. avail. June 5, 1991), as interpreted in the Commission’s letter to Shearman &amp; Sterling dated July 2, 1993 and similar no-action letters; and (y) must comply with the registration and prospectus delivery requirements of the Act in connection with any secondary resale transaction, which must be covered by an effective registration statement containing the selling security holder information required by Item 507 or 508, as applicable, of Regulation S-K under the Act if the resales are of Exchange Notes obtained by such Holder in exchange for Securities acquired by such Holder directly from any Issuer or one of its Affiliates. Accordingly, each Holder participating in the Exchange Offer shall be required to represent to the Issuers that, at the time of the consummation of the Exchange Offer:</w:t>
      </w:r>
    </w:p>
    <w:p>
      <w:pPr>
        <w:spacing w:after="0" w:line="166" w:lineRule="exact"/>
        <w:rPr>
          <w:rFonts w:ascii="Arial" w:cs="Arial" w:eastAsia="Arial" w:hAnsi="Arial"/>
          <w:sz w:val="16"/>
          <w:szCs w:val="16"/>
          <w:color w:val="auto"/>
        </w:rPr>
      </w:pPr>
    </w:p>
    <w:p>
      <w:pPr>
        <w:ind w:left="2620" w:hanging="667"/>
        <w:spacing w:after="0"/>
        <w:tabs>
          <w:tab w:leader="none" w:pos="2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Exchange Notes received by such Holder will be acquired in the ordinary course of business;</w:t>
      </w:r>
    </w:p>
    <w:p>
      <w:pPr>
        <w:spacing w:after="0" w:line="225" w:lineRule="exact"/>
        <w:rPr>
          <w:rFonts w:ascii="Arial" w:cs="Arial" w:eastAsia="Arial" w:hAnsi="Arial"/>
          <w:sz w:val="18"/>
          <w:szCs w:val="18"/>
          <w:color w:val="auto"/>
        </w:rPr>
      </w:pPr>
    </w:p>
    <w:p>
      <w:pPr>
        <w:ind w:left="1300" w:right="40" w:firstLine="653"/>
        <w:spacing w:after="0" w:line="277" w:lineRule="auto"/>
        <w:tabs>
          <w:tab w:leader="none" w:pos="262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such Holder will have no arrangement or understanding with any Person to participate in the distribution of the Securities or the Exchange Notes within the meaning of the Act;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such Holder is not an Affiliate of any Issuer.</w:t>
      </w:r>
    </w:p>
    <w:p>
      <w:pPr>
        <w:spacing w:after="0" w:line="225" w:lineRule="exact"/>
        <w:rPr>
          <w:rFonts w:ascii="Arial" w:cs="Arial" w:eastAsia="Arial" w:hAnsi="Arial"/>
          <w:sz w:val="18"/>
          <w:szCs w:val="18"/>
          <w:color w:val="auto"/>
        </w:rPr>
      </w:pPr>
    </w:p>
    <w:p>
      <w:pPr>
        <w:ind w:right="140" w:firstLine="1305"/>
        <w:spacing w:after="0" w:line="264" w:lineRule="auto"/>
        <w:tabs>
          <w:tab w:leader="none" w:pos="16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Initial Purchaser determines that it is not eligible to participate in the Exchange Offer with respect to the exchange of Securities constituting any portion of an unsold allotment, at the request of such Initial Purchaser, the Issuers shall issue and deliver to such Initial Purchaser or the Person purchasing Exchange Notes registered under a Shelf Registration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Statement as contemplated by Section 3 hereof from such Initial Purchaser, in exchange for such Securities, a like principal amount of Exchange Notes. The Issuers shall use their reasonable best efforts to cause the CUSIP Service Bureau to issue the same CUSIP number for such Exchange Notes as for Exchange Notes issued pursuant to the Exchange Offer.</w:t>
      </w:r>
    </w:p>
    <w:p>
      <w:pPr>
        <w:spacing w:after="0" w:line="181" w:lineRule="exact"/>
        <w:rPr>
          <w:sz w:val="20"/>
          <w:szCs w:val="20"/>
          <w:color w:val="auto"/>
        </w:rPr>
      </w:pPr>
    </w:p>
    <w:p>
      <w:pPr>
        <w:ind w:left="1620" w:hanging="315"/>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43" w:lineRule="auto"/>
        <w:tabs>
          <w:tab w:leader="none" w:pos="16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(i) the Issuers are not (A) required to file the Exchange Offer Registration Statement or (B) permitted to consummate the Exchange Offer because the Exchange Offer is not permitted by applicable law or Commission policy or (ii) any Holder of Registrable Securities notifies the Company prior to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following consummation of the Exchange Offer that (A) it is prohibited by law or Commission policy from participating in the Exchange Offer; (B) it may not resell the Exchange Notes acquired by it in the Exchange Offer to the public without delivering a prospectus and the Prospectus contained in the Exchange Offer Registration Statement is not appropriate or available for such resales; or (C) it is a Broker-Dealer and owns Securities acquired directly from the Company or an Affiliate of the Company, the Issuers shall effect a Shelf Registration Statement in accordance with subsection (b) below.</w:t>
      </w:r>
    </w:p>
    <w:p>
      <w:pPr>
        <w:spacing w:after="0" w:line="203" w:lineRule="exact"/>
        <w:rPr>
          <w:rFonts w:ascii="Arial" w:cs="Arial" w:eastAsia="Arial" w:hAnsi="Arial"/>
          <w:sz w:val="18"/>
          <w:szCs w:val="18"/>
          <w:color w:val="auto"/>
        </w:rPr>
      </w:pPr>
    </w:p>
    <w:p>
      <w:pPr>
        <w:ind w:firstLine="1305"/>
        <w:spacing w:after="0" w:line="287" w:lineRule="auto"/>
        <w:tabs>
          <w:tab w:leader="none" w:pos="162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If obligated to file the Shelf Registration Statement, as applicable, the Issuers shall use all commercially reasonable efforts to file the Shelf Registration Statement with the Commission on or prior to 30 days after such obligation arises and shall use all commercially reasonable efforts to cause the Shelf Registration Statement to be declared effective by the Commission on or prior to 90 days after such obligation arises; such Shelf Registration Statement shall relate to the offer and sale of the Securities or the Exchange Notes, as applicable, by the Holders thereof from time to time in accordance with the methods of distribution elected by such Holders and set forth in such Shelf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Holder (other than an Initial Purchaser) shall be entitled to have the Securities held by it covered by such Shelf Registration Statement unless such Holder agrees in writing to be bound by all of the provisions of this Agreement applicable to such Holder;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with respect to Exchange Notes received by an Initial Purchaser in exchange for Securities constituting any portion of an unsold allotment, the Issuers may, if permitted by current interpretations by the Commission’s staff, file a post-effective amendment to the Exchange Offer Registration Statement containing the 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w:t>
      </w:r>
    </w:p>
    <w:p>
      <w:pPr>
        <w:spacing w:after="0" w:line="172" w:lineRule="exact"/>
        <w:rPr>
          <w:rFonts w:ascii="Arial" w:cs="Arial" w:eastAsia="Arial" w:hAnsi="Arial"/>
          <w:sz w:val="16"/>
          <w:szCs w:val="16"/>
          <w:color w:val="auto"/>
        </w:rPr>
      </w:pPr>
    </w:p>
    <w:p>
      <w:pPr>
        <w:ind w:left="1640" w:hanging="335"/>
        <w:spacing w:after="0"/>
        <w:tabs>
          <w:tab w:leader="none" w:pos="16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Issuers shall use their reasonable best efforts to keep the Shelf Registration Statement continuously effective, supplemented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required by the Act, in order to permit the Prospectus forming part thereof to be usable by Holders for a period (the “</w:t>
      </w:r>
      <w:r>
        <w:rPr>
          <w:rFonts w:ascii="Arial" w:cs="Arial" w:eastAsia="Arial" w:hAnsi="Arial"/>
          <w:sz w:val="18"/>
          <w:szCs w:val="18"/>
          <w:b w:val="1"/>
          <w:bCs w:val="1"/>
          <w:color w:val="auto"/>
        </w:rPr>
        <w:t>Shelf Registration Period</w:t>
      </w:r>
      <w:r>
        <w:rPr>
          <w:rFonts w:ascii="Arial" w:cs="Arial" w:eastAsia="Arial" w:hAnsi="Arial"/>
          <w:sz w:val="18"/>
          <w:szCs w:val="18"/>
          <w:color w:val="auto"/>
        </w:rPr>
        <w:t>”) from the date the Shelf Registration Statement is declared effective by the Commission until (A) the second anniversary thereof or (B) the date upon which all the Securities or Exchange Notes, as applicable, covered by the Shelf Registration Statement have been sold pursuant to the Shelf Registration Statement. The Issuers shall be deemed not to have used their reasonable best efforts to keep the Shelf Registration Statement effective during the Shelf Registration Period if any of them voluntarily takes any action that would result in Holders of Securities covered thereby not being able to offer and sell such Securities during the Shelf Registration Period, unless such action is (x) required by applicable law or otherwise undertaken by the Issuers in good faith and for valid business reasons (not including avoidance of such Issuer’s obligations hereunder), including the acquisition or divestiture of assets, and (y) permitted pursuant to Section 4(k)(ii) hereof.</w:t>
      </w:r>
    </w:p>
    <w:p>
      <w:pPr>
        <w:spacing w:after="0" w:line="189" w:lineRule="exact"/>
        <w:rPr>
          <w:sz w:val="20"/>
          <w:szCs w:val="20"/>
          <w:color w:val="auto"/>
        </w:rPr>
      </w:pPr>
    </w:p>
    <w:p>
      <w:pPr>
        <w:ind w:right="20" w:firstLine="1305"/>
        <w:spacing w:after="0" w:line="302" w:lineRule="auto"/>
        <w:tabs>
          <w:tab w:leader="none" w:pos="162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Issuers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(B) not to contain any untrue statement of a material fact or omit to state a material fact required to be stated therein or necessary in order to make the statements therein (in the case of the Prospectus, in the light of the circumstances under which they were made), not misleading.</w:t>
      </w:r>
    </w:p>
    <w:p>
      <w:pPr>
        <w:sectPr>
          <w:pgSz w:w="11900" w:h="16838" w:orient="portrait"/>
          <w:cols w:equalWidth="0" w:num="1">
            <w:col w:w="11420"/>
          </w:cols>
          <w:pgMar w:left="240" w:top="125" w:right="239" w:bottom="0" w:gutter="0" w:footer="0" w:header="0"/>
        </w:sectPr>
      </w:pPr>
    </w:p>
    <w:bookmarkStart w:id="63" w:name="page64"/>
    <w:bookmarkEnd w:id="63"/>
    <w:p>
      <w:pPr>
        <w:ind w:left="-8" w:right="160" w:firstLine="1305"/>
        <w:spacing w:after="0" w:line="277" w:lineRule="auto"/>
        <w:tabs>
          <w:tab w:leader="none" w:pos="161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Additional Registration Procedures</w:t>
      </w:r>
      <w:r>
        <w:rPr>
          <w:rFonts w:ascii="Arial" w:cs="Arial" w:eastAsia="Arial" w:hAnsi="Arial"/>
          <w:sz w:val="18"/>
          <w:szCs w:val="18"/>
          <w:color w:val="auto"/>
        </w:rPr>
        <w:t>. In connection with any Exchange Offer Registration Statement and, to the extent applicable, any Shelf Registration Statement, the following provisions shall apply.</w:t>
      </w:r>
    </w:p>
    <w:p>
      <w:pPr>
        <w:spacing w:after="0" w:line="170" w:lineRule="exact"/>
        <w:rPr>
          <w:sz w:val="20"/>
          <w:szCs w:val="20"/>
          <w:color w:val="auto"/>
        </w:rPr>
      </w:pPr>
    </w:p>
    <w:p>
      <w:pPr>
        <w:ind w:left="1612" w:hanging="315"/>
        <w:spacing w:after="0"/>
        <w:tabs>
          <w:tab w:leader="none" w:pos="161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Issuers shall:</w:t>
      </w:r>
    </w:p>
    <w:p>
      <w:pPr>
        <w:spacing w:after="0" w:line="225" w:lineRule="exact"/>
        <w:rPr>
          <w:rFonts w:ascii="Arial" w:cs="Arial" w:eastAsia="Arial" w:hAnsi="Arial"/>
          <w:sz w:val="18"/>
          <w:szCs w:val="18"/>
          <w:color w:val="auto"/>
        </w:rPr>
      </w:pPr>
    </w:p>
    <w:p>
      <w:pPr>
        <w:ind w:left="1292" w:right="40" w:firstLine="653"/>
        <w:spacing w:after="0" w:line="276" w:lineRule="auto"/>
        <w:tabs>
          <w:tab w:leader="none" w:pos="261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furnish to the Representative and to counsel for the Holders, not less than five Business Days prior to the filing thereof with the Commission, a copy of the Exchange Offer Registration Statement or the Shelf Registration Statement, as the case may be, and each amendment thereto and each amendment or supplement, if any, to the Prospectus included therein (including all documents incorporated by reference therein after the initial filing) and shall use their reasonable best efforts to reflect in each such document, when so filed with the Commission, such comments as the Representative reasonably proposes;</w:t>
      </w:r>
    </w:p>
    <w:p>
      <w:pPr>
        <w:spacing w:after="0" w:line="172" w:lineRule="exact"/>
        <w:rPr>
          <w:rFonts w:ascii="Arial" w:cs="Arial" w:eastAsia="Arial" w:hAnsi="Arial"/>
          <w:sz w:val="17"/>
          <w:szCs w:val="17"/>
          <w:color w:val="auto"/>
        </w:rPr>
      </w:pPr>
    </w:p>
    <w:p>
      <w:pPr>
        <w:ind w:left="1292" w:right="140" w:firstLine="653"/>
        <w:spacing w:after="0" w:line="308" w:lineRule="auto"/>
        <w:tabs>
          <w:tab w:leader="none" w:pos="261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include the information set forth in Annex A hereto on the facing page of the Exchange Offer Registration Statement; in Annex B hereto in the forepart of the Exchange Offer Registration Statement in a section setting forth details of the</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80"/>
        <w:spacing w:after="0" w:line="308" w:lineRule="auto"/>
        <w:rPr>
          <w:sz w:val="20"/>
          <w:szCs w:val="20"/>
          <w:color w:val="auto"/>
        </w:rPr>
      </w:pPr>
      <w:r>
        <w:rPr>
          <w:rFonts w:ascii="Arial" w:cs="Arial" w:eastAsia="Arial" w:hAnsi="Arial"/>
          <w:sz w:val="17"/>
          <w:szCs w:val="17"/>
          <w:color w:val="auto"/>
        </w:rPr>
        <w:t>Exchange Offer; in Annex C hereto in the underwriting or plan of distribution section of the Prospectus contained in the Exchange Offer Registration Statement; and in Annex D hereto in the letter of transmittal delivered pursuant to the Exchange Offer;</w:t>
      </w:r>
    </w:p>
    <w:p>
      <w:pPr>
        <w:spacing w:after="0" w:line="147" w:lineRule="exact"/>
        <w:rPr>
          <w:sz w:val="20"/>
          <w:szCs w:val="20"/>
          <w:color w:val="auto"/>
        </w:rPr>
      </w:pPr>
    </w:p>
    <w:p>
      <w:pPr>
        <w:ind w:left="1292" w:right="820" w:firstLine="653"/>
        <w:spacing w:after="0" w:line="277" w:lineRule="auto"/>
        <w:tabs>
          <w:tab w:leader="none" w:pos="2629"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if requested by an Initial Purchaser, include the information required by Item 507 or 508 of Regulation S-K, as applicable, in the Prospectus contained in the Exchange Offer Registration Statement; and</w:t>
      </w:r>
    </w:p>
    <w:p>
      <w:pPr>
        <w:spacing w:after="0" w:line="170" w:lineRule="exact"/>
        <w:rPr>
          <w:rFonts w:ascii="Arial" w:cs="Arial" w:eastAsia="Arial" w:hAnsi="Arial"/>
          <w:sz w:val="18"/>
          <w:szCs w:val="18"/>
          <w:color w:val="auto"/>
        </w:rPr>
      </w:pPr>
    </w:p>
    <w:p>
      <w:pPr>
        <w:ind w:left="1292" w:right="120" w:firstLine="653"/>
        <w:spacing w:after="0" w:line="277" w:lineRule="auto"/>
        <w:tabs>
          <w:tab w:leader="none" w:pos="260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in the case of a Shelf Registration Statement, include the names of the Holders that propose to sell Securities pursuant to the Shelf Registration Statement as selling security holders.</w:t>
      </w:r>
    </w:p>
    <w:p>
      <w:pPr>
        <w:spacing w:after="0" w:line="170" w:lineRule="exact"/>
        <w:rPr>
          <w:rFonts w:ascii="Arial" w:cs="Arial" w:eastAsia="Arial" w:hAnsi="Arial"/>
          <w:sz w:val="18"/>
          <w:szCs w:val="18"/>
          <w:color w:val="auto"/>
        </w:rPr>
      </w:pPr>
    </w:p>
    <w:p>
      <w:pPr>
        <w:ind w:left="1632" w:hanging="335"/>
        <w:spacing w:after="0"/>
        <w:tabs>
          <w:tab w:leader="none" w:pos="16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Issuers shall ensure that:</w:t>
      </w:r>
    </w:p>
    <w:p>
      <w:pPr>
        <w:spacing w:after="0" w:line="225" w:lineRule="exact"/>
        <w:rPr>
          <w:rFonts w:ascii="Arial" w:cs="Arial" w:eastAsia="Arial" w:hAnsi="Arial"/>
          <w:sz w:val="18"/>
          <w:szCs w:val="18"/>
          <w:color w:val="auto"/>
        </w:rPr>
      </w:pPr>
    </w:p>
    <w:p>
      <w:pPr>
        <w:ind w:left="1292" w:right="700" w:firstLine="653"/>
        <w:spacing w:after="0" w:line="277" w:lineRule="auto"/>
        <w:tabs>
          <w:tab w:leader="none" w:pos="261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any Registration Statement, any amendment thereto, any Prospectus forming part thereof and any amendment or supplement thereto complies in all material respects with the Act; and</w:t>
      </w:r>
    </w:p>
    <w:p>
      <w:pPr>
        <w:spacing w:after="0" w:line="170" w:lineRule="exact"/>
        <w:rPr>
          <w:rFonts w:ascii="Arial" w:cs="Arial" w:eastAsia="Arial" w:hAnsi="Arial"/>
          <w:sz w:val="18"/>
          <w:szCs w:val="18"/>
          <w:color w:val="auto"/>
        </w:rPr>
      </w:pPr>
    </w:p>
    <w:p>
      <w:pPr>
        <w:ind w:left="1292" w:right="100" w:firstLine="653"/>
        <w:spacing w:after="0" w:line="342" w:lineRule="auto"/>
        <w:tabs>
          <w:tab w:leader="none" w:pos="2619" w:val="left"/>
        </w:tabs>
        <w:numPr>
          <w:ilvl w:val="2"/>
          <w:numId w:val="187"/>
        </w:numPr>
        <w:rPr>
          <w:rFonts w:ascii="Arial" w:cs="Arial" w:eastAsia="Arial" w:hAnsi="Arial"/>
          <w:sz w:val="16"/>
          <w:szCs w:val="16"/>
          <w:color w:val="auto"/>
        </w:rPr>
      </w:pPr>
      <w:r>
        <w:rPr>
          <w:rFonts w:ascii="Arial" w:cs="Arial" w:eastAsia="Arial" w:hAnsi="Arial"/>
          <w:sz w:val="16"/>
          <w:szCs w:val="16"/>
          <w:color w:val="auto"/>
        </w:rPr>
        <w:t>any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ind w:left="-8" w:right="40" w:firstLine="1305"/>
        <w:spacing w:after="0" w:line="288" w:lineRule="auto"/>
        <w:tabs>
          <w:tab w:leader="none" w:pos="162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Issuers shall advise the Representative, the Holders of Securities covered by any Shelf Registration Statement and any Exchanging Dealer under any Exchange Offer Registration Statement that has provided in writing to the Issuers a telephone or facsimile number and address for notices, and, if requested by the Representative or any such Holder or Exchanging Dealer, shall confirm such advice in writing (which notice pursuant to clauses (ii)-</w:t>
      </w:r>
    </w:p>
    <w:p>
      <w:pPr>
        <w:ind w:left="-8" w:right="320" w:firstLine="8"/>
        <w:spacing w:after="0" w:line="261" w:lineRule="auto"/>
        <w:tabs>
          <w:tab w:leader="none" w:pos="2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of this Section 4(c) shall be accompanied by an instruction to suspend the use of the Prospectus until the Issuers shall have remedied the basis for such suspension):</w:t>
      </w:r>
    </w:p>
    <w:p>
      <w:pPr>
        <w:spacing w:after="0" w:line="183" w:lineRule="exact"/>
        <w:rPr>
          <w:rFonts w:ascii="Arial" w:cs="Arial" w:eastAsia="Arial" w:hAnsi="Arial"/>
          <w:sz w:val="18"/>
          <w:szCs w:val="18"/>
          <w:color w:val="auto"/>
        </w:rPr>
      </w:pPr>
    </w:p>
    <w:p>
      <w:pPr>
        <w:ind w:left="1292" w:right="100" w:firstLine="653"/>
        <w:spacing w:after="0" w:line="277" w:lineRule="auto"/>
        <w:tabs>
          <w:tab w:leader="none" w:pos="261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the Registration Statement or any post-effective amendment thereto has become effective;</w:t>
      </w:r>
    </w:p>
    <w:p>
      <w:pPr>
        <w:spacing w:after="0" w:line="170" w:lineRule="exact"/>
        <w:rPr>
          <w:rFonts w:ascii="Arial" w:cs="Arial" w:eastAsia="Arial" w:hAnsi="Arial"/>
          <w:sz w:val="18"/>
          <w:szCs w:val="18"/>
          <w:color w:val="auto"/>
        </w:rPr>
      </w:pPr>
    </w:p>
    <w:p>
      <w:pPr>
        <w:ind w:left="1292" w:right="180" w:firstLine="653"/>
        <w:spacing w:after="0" w:line="277" w:lineRule="auto"/>
        <w:tabs>
          <w:tab w:leader="none" w:pos="2619" w:val="left"/>
        </w:tabs>
        <w:numPr>
          <w:ilvl w:val="2"/>
          <w:numId w:val="188"/>
        </w:numPr>
        <w:rPr>
          <w:rFonts w:ascii="Arial" w:cs="Arial" w:eastAsia="Arial" w:hAnsi="Arial"/>
          <w:sz w:val="18"/>
          <w:szCs w:val="18"/>
          <w:color w:val="auto"/>
        </w:rPr>
      </w:pPr>
      <w:r>
        <w:rPr>
          <w:rFonts w:ascii="Arial" w:cs="Arial" w:eastAsia="Arial" w:hAnsi="Arial"/>
          <w:sz w:val="18"/>
          <w:szCs w:val="18"/>
          <w:color w:val="auto"/>
        </w:rPr>
        <w:t>of any request by the Commission for any amendment or supplement to the Registration Statement or the Prospectus or for additional information;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80" w:firstLine="653"/>
        <w:spacing w:after="0" w:line="277" w:lineRule="auto"/>
        <w:tabs>
          <w:tab w:leader="none" w:pos="262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or threatening of any proceedings for that purpose;</w:t>
      </w:r>
    </w:p>
    <w:p>
      <w:pPr>
        <w:spacing w:after="0" w:line="170" w:lineRule="exact"/>
        <w:rPr>
          <w:rFonts w:ascii="Arial" w:cs="Arial" w:eastAsia="Arial" w:hAnsi="Arial"/>
          <w:sz w:val="18"/>
          <w:szCs w:val="18"/>
          <w:color w:val="auto"/>
        </w:rPr>
      </w:pPr>
    </w:p>
    <w:p>
      <w:pPr>
        <w:ind w:left="1292" w:firstLine="653"/>
        <w:spacing w:after="0" w:line="277" w:lineRule="auto"/>
        <w:tabs>
          <w:tab w:leader="none" w:pos="26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the receipt by any Issuer of any notification with respect to the suspension of the qualification of the securities included therein for sale in any jurisdiction or the initiation or threatening of any proceedings for such purpose; and</w:t>
      </w:r>
    </w:p>
    <w:p>
      <w:pPr>
        <w:spacing w:after="0" w:line="170" w:lineRule="exact"/>
        <w:rPr>
          <w:rFonts w:ascii="Arial" w:cs="Arial" w:eastAsia="Arial" w:hAnsi="Arial"/>
          <w:sz w:val="18"/>
          <w:szCs w:val="18"/>
          <w:color w:val="auto"/>
        </w:rPr>
      </w:pPr>
    </w:p>
    <w:p>
      <w:pPr>
        <w:jc w:val="both"/>
        <w:ind w:left="1292" w:right="80" w:firstLine="653"/>
        <w:spacing w:after="0" w:line="259" w:lineRule="auto"/>
        <w:tabs>
          <w:tab w:leader="none" w:pos="259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of the happening of any event that requires any change in the Registration Statement or the Prospectus so that, as of such date, they (A) do not contain any untrue statement of a material fact and (B) do not omit to state a material fact required to be stated therein or necessary to make the statements therein (in the case of the Prospectus, in the light of the circumstances under which they were made) not misleading.</w:t>
      </w:r>
    </w:p>
    <w:p>
      <w:pPr>
        <w:spacing w:after="0" w:line="186" w:lineRule="exact"/>
        <w:rPr>
          <w:rFonts w:ascii="Arial" w:cs="Arial" w:eastAsia="Arial" w:hAnsi="Arial"/>
          <w:sz w:val="18"/>
          <w:szCs w:val="18"/>
          <w:color w:val="auto"/>
        </w:rPr>
      </w:pPr>
    </w:p>
    <w:p>
      <w:pPr>
        <w:ind w:left="-8" w:right="120" w:firstLine="1305"/>
        <w:spacing w:after="0" w:line="342" w:lineRule="auto"/>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Issuers shall use their reasonable best efforts to prevent the issuance of any order suspending the effectiveness of any Registration Statement or the qualification of the securities therein for sale in any jurisdiction and, if issued, to obtain as soon as possible the withdrawal thereof.</w:t>
      </w:r>
    </w:p>
    <w:p>
      <w:pPr>
        <w:spacing w:after="0" w:line="123" w:lineRule="exact"/>
        <w:rPr>
          <w:rFonts w:ascii="Arial" w:cs="Arial" w:eastAsia="Arial" w:hAnsi="Arial"/>
          <w:sz w:val="16"/>
          <w:szCs w:val="16"/>
          <w:color w:val="auto"/>
        </w:rPr>
      </w:pPr>
    </w:p>
    <w:p>
      <w:pPr>
        <w:ind w:left="-8" w:right="240" w:firstLine="1305"/>
        <w:spacing w:after="0" w:line="286" w:lineRule="auto"/>
        <w:tabs>
          <w:tab w:leader="none" w:pos="162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Issuers shall furnish to each Holder of Securities covered by any Shelf Registration Statement, upon written request and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w:t>
      </w:r>
    </w:p>
    <w:p>
      <w:pPr>
        <w:spacing w:after="0" w:line="165" w:lineRule="exact"/>
        <w:rPr>
          <w:rFonts w:ascii="Arial" w:cs="Arial" w:eastAsia="Arial" w:hAnsi="Arial"/>
          <w:sz w:val="17"/>
          <w:szCs w:val="17"/>
          <w:color w:val="auto"/>
        </w:rPr>
      </w:pPr>
    </w:p>
    <w:p>
      <w:pPr>
        <w:ind w:left="-8" w:right="200" w:firstLine="1305"/>
        <w:spacing w:after="0" w:line="276" w:lineRule="auto"/>
        <w:tabs>
          <w:tab w:leader="none" w:pos="161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Issuers shall, during the Shelf Registration Period, deliver to each Holder of Securities covered by any Shelf Registration Statement, without charge, as many copies of the Prospectus (including any preliminary Prospectus) included in such Shelf Registration Statement and any amendment or supplement thereto as such Holder may reasonably request in writing. The Issuers consent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w:t>
      </w:r>
    </w:p>
    <w:p>
      <w:pPr>
        <w:sectPr>
          <w:pgSz w:w="11900" w:h="16838" w:orient="portrait"/>
          <w:cols w:equalWidth="0" w:num="1">
            <w:col w:w="11412"/>
          </w:cols>
          <w:pgMar w:left="248" w:top="125" w:right="239" w:bottom="0" w:gutter="0" w:footer="0" w:header="0"/>
        </w:sectPr>
      </w:pPr>
    </w:p>
    <w:bookmarkStart w:id="64" w:name="page65"/>
    <w:bookmarkEnd w:id="64"/>
    <w:p>
      <w:pPr>
        <w:ind w:right="280" w:firstLine="1305"/>
        <w:spacing w:after="0" w:line="264" w:lineRule="auto"/>
        <w:tabs>
          <w:tab w:leader="none" w:pos="164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Issuers shall furnish to each Exchanging Dealer which so requests in writing, without charge, at least one copy of the Exchange Offer Registration Statement and any post-effective amendment thereto, including all material incorporated by reference therein, and, if the Exchanging Dealer so requests in writing, all exhibits thereto (including exhibits incorporated by reference therein).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3" w:lineRule="auto"/>
        <w:tabs>
          <w:tab w:leader="none" w:pos="162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Issuers shall promptly deliver to each Initial Purchaser, each Exchanging Dealer and each other Person required to deliver a Prospectus during the Exchange Offer Registration Period, without charge, as many copies of the Prospectus included in such Exchange Offer Registration Statement and any amendment or supplement thereto as any such Person may reasonably request in writing. The Issuers consent to the use of the Prospectus or any amendment or supplement thereto by any Initial Purchaser, any Exchanging Dealer and any such other Person that may be required to deliver a Prospectus following the Exchange Offer in connection with the offering and sale of the Exchange Notes covered by the Prospectus, or any amendment or supplement thereto, included in the Exchange Offer Registration Statement.</w:t>
      </w:r>
    </w:p>
    <w:p>
      <w:pPr>
        <w:spacing w:after="0" w:line="178" w:lineRule="exact"/>
        <w:rPr>
          <w:rFonts w:ascii="Arial" w:cs="Arial" w:eastAsia="Arial" w:hAnsi="Arial"/>
          <w:sz w:val="17"/>
          <w:szCs w:val="17"/>
          <w:color w:val="auto"/>
        </w:rPr>
      </w:pPr>
    </w:p>
    <w:p>
      <w:pPr>
        <w:ind w:firstLine="1305"/>
        <w:spacing w:after="0" w:line="297" w:lineRule="auto"/>
        <w:tabs>
          <w:tab w:leader="none" w:pos="164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Prior to the Exchange Offer or any other offering of Securities pursuant to any Registration Statement, the Issuers shall arrange, if necessary, for the qualification of the Securities or the Exchange Notes for sale under the laws of such jurisdictions as any Holder shall reasonably request and shall maintain such qualification in effect so long as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Issuer be obligated to qualify to do business in any jurisdiction where it is not then so qualified or to take any action that would subject it to service of process in suits, other than those arising out of the Initial Placement, the Exchange Offer or any offering pursuant to a Shelf Registration Statement, in any such jurisdiction where it is not then so subject.</w:t>
      </w:r>
    </w:p>
    <w:p>
      <w:pPr>
        <w:spacing w:after="0" w:line="158" w:lineRule="exact"/>
        <w:rPr>
          <w:rFonts w:ascii="Arial" w:cs="Arial" w:eastAsia="Arial" w:hAnsi="Arial"/>
          <w:sz w:val="16"/>
          <w:szCs w:val="16"/>
          <w:color w:val="auto"/>
        </w:rPr>
      </w:pPr>
    </w:p>
    <w:p>
      <w:pPr>
        <w:ind w:right="360" w:firstLine="1305"/>
        <w:spacing w:after="0" w:line="264" w:lineRule="auto"/>
        <w:tabs>
          <w:tab w:leader="none" w:pos="16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Issuers shall cooperate with the Holders to facilitate the timely preparation and delivery of certificates representing Exchange Notes or Securities to be issued or sold pursuant to any Registration Statement free of any restrictive legends and in such denominations and registered in such names as Holders may request.</w:t>
      </w:r>
    </w:p>
    <w:p>
      <w:pPr>
        <w:spacing w:after="0" w:line="181" w:lineRule="exact"/>
        <w:rPr>
          <w:rFonts w:ascii="Arial" w:cs="Arial" w:eastAsia="Arial" w:hAnsi="Arial"/>
          <w:sz w:val="18"/>
          <w:szCs w:val="18"/>
          <w:color w:val="auto"/>
        </w:rPr>
      </w:pPr>
    </w:p>
    <w:p>
      <w:pPr>
        <w:ind w:left="1300" w:right="20" w:firstLine="5"/>
        <w:spacing w:after="0" w:line="271" w:lineRule="auto"/>
        <w:tabs>
          <w:tab w:leader="none" w:pos="19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 Upon the occurrence of any event contemplated by subsections (c)(ii) through (v) above, the Issuers shall promptly (or within the time period provided for by clause (ii) hereof, if applicable) prepare a post-effective amendment to the applicable Registration Statement or an amendment or supplement to the related Prospectus or file any other required document so that, as thereafter delivered to initial purchasers of the securities included 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shall be extended by the number of days from and including the date of the giving of a notice of suspension pursuant to Section 4(c) to and including the date when the Initial Purchasers, the Holders and any known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Exchanging Dealer shall have received such amended or supplemented Prospectus pursuant to this Section 4.</w:t>
      </w:r>
    </w:p>
    <w:p>
      <w:pPr>
        <w:spacing w:after="0" w:line="225" w:lineRule="exact"/>
        <w:rPr>
          <w:sz w:val="20"/>
          <w:szCs w:val="20"/>
          <w:color w:val="auto"/>
        </w:rPr>
      </w:pPr>
    </w:p>
    <w:p>
      <w:pPr>
        <w:ind w:left="1300" w:firstLine="653"/>
        <w:spacing w:after="0" w:line="270" w:lineRule="auto"/>
        <w:tabs>
          <w:tab w:leader="none" w:pos="262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Upon the occurrence or existence of any pending corporate development or any other material event that, in the reasonable judgment of any Issuer, makes it appropriate to suspend the availability of a Shelf Registration Statement and the related Prospectus, the Issuer shall give notice (without notice of the nature or details of such events) to the Holders that the availability of the Shelf Registration is suspended and, upon actual receipt of any such notice, each Holder agrees not to sell any Registrable Securities pursuant to the Shelf Registration until such Holder’s receipt of copies of the supplemented or amended Prospectus provided for in clause (i) of this Section 4(k), or until it is advised in writing by any Issuer that the Prospectus may be used, and has received copies of any additional or supplemental filings that are incorporated or deemed incorporated by reference in such Prospectus. The period during which the availability of the Shelf Registration and any Prospectus is suspended (the “</w:t>
      </w:r>
      <w:r>
        <w:rPr>
          <w:rFonts w:ascii="Arial" w:cs="Arial" w:eastAsia="Arial" w:hAnsi="Arial"/>
          <w:sz w:val="17"/>
          <w:szCs w:val="17"/>
          <w:b w:val="1"/>
          <w:bCs w:val="1"/>
          <w:color w:val="auto"/>
        </w:rPr>
        <w:t>Deferral Period</w:t>
      </w:r>
      <w:r>
        <w:rPr>
          <w:rFonts w:ascii="Arial" w:cs="Arial" w:eastAsia="Arial" w:hAnsi="Arial"/>
          <w:sz w:val="17"/>
          <w:szCs w:val="17"/>
          <w:color w:val="auto"/>
        </w:rPr>
        <w:t>”) shall not exceed 45 days in any three-month period or 90 days in any 12-month period.</w:t>
      </w:r>
    </w:p>
    <w:p>
      <w:pPr>
        <w:spacing w:after="0" w:line="181" w:lineRule="exact"/>
        <w:rPr>
          <w:rFonts w:ascii="Arial" w:cs="Arial" w:eastAsia="Arial" w:hAnsi="Arial"/>
          <w:sz w:val="17"/>
          <w:szCs w:val="17"/>
          <w:color w:val="auto"/>
        </w:rPr>
      </w:pPr>
    </w:p>
    <w:p>
      <w:pPr>
        <w:jc w:val="both"/>
        <w:ind w:right="420" w:firstLine="1305"/>
        <w:spacing w:after="0" w:line="264" w:lineRule="auto"/>
        <w:tabs>
          <w:tab w:leader="none" w:pos="164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later than the effective date of any Registration Statement, the Issuers shall provide a CUSIP number for the Securities or the Exchange Notes, as the case may be, registered under such Registration Statement and provide the Trustee with printed certificates for such Securities or Exchange Notes, in a form eligible for deposit with The Depository Trust Company.</w:t>
      </w:r>
    </w:p>
    <w:p>
      <w:pPr>
        <w:spacing w:after="0" w:line="181" w:lineRule="exact"/>
        <w:rPr>
          <w:rFonts w:ascii="Arial" w:cs="Arial" w:eastAsia="Arial" w:hAnsi="Arial"/>
          <w:sz w:val="18"/>
          <w:szCs w:val="18"/>
          <w:color w:val="auto"/>
        </w:rPr>
      </w:pPr>
    </w:p>
    <w:p>
      <w:pPr>
        <w:ind w:right="20" w:firstLine="1305"/>
        <w:spacing w:after="0" w:line="279" w:lineRule="auto"/>
        <w:tabs>
          <w:tab w:leader="none" w:pos="162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Issuers shall comply with all applicable rules and regulations of the Commission and shall make generally available to their security holders an earnings statement satisfying the provisions of Section 11(a) of the Act as soon as practicable after the effective date of the applicable Registration Statement and in any event no later than 45 days after the end of a 12-month period (or 90 days, if such period is a fiscal year) beginning with the first month of the Company’s first fiscal quarter commencing after the effective date of the applicable Registration Statement.</w:t>
      </w:r>
    </w:p>
    <w:p>
      <w:pPr>
        <w:spacing w:after="0" w:line="171" w:lineRule="exact"/>
        <w:rPr>
          <w:rFonts w:ascii="Arial" w:cs="Arial" w:eastAsia="Arial" w:hAnsi="Arial"/>
          <w:sz w:val="17"/>
          <w:szCs w:val="17"/>
          <w:color w:val="auto"/>
        </w:rPr>
      </w:pPr>
    </w:p>
    <w:p>
      <w:pPr>
        <w:ind w:right="280" w:firstLine="1305"/>
        <w:spacing w:after="0" w:line="277" w:lineRule="auto"/>
        <w:tabs>
          <w:tab w:leader="none" w:pos="16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Issuers shall cause the Indenture or the Exchange Notes Indenture, as the case may be, to be qualified under the Trust Indenture Act in a timely manner.</w:t>
      </w:r>
    </w:p>
    <w:p>
      <w:pPr>
        <w:spacing w:after="0" w:line="170" w:lineRule="exact"/>
        <w:rPr>
          <w:rFonts w:ascii="Arial" w:cs="Arial" w:eastAsia="Arial" w:hAnsi="Arial"/>
          <w:sz w:val="18"/>
          <w:szCs w:val="18"/>
          <w:color w:val="auto"/>
        </w:rPr>
      </w:pPr>
    </w:p>
    <w:p>
      <w:pPr>
        <w:ind w:right="80" w:firstLine="1305"/>
        <w:spacing w:after="0" w:line="264" w:lineRule="auto"/>
        <w:tabs>
          <w:tab w:leader="none" w:pos="16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Issuers may require each Holder of securities to be sold pursuant to any Shelf Registration Statement to furnish to the Issuers such information regarding the Holder and the distribution of such securities as the Issuers may from time to time reasonably require for inclusion in such Registration Statement. The Issuers may exclude from such Shelf Registration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Statement the Securities of any Holder that unreasonably fails to furnish such information within a reasonable time after receiving such request.</w:t>
      </w:r>
    </w:p>
    <w:p>
      <w:pPr>
        <w:spacing w:after="0" w:line="225" w:lineRule="exact"/>
        <w:rPr>
          <w:sz w:val="20"/>
          <w:szCs w:val="20"/>
          <w:color w:val="auto"/>
        </w:rPr>
      </w:pPr>
    </w:p>
    <w:p>
      <w:pPr>
        <w:ind w:right="340" w:firstLine="1305"/>
        <w:spacing w:after="0" w:line="342" w:lineRule="auto"/>
        <w:tabs>
          <w:tab w:leader="none" w:pos="162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the case of any Shelf Registration Statement, the Issuers shall enter into customary agreements (including if requested, an underwriting agreement in customary form) and take all other appropriate actions in order to expedite or facilitate the registration or the disposition of the</w:t>
      </w:r>
    </w:p>
    <w:p>
      <w:pPr>
        <w:sectPr>
          <w:pgSz w:w="11900" w:h="16838" w:orient="portrait"/>
          <w:cols w:equalWidth="0" w:num="1">
            <w:col w:w="11420"/>
          </w:cols>
          <w:pgMar w:left="240" w:top="125" w:right="239" w:bottom="0" w:gutter="0" w:footer="0" w:header="0"/>
        </w:sectPr>
      </w:pPr>
    </w:p>
    <w:bookmarkStart w:id="65" w:name="page66"/>
    <w:bookmarkEnd w:id="65"/>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and in connection therewith, if an underwriting agreement is entered into, cause the same to contain indemnification provisions and procedures no less favorable than those set forth in Section 6 hereof.</w:t>
      </w:r>
    </w:p>
    <w:p>
      <w:pPr>
        <w:spacing w:after="0" w:line="170" w:lineRule="exact"/>
        <w:rPr>
          <w:sz w:val="20"/>
          <w:szCs w:val="20"/>
          <w:color w:val="auto"/>
        </w:rPr>
      </w:pPr>
    </w:p>
    <w:p>
      <w:pPr>
        <w:ind w:left="1640" w:hanging="335"/>
        <w:spacing w:after="0"/>
        <w:tabs>
          <w:tab w:leader="none" w:pos="1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case of any Shelf Registration Statement, the Issuers shall:</w:t>
      </w:r>
    </w:p>
    <w:p>
      <w:pPr>
        <w:spacing w:after="0" w:line="225" w:lineRule="exact"/>
        <w:rPr>
          <w:rFonts w:ascii="Arial" w:cs="Arial" w:eastAsia="Arial" w:hAnsi="Arial"/>
          <w:sz w:val="18"/>
          <w:szCs w:val="18"/>
          <w:color w:val="auto"/>
        </w:rPr>
      </w:pPr>
    </w:p>
    <w:p>
      <w:pPr>
        <w:ind w:left="1300" w:right="200" w:firstLine="653"/>
        <w:spacing w:after="0" w:line="259" w:lineRule="auto"/>
        <w:tabs>
          <w:tab w:leader="none" w:pos="261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make reasonably available for inspection by the Holders of Securities to be registered thereunder, any underwriter participating in any disposition pursuant to such Shelf Registration Statement and any attorney, accountant or other agent retained by the Holders or any such underwriter all relevant financial and other records and pertinent corporate documents of the Issuers and their subsidiaries;</w:t>
      </w:r>
    </w:p>
    <w:p>
      <w:pPr>
        <w:spacing w:after="0" w:line="186" w:lineRule="exact"/>
        <w:rPr>
          <w:rFonts w:ascii="Arial" w:cs="Arial" w:eastAsia="Arial" w:hAnsi="Arial"/>
          <w:sz w:val="18"/>
          <w:szCs w:val="18"/>
          <w:color w:val="auto"/>
        </w:rPr>
      </w:pPr>
    </w:p>
    <w:p>
      <w:pPr>
        <w:ind w:left="1300" w:right="80" w:firstLine="653"/>
        <w:spacing w:after="0" w:line="264" w:lineRule="auto"/>
        <w:tabs>
          <w:tab w:leader="none" w:pos="262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cause the officers, directors, employees, accountants and auditors of any Issuer to supply all relevant information reasonably requested by the Holders or any such underwriter, attorney, accountant or agent in connection with any such Shelf Registration Statement as is customary for similar due diligence examinations;</w:t>
      </w:r>
    </w:p>
    <w:p>
      <w:pPr>
        <w:spacing w:after="0" w:line="181" w:lineRule="exact"/>
        <w:rPr>
          <w:rFonts w:ascii="Arial" w:cs="Arial" w:eastAsia="Arial" w:hAnsi="Arial"/>
          <w:sz w:val="18"/>
          <w:szCs w:val="18"/>
          <w:color w:val="auto"/>
        </w:rPr>
      </w:pPr>
    </w:p>
    <w:p>
      <w:pPr>
        <w:ind w:left="1300" w:right="60" w:firstLine="653"/>
        <w:spacing w:after="0" w:line="264" w:lineRule="auto"/>
        <w:tabs>
          <w:tab w:leader="none" w:pos="263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181" w:lineRule="exact"/>
        <w:rPr>
          <w:rFonts w:ascii="Arial" w:cs="Arial" w:eastAsia="Arial" w:hAnsi="Arial"/>
          <w:sz w:val="18"/>
          <w:szCs w:val="18"/>
          <w:color w:val="auto"/>
        </w:rPr>
      </w:pPr>
    </w:p>
    <w:p>
      <w:pPr>
        <w:ind w:left="1300" w:firstLine="653"/>
        <w:spacing w:after="0" w:line="259" w:lineRule="auto"/>
        <w:tabs>
          <w:tab w:leader="none" w:pos="261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obtain opinions of counsel to the Issuers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primary underwritten offerings and such other matters as may be reasonably requested by such Holders and underwriters;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76" w:lineRule="auto"/>
        <w:tabs>
          <w:tab w:leader="none" w:pos="26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obtain “comfort” letters and updates thereof from the independent certified public accountants of Clearway LLC (and, if necessary, any other independent certified public accountants of any subsidiary of Clearway LLC or of any business acquired by Clearway LLC for which financial statements and financial data are, or are required to be, included in the Shelf Registration Statement), addressed to each selling Holder registered thereunder and the underwriters, if any, in customary form and covering matters of the type customarily covered in “comfort” letters in connection with primary underwritten offerings; and</w:t>
      </w:r>
    </w:p>
    <w:p>
      <w:pPr>
        <w:spacing w:after="0" w:line="172" w:lineRule="exact"/>
        <w:rPr>
          <w:rFonts w:ascii="Arial" w:cs="Arial" w:eastAsia="Arial" w:hAnsi="Arial"/>
          <w:sz w:val="17"/>
          <w:szCs w:val="17"/>
          <w:color w:val="auto"/>
        </w:rPr>
      </w:pPr>
    </w:p>
    <w:p>
      <w:pPr>
        <w:ind w:left="1300" w:right="100" w:firstLine="653"/>
        <w:spacing w:after="0" w:line="264" w:lineRule="auto"/>
        <w:tabs>
          <w:tab w:leader="none" w:pos="261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deliver such documents and certificates as may be reasonably requested by the Majority Holders or the Managing Underwriters, if any, including those to evidence compliance with Section 4(k) hereof and with any customary conditions contained in the underwriting agreement or other agreement entered into by the Issuers.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actions set forth in clauses (iii), (iv), (v) and (vi) of this Section 4(q) shall be performed at (A) the effectiveness of such Registration Statement and each post-effective amendment thereto; and (B) each closing under any underwriting or similar agreement as and to the extent required thereunder.</w:t>
      </w:r>
    </w:p>
    <w:p>
      <w:pPr>
        <w:spacing w:after="0" w:line="147" w:lineRule="exact"/>
        <w:rPr>
          <w:sz w:val="20"/>
          <w:szCs w:val="20"/>
          <w:color w:val="auto"/>
        </w:rPr>
      </w:pPr>
    </w:p>
    <w:p>
      <w:pPr>
        <w:ind w:right="80" w:firstLine="1305"/>
        <w:spacing w:after="0" w:line="277" w:lineRule="auto"/>
        <w:tabs>
          <w:tab w:leader="none" w:pos="163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case of any Exchange Offer Registration Statement, the Issuers shall, if requested by an Initial Purchaser or by a Broker-Dealer that holds Securities that were acquired as a result of market-making or other trading activities:</w:t>
      </w:r>
    </w:p>
    <w:p>
      <w:pPr>
        <w:spacing w:after="0" w:line="170" w:lineRule="exact"/>
        <w:rPr>
          <w:rFonts w:ascii="Arial" w:cs="Arial" w:eastAsia="Arial" w:hAnsi="Arial"/>
          <w:sz w:val="18"/>
          <w:szCs w:val="18"/>
          <w:color w:val="auto"/>
        </w:rPr>
      </w:pPr>
    </w:p>
    <w:p>
      <w:pPr>
        <w:ind w:left="1300" w:right="40" w:firstLine="653"/>
        <w:spacing w:after="0" w:line="264" w:lineRule="auto"/>
        <w:tabs>
          <w:tab w:leader="none" w:pos="261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make reasonably available for inspection by the requesting party, and any attorney, accountant or other agent retained by the requesting party, all relevant financial and other records, pertinent corporate documents and properties of the Issuers and their subsidiaries;</w:t>
      </w:r>
    </w:p>
    <w:p>
      <w:pPr>
        <w:spacing w:after="0" w:line="181" w:lineRule="exact"/>
        <w:rPr>
          <w:rFonts w:ascii="Arial" w:cs="Arial" w:eastAsia="Arial" w:hAnsi="Arial"/>
          <w:sz w:val="18"/>
          <w:szCs w:val="18"/>
          <w:color w:val="auto"/>
        </w:rPr>
      </w:pPr>
    </w:p>
    <w:p>
      <w:pPr>
        <w:ind w:left="1300" w:right="80" w:firstLine="653"/>
        <w:spacing w:after="0" w:line="264" w:lineRule="auto"/>
        <w:tabs>
          <w:tab w:leader="none" w:pos="262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cause the officers, directors, employees, accountants and auditors of any Issuer to supply all relevant information reasonably requested by the requesting party or any such attorney, accountant or agent in connection with any such Registration Statement as is customary for similar due diligence examinations;</w:t>
      </w:r>
    </w:p>
    <w:p>
      <w:pPr>
        <w:spacing w:after="0" w:line="181" w:lineRule="exact"/>
        <w:rPr>
          <w:rFonts w:ascii="Arial" w:cs="Arial" w:eastAsia="Arial" w:hAnsi="Arial"/>
          <w:sz w:val="18"/>
          <w:szCs w:val="18"/>
          <w:color w:val="auto"/>
        </w:rPr>
      </w:pPr>
    </w:p>
    <w:p>
      <w:pPr>
        <w:ind w:left="1300" w:right="80" w:firstLine="653"/>
        <w:spacing w:after="0" w:line="264" w:lineRule="auto"/>
        <w:tabs>
          <w:tab w:leader="none" w:pos="263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make such representations and warranties to the requesting party, in form, substance and scope as are customarily made by issuers to underwriters in primary underwritten offerings and covering matters including, but not limited to, those set forth in the Purchase Agreement;</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59" w:lineRule="auto"/>
        <w:tabs>
          <w:tab w:leader="none" w:pos="261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obtain opinions of counsel to the Issuers and updates thereof (which counsel and opinions (in form, scope and substance) shall be reasonably satisfactory to the requesting party and its counsel), addressed to the requesting party, covering such matters as are customarily covered in opinions requested in primary underwritten offerings and such other matters as may be reasonably requested by the requesting party or its counsel;</w:t>
      </w:r>
    </w:p>
    <w:p>
      <w:pPr>
        <w:spacing w:after="0" w:line="186" w:lineRule="exact"/>
        <w:rPr>
          <w:rFonts w:ascii="Arial" w:cs="Arial" w:eastAsia="Arial" w:hAnsi="Arial"/>
          <w:sz w:val="18"/>
          <w:szCs w:val="18"/>
          <w:color w:val="auto"/>
        </w:rPr>
      </w:pPr>
    </w:p>
    <w:p>
      <w:pPr>
        <w:jc w:val="both"/>
        <w:ind w:left="1300" w:right="60" w:firstLine="653"/>
        <w:spacing w:after="0" w:line="293" w:lineRule="auto"/>
        <w:tabs>
          <w:tab w:leader="none" w:pos="260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obtain “comfort” letters and updates thereof from the independent certified public accountants of Clearway LLC (and, if necessary, any other independent certified public accountants of any subsidiary of Clearway LLC or of any business acquired by Clearway LLC for which financial statements and financial data are, or are required to be, included in the Registration Statement), addressed to the requesting party, in customary form and covering matters of the type customarily covered in “comfort” letters in connection with primary underwritten offerings, or if requested by the requesting party or its counsel in lieu of a “comfort” letter, an agreed-upon procedures letter under AT section 201, </w:t>
      </w:r>
      <w:r>
        <w:rPr>
          <w:rFonts w:ascii="Arial" w:cs="Arial" w:eastAsia="Arial" w:hAnsi="Arial"/>
          <w:sz w:val="16"/>
          <w:szCs w:val="16"/>
          <w:i w:val="1"/>
          <w:iCs w:val="1"/>
          <w:color w:val="auto"/>
        </w:rPr>
        <w:t>Agreed-Upon Procedures Engagements</w:t>
      </w:r>
      <w:r>
        <w:rPr>
          <w:rFonts w:ascii="Arial" w:cs="Arial" w:eastAsia="Arial" w:hAnsi="Arial"/>
          <w:sz w:val="16"/>
          <w:szCs w:val="16"/>
          <w:color w:val="auto"/>
        </w:rPr>
        <w:t>, covering matters requested by the requesting party or its counsel; and</w:t>
      </w:r>
    </w:p>
    <w:p>
      <w:pPr>
        <w:spacing w:after="0" w:line="164" w:lineRule="exact"/>
        <w:rPr>
          <w:rFonts w:ascii="Arial" w:cs="Arial" w:eastAsia="Arial" w:hAnsi="Arial"/>
          <w:sz w:val="16"/>
          <w:szCs w:val="16"/>
          <w:color w:val="auto"/>
        </w:rPr>
      </w:pPr>
    </w:p>
    <w:p>
      <w:pPr>
        <w:ind w:left="1300" w:right="80" w:firstLine="653"/>
        <w:spacing w:after="0" w:line="308" w:lineRule="auto"/>
        <w:tabs>
          <w:tab w:leader="none" w:pos="261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deliver such documents and certificates as may be reasonably requested by the requesting party or its counsel, including those to evidence compliance with Section 4(k) and with conditions customarily contained in underwriting agreements.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actions set forth in clauses (iii), (iv), (v) and (vi) of this Section 4(r) shall be performed at the close of the Exchange Offer and the effective date of any post-effective amendment to the Exchange Offer Registration Statement.</w:t>
      </w:r>
    </w:p>
    <w:p>
      <w:pPr>
        <w:sectPr>
          <w:pgSz w:w="11900" w:h="16929" w:orient="portrait"/>
          <w:cols w:equalWidth="0" w:num="1">
            <w:col w:w="11340"/>
          </w:cols>
          <w:pgMar w:left="240" w:top="125" w:right="319" w:bottom="0" w:gutter="0" w:footer="0" w:header="0"/>
        </w:sectPr>
      </w:pPr>
    </w:p>
    <w:bookmarkStart w:id="66" w:name="page67"/>
    <w:bookmarkEnd w:id="66"/>
    <w:p>
      <w:pPr>
        <w:ind w:right="540" w:firstLine="1305"/>
        <w:spacing w:after="0" w:line="312" w:lineRule="auto"/>
        <w:tabs>
          <w:tab w:leader="none" w:pos="16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an Exchange Offer is to be consummated, upon delivery of the Securities by Holders to the Issuers (or to such other Person as directed by the Issuers) in exchange for the Exchange Notes, the Issuers shall mark, or caused to be marked, on the Securities so exchanged that such Securities are being cancelled in exchange for the Exchange Notes. In no event shall the Securities be marked as paid or otherwise satisfied.</w:t>
      </w:r>
    </w:p>
    <w:p>
      <w:pPr>
        <w:spacing w:after="0" w:line="146" w:lineRule="exact"/>
        <w:rPr>
          <w:rFonts w:ascii="Arial" w:cs="Arial" w:eastAsia="Arial" w:hAnsi="Arial"/>
          <w:sz w:val="16"/>
          <w:szCs w:val="16"/>
          <w:color w:val="auto"/>
        </w:rPr>
      </w:pPr>
    </w:p>
    <w:p>
      <w:pPr>
        <w:ind w:right="80" w:firstLine="1305"/>
        <w:spacing w:after="0" w:line="308" w:lineRule="auto"/>
        <w:tabs>
          <w:tab w:leader="none" w:pos="162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Issuers shall use their reasonable best efforts if the Securities have been rated prior to the initial sale of such Securities, to confirm such ratings will apply to the Securities or the Exchange Notes, as the case may be, covered by a Registration Statement.</w:t>
      </w:r>
    </w:p>
    <w:p>
      <w:pPr>
        <w:spacing w:after="0" w:line="146" w:lineRule="exact"/>
        <w:rPr>
          <w:rFonts w:ascii="Arial" w:cs="Arial" w:eastAsia="Arial" w:hAnsi="Arial"/>
          <w:sz w:val="17"/>
          <w:szCs w:val="17"/>
          <w:color w:val="auto"/>
        </w:rPr>
      </w:pPr>
    </w:p>
    <w:p>
      <w:pPr>
        <w:ind w:left="5620" w:right="160" w:hanging="4315"/>
        <w:spacing w:after="0" w:line="528" w:lineRule="auto"/>
        <w:tabs>
          <w:tab w:leader="none" w:pos="16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event that any Broker-Dealer shall underwrite any Securities or participate as a member of an underwriting syndicate or selling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group or “assist in the distribution” (within the meaning of the FINRA Rules) thereof, whether as a Holder or as an underwriter, a placement or sales agent or a broker or dealer in respect thereof, or otherwise, the Issuers shall assist such Broker-Dealer in complying with the FINRA Rules.</w:t>
      </w:r>
    </w:p>
    <w:p>
      <w:pPr>
        <w:spacing w:after="0" w:line="147" w:lineRule="exact"/>
        <w:rPr>
          <w:sz w:val="20"/>
          <w:szCs w:val="20"/>
          <w:color w:val="auto"/>
        </w:rPr>
      </w:pPr>
    </w:p>
    <w:p>
      <w:pPr>
        <w:ind w:right="480" w:firstLine="1305"/>
        <w:spacing w:after="0" w:line="277" w:lineRule="auto"/>
        <w:tabs>
          <w:tab w:leader="none" w:pos="16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Issuers shall use their reasonable best efforts to take all other steps necessary to effect the registration of the Securities or the Exchange Notes, as the case may be, covered by a Registration Statement.</w:t>
      </w:r>
    </w:p>
    <w:p>
      <w:pPr>
        <w:spacing w:after="0" w:line="170" w:lineRule="exact"/>
        <w:rPr>
          <w:sz w:val="20"/>
          <w:szCs w:val="20"/>
          <w:color w:val="auto"/>
        </w:rPr>
      </w:pPr>
    </w:p>
    <w:p>
      <w:pPr>
        <w:ind w:right="100" w:firstLine="1305"/>
        <w:spacing w:after="0" w:line="302"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Issuers shall bear all expenses incurred in connection with the performance of their obligations under Sections 2, 3 and 4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Registration Statement, will reimburse the Initial Purchasers for the reasonable fees and disbursements of counsel acting in connection therewith.</w:t>
      </w:r>
    </w:p>
    <w:p>
      <w:pPr>
        <w:spacing w:after="0" w:line="154" w:lineRule="exact"/>
        <w:rPr>
          <w:rFonts w:ascii="Arial" w:cs="Arial" w:eastAsia="Arial" w:hAnsi="Arial"/>
          <w:sz w:val="16"/>
          <w:szCs w:val="16"/>
          <w:color w:val="auto"/>
        </w:rPr>
      </w:pPr>
    </w:p>
    <w:p>
      <w:pPr>
        <w:ind w:left="1620" w:hanging="315"/>
        <w:spacing w:after="0"/>
        <w:tabs>
          <w:tab w:leader="none" w:pos="16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80" w:firstLine="1305"/>
        <w:spacing w:after="0" w:line="274" w:lineRule="auto"/>
        <w:tabs>
          <w:tab w:leader="none" w:pos="161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Each of the Issuers jointly and severally agrees to indemnify and hold harmless each Holder of Securities or Exchange Notes, as the case may be, covered by any Registration Statement, each Initial Purchaser and, with respect to any Prospectus delivery as contemplated in</w:t>
      </w:r>
    </w:p>
    <w:p>
      <w:pPr>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Section 4(h) hereof, each Exchanging Dealer, and their respective affiliates and each Person who controls any such Holder, Initial Purchaser, Exchanging Dealer or affiliate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(in the case of any preliminary Prospectus or the Prospectus, in the light of the circumstances under which they were made) not misleading, and agrees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Issuers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by or on behalf of the party claiming indemnification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specifically for inclusion therein. This indemnity agreement shall be in addition to any liability that the Issuers may otherwise have.</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Each of the Issuers also jointly and severally agrees to indemnify as provided in this Section 6(a) or contribute as provided in Section 6(d) to Losses, as defined below, of each underwriter, if any, of Securities or Exchange Notes, as the case may be, registered under a Shelf Registration Statement, their respective affiliates and each Person who controls such underwriter or affiliate on substantially the same basis as that of the indemnification of the Initial Purchasers and the selling Holders provided in this Section 6(a) and shall, if requested by any Holder, enter into an underwriting agreement reflecting such agreement, as provided in Section 4(q) hereof.</w:t>
      </w:r>
    </w:p>
    <w:p>
      <w:pPr>
        <w:spacing w:after="0" w:line="188" w:lineRule="exact"/>
        <w:rPr>
          <w:sz w:val="20"/>
          <w:szCs w:val="20"/>
          <w:color w:val="auto"/>
        </w:rPr>
      </w:pPr>
    </w:p>
    <w:p>
      <w:pPr>
        <w:ind w:firstLine="1305"/>
        <w:spacing w:after="0" w:line="255" w:lineRule="auto"/>
        <w:tabs>
          <w:tab w:leader="none" w:pos="162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Each Holder of Securities covered by a Registration Statement (including each Initial Purchaser that is a Holder, in such capacity) severally and not jointly agrees to indemnify and hold harmless the Issuers, each of their respective directors, each of their respective officers who signs such Registration Statement and each Person who controls any Issuer within the meaning of either the Act or the Exchange Act, to the same extent as the foregoing indemnity from the Issuers to each such Holder, but only with reference to written information relating to such Holder furnished to the Issuers by or on behalf of such Holder specifically for inclusion in the documents referred to in the foregoing indemnity. This indemnity agreement will be in addition to any liability that any such Holder may otherwise have.</w:t>
      </w:r>
    </w:p>
    <w:p>
      <w:pPr>
        <w:spacing w:after="0" w:line="193" w:lineRule="exact"/>
        <w:rPr>
          <w:rFonts w:ascii="Arial" w:cs="Arial" w:eastAsia="Arial" w:hAnsi="Arial"/>
          <w:sz w:val="18"/>
          <w:szCs w:val="18"/>
          <w:color w:val="auto"/>
        </w:rPr>
      </w:pPr>
    </w:p>
    <w:p>
      <w:pPr>
        <w:ind w:right="160" w:firstLine="1305"/>
        <w:spacing w:after="0" w:line="286" w:lineRule="auto"/>
        <w:tabs>
          <w:tab w:leader="none" w:pos="163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6 or notice of the commencement of any action, such indemnified party will, if a claim in respect thereof is to be made against the indemnifying party under this Section,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1"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counsel shall be satisfactory to the indemnified party. Notwithstanding the indemnifying party’s election to appoint counsel (including local counsel) to represent the indemnified party in an action, the indemnified party shall have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67" w:name="page68"/>
    <w:bookmarkEnd w:id="67"/>
    <w:p>
      <w:pPr>
        <w:ind w:right="220"/>
        <w:spacing w:after="0" w:line="291" w:lineRule="auto"/>
        <w:rPr>
          <w:sz w:val="20"/>
          <w:szCs w:val="20"/>
          <w:color w:val="auto"/>
        </w:rPr>
      </w:pPr>
      <w:r>
        <w:rPr>
          <w:rFonts w:ascii="Arial" w:cs="Arial" w:eastAsia="Arial" w:hAnsi="Arial"/>
          <w:sz w:val="16"/>
          <w:szCs w:val="16"/>
          <w:color w:val="auto"/>
        </w:rPr>
        <w:t>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w:t>
      </w:r>
    </w:p>
    <w:p>
      <w:pPr>
        <w:ind w:right="40" w:firstLine="8"/>
        <w:spacing w:after="0" w:line="251" w:lineRule="auto"/>
        <w:tabs>
          <w:tab w:leader="none" w:pos="2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initiation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198" w:lineRule="exact"/>
        <w:rPr>
          <w:rFonts w:ascii="Arial" w:cs="Arial" w:eastAsia="Arial" w:hAnsi="Arial"/>
          <w:sz w:val="18"/>
          <w:szCs w:val="18"/>
          <w:color w:val="auto"/>
        </w:rPr>
      </w:pPr>
    </w:p>
    <w:p>
      <w:pPr>
        <w:ind w:right="40" w:firstLine="1305"/>
        <w:spacing w:after="0" w:line="268" w:lineRule="auto"/>
        <w:tabs>
          <w:tab w:leader="none" w:pos="162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In the event that the indemnity provided in paragraph (a) or (b) of this Section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any loss, claim, liability, damage or action)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case shall any Initial Purchaser be responsible, in the aggregate, for any amount in excess of the purchase discount or commission applicable to such Security, or in the case of an Exchange Note, applicable to the Security that was exchangeable into such Exchange Note, as set forth in the Final Offering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shall be deemed to be equal to the total net proceeds from the Initial Placement (before deducting expenses) as set forth in the Final Offering Memorandum. Benefits received by the Initial Purchasers shall be deemed to be equal to the total purchase discounts and commissions as set forth on the cover page of the Final Offering Memorandum, and benefits received by any other Holders shall be deemed to be equal to the value of receiving Securities or Exchange Notes,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each Person who controls a Holder within the meaning of either the Act or the Exchange Act and each director, officer, employee and agent of such Holder shall have the same rights to contribution as such Holder, and each Person who controls any Issuer within the meaning of either the Act or the Exchange Act, each officer of any Issuer who shall have signed the Registration Statement and each director of any Issuer shall have the same rights to contribution as the Issuers, subject in each case to the applicable terms and conditions of this paragraph (d).</w:t>
      </w:r>
    </w:p>
    <w:p>
      <w:pPr>
        <w:spacing w:after="0" w:line="385" w:lineRule="exact"/>
        <w:rPr>
          <w:sz w:val="20"/>
          <w:szCs w:val="20"/>
          <w:color w:val="auto"/>
        </w:rPr>
      </w:pPr>
    </w:p>
    <w:p>
      <w:pPr>
        <w:ind w:right="140" w:firstLine="1305"/>
        <w:spacing w:after="0" w:line="264" w:lineRule="auto"/>
        <w:tabs>
          <w:tab w:leader="none" w:pos="163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provisions of this Section will remain in full force and effect, regardless of any investigation made by or on behalf of any Holder or the Issuers or any of the indemnified Persons referred to in this Section 6, and will survive the sale by a Holder of securities covered by a Registration Statement.</w:t>
      </w:r>
    </w:p>
    <w:p>
      <w:pPr>
        <w:spacing w:after="0" w:line="181" w:lineRule="exact"/>
        <w:rPr>
          <w:sz w:val="20"/>
          <w:szCs w:val="20"/>
          <w:color w:val="auto"/>
        </w:rPr>
      </w:pPr>
    </w:p>
    <w:p>
      <w:pPr>
        <w:ind w:left="1660" w:hanging="355"/>
        <w:spacing w:after="0"/>
        <w:tabs>
          <w:tab w:leader="none" w:pos="16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r>
        <w:rPr>
          <w:rFonts w:ascii="Arial" w:cs="Arial" w:eastAsia="Arial" w:hAnsi="Arial"/>
          <w:sz w:val="18"/>
          <w:szCs w:val="18"/>
          <w:color w:val="auto"/>
        </w:rPr>
        <w:t>.</w:t>
      </w:r>
    </w:p>
    <w:p>
      <w:pPr>
        <w:spacing w:after="0" w:line="225" w:lineRule="exact"/>
        <w:rPr>
          <w:sz w:val="20"/>
          <w:szCs w:val="20"/>
          <w:color w:val="auto"/>
        </w:rPr>
      </w:pPr>
    </w:p>
    <w:p>
      <w:pPr>
        <w:ind w:right="540" w:firstLine="1305"/>
        <w:spacing w:after="0" w:line="277" w:lineRule="auto"/>
        <w:tabs>
          <w:tab w:leader="none" w:pos="163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any of the Securities or Exchange Notes, as the case may be, covered by any Shelf Registration Statement are to be sold in an underwritten offering, the Managing Underwriters shall be selected by the Majority Holders.</w:t>
      </w:r>
    </w:p>
    <w:p>
      <w:pPr>
        <w:spacing w:after="0" w:line="170" w:lineRule="exact"/>
        <w:rPr>
          <w:rFonts w:ascii="Arial" w:cs="Arial" w:eastAsia="Arial" w:hAnsi="Arial"/>
          <w:sz w:val="18"/>
          <w:szCs w:val="18"/>
          <w:color w:val="auto"/>
        </w:rPr>
      </w:pPr>
    </w:p>
    <w:p>
      <w:pPr>
        <w:ind w:right="120" w:firstLine="1305"/>
        <w:spacing w:after="0" w:line="264" w:lineRule="auto"/>
        <w:tabs>
          <w:tab w:leader="none" w:pos="164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Person may participate in any underwritten offering pursuant to any Shelf Registration Statement, unless such Person (i) agrees to sell such Person’s Securities or Exchange Notes, as the case may be, on the basis reasonably provided in any underwriting arrangements approved by the Persons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66" w:lineRule="exact"/>
        <w:rPr>
          <w:sz w:val="20"/>
          <w:szCs w:val="20"/>
          <w:color w:val="auto"/>
        </w:rPr>
      </w:pPr>
    </w:p>
    <w:p>
      <w:pPr>
        <w:ind w:firstLine="1305"/>
        <w:spacing w:after="0" w:line="282" w:lineRule="auto"/>
        <w:tabs>
          <w:tab w:leader="none" w:pos="1657"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Registration Defaults</w:t>
      </w:r>
      <w:r>
        <w:rPr>
          <w:rFonts w:ascii="Arial" w:cs="Arial" w:eastAsia="Arial" w:hAnsi="Arial"/>
          <w:sz w:val="18"/>
          <w:szCs w:val="18"/>
          <w:color w:val="auto"/>
        </w:rPr>
        <w:t>. If any of the following events (each, a “</w:t>
      </w:r>
      <w:r>
        <w:rPr>
          <w:rFonts w:ascii="Arial" w:cs="Arial" w:eastAsia="Arial" w:hAnsi="Arial"/>
          <w:sz w:val="18"/>
          <w:szCs w:val="18"/>
          <w:b w:val="1"/>
          <w:bCs w:val="1"/>
          <w:color w:val="auto"/>
        </w:rPr>
        <w:t>Registration Default</w:t>
      </w:r>
      <w:r>
        <w:rPr>
          <w:rFonts w:ascii="Arial" w:cs="Arial" w:eastAsia="Arial" w:hAnsi="Arial"/>
          <w:sz w:val="18"/>
          <w:szCs w:val="18"/>
          <w:color w:val="auto"/>
        </w:rPr>
        <w:t>”) shall occur, then the Issuers shall pay liquidated damages (the “</w:t>
      </w:r>
      <w:r>
        <w:rPr>
          <w:rFonts w:ascii="Arial" w:cs="Arial" w:eastAsia="Arial" w:hAnsi="Arial"/>
          <w:sz w:val="18"/>
          <w:szCs w:val="18"/>
          <w:b w:val="1"/>
          <w:bCs w:val="1"/>
          <w:color w:val="auto"/>
        </w:rPr>
        <w:t>Special Interest</w:t>
      </w:r>
      <w:r>
        <w:rPr>
          <w:rFonts w:ascii="Arial" w:cs="Arial" w:eastAsia="Arial" w:hAnsi="Arial"/>
          <w:sz w:val="18"/>
          <w:szCs w:val="18"/>
          <w:color w:val="auto"/>
        </w:rPr>
        <w:t>”) to the Holders of Securities in respect of the Securities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if the Issuers fail to consummate the Exchange Offer within 365 Days following the Closing Date; or</w:t>
      </w:r>
    </w:p>
    <w:p>
      <w:pPr>
        <w:sectPr>
          <w:pgSz w:w="11900" w:h="16838" w:orient="portrait"/>
          <w:cols w:equalWidth="0" w:num="1">
            <w:col w:w="11380"/>
          </w:cols>
          <w:pgMar w:left="240" w:top="584" w:right="279" w:bottom="221" w:gutter="0" w:footer="0" w:header="0"/>
        </w:sectPr>
      </w:pPr>
    </w:p>
    <w:bookmarkStart w:id="68" w:name="page69"/>
    <w:bookmarkEnd w:id="68"/>
    <w:p>
      <w:pPr>
        <w:spacing w:after="0" w:line="137" w:lineRule="exact"/>
        <w:rPr>
          <w:sz w:val="20"/>
          <w:szCs w:val="20"/>
          <w:color w:val="auto"/>
        </w:rPr>
      </w:pPr>
    </w:p>
    <w:p>
      <w:pPr>
        <w:ind w:right="40" w:firstLine="1305"/>
        <w:spacing w:after="0" w:line="269" w:lineRule="auto"/>
        <w:tabs>
          <w:tab w:leader="none" w:pos="164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if the Shelf Registration Statement or the Exchange Offer Registration Statement is declared effective but thereafter ceases to be effective or usable in connection with resales of Registrable Securities during the periods specified in this Agreement, then, in each case, as of the date any such event occurs, Special Interest shall accrue on the Registrable Securities at a rate of 0.25% per annum of the principal amount of Registrable Securities outstanding for the first 90 days from and including such date; thereafter, the Special Interest will increase by an additional 0.25% per annum with respect to each subsequent 90-day period until all Registration Defaults have been cured, up to a maximum amount of 1.0% per annum of the principal amount of the Registrable Securities outstanding. All accrued Special Interest will be paid by the Issuers on the next scheduled interest payment date to DTC or its nominee by wire transfer of immediately available funds or by federal funds check and to Holders of certificated notes by wire transfer to the accounts specified by them or by mailing checks to their registered addresses if no such accounts have been specified. A Registration Default shall have been cured for purposes hereof (1) upon consummation of the Exchange Offer (in the case of paragraph (a) above) or (2) upon the effectiveness of the Registration Statement which had ceased to remain effective (in the case of paragraph (b) above). Immediately upon the cure of all Registration Defaults, the accrual of Special Interest will cease.</w:t>
      </w:r>
    </w:p>
    <w:p>
      <w:pPr>
        <w:spacing w:after="0" w:line="183" w:lineRule="exact"/>
        <w:rPr>
          <w:sz w:val="20"/>
          <w:szCs w:val="20"/>
          <w:color w:val="auto"/>
        </w:rPr>
      </w:pPr>
    </w:p>
    <w:p>
      <w:pPr>
        <w:ind w:right="140" w:firstLine="1305"/>
        <w:spacing w:after="0" w:line="342" w:lineRule="auto"/>
        <w:tabs>
          <w:tab w:leader="none" w:pos="165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No Issuer has, as of the date hereof, entered into, nor shall it, on or after the date hereof, any agreement with respect to its Securities that is inconsistent with the rights granted to the Holders herein or that otherwise conflicts with the provisions hereof.</w:t>
      </w:r>
    </w:p>
    <w:p>
      <w:pPr>
        <w:spacing w:after="0" w:line="123" w:lineRule="exact"/>
        <w:rPr>
          <w:rFonts w:ascii="Arial" w:cs="Arial" w:eastAsia="Arial" w:hAnsi="Arial"/>
          <w:sz w:val="16"/>
          <w:szCs w:val="16"/>
          <w:color w:val="auto"/>
        </w:rPr>
      </w:pPr>
    </w:p>
    <w:p>
      <w:pPr>
        <w:ind w:right="80" w:firstLine="1305"/>
        <w:spacing w:after="0" w:line="259" w:lineRule="auto"/>
        <w:tabs>
          <w:tab w:leader="none" w:pos="1611"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The provisions of this Agreement may not be amended, qualified, modified or supplemented, and waivers or consents to departures from the provisions hereof may not be given, unless the Issuers have obtained the written consent of the Majority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matter that directly or indirectly affects the rights of any Initial Purchaser hereunder, the Issuers shall obtain the written consent of each such Initial Purchaser against which such amendment, qualification,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waiver or consent is to be effective;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amendment, qualification, supplement, waiver or consent with respect to Section 8 hereof shall be effective as against any Holder of Registrable Securities unless consented to in writing by such Holder;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provisions of this Section 10 may not be amended, qualified, modified or supplemented, and waivers or consents to departures from the provisions hereof may not be given, unless the Issuers have obtained the written consent of the Representative and each Holder. Notwithstanding the foregoing (except the foregoing provisos), a waiver or consent to departure from the provisions hereof with respect to a matter that relates exclusively to the rights of Holders whose Securities or Exchange Notes, as the case may be, are being sold pursuant to a Registration Statement and that does not directly or indirectly affect the rights of other Holders may be given by the Majority Holders, determined on the basis of Securities or Exchange Notes, as the case may be, being sold rather than registered under such Registration Statement.</w:t>
      </w:r>
    </w:p>
    <w:p>
      <w:pPr>
        <w:spacing w:after="0" w:line="179" w:lineRule="exact"/>
        <w:rPr>
          <w:sz w:val="20"/>
          <w:szCs w:val="20"/>
          <w:color w:val="auto"/>
        </w:rPr>
      </w:pPr>
    </w:p>
    <w:p>
      <w:pPr>
        <w:ind w:right="260" w:firstLine="1305"/>
        <w:spacing w:after="0" w:line="277" w:lineRule="auto"/>
        <w:tabs>
          <w:tab w:leader="none" w:pos="160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170" w:lineRule="exact"/>
        <w:rPr>
          <w:sz w:val="20"/>
          <w:szCs w:val="20"/>
          <w:color w:val="auto"/>
        </w:rPr>
      </w:pPr>
    </w:p>
    <w:p>
      <w:pPr>
        <w:ind w:right="400" w:firstLine="1305"/>
        <w:spacing w:after="0" w:line="308" w:lineRule="auto"/>
        <w:tabs>
          <w:tab w:leader="none" w:pos="163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to a Holder, at the most current address given by such Holder to the Issuers in accordance with the provisions of this Section 11, which address initially is, with respect to each Holder, the address of such Holder maintained by the Registrar under the Indenture;</w:t>
      </w:r>
    </w:p>
    <w:p>
      <w:pPr>
        <w:spacing w:after="0" w:line="146" w:lineRule="exact"/>
        <w:rPr>
          <w:rFonts w:ascii="Arial" w:cs="Arial" w:eastAsia="Arial" w:hAnsi="Arial"/>
          <w:sz w:val="17"/>
          <w:szCs w:val="17"/>
          <w:color w:val="auto"/>
        </w:rPr>
      </w:pPr>
    </w:p>
    <w:p>
      <w:pPr>
        <w:ind w:left="1640" w:hanging="335"/>
        <w:spacing w:after="0"/>
        <w:tabs>
          <w:tab w:leader="none" w:pos="16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to the Representative, initially at the address set forth in the Purchase Agreement; and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to the Issuers, initially at the address of the Company set forth in the Purchase Agreement.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All such notices and communications shall be deemed to have been duly given when received. The Representative or the Issuers by notice to the other parties may designate additional or different addresses for subsequent notices or communications.</w:t>
      </w:r>
    </w:p>
    <w:p>
      <w:pPr>
        <w:spacing w:after="0" w:line="170" w:lineRule="exact"/>
        <w:rPr>
          <w:sz w:val="20"/>
          <w:szCs w:val="20"/>
          <w:color w:val="auto"/>
        </w:rPr>
      </w:pPr>
    </w:p>
    <w:p>
      <w:pPr>
        <w:ind w:right="200" w:firstLine="1305"/>
        <w:spacing w:after="0" w:line="302" w:lineRule="auto"/>
        <w:tabs>
          <w:tab w:leader="none" w:pos="161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Holder, in addition to being entitled to exercise all rights provided to it herein, in the Indenture or in the Purchase Agreement or granted by law, including recovery of liquidated or other damages, will be entitled to specific performance of its rights under this Agreement. The Issuers agree that monetary damages would not be adequate compensation for any loss incurred by reason of a breach by them of the provisions of this Agreement and hereby agree to waive in any action for specific performance the defense that a remedy at law would be adequate.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305"/>
        <w:spacing w:after="0" w:line="302" w:lineRule="auto"/>
        <w:tabs>
          <w:tab w:leader="none" w:pos="1611"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inure to the benefit of and be binding upon the parties hereto, their respective successors and assigns, including, without the need for an express assignment or any consent by the Issuers thereto, subsequent Holders of Securities and the Exchange Notes, and the indemnified Persons referred to in Section 6 hereof. The Issuers hereby agree to extend the benefits of this Agreement to any Holder of Securities or the Exchange Notes, and any such Holder may specifically enforce the provisions of this Agreement as if an original party hereto.</w:t>
      </w:r>
    </w:p>
    <w:p>
      <w:pPr>
        <w:spacing w:after="0" w:line="154" w:lineRule="exact"/>
        <w:rPr>
          <w:rFonts w:ascii="Arial" w:cs="Arial" w:eastAsia="Arial" w:hAnsi="Arial"/>
          <w:sz w:val="16"/>
          <w:szCs w:val="16"/>
          <w:color w:val="auto"/>
        </w:rPr>
      </w:pPr>
    </w:p>
    <w:p>
      <w:pPr>
        <w:ind w:right="80" w:firstLine="1305"/>
        <w:spacing w:after="0" w:line="277" w:lineRule="auto"/>
        <w:tabs>
          <w:tab w:leader="none" w:pos="16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in signed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herein are for convenience only and shall not affect the construction hereof.</w:t>
      </w:r>
    </w:p>
    <w:p>
      <w:pPr>
        <w:spacing w:after="0" w:line="225" w:lineRule="exact"/>
        <w:rPr>
          <w:rFonts w:ascii="Arial" w:cs="Arial" w:eastAsia="Arial" w:hAnsi="Arial"/>
          <w:sz w:val="18"/>
          <w:szCs w:val="18"/>
          <w:color w:val="auto"/>
        </w:rPr>
      </w:pPr>
    </w:p>
    <w:p>
      <w:pPr>
        <w:ind w:right="80" w:firstLine="1305"/>
        <w:spacing w:after="0" w:line="264" w:lineRule="auto"/>
        <w:tabs>
          <w:tab w:leader="none" w:pos="16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New York applicable to contracts made and to be performed in the State of New York. The parties hereto each hereby waive any right to trial by jury in any action, proceeding or counterclaim arising out of or relating to this Agreement.</w:t>
      </w:r>
    </w:p>
    <w:p>
      <w:pPr>
        <w:spacing w:after="0" w:line="181" w:lineRule="exact"/>
        <w:rPr>
          <w:rFonts w:ascii="Arial" w:cs="Arial" w:eastAsia="Arial" w:hAnsi="Arial"/>
          <w:sz w:val="18"/>
          <w:szCs w:val="18"/>
          <w:color w:val="auto"/>
        </w:rPr>
      </w:pPr>
    </w:p>
    <w:p>
      <w:pPr>
        <w:ind w:right="60" w:firstLine="1305"/>
        <w:spacing w:after="0" w:line="259" w:lineRule="auto"/>
        <w:tabs>
          <w:tab w:leader="none" w:pos="16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86" w:lineRule="exact"/>
        <w:rPr>
          <w:rFonts w:ascii="Arial" w:cs="Arial" w:eastAsia="Arial" w:hAnsi="Arial"/>
          <w:sz w:val="18"/>
          <w:szCs w:val="18"/>
          <w:color w:val="auto"/>
        </w:rPr>
      </w:pPr>
    </w:p>
    <w:p>
      <w:pPr>
        <w:ind w:right="280" w:firstLine="1305"/>
        <w:spacing w:after="0" w:line="342" w:lineRule="auto"/>
        <w:tabs>
          <w:tab w:leader="none" w:pos="1611"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Securities Held by the Issuers</w:t>
      </w:r>
      <w:r>
        <w:rPr>
          <w:rFonts w:ascii="Arial" w:cs="Arial" w:eastAsia="Arial" w:hAnsi="Arial"/>
          <w:sz w:val="16"/>
          <w:szCs w:val="16"/>
          <w:color w:val="auto"/>
        </w:rPr>
        <w:t>. Whenever the consent or approval of Holders of a specified percentage of principal amount of Securities or Exchange Notes is required hereunder, Securities or Exchange Notes, as applicable, held by any Issuer or its Affiliates (other than subsequent</w:t>
      </w:r>
    </w:p>
    <w:p>
      <w:pPr>
        <w:sectPr>
          <w:pgSz w:w="11900" w:h="16975" w:orient="portrait"/>
          <w:cols w:equalWidth="0" w:num="1">
            <w:col w:w="11420"/>
          </w:cols>
          <w:pgMar w:left="240" w:top="125" w:right="239" w:bottom="0" w:gutter="0" w:footer="0" w:header="0"/>
        </w:sectPr>
      </w:pPr>
    </w:p>
    <w:bookmarkStart w:id="69" w:name="page70"/>
    <w:bookmarkEnd w:id="69"/>
    <w:p>
      <w:pPr>
        <w:ind w:right="520"/>
        <w:spacing w:after="0" w:line="342" w:lineRule="auto"/>
        <w:rPr>
          <w:sz w:val="20"/>
          <w:szCs w:val="20"/>
          <w:color w:val="auto"/>
        </w:rPr>
      </w:pPr>
      <w:r>
        <w:rPr>
          <w:rFonts w:ascii="Arial" w:cs="Arial" w:eastAsia="Arial" w:hAnsi="Arial"/>
          <w:sz w:val="16"/>
          <w:szCs w:val="16"/>
          <w:color w:val="auto"/>
        </w:rPr>
        <w:t>Holders of Securities or Exchange Notes if such subsequent Holders are deemed to be Affiliates solely by reason of their holdings of such Securities or Exchange Notes) shall not be counted in determining whether such consent or approval was given by the Holders of such required percentage.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Agreement and your acceptance shall represent a binding agreement between the Issuers and the several Initial Purchasers.</w:t>
      </w:r>
    </w:p>
    <w:p>
      <w:pPr>
        <w:spacing w:after="0" w:line="14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Clearway Energy LLC, as managing member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Chad Plotkin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Senior Vice President &amp; Chief Financial Officer</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Chad Plotkin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ALTA WIND 1-5 HOLDING COMPANY, LLC</w:t>
      </w:r>
      <w:r>
        <w:rPr>
          <w:rFonts w:ascii="Arial" w:cs="Arial" w:eastAsia="Arial" w:hAnsi="Arial"/>
          <w:sz w:val="18"/>
          <w:szCs w:val="18"/>
          <w:color w:val="auto"/>
        </w:rPr>
        <w:t>,</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Guarantor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Chad Plotkin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UB FUEL CELL,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CENTRAL CA FUEL CELL 1, LLC</w:t>
      </w:r>
      <w:r>
        <w:rPr>
          <w:rFonts w:ascii="Arial" w:cs="Arial" w:eastAsia="Arial" w:hAnsi="Arial"/>
          <w:sz w:val="18"/>
          <w:szCs w:val="18"/>
          <w:color w:val="auto"/>
        </w:rPr>
        <w:t>, as Guarantors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NYLD Fuel Cell Holdings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ALTA WIND COMPANY,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NYLD FUEL CELL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SOUTH TRENT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YIELD DGPV HOLDING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YIELD RPV HOLDING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LAS VEGAS MB 1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IGUANA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STAR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SOLAR TABERNACLE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THERMAL CANADA INFRASTRUCTURE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THERMAL INFRASTRUCTURE DEVELOPMENT</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HOLDINGS, LLC</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Guarantors,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Clearway Energy Operating LLC, as managing member</w:t>
      </w:r>
    </w:p>
    <w:p>
      <w:pPr>
        <w:spacing w:after="0" w:line="21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420"/>
          </w:cols>
          <w:pgMar w:left="240" w:top="125"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SPP FUND II-B, LLC</w:t>
      </w:r>
      <w:r>
        <w:rPr>
          <w:rFonts w:ascii="Arial" w:cs="Arial" w:eastAsia="Arial" w:hAnsi="Arial"/>
          <w:sz w:val="18"/>
          <w:szCs w:val="18"/>
          <w:color w:val="auto"/>
        </w:rPr>
        <w:t>, as Guarantors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SPP Fund II Holdings, LLC, as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CAPITAL MARKETS, LLC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Acting on behalf of itself</w:t>
      </w:r>
    </w:p>
    <w:p>
      <w:pPr>
        <w:spacing w:after="0" w:line="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and as the Representative of</w:t>
      </w:r>
    </w:p>
    <w:p>
      <w:pPr>
        <w:spacing w:after="0" w:line="9"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the several Initial Purchasers</w:t>
      </w:r>
    </w:p>
    <w:p>
      <w:pPr>
        <w:spacing w:after="0" w:line="9" w:lineRule="exact"/>
        <w:rPr>
          <w:sz w:val="20"/>
          <w:szCs w:val="20"/>
          <w:color w:val="auto"/>
        </w:rPr>
      </w:pPr>
    </w:p>
    <w:p>
      <w:pPr>
        <w:jc w:val="center"/>
        <w:ind w:right="9120"/>
        <w:spacing w:after="0"/>
        <w:rPr>
          <w:sz w:val="20"/>
          <w:szCs w:val="20"/>
          <w:color w:val="auto"/>
        </w:rPr>
      </w:pPr>
      <w:r>
        <w:rPr>
          <w:rFonts w:ascii="Arial" w:cs="Arial" w:eastAsia="Arial" w:hAnsi="Arial"/>
          <w:sz w:val="17"/>
          <w:szCs w:val="17"/>
          <w:color w:val="auto"/>
        </w:rPr>
        <w:t>By: RBC Capital Markets, LLC</w:t>
      </w:r>
    </w:p>
    <w:p>
      <w:pPr>
        <w:spacing w:after="0" w:line="22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 Wolfe</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James. S. Wolfe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Managing Director and</w:t>
            </w:r>
          </w:p>
        </w:tc>
      </w:tr>
      <w:tr>
        <w:trPr>
          <w:trHeight w:val="230"/>
        </w:trPr>
        <w:tc>
          <w:tcPr>
            <w:tcW w:w="62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Head of Global Leveraged Finance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Initial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25" w:lineRule="exact"/>
        <w:rPr>
          <w:sz w:val="20"/>
          <w:szCs w:val="20"/>
          <w:color w:val="auto"/>
        </w:rPr>
      </w:pPr>
    </w:p>
    <w:p>
      <w:pPr>
        <w:jc w:val="center"/>
        <w:ind w:right="8620"/>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jc w:val="center"/>
        <w:ind w:right="85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Exchange Notes received in exchange for Securities where such Securities were acquired by such Broker-Dealer as a result of market-making activities or other trading activities. Each of the Company, Clearway LLC and the Subsidiary Guarantors has agreed that, starting on the expiration date and ending on the close of business one year after the expiration date, it will make this Prospectus available, as amended or supplemented, to any Broker-Dealer for use in connection with any such resale. See “Plan of Distribution”.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6"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Securities where such Securities were acquired as a result of market-making activities or other trading activities. The Company, Clearway LLC and each of the Subsidiary Guarantors has agreed that, starting on the expiration date and ending on the close of business one year after the expiration date, they will make this Prospectus, as amended or supplemented, available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to any Broker-Dealer for use in connection with any such resale. In addition, until , 20 , all dealers effecting transactions in the Exchange Notes may be required to deliver a Prospectus.</w:t>
      </w:r>
    </w:p>
    <w:p>
      <w:pPr>
        <w:spacing w:after="0" w:line="184" w:lineRule="exact"/>
        <w:rPr>
          <w:sz w:val="20"/>
          <w:szCs w:val="20"/>
          <w:color w:val="auto"/>
        </w:rPr>
      </w:pPr>
    </w:p>
    <w:p>
      <w:pPr>
        <w:ind w:right="160" w:firstLine="1297"/>
        <w:spacing w:after="0" w:line="288" w:lineRule="auto"/>
        <w:rPr>
          <w:sz w:val="20"/>
          <w:szCs w:val="20"/>
          <w:color w:val="auto"/>
        </w:rPr>
      </w:pPr>
      <w:r>
        <w:rPr>
          <w:rFonts w:ascii="Arial" w:cs="Arial" w:eastAsia="Arial" w:hAnsi="Arial"/>
          <w:sz w:val="16"/>
          <w:szCs w:val="16"/>
          <w:color w:val="auto"/>
        </w:rPr>
        <w:t>The Company, Clearway LLC and the Subsidiary Guarantors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Act and any profit of any such resale of Exchange Notes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69"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For a period of one year after the expiration date, each of the Company, Clearway LLC and the Subsidiary Guarantors will promptly send additional copies of this Prospectus and any amendment or supplement to this Prospectus to any Broker-Dealer that requests such documents in the Letter of Transmittal. Each of the company and the guarantors has agreed to pay all expenses incident to the Exchange Offer (including the expenses of one counsel for the Holders of the Securities) other than commissions or concessions of any brokers or dealers and will indemnify the Holders of the Securities (including any Broker-Dealers) against certain liabilities, including liabilities under the Act.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applicable, add information required by Regulation S-K Items 507 and/or 508.]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PLEASE FILL IN YOUR NAME AND ADDRESS BELOW IF YOU ARE A BROKER-DEALER AND WISH TO RECEIVE 10 ADDITIONAL COPIES OF THE PROSPECTUS AND 10 COPIES OF ANY AMENDMENTS OR SUPPLEMENTS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151765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5715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-130810</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B</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the undersigned is not a Broker-Dealer, the undersigned represents that it acquired the Exchange Notes in the ordinary course of its business, it is not engaged in, and does not intend to engage in, a distribution of Exchange Notes and it has no arrangements or understandings with any Person to participate in a distribution of the Exchange Notes. If the undersigned is a Broker-Dealer that will receive Exchange Notes for its own account in exchange for Securities, it represents that the Securities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the undersigned will not be deemed to admit that it is an “underwriter” within the meaning of the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o"/>
      <w:numFmt w:val="bullet"/>
      <w:start w:val="1"/>
    </w:lvl>
  </w:abstractNum>
  <w:abstractNum w:abstractNumId="1">
    <w:nsid w:val="1D9F6E5F"/>
    <w:multiLevelType w:val="hybridMultilevel"/>
    <w:lvl w:ilvl="0">
      <w:lvlJc w:val="left"/>
      <w:lvlText w:val="(%1)"/>
      <w:numFmt w:val="lowerLetter"/>
      <w:start w:val="4"/>
    </w:lvl>
  </w:abstractNum>
  <w:abstractNum w:abstractNumId="2">
    <w:nsid w:val="97E1B4E"/>
    <w:multiLevelType w:val="hybridMultilevel"/>
    <w:lvl w:ilvl="0">
      <w:lvlJc w:val="left"/>
      <w:lvlText w:val="(%1)"/>
      <w:numFmt w:val="decimal"/>
      <w:start w:val="1"/>
    </w:lvl>
  </w:abstractNum>
  <w:abstractNum w:abstractNumId="3">
    <w:nsid w:val="51088277"/>
    <w:multiLevelType w:val="hybridMultilevel"/>
    <w:lvl w:ilvl="0">
      <w:lvlJc w:val="left"/>
      <w:lvlText w:val="(%1)"/>
      <w:numFmt w:val="decimal"/>
      <w:start w:val="7"/>
    </w:lvl>
  </w:abstractNum>
  <w:abstractNum w:abstractNumId="4">
    <w:nsid w:val="1CA0C5FA"/>
    <w:multiLevelType w:val="hybridMultilevel"/>
    <w:lvl w:ilvl="0">
      <w:lvlJc w:val="left"/>
      <w:lvlText w:val="(%1)"/>
      <w:numFmt w:val="decimal"/>
      <w:start w:val="1"/>
    </w:lvl>
  </w:abstractNum>
  <w:abstractNum w:abstractNumId="5">
    <w:nsid w:val="53584BCB"/>
    <w:multiLevelType w:val="hybridMultilevel"/>
    <w:lvl w:ilvl="0">
      <w:lvlJc w:val="left"/>
      <w:lvlText w:val="(%1)"/>
      <w:numFmt w:val="decimal"/>
      <w:start w:val="4"/>
    </w:lvl>
  </w:abstractNum>
  <w:abstractNum w:abstractNumId="6">
    <w:nsid w:val="415E286C"/>
    <w:multiLevelType w:val="hybridMultilevel"/>
    <w:lvl w:ilvl="0">
      <w:lvlJc w:val="left"/>
      <w:lvlText w:val="(%1)"/>
      <w:numFmt w:val="decimal"/>
      <w:start w:val="1"/>
    </w:lvl>
    <w:lvl w:ilvl="1">
      <w:lvlJc w:val="left"/>
      <w:lvlText w:val="(%2)"/>
      <w:numFmt w:val="lowerLetter"/>
      <w:start w:val="1"/>
    </w:lvl>
  </w:abstractNum>
  <w:abstractNum w:abstractNumId="7">
    <w:nsid w:val="7C58FD05"/>
    <w:multiLevelType w:val="hybridMultilevel"/>
    <w:lvl w:ilvl="0">
      <w:lvlJc w:val="left"/>
      <w:lvlText w:val="(%1)"/>
      <w:numFmt w:val="decimal"/>
      <w:start w:val="1"/>
    </w:lvl>
  </w:abstractNum>
  <w:abstractNum w:abstractNumId="8">
    <w:nsid w:val="23D86AAC"/>
    <w:multiLevelType w:val="hybridMultilevel"/>
    <w:lvl w:ilvl="0">
      <w:lvlJc w:val="left"/>
      <w:lvlText w:val="(%1)"/>
      <w:numFmt w:val="decimal"/>
      <w:start w:val="2"/>
    </w:lvl>
  </w:abstractNum>
  <w:abstractNum w:abstractNumId="9">
    <w:nsid w:val="45E6D486"/>
    <w:multiLevelType w:val="hybridMultilevel"/>
    <w:lvl w:ilvl="0">
      <w:lvlJc w:val="left"/>
      <w:lvlText w:val="(%1)"/>
      <w:numFmt w:val="decimal"/>
      <w:start w:val="1"/>
    </w:lvl>
  </w:abstractNum>
  <w:abstractNum w:abstractNumId="10">
    <w:nsid w:val="5C10FE21"/>
    <w:multiLevelType w:val="hybridMultilevel"/>
    <w:lvl w:ilvl="0">
      <w:lvlJc w:val="left"/>
      <w:lvlText w:val="(%1)"/>
      <w:numFmt w:val="decimal"/>
      <w:start w:val="1"/>
    </w:lvl>
  </w:abstractNum>
  <w:abstractNum w:abstractNumId="11">
    <w:nsid w:val="E7FFA2B"/>
    <w:multiLevelType w:val="hybridMultilevel"/>
    <w:lvl w:ilvl="0">
      <w:lvlJc w:val="left"/>
      <w:lvlText w:val="(%1)"/>
      <w:numFmt w:val="decimal"/>
      <w:start w:val="1"/>
    </w:lvl>
  </w:abstractNum>
  <w:abstractNum w:abstractNumId="12">
    <w:nsid w:val="3C5991AA"/>
    <w:multiLevelType w:val="hybridMultilevel"/>
    <w:lvl w:ilvl="0">
      <w:lvlJc w:val="left"/>
      <w:lvlText w:val="(%1)"/>
      <w:numFmt w:val="decimal"/>
      <w:start w:val="1"/>
    </w:lvl>
  </w:abstractNum>
  <w:abstractNum w:abstractNumId="13">
    <w:nsid w:val="4BD8591A"/>
    <w:multiLevelType w:val="hybridMultilevel"/>
    <w:lvl w:ilvl="0">
      <w:lvlJc w:val="left"/>
      <w:lvlText w:val="(%1)"/>
      <w:numFmt w:val="decimal"/>
      <w:start w:val="1"/>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1)"/>
      <w:numFmt w:val="decimal"/>
      <w:start w:val="4"/>
    </w:lvl>
  </w:abstractNum>
  <w:abstractNum w:abstractNumId="16">
    <w:nsid w:val="2B0D8DBE"/>
    <w:multiLevelType w:val="hybridMultilevel"/>
    <w:lvl w:ilvl="0">
      <w:lvlJc w:val="left"/>
      <w:lvlText w:val="(%1)"/>
      <w:numFmt w:val="decimal"/>
      <w:start w:val="1"/>
    </w:lvl>
  </w:abstractNum>
  <w:abstractNum w:abstractNumId="17">
    <w:nsid w:val="6C80EC70"/>
    <w:multiLevelType w:val="hybridMultilevel"/>
    <w:lvl w:ilvl="0">
      <w:lvlJc w:val="left"/>
      <w:lvlText w:val="(%1)"/>
      <w:numFmt w:val="decimal"/>
      <w:start w:val="2"/>
    </w:lvl>
  </w:abstractNum>
  <w:abstractNum w:abstractNumId="18">
    <w:nsid w:val="379E21B5"/>
    <w:multiLevelType w:val="hybridMultilevel"/>
    <w:lvl w:ilvl="0">
      <w:lvlJc w:val="left"/>
      <w:lvlText w:val="(%1)"/>
      <w:numFmt w:val="lowerLetter"/>
      <w:start w:val="1"/>
    </w:lvl>
  </w:abstractNum>
  <w:abstractNum w:abstractNumId="19">
    <w:nsid w:val="69E373"/>
    <w:multiLevelType w:val="hybridMultilevel"/>
    <w:lvl w:ilvl="0">
      <w:lvlJc w:val="left"/>
      <w:lvlText w:val="(%1)"/>
      <w:numFmt w:val="decimal"/>
      <w:start w:val="1"/>
    </w:lvl>
  </w:abstractNum>
  <w:abstractNum w:abstractNumId="20">
    <w:nsid w:val="2C27173B"/>
    <w:multiLevelType w:val="hybridMultilevel"/>
    <w:lvl w:ilvl="0">
      <w:lvlJc w:val="left"/>
      <w:lvlText w:val="(%1)"/>
      <w:numFmt w:val="decimal"/>
      <w:start w:val="2"/>
    </w:lvl>
  </w:abstractNum>
  <w:abstractNum w:abstractNumId="21">
    <w:nsid w:val="4C9B0904"/>
    <w:multiLevelType w:val="hybridMultilevel"/>
    <w:lvl w:ilvl="0">
      <w:lvlJc w:val="left"/>
      <w:lvlText w:val="(%1)"/>
      <w:numFmt w:val="decimal"/>
      <w:start w:val="1"/>
    </w:lvl>
  </w:abstractNum>
  <w:abstractNum w:abstractNumId="22">
    <w:nsid w:val="6AA7B75C"/>
    <w:multiLevelType w:val="hybridMultilevel"/>
    <w:lvl w:ilvl="0">
      <w:lvlJc w:val="left"/>
      <w:lvlText w:val="(%1)"/>
      <w:numFmt w:val="decimal"/>
      <w:start w:val="1"/>
    </w:lvl>
  </w:abstractNum>
  <w:abstractNum w:abstractNumId="23">
    <w:nsid w:val="1DF029D3"/>
    <w:multiLevelType w:val="hybridMultilevel"/>
    <w:lvl w:ilvl="0">
      <w:lvlJc w:val="left"/>
      <w:lvlText w:val="(%1)"/>
      <w:numFmt w:val="lowerLetter"/>
      <w:start w:val="1"/>
    </w:lvl>
  </w:abstractNum>
  <w:abstractNum w:abstractNumId="24">
    <w:nsid w:val="5675FF36"/>
    <w:multiLevelType w:val="hybridMultilevel"/>
    <w:lvl w:ilvl="0">
      <w:lvlJc w:val="left"/>
      <w:lvlText w:val="(%1)"/>
      <w:numFmt w:val="decimal"/>
      <w:start w:val="1"/>
    </w:lvl>
  </w:abstractNum>
  <w:abstractNum w:abstractNumId="25">
    <w:nsid w:val="3DD15094"/>
    <w:multiLevelType w:val="hybridMultilevel"/>
    <w:lvl w:ilvl="0">
      <w:lvlJc w:val="left"/>
      <w:lvlText w:val="(%1)"/>
      <w:numFmt w:val="decimal"/>
      <w:start w:val="3"/>
    </w:lvl>
  </w:abstractNum>
  <w:abstractNum w:abstractNumId="26">
    <w:nsid w:val="3DB012B3"/>
    <w:multiLevelType w:val="hybridMultilevel"/>
    <w:lvl w:ilvl="0">
      <w:lvlJc w:val="left"/>
      <w:lvlText w:val="(%1)"/>
      <w:numFmt w:val="decimal"/>
      <w:start w:val="14"/>
    </w:lvl>
  </w:abstractNum>
  <w:abstractNum w:abstractNumId="27">
    <w:nsid w:val="2708C9AF"/>
    <w:multiLevelType w:val="hybridMultilevel"/>
    <w:lvl w:ilvl="0">
      <w:lvlJc w:val="left"/>
      <w:lvlText w:val="(%1)"/>
      <w:numFmt w:val="lowerLetter"/>
      <w:start w:val="2"/>
    </w:lvl>
  </w:abstractNum>
  <w:abstractNum w:abstractNumId="28">
    <w:nsid w:val="5B25ACE2"/>
    <w:multiLevelType w:val="hybridMultilevel"/>
    <w:lvl w:ilvl="0">
      <w:lvlJc w:val="left"/>
      <w:lvlText w:val="(%1)"/>
      <w:numFmt w:val="lowerLetter"/>
      <w:start w:val="3"/>
    </w:lvl>
  </w:abstractNum>
  <w:abstractNum w:abstractNumId="29">
    <w:nsid w:val="175DFCF0"/>
    <w:multiLevelType w:val="hybridMultilevel"/>
    <w:lvl w:ilvl="0">
      <w:lvlJc w:val="left"/>
      <w:lvlText w:val="(%1)"/>
      <w:numFmt w:val="lowerLetter"/>
      <w:start w:val="1"/>
    </w:lvl>
    <w:lvl w:ilvl="1">
      <w:lvlJc w:val="left"/>
      <w:lvlText w:val="(%2)"/>
      <w:numFmt w:val="decimal"/>
      <w:start w:val="1"/>
    </w:lvl>
  </w:abstractNum>
  <w:abstractNum w:abstractNumId="30">
    <w:nsid w:val="4F97E3E4"/>
    <w:multiLevelType w:val="hybridMultilevel"/>
    <w:lvl w:ilvl="0">
      <w:lvlJc w:val="left"/>
      <w:lvlText w:val="(%1)"/>
      <w:numFmt w:val="decimal"/>
      <w:start w:val="2"/>
    </w:lvl>
  </w:abstractNum>
  <w:abstractNum w:abstractNumId="31">
    <w:nsid w:val="53B0A9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2">
    <w:nsid w:val="34FD6B4F"/>
    <w:multiLevelType w:val="hybridMultilevel"/>
    <w:lvl w:ilvl="0">
      <w:lvlJc w:val="left"/>
      <w:lvlText w:val="(%1)"/>
      <w:numFmt w:val="lowerRoman"/>
      <w:start w:val="1"/>
    </w:lvl>
  </w:abstractNum>
  <w:abstractNum w:abstractNumId="33">
    <w:nsid w:val="5915FF32"/>
    <w:multiLevelType w:val="hybridMultilevel"/>
    <w:lvl w:ilvl="0">
      <w:lvlJc w:val="left"/>
      <w:lvlText w:val="%1"/>
      <w:numFmt w:val="upperLetter"/>
      <w:start w:val="1"/>
    </w:lvl>
    <w:lvl w:ilvl="1">
      <w:lvlJc w:val="left"/>
      <w:lvlText w:val="(%2)"/>
      <w:numFmt w:val="lowerRoman"/>
      <w:start w:val="2"/>
    </w:lvl>
  </w:abstractNum>
  <w:abstractNum w:abstractNumId="34">
    <w:nsid w:val="56438D15"/>
    <w:multiLevelType w:val="hybridMultilevel"/>
    <w:lvl w:ilvl="0">
      <w:lvlJc w:val="left"/>
      <w:lvlText w:val="(%1)"/>
      <w:numFmt w:val="upperLetter"/>
      <w:start w:val="2"/>
    </w:lvl>
    <w:lvl w:ilvl="1">
      <w:lvlJc w:val="left"/>
      <w:lvlText w:val="(%2)"/>
      <w:numFmt w:val="lowerRoman"/>
      <w:start w:val="1"/>
    </w:lvl>
  </w:abstractNum>
  <w:abstractNum w:abstractNumId="35">
    <w:nsid w:val="519E3149"/>
    <w:multiLevelType w:val="hybridMultilevel"/>
    <w:lvl w:ilvl="0">
      <w:lvlJc w:val="left"/>
      <w:lvlText w:val="(%1)"/>
      <w:numFmt w:val="decimal"/>
      <w:start w:val="3"/>
    </w:lvl>
    <w:lvl w:ilvl="1">
      <w:lvlJc w:val="left"/>
      <w:lvlText w:val="(%2)"/>
      <w:numFmt w:val="upperLetter"/>
      <w:start w:val="1"/>
    </w:lvl>
  </w:abstractNum>
  <w:abstractNum w:abstractNumId="36">
    <w:nsid w:val="2C6E4AFD"/>
    <w:multiLevelType w:val="hybridMultilevel"/>
    <w:lvl w:ilvl="0">
      <w:lvlJc w:val="left"/>
      <w:lvlText w:val="(%1)"/>
      <w:numFmt w:val="decimal"/>
      <w:start w:val="3"/>
    </w:lvl>
    <w:lvl w:ilvl="1">
      <w:lvlJc w:val="left"/>
      <w:lvlText w:val="%2"/>
      <w:numFmt w:val="upperLetter"/>
      <w:start w:val="1"/>
    </w:lvl>
  </w:abstractNum>
  <w:abstractNum w:abstractNumId="37">
    <w:nsid w:val="17A1B582"/>
    <w:multiLevelType w:val="hybridMultilevel"/>
    <w:lvl w:ilvl="0">
      <w:lvlJc w:val="left"/>
      <w:lvlText w:val="(%1)"/>
      <w:numFmt w:val="upperLetter"/>
      <w:start w:val="1"/>
    </w:lvl>
    <w:lvl w:ilvl="1">
      <w:lvlJc w:val="left"/>
      <w:lvlText w:val="(%2)"/>
      <w:numFmt w:val="lowerRoman"/>
      <w:start w:val="1"/>
    </w:lvl>
  </w:abstractNum>
  <w:abstractNum w:abstractNumId="38">
    <w:nsid w:val="4DF72E4E"/>
    <w:multiLevelType w:val="hybridMultilevel"/>
    <w:lvl w:ilvl="0">
      <w:lvlJc w:val="left"/>
      <w:lvlText w:val="(%1)"/>
      <w:numFmt w:val="lowerLetter"/>
      <w:start w:val="3"/>
    </w:lvl>
    <w:lvl w:ilvl="1">
      <w:lvlJc w:val="left"/>
      <w:lvlText w:val="(%2)"/>
      <w:numFmt w:val="decimal"/>
      <w:start w:val="1"/>
    </w:lvl>
  </w:abstractNum>
  <w:abstractNum w:abstractNumId="39">
    <w:nsid w:val="5046B5A9"/>
    <w:multiLevelType w:val="hybridMultilevel"/>
    <w:lvl w:ilvl="0">
      <w:lvlJc w:val="left"/>
      <w:lvlText w:val="(%1)"/>
      <w:numFmt w:val="upperLetter"/>
      <w:start w:val="1"/>
    </w:lvl>
  </w:abstractNum>
  <w:abstractNum w:abstractNumId="40">
    <w:nsid w:val="5D888A08"/>
    <w:multiLevelType w:val="hybridMultilevel"/>
    <w:lvl w:ilvl="0">
      <w:lvlJc w:val="left"/>
      <w:lvlText w:val="(%1)"/>
      <w:numFmt w:val="lowerLetter"/>
      <w:start w:val="1"/>
    </w:lvl>
    <w:lvl w:ilvl="1">
      <w:lvlJc w:val="left"/>
      <w:lvlText w:val="(%2)"/>
      <w:numFmt w:val="upperLetter"/>
      <w:start w:val="2"/>
    </w:lvl>
  </w:abstractNum>
  <w:abstractNum w:abstractNumId="41">
    <w:nsid w:val="2A082C70"/>
    <w:multiLevelType w:val="hybridMultilevel"/>
    <w:lvl w:ilvl="0">
      <w:lvlJc w:val="left"/>
      <w:lvlText w:val="%1"/>
      <w:numFmt w:val="lowerLetter"/>
      <w:start w:val="1"/>
    </w:lvl>
    <w:lvl w:ilvl="1">
      <w:lvlJc w:val="left"/>
      <w:lvlText w:val="(%2)"/>
      <w:numFmt w:val="upperLetter"/>
      <w:start w:val="4"/>
    </w:lvl>
  </w:abstractNum>
  <w:abstractNum w:abstractNumId="42">
    <w:nsid w:val="5EC6AFD4"/>
    <w:multiLevelType w:val="hybridMultilevel"/>
    <w:lvl w:ilvl="0">
      <w:lvlJc w:val="left"/>
      <w:lvlText w:val="(%1)"/>
      <w:numFmt w:val="lowerLetter"/>
      <w:start w:val="1"/>
    </w:lvl>
    <w:lvl w:ilvl="1">
      <w:lvlJc w:val="left"/>
      <w:lvlText w:val="(%2)"/>
      <w:numFmt w:val="upperLetter"/>
      <w:start w:val="5"/>
    </w:lvl>
  </w:abstractNum>
  <w:abstractNum w:abstractNumId="43">
    <w:nsid w:val="19E21BB2"/>
    <w:multiLevelType w:val="hybridMultilevel"/>
    <w:lvl w:ilvl="0">
      <w:lvlJc w:val="left"/>
      <w:lvlText w:val="(%1)"/>
      <w:numFmt w:val="decimal"/>
      <w:start w:val="2"/>
    </w:lvl>
  </w:abstractNum>
  <w:abstractNum w:abstractNumId="44">
    <w:nsid w:val="75E0858A"/>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45">
    <w:nsid w:val="57A61A29"/>
    <w:multiLevelType w:val="hybridMultilevel"/>
    <w:lvl w:ilvl="0">
      <w:lvlJc w:val="left"/>
      <w:lvlText w:val="(%1)"/>
      <w:numFmt w:val="lowerRoman"/>
      <w:start w:val="3"/>
    </w:lvl>
    <w:lvl w:ilvl="1">
      <w:lvlJc w:val="left"/>
      <w:lvlText w:val="(%2)"/>
      <w:numFmt w:val="upperLetter"/>
      <w:start w:val="2"/>
    </w:lvl>
    <w:lvl w:ilvl="2">
      <w:lvlJc w:val="left"/>
      <w:lvlText w:val="(%3)"/>
      <w:numFmt w:val="lowerRoman"/>
      <w:start w:val="1"/>
    </w:lvl>
  </w:abstractNum>
  <w:abstractNum w:abstractNumId="46">
    <w:nsid w:val="5399C654"/>
    <w:multiLevelType w:val="hybridMultilevel"/>
    <w:lvl w:ilvl="0">
      <w:lvlJc w:val="left"/>
      <w:lvlText w:val="(%1)"/>
      <w:numFmt w:val="decimal"/>
      <w:start w:val="3"/>
    </w:lvl>
  </w:abstractNum>
  <w:abstractNum w:abstractNumId="47">
    <w:nsid w:val="20EE1348"/>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8">
    <w:nsid w:val="4427069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6"/>
    </w:lvl>
  </w:abstractNum>
  <w:abstractNum w:abstractNumId="49">
    <w:nsid w:val="B37E80A"/>
    <w:multiLevelType w:val="hybridMultilevel"/>
    <w:lvl w:ilvl="0">
      <w:lvlJc w:val="left"/>
      <w:lvlText w:val="(%1)"/>
      <w:numFmt w:val="upperLetter"/>
      <w:start w:val="1"/>
    </w:lvl>
    <w:lvl w:ilvl="1">
      <w:lvlJc w:val="left"/>
      <w:lvlText w:val="(%2)"/>
      <w:numFmt w:val="decimal"/>
      <w:start w:val="2"/>
    </w:lvl>
  </w:abstractNum>
  <w:abstractNum w:abstractNumId="50">
    <w:nsid w:val="2157F6BC"/>
    <w:multiLevelType w:val="hybridMultilevel"/>
    <w:lvl w:ilvl="0">
      <w:lvlJc w:val="left"/>
      <w:lvlText w:val="(%1)"/>
      <w:numFmt w:val="upperLetter"/>
      <w:start w:val="1"/>
    </w:lvl>
    <w:lvl w:ilvl="1">
      <w:lvlJc w:val="left"/>
      <w:lvlText w:val="(%2)"/>
      <w:numFmt w:val="lowerRoman"/>
      <w:start w:val="1"/>
    </w:lvl>
  </w:abstractNum>
  <w:abstractNum w:abstractNumId="51">
    <w:nsid w:val="704E1DD5"/>
    <w:multiLevelType w:val="hybridMultilevel"/>
    <w:lvl w:ilvl="0">
      <w:lvlJc w:val="left"/>
      <w:lvlText w:val="(%1)"/>
      <w:numFmt w:val="decimal"/>
      <w:start w:val="3"/>
    </w:lvl>
  </w:abstractNum>
  <w:abstractNum w:abstractNumId="52">
    <w:nsid w:val="57D2F10E"/>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53">
    <w:nsid w:val="BFFAE18"/>
    <w:multiLevelType w:val="hybridMultilevel"/>
    <w:lvl w:ilvl="0">
      <w:lvlJc w:val="left"/>
      <w:lvlText w:val="(%1)"/>
      <w:numFmt w:val="lowerRoman"/>
      <w:start w:val="1"/>
    </w:lvl>
  </w:abstractNum>
  <w:abstractNum w:abstractNumId="54">
    <w:nsid w:val="E3E47A8"/>
    <w:multiLevelType w:val="hybridMultilevel"/>
    <w:lvl w:ilvl="0">
      <w:lvlJc w:val="left"/>
      <w:lvlText w:val="(%1)"/>
      <w:numFmt w:val="lowerRoman"/>
      <w:start w:val="2"/>
    </w:lvl>
  </w:abstractNum>
  <w:abstractNum w:abstractNumId="55">
    <w:nsid w:val="2E48F044"/>
    <w:multiLevelType w:val="hybridMultilevel"/>
    <w:lvl w:ilvl="0">
      <w:lvlJc w:val="left"/>
      <w:lvlText w:val="(%1)"/>
      <w:numFmt w:val="decimal"/>
      <w:start w:val="3"/>
    </w:lvl>
  </w:abstractNum>
  <w:abstractNum w:abstractNumId="56">
    <w:nsid w:val="49D0FEAC"/>
    <w:multiLevelType w:val="hybridMultilevel"/>
    <w:lvl w:ilvl="0">
      <w:lvlJc w:val="left"/>
      <w:lvlText w:val="(%1)"/>
      <w:numFmt w:val="lowerLetter"/>
      <w:start w:val="6"/>
    </w:lvl>
    <w:lvl w:ilvl="1">
      <w:lvlJc w:val="left"/>
      <w:lvlText w:val="(%2)"/>
      <w:numFmt w:val="decimal"/>
      <w:start w:val="1"/>
    </w:lvl>
  </w:abstractNum>
  <w:abstractNum w:abstractNumId="57">
    <w:nsid w:val="4BEE5A5B"/>
    <w:multiLevelType w:val="hybridMultilevel"/>
    <w:lvl w:ilvl="0">
      <w:lvlJc w:val="left"/>
      <w:lvlText w:val="(%1)"/>
      <w:numFmt w:val="lowerLetter"/>
      <w:start w:val="7"/>
    </w:lvl>
  </w:abstractNum>
  <w:abstractNum w:abstractNumId="58">
    <w:nsid w:val="5551B9F3"/>
    <w:multiLevelType w:val="hybridMultilevel"/>
    <w:lvl w:ilvl="0">
      <w:lvlJc w:val="left"/>
      <w:lvlText w:val="(%1)"/>
      <w:numFmt w:val="decimal"/>
      <w:start w:val="1"/>
    </w:lvl>
    <w:lvl w:ilvl="1">
      <w:lvlJc w:val="left"/>
      <w:lvlText w:val="(%2)"/>
      <w:numFmt w:val="upperLetter"/>
      <w:start w:val="1"/>
    </w:lvl>
  </w:abstractNum>
  <w:abstractNum w:abstractNumId="59">
    <w:nsid w:val="24F6AB8E"/>
    <w:multiLevelType w:val="hybridMultilevel"/>
    <w:lvl w:ilvl="0">
      <w:lvlJc w:val="left"/>
      <w:lvlText w:val="(%1)"/>
      <w:numFmt w:val="upperLetter"/>
      <w:start w:val="3"/>
    </w:lvl>
    <w:lvl w:ilvl="1">
      <w:lvlJc w:val="left"/>
      <w:lvlText w:val="(%2)"/>
      <w:numFmt w:val="upperLetter"/>
      <w:start w:val="2"/>
    </w:lvl>
  </w:abstractNum>
  <w:abstractNum w:abstractNumId="60">
    <w:nsid w:val="634C574C"/>
    <w:multiLevelType w:val="hybridMultilevel"/>
    <w:lvl w:ilvl="0">
      <w:lvlJc w:val="left"/>
      <w:lvlText w:val="(%1)"/>
      <w:numFmt w:val="decimal"/>
      <w:start w:val="2"/>
    </w:lvl>
  </w:abstractNum>
  <w:abstractNum w:abstractNumId="61">
    <w:nsid w:val="24E99DD7"/>
    <w:multiLevelType w:val="hybridMultilevel"/>
    <w:lvl w:ilvl="0">
      <w:lvlJc w:val="left"/>
      <w:lvlText w:val="(%1)"/>
      <w:numFmt w:val="decimal"/>
      <w:start w:val="3"/>
    </w:lvl>
  </w:abstractNum>
  <w:abstractNum w:abstractNumId="62">
    <w:nsid w:val="2A31B62D"/>
    <w:multiLevelType w:val="hybridMultilevel"/>
    <w:lvl w:ilvl="0">
      <w:lvlJc w:val="left"/>
      <w:lvlText w:val="(%1)"/>
      <w:numFmt w:val="lowerLetter"/>
      <w:start w:val="8"/>
    </w:lvl>
    <w:lvl w:ilvl="1">
      <w:lvlJc w:val="left"/>
      <w:lvlText w:val="(%2)"/>
      <w:numFmt w:val="decimal"/>
      <w:start w:val="1"/>
    </w:lvl>
  </w:abstractNum>
  <w:abstractNum w:abstractNumId="63">
    <w:nsid w:val="1849C29B"/>
    <w:multiLevelType w:val="hybridMultilevel"/>
    <w:lvl w:ilvl="0">
      <w:lvlJc w:val="left"/>
      <w:lvlText w:val="(%1)"/>
      <w:numFmt w:val="decimal"/>
      <w:start w:val="3"/>
    </w:lvl>
    <w:lvl w:ilvl="1">
      <w:lvlJc w:val="left"/>
      <w:lvlText w:val="(%2)"/>
      <w:numFmt w:val="upperLetter"/>
      <w:start w:val="1"/>
    </w:lvl>
  </w:abstractNum>
  <w:abstractNum w:abstractNumId="64">
    <w:nsid w:val="7DFF9D09"/>
    <w:multiLevelType w:val="hybridMultilevel"/>
    <w:lvl w:ilvl="0">
      <w:lvlJc w:val="left"/>
      <w:lvlText w:val="(%1)"/>
      <w:numFmt w:val="lowerLetter"/>
      <w:start w:val="1"/>
    </w:lvl>
  </w:abstractNum>
  <w:abstractNum w:abstractNumId="65">
    <w:nsid w:val="754342"/>
    <w:multiLevelType w:val="hybridMultilevel"/>
    <w:lvl w:ilvl="0">
      <w:lvlJc w:val="left"/>
      <w:lvlText w:val="(%1)"/>
      <w:numFmt w:val="decimal"/>
      <w:start w:val="1"/>
    </w:lvl>
  </w:abstractNum>
  <w:abstractNum w:abstractNumId="66">
    <w:nsid w:val="69E7F3E5"/>
    <w:multiLevelType w:val="hybridMultilevel"/>
    <w:lvl w:ilvl="0">
      <w:lvlJc w:val="left"/>
      <w:lvlText w:val="(%1)"/>
      <w:numFmt w:val="decimal"/>
      <w:start w:val="3"/>
    </w:lvl>
  </w:abstractNum>
  <w:abstractNum w:abstractNumId="67">
    <w:nsid w:val="2A6DE806"/>
    <w:multiLevelType w:val="hybridMultilevel"/>
    <w:lvl w:ilvl="0">
      <w:lvlJc w:val="left"/>
      <w:lvlText w:val="(%1)"/>
      <w:numFmt w:val="decimal"/>
      <w:start w:val="1"/>
    </w:lvl>
  </w:abstractNum>
  <w:abstractNum w:abstractNumId="68">
    <w:nsid w:val="1816F8C4"/>
    <w:multiLevelType w:val="hybridMultilevel"/>
    <w:lvl w:ilvl="0">
      <w:lvlJc w:val="left"/>
      <w:lvlText w:val="(%1)"/>
      <w:numFmt w:val="decimal"/>
      <w:start w:val="2"/>
    </w:lvl>
  </w:abstractNum>
  <w:abstractNum w:abstractNumId="69">
    <w:nsid w:val="37DF2233"/>
    <w:multiLevelType w:val="hybridMultilevel"/>
    <w:lvl w:ilvl="0">
      <w:lvlJc w:val="left"/>
      <w:lvlText w:val="(%1)"/>
      <w:numFmt w:val="decimal"/>
      <w:start w:val="3"/>
    </w:lvl>
  </w:abstractNum>
  <w:abstractNum w:abstractNumId="70">
    <w:nsid w:val="7AB49DAF"/>
    <w:multiLevelType w:val="hybridMultilevel"/>
    <w:lvl w:ilvl="0">
      <w:lvlJc w:val="left"/>
      <w:lvlText w:val="(%1)"/>
      <w:numFmt w:val="decimal"/>
      <w:start w:val="6"/>
    </w:lvl>
  </w:abstractNum>
  <w:abstractNum w:abstractNumId="71">
    <w:nsid w:val="759F82CD"/>
    <w:multiLevelType w:val="hybridMultilevel"/>
    <w:lvl w:ilvl="0">
      <w:lvlJc w:val="left"/>
      <w:lvlText w:val="(%1)"/>
      <w:numFmt w:val="lowerLetter"/>
      <w:start w:val="1"/>
    </w:lvl>
    <w:lvl w:ilvl="1">
      <w:lvlJc w:val="left"/>
      <w:lvlText w:val="(%2)"/>
      <w:numFmt w:val="decimal"/>
      <w:start w:val="1"/>
    </w:lvl>
  </w:abstractNum>
  <w:abstractNum w:abstractNumId="72">
    <w:nsid w:val="61E74EA3"/>
    <w:multiLevelType w:val="hybridMultilevel"/>
    <w:lvl w:ilvl="0">
      <w:lvlJc w:val="left"/>
      <w:lvlText w:val="(%1)"/>
      <w:numFmt w:val="lowerLetter"/>
      <w:start w:val="5"/>
    </w:lvl>
  </w:abstractNum>
  <w:abstractNum w:abstractNumId="73">
    <w:nsid w:val="597B4D84"/>
    <w:multiLevelType w:val="hybridMultilevel"/>
    <w:lvl w:ilvl="0">
      <w:lvlJc w:val="left"/>
      <w:lvlText w:val="(%1)"/>
      <w:numFmt w:val="lowerLetter"/>
      <w:start w:val="1"/>
    </w:lvl>
    <w:lvl w:ilvl="1">
      <w:lvlJc w:val="left"/>
      <w:lvlText w:val="(%2)"/>
      <w:numFmt w:val="decimal"/>
      <w:start w:val="1"/>
    </w:lvl>
  </w:abstractNum>
  <w:abstractNum w:abstractNumId="74">
    <w:nsid w:val="F819E7F"/>
    <w:multiLevelType w:val="hybridMultilevel"/>
    <w:lvl w:ilvl="0">
      <w:lvlJc w:val="left"/>
      <w:lvlText w:val="(%1)"/>
      <w:numFmt w:val="lowerLetter"/>
      <w:start w:val="2"/>
    </w:lvl>
  </w:abstractNum>
  <w:abstractNum w:abstractNumId="75">
    <w:nsid w:val="57C7D42D"/>
    <w:multiLevelType w:val="hybridMultilevel"/>
    <w:lvl w:ilvl="0">
      <w:lvlJc w:val="left"/>
      <w:lvlText w:val="(%1)"/>
      <w:numFmt w:val="lowerLetter"/>
      <w:start w:val="3"/>
    </w:lvl>
  </w:abstractNum>
  <w:abstractNum w:abstractNumId="76">
    <w:nsid w:val="312167AD"/>
    <w:multiLevelType w:val="hybridMultilevel"/>
    <w:lvl w:ilvl="0">
      <w:lvlJc w:val="left"/>
      <w:lvlText w:val="(%1)"/>
      <w:numFmt w:val="lowerLetter"/>
      <w:start w:val="1"/>
    </w:lvl>
  </w:abstractNum>
  <w:abstractNum w:abstractNumId="77">
    <w:nsid w:val="631B64D4"/>
    <w:multiLevelType w:val="hybridMultilevel"/>
    <w:lvl w:ilvl="0">
      <w:lvlJc w:val="left"/>
      <w:lvlText w:val="%1"/>
      <w:numFmt w:val="lowerLetter"/>
      <w:start w:val="1"/>
    </w:lvl>
    <w:lvl w:ilvl="1">
      <w:lvlJc w:val="left"/>
      <w:lvlText w:val="(%2)"/>
      <w:numFmt w:val="decimal"/>
      <w:start w:val="1"/>
    </w:lvl>
  </w:abstractNum>
  <w:abstractNum w:abstractNumId="78">
    <w:nsid w:val="78B5E776"/>
    <w:multiLevelType w:val="hybridMultilevel"/>
    <w:lvl w:ilvl="0">
      <w:lvlJc w:val="left"/>
      <w:lvlText w:val="(%1)"/>
      <w:numFmt w:val="lowerLetter"/>
      <w:start w:val="2"/>
    </w:lvl>
    <w:lvl w:ilvl="1">
      <w:lvlJc w:val="left"/>
      <w:lvlText w:val="(%2)"/>
      <w:numFmt w:val="decimal"/>
      <w:start w:val="4"/>
    </w:lvl>
  </w:abstractNum>
  <w:abstractNum w:abstractNumId="79">
    <w:nsid w:val="75486E47"/>
    <w:multiLevelType w:val="hybridMultilevel"/>
    <w:lvl w:ilvl="0">
      <w:lvlJc w:val="left"/>
      <w:lvlText w:val="(%1)"/>
      <w:numFmt w:val="decimal"/>
      <w:start w:val="5"/>
    </w:lvl>
  </w:abstractNum>
  <w:abstractNum w:abstractNumId="80">
    <w:nsid w:val="6E534CDE"/>
    <w:multiLevelType w:val="hybridMultilevel"/>
    <w:lvl w:ilvl="0">
      <w:lvlJc w:val="left"/>
      <w:lvlText w:val="(%1)"/>
      <w:numFmt w:val="decimal"/>
      <w:start w:val="11"/>
    </w:lvl>
  </w:abstractNum>
  <w:abstractNum w:abstractNumId="81">
    <w:nsid w:val="1A0DDE32"/>
    <w:multiLevelType w:val="hybridMultilevel"/>
    <w:lvl w:ilvl="0">
      <w:lvlJc w:val="left"/>
      <w:lvlText w:val="(%1)"/>
      <w:numFmt w:val="decimal"/>
      <w:start w:val="1"/>
    </w:lvl>
  </w:abstractNum>
  <w:abstractNum w:abstractNumId="82">
    <w:nsid w:val="65968C1C"/>
    <w:multiLevelType w:val="hybridMultilevel"/>
    <w:lvl w:ilvl="0">
      <w:lvlJc w:val="left"/>
      <w:lvlText w:val="(%1)"/>
      <w:numFmt w:val="lowerLetter"/>
      <w:start w:val="1"/>
    </w:lvl>
    <w:lvl w:ilvl="1">
      <w:lvlJc w:val="left"/>
      <w:lvlText w:val="(%2)"/>
      <w:numFmt w:val="decimal"/>
      <w:start w:val="1"/>
    </w:lvl>
  </w:abstractNum>
  <w:abstractNum w:abstractNumId="83">
    <w:nsid w:val="46263DEC"/>
    <w:multiLevelType w:val="hybridMultilevel"/>
    <w:lvl w:ilvl="0">
      <w:lvlJc w:val="left"/>
      <w:lvlText w:val="(%1)"/>
      <w:numFmt w:val="decimal"/>
      <w:start w:val="2"/>
    </w:lvl>
  </w:abstractNum>
  <w:abstractNum w:abstractNumId="84">
    <w:nsid w:val="260D8C4A"/>
    <w:multiLevelType w:val="hybridMultilevel"/>
    <w:lvl w:ilvl="0">
      <w:lvlJc w:val="left"/>
      <w:lvlText w:val="(%1)"/>
      <w:numFmt w:val="lowerLetter"/>
      <w:start w:val="2"/>
    </w:lvl>
    <w:lvl w:ilvl="1">
      <w:lvlJc w:val="left"/>
      <w:lvlText w:val="(%2)"/>
      <w:numFmt w:val="decimal"/>
      <w:start w:val="1"/>
    </w:lvl>
  </w:abstractNum>
  <w:abstractNum w:abstractNumId="85">
    <w:nsid w:val="73D4D3C4"/>
    <w:multiLevelType w:val="hybridMultilevel"/>
    <w:lvl w:ilvl="0">
      <w:lvlJc w:val="left"/>
      <w:lvlText w:val="(%1)"/>
      <w:numFmt w:val="lowerLetter"/>
      <w:start w:val="3"/>
    </w:lvl>
  </w:abstractNum>
  <w:abstractNum w:abstractNumId="86">
    <w:nsid w:val="746F2E30"/>
    <w:multiLevelType w:val="hybridMultilevel"/>
    <w:lvl w:ilvl="0">
      <w:lvlJc w:val="left"/>
      <w:lvlText w:val="(%1)"/>
      <w:numFmt w:val="decimal"/>
      <w:start w:val="1"/>
    </w:lvl>
  </w:abstractNum>
  <w:abstractNum w:abstractNumId="87">
    <w:nsid w:val="6FDE8AF6"/>
    <w:multiLevelType w:val="hybridMultilevel"/>
    <w:lvl w:ilvl="0">
      <w:lvlJc w:val="left"/>
      <w:lvlText w:val="(%1)"/>
      <w:numFmt w:val="decimal"/>
      <w:start w:val="2"/>
    </w:lvl>
  </w:abstractNum>
  <w:abstractNum w:abstractNumId="88">
    <w:nsid w:val="3FC32E20"/>
    <w:multiLevelType w:val="hybridMultilevel"/>
    <w:lvl w:ilvl="0">
      <w:lvlJc w:val="left"/>
      <w:lvlText w:val="(%1)"/>
      <w:numFmt w:val="decimal"/>
      <w:start w:val="1"/>
    </w:lvl>
  </w:abstractNum>
  <w:abstractNum w:abstractNumId="89">
    <w:nsid w:val="49C0E823"/>
    <w:multiLevelType w:val="hybridMultilevel"/>
    <w:lvl w:ilvl="0">
      <w:lvlJc w:val="left"/>
      <w:lvlText w:val="(%1)"/>
      <w:numFmt w:val="decimal"/>
      <w:start w:val="1"/>
    </w:lvl>
    <w:lvl w:ilvl="1">
      <w:lvlJc w:val="left"/>
      <w:lvlText w:val="(%2)"/>
      <w:numFmt w:val="upperLetter"/>
      <w:start w:val="1"/>
    </w:lvl>
  </w:abstractNum>
  <w:abstractNum w:abstractNumId="90">
    <w:nsid w:val="14D53685"/>
    <w:multiLevelType w:val="hybridMultilevel"/>
    <w:lvl w:ilvl="0">
      <w:lvlJc w:val="left"/>
      <w:lvlText w:val="(%1)"/>
      <w:numFmt w:val="decimal"/>
      <w:start w:val="1"/>
    </w:lvl>
  </w:abstractNum>
  <w:abstractNum w:abstractNumId="91">
    <w:nsid w:val="230F856C"/>
    <w:multiLevelType w:val="hybridMultilevel"/>
    <w:lvl w:ilvl="0">
      <w:lvlJc w:val="left"/>
      <w:lvlText w:val="(%1)"/>
      <w:numFmt w:val="decimal"/>
      <w:start w:val="2"/>
    </w:lvl>
  </w:abstractNum>
  <w:abstractNum w:abstractNumId="92">
    <w:nsid w:val="6EAA85FB"/>
    <w:multiLevelType w:val="hybridMultilevel"/>
    <w:lvl w:ilvl="0">
      <w:lvlJc w:val="left"/>
      <w:lvlText w:val="(%1)"/>
      <w:numFmt w:val="decimal"/>
      <w:start w:val="1"/>
    </w:lvl>
  </w:abstractNum>
  <w:abstractNum w:abstractNumId="93">
    <w:nsid w:val="3F06ECB2"/>
    <w:multiLevelType w:val="hybridMultilevel"/>
    <w:lvl w:ilvl="0">
      <w:lvlJc w:val="left"/>
      <w:lvlText w:val="(%1)"/>
      <w:numFmt w:val="upperLetter"/>
      <w:start w:val="1"/>
    </w:lvl>
  </w:abstractNum>
  <w:abstractNum w:abstractNumId="94">
    <w:nsid w:val="3B594807"/>
    <w:multiLevelType w:val="hybridMultilevel"/>
    <w:lvl w:ilvl="0">
      <w:lvlJc w:val="left"/>
      <w:lvlText w:val="(%1)"/>
      <w:numFmt w:val="lowerRoman"/>
      <w:start w:val="2"/>
    </w:lvl>
    <w:lvl w:ilvl="1">
      <w:lvlJc w:val="left"/>
      <w:lvlText w:val="(%2)"/>
      <w:numFmt w:val="decimal"/>
      <w:start w:val="5"/>
    </w:lvl>
  </w:abstractNum>
  <w:abstractNum w:abstractNumId="95">
    <w:nsid w:val="6CAA2304"/>
    <w:multiLevelType w:val="hybridMultilevel"/>
    <w:lvl w:ilvl="0">
      <w:lvlJc w:val="left"/>
      <w:lvlText w:val="(%1)"/>
      <w:numFmt w:val="lowerRoman"/>
      <w:start w:val="2"/>
    </w:lvl>
    <w:lvl w:ilvl="1">
      <w:lvlJc w:val="left"/>
      <w:lvlText w:val="%2"/>
      <w:numFmt w:val="decimal"/>
      <w:start w:val="1"/>
    </w:lvl>
  </w:abstractNum>
  <w:abstractNum w:abstractNumId="96">
    <w:nsid w:val="3F7C2FF4"/>
    <w:multiLevelType w:val="hybridMultilevel"/>
    <w:lvl w:ilvl="0">
      <w:lvlJc w:val="left"/>
      <w:lvlText w:val="(%1)"/>
      <w:numFmt w:val="decimal"/>
      <w:start w:val="6"/>
    </w:lvl>
    <w:lvl w:ilvl="1">
      <w:lvlJc w:val="left"/>
      <w:lvlText w:val="(%2)"/>
      <w:numFmt w:val="upperLetter"/>
      <w:start w:val="1"/>
    </w:lvl>
  </w:abstractNum>
  <w:abstractNum w:abstractNumId="97">
    <w:nsid w:val="25413BEC"/>
    <w:multiLevelType w:val="hybridMultilevel"/>
    <w:lvl w:ilvl="0">
      <w:lvlJc w:val="left"/>
      <w:lvlText w:val="(%1)"/>
      <w:numFmt w:val="upperLetter"/>
      <w:start w:val="1"/>
    </w:lvl>
  </w:abstractNum>
  <w:abstractNum w:abstractNumId="98">
    <w:nsid w:val="17180B0B"/>
    <w:multiLevelType w:val="hybridMultilevel"/>
    <w:lvl w:ilvl="0">
      <w:lvlJc w:val="left"/>
      <w:lvlText w:val="(%1)"/>
      <w:numFmt w:val="decimal"/>
      <w:start w:val="1"/>
    </w:lvl>
  </w:abstractNum>
  <w:abstractNum w:abstractNumId="99">
    <w:nsid w:val="579328B9"/>
    <w:multiLevelType w:val="hybridMultilevel"/>
    <w:lvl w:ilvl="0">
      <w:lvlJc w:val="left"/>
      <w:lvlText w:val="(%1)"/>
      <w:numFmt w:val="decimal"/>
      <w:start w:val="3"/>
    </w:lvl>
  </w:abstractNum>
  <w:abstractNum w:abstractNumId="100">
    <w:nsid w:val="5D205E20"/>
    <w:multiLevelType w:val="hybridMultilevel"/>
    <w:lvl w:ilvl="0">
      <w:lvlJc w:val="left"/>
      <w:lvlText w:val="(%1)"/>
      <w:numFmt w:val="decimal"/>
      <w:start w:val="4"/>
    </w:lvl>
  </w:abstractNum>
  <w:abstractNum w:abstractNumId="101">
    <w:nsid w:val="11CCA8BA"/>
    <w:multiLevelType w:val="hybridMultilevel"/>
    <w:lvl w:ilvl="0">
      <w:lvlJc w:val="left"/>
      <w:lvlText w:val="(%1)"/>
      <w:numFmt w:val="decimal"/>
      <w:start w:val="5"/>
    </w:lvl>
  </w:abstractNum>
  <w:abstractNum w:abstractNumId="102">
    <w:nsid w:val="4D32AB86"/>
    <w:multiLevelType w:val="hybridMultilevel"/>
    <w:lvl w:ilvl="0">
      <w:lvlJc w:val="left"/>
      <w:lvlText w:val="(%1)"/>
      <w:numFmt w:val="lowerLetter"/>
      <w:start w:val="1"/>
    </w:lvl>
    <w:lvl w:ilvl="1">
      <w:lvlJc w:val="left"/>
      <w:lvlText w:val="(%2)"/>
      <w:numFmt w:val="decimal"/>
      <w:start w:val="1"/>
    </w:lvl>
  </w:abstractNum>
  <w:abstractNum w:abstractNumId="103">
    <w:nsid w:val="3F07ACC3"/>
    <w:multiLevelType w:val="hybridMultilevel"/>
    <w:lvl w:ilvl="0">
      <w:lvlJc w:val="left"/>
      <w:lvlText w:val="(%1)"/>
      <w:numFmt w:val="lowerLetter"/>
      <w:start w:val="7"/>
    </w:lvl>
  </w:abstractNum>
  <w:abstractNum w:abstractNumId="104">
    <w:nsid w:val="6B47F63E"/>
    <w:multiLevelType w:val="hybridMultilevel"/>
    <w:lvl w:ilvl="0">
      <w:lvlJc w:val="left"/>
      <w:lvlText w:val="(%1)"/>
      <w:numFmt w:val="lowerLetter"/>
      <w:start w:val="1"/>
    </w:lvl>
  </w:abstractNum>
  <w:abstractNum w:abstractNumId="105">
    <w:nsid w:val="5CB44A05"/>
    <w:multiLevelType w:val="hybridMultilevel"/>
    <w:lvl w:ilvl="0">
      <w:lvlJc w:val="left"/>
      <w:lvlText w:val="(%1)"/>
      <w:numFmt w:val="lowerLetter"/>
      <w:start w:val="5"/>
    </w:lvl>
  </w:abstractNum>
  <w:abstractNum w:abstractNumId="106">
    <w:nsid w:val="16CF80F1"/>
    <w:multiLevelType w:val="hybridMultilevel"/>
    <w:lvl w:ilvl="0">
      <w:lvlJc w:val="left"/>
      <w:lvlText w:val="(%1)"/>
      <w:numFmt w:val="lowerLetter"/>
      <w:start w:val="12"/>
    </w:lvl>
  </w:abstractNum>
  <w:abstractNum w:abstractNumId="107">
    <w:nsid w:val="1C695DEC"/>
    <w:multiLevelType w:val="hybridMultilevel"/>
    <w:lvl w:ilvl="0">
      <w:lvlJc w:val="left"/>
      <w:lvlText w:val="(%1)"/>
      <w:numFmt w:val="lowerLetter"/>
      <w:start w:val="13"/>
    </w:lvl>
  </w:abstractNum>
  <w:abstractNum w:abstractNumId="108">
    <w:nsid w:val="3FCFAED9"/>
    <w:multiLevelType w:val="hybridMultilevel"/>
    <w:lvl w:ilvl="0">
      <w:lvlJc w:val="left"/>
      <w:lvlText w:val="(%1)"/>
      <w:numFmt w:val="lowerLetter"/>
      <w:start w:val="1"/>
    </w:lvl>
  </w:abstractNum>
  <w:abstractNum w:abstractNumId="109">
    <w:nsid w:val="F856867"/>
    <w:multiLevelType w:val="hybridMultilevel"/>
    <w:lvl w:ilvl="0">
      <w:lvlJc w:val="left"/>
      <w:lvlText w:val="(%1)"/>
      <w:numFmt w:val="lowerLetter"/>
      <w:start w:val="2"/>
    </w:lvl>
  </w:abstractNum>
  <w:abstractNum w:abstractNumId="110">
    <w:nsid w:val="11B1CC33"/>
    <w:multiLevelType w:val="hybridMultilevel"/>
    <w:lvl w:ilvl="0">
      <w:lvlJc w:val="left"/>
      <w:lvlText w:val="(%1)"/>
      <w:numFmt w:val="lowerLetter"/>
      <w:start w:val="1"/>
    </w:lvl>
  </w:abstractNum>
  <w:abstractNum w:abstractNumId="111">
    <w:nsid w:val="2E22FBB7"/>
    <w:multiLevelType w:val="hybridMultilevel"/>
    <w:lvl w:ilvl="0">
      <w:lvlJc w:val="left"/>
      <w:lvlText w:val="(%1)"/>
      <w:numFmt w:val="lowerLetter"/>
      <w:start w:val="6"/>
    </w:lvl>
  </w:abstractNum>
  <w:abstractNum w:abstractNumId="112">
    <w:nsid w:val="29934699"/>
    <w:multiLevelType w:val="hybridMultilevel"/>
    <w:lvl w:ilvl="0">
      <w:lvlJc w:val="left"/>
      <w:lvlText w:val="(%1)"/>
      <w:numFmt w:val="lowerLetter"/>
      <w:start w:val="1"/>
    </w:lvl>
    <w:lvl w:ilvl="1">
      <w:lvlJc w:val="left"/>
      <w:lvlText w:val="(%2)"/>
      <w:numFmt w:val="decimal"/>
      <w:start w:val="1"/>
    </w:lvl>
  </w:abstractNum>
  <w:abstractNum w:abstractNumId="113">
    <w:nsid w:val="77485850"/>
    <w:multiLevelType w:val="hybridMultilevel"/>
    <w:lvl w:ilvl="0">
      <w:lvlJc w:val="left"/>
      <w:lvlText w:val="(%1)"/>
      <w:numFmt w:val="decimal"/>
      <w:start w:val="1"/>
    </w:lvl>
  </w:abstractNum>
  <w:abstractNum w:abstractNumId="114">
    <w:nsid w:val="744939A3"/>
    <w:multiLevelType w:val="hybridMultilevel"/>
    <w:lvl w:ilvl="0">
      <w:lvlJc w:val="left"/>
      <w:lvlText w:val="(%1)"/>
      <w:numFmt w:val="decimal"/>
      <w:start w:val="2"/>
    </w:lvl>
  </w:abstractNum>
  <w:abstractNum w:abstractNumId="115">
    <w:nsid w:val="4FA0D2E3"/>
    <w:multiLevelType w:val="hybridMultilevel"/>
    <w:lvl w:ilvl="0">
      <w:lvlJc w:val="left"/>
      <w:lvlText w:val="(%1)"/>
      <w:numFmt w:val="decimal"/>
      <w:start w:val="1"/>
    </w:lvl>
  </w:abstractNum>
  <w:abstractNum w:abstractNumId="116">
    <w:nsid w:val="6B1D2C14"/>
    <w:multiLevelType w:val="hybridMultilevel"/>
    <w:lvl w:ilvl="0">
      <w:lvlJc w:val="left"/>
      <w:lvlText w:val="(%1)"/>
      <w:numFmt w:val="upperLetter"/>
      <w:start w:val="1"/>
    </w:lvl>
  </w:abstractNum>
  <w:abstractNum w:abstractNumId="117">
    <w:nsid w:val="68B867D3"/>
    <w:multiLevelType w:val="hybridMultilevel"/>
    <w:lvl w:ilvl="0">
      <w:lvlJc w:val="left"/>
      <w:lvlText w:val="(%1)"/>
      <w:numFmt w:val="decimal"/>
      <w:start w:val="3"/>
    </w:lvl>
  </w:abstractNum>
  <w:abstractNum w:abstractNumId="118">
    <w:nsid w:val="3F7F5DD9"/>
    <w:multiLevelType w:val="hybridMultilevel"/>
    <w:lvl w:ilvl="0">
      <w:lvlJc w:val="left"/>
      <w:lvlText w:val="(%1)"/>
      <w:numFmt w:val="decimal"/>
      <w:start w:val="1"/>
    </w:lvl>
  </w:abstractNum>
  <w:abstractNum w:abstractNumId="119">
    <w:nsid w:val="2AE05A34"/>
    <w:multiLevelType w:val="hybridMultilevel"/>
    <w:lvl w:ilvl="0">
      <w:lvlJc w:val="left"/>
      <w:lvlText w:val="(%1)"/>
      <w:numFmt w:val="decimal"/>
      <w:start w:val="1"/>
    </w:lvl>
  </w:abstractNum>
  <w:abstractNum w:abstractNumId="120">
    <w:nsid w:val="32794FF7"/>
    <w:multiLevelType w:val="hybridMultilevel"/>
    <w:lvl w:ilvl="0">
      <w:lvlJc w:val="left"/>
      <w:lvlText w:val="(%1)"/>
      <w:numFmt w:val="lowerLetter"/>
      <w:start w:val="1"/>
    </w:lvl>
  </w:abstractNum>
  <w:abstractNum w:abstractNumId="121">
    <w:nsid w:val="5454945E"/>
    <w:multiLevelType w:val="hybridMultilevel"/>
    <w:lvl w:ilvl="0">
      <w:lvlJc w:val="left"/>
      <w:lvlText w:val="(%1)"/>
      <w:numFmt w:val="decimal"/>
      <w:start w:val="1"/>
    </w:lvl>
  </w:abstractNum>
  <w:abstractNum w:abstractNumId="122">
    <w:nsid w:val="4DEFDFA0"/>
    <w:multiLevelType w:val="hybridMultilevel"/>
    <w:lvl w:ilvl="0">
      <w:lvlJc w:val="left"/>
      <w:lvlText w:val="(%1)"/>
      <w:numFmt w:val="lowerLetter"/>
      <w:start w:val="2"/>
    </w:lvl>
  </w:abstractNum>
  <w:abstractNum w:abstractNumId="123">
    <w:nsid w:val="2123D5F2"/>
    <w:multiLevelType w:val="hybridMultilevel"/>
    <w:lvl w:ilvl="0">
      <w:lvlJc w:val="left"/>
      <w:lvlText w:val="(%1)"/>
      <w:numFmt w:val="decimal"/>
      <w:start w:val="1"/>
    </w:lvl>
  </w:abstractNum>
  <w:abstractNum w:abstractNumId="124">
    <w:nsid w:val="135B8110"/>
    <w:multiLevelType w:val="hybridMultilevel"/>
    <w:lvl w:ilvl="0">
      <w:lvlJc w:val="left"/>
      <w:lvlText w:val="(%1)"/>
      <w:numFmt w:val="decimal"/>
      <w:start w:val="2"/>
    </w:lvl>
  </w:abstractNum>
  <w:abstractNum w:abstractNumId="125">
    <w:nsid w:val="94927A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6">
    <w:nsid w:val="DCDF8F6"/>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7">
    <w:nsid w:val="52D7B105"/>
    <w:multiLevelType w:val="hybridMultilevel"/>
    <w:lvl w:ilvl="0">
      <w:lvlJc w:val="left"/>
      <w:lvlText w:val="(%1)"/>
      <w:numFmt w:val="lowerLetter"/>
      <w:start w:val="5"/>
    </w:lvl>
  </w:abstractNum>
  <w:abstractNum w:abstractNumId="128">
    <w:nsid w:val="2E8A6394"/>
    <w:multiLevelType w:val="hybridMultilevel"/>
    <w:lvl w:ilvl="0">
      <w:lvlJc w:val="left"/>
      <w:lvlText w:val="(%1)"/>
      <w:numFmt w:val="decimal"/>
      <w:start w:val="1"/>
    </w:lvl>
    <w:lvl w:ilvl="1">
      <w:lvlJc w:val="left"/>
      <w:lvlText w:val="(%2)"/>
      <w:numFmt w:val="lowerLetter"/>
      <w:start w:val="1"/>
    </w:lvl>
  </w:abstractNum>
  <w:abstractNum w:abstractNumId="129">
    <w:nsid w:val="24E60401"/>
    <w:multiLevelType w:val="hybridMultilevel"/>
    <w:lvl w:ilvl="0">
      <w:lvlJc w:val="left"/>
      <w:lvlText w:val="(%1)"/>
      <w:numFmt w:val="decimal"/>
      <w:start w:val="4"/>
    </w:lvl>
  </w:abstractNum>
  <w:abstractNum w:abstractNumId="130">
    <w:nsid w:val="2A6AD9BE"/>
    <w:multiLevelType w:val="hybridMultilevel"/>
    <w:lvl w:ilvl="0">
      <w:lvlJc w:val="left"/>
      <w:lvlText w:val="(%1)"/>
      <w:numFmt w:val="decimal"/>
      <w:start w:val="1"/>
    </w:lvl>
  </w:abstractNum>
  <w:abstractNum w:abstractNumId="131">
    <w:nsid w:val="BAAC1B4"/>
    <w:multiLevelType w:val="hybridMultilevel"/>
    <w:lvl w:ilvl="0">
      <w:lvlJc w:val="left"/>
      <w:lvlText w:val="(%1)"/>
      <w:numFmt w:val="decimal"/>
      <w:start w:val="1"/>
    </w:lvl>
  </w:abstractNum>
  <w:abstractNum w:abstractNumId="132">
    <w:nsid w:val="36B2ACBC"/>
    <w:multiLevelType w:val="hybridMultilevel"/>
    <w:lvl w:ilvl="0">
      <w:lvlJc w:val="left"/>
      <w:lvlText w:val="(%1)"/>
      <w:numFmt w:val="decimal"/>
      <w:start w:val="1"/>
    </w:lvl>
  </w:abstractNum>
  <w:abstractNum w:abstractNumId="133">
    <w:nsid w:val="779D8544"/>
    <w:multiLevelType w:val="hybridMultilevel"/>
    <w:lvl w:ilvl="0">
      <w:lvlJc w:val="left"/>
      <w:lvlText w:val="(%1)"/>
      <w:numFmt w:val="decimal"/>
      <w:start w:val="1"/>
    </w:lvl>
  </w:abstractNum>
  <w:abstractNum w:abstractNumId="134">
    <w:nsid w:val="4AB26E78"/>
    <w:multiLevelType w:val="hybridMultilevel"/>
    <w:lvl w:ilvl="0">
      <w:lvlJc w:val="left"/>
      <w:lvlText w:val="(%1)"/>
      <w:numFmt w:val="decimal"/>
      <w:start w:val="2"/>
    </w:lvl>
  </w:abstractNum>
  <w:abstractNum w:abstractNumId="135">
    <w:nsid w:val="21FAA2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6">
    <w:nsid w:val="5451CF49"/>
    <w:multiLevelType w:val="hybridMultilevel"/>
    <w:lvl w:ilvl="0">
      <w:lvlJc w:val="left"/>
      <w:lvlText w:val="(%1)"/>
      <w:numFmt w:val="lowerLetter"/>
      <w:start w:val="4"/>
    </w:lvl>
  </w:abstractNum>
  <w:abstractNum w:abstractNumId="137">
    <w:nsid w:val="6181EF69"/>
    <w:multiLevelType w:val="hybridMultilevel"/>
    <w:lvl w:ilvl="0">
      <w:lvlJc w:val="left"/>
      <w:lvlText w:val="(%1)"/>
      <w:numFmt w:val="lowerLetter"/>
      <w:start w:val="5"/>
    </w:lvl>
  </w:abstractNum>
  <w:abstractNum w:abstractNumId="138">
    <w:nsid w:val="3E6400E6"/>
    <w:multiLevelType w:val="hybridMultilevel"/>
    <w:lvl w:ilvl="0">
      <w:lvlJc w:val="left"/>
      <w:lvlText w:val="%1"/>
      <w:numFmt w:val="decimal"/>
      <w:start w:val="1"/>
    </w:lvl>
    <w:lvl w:ilvl="1">
      <w:lvlJc w:val="left"/>
      <w:lvlText w:val="(%2)"/>
      <w:numFmt w:val="lowerLetter"/>
      <w:start w:val="6"/>
    </w:lvl>
  </w:abstractNum>
  <w:abstractNum w:abstractNumId="139">
    <w:nsid w:val="14217E23"/>
    <w:multiLevelType w:val="hybridMultilevel"/>
    <w:lvl w:ilvl="0">
      <w:lvlJc w:val="left"/>
      <w:lvlText w:val="(%1)"/>
      <w:numFmt w:val="decimal"/>
      <w:start w:val="6"/>
    </w:lvl>
    <w:lvl w:ilvl="1">
      <w:lvlJc w:val="left"/>
      <w:lvlText w:val="%2"/>
      <w:numFmt w:val="lowerLetter"/>
      <w:start w:val="1"/>
    </w:lvl>
  </w:abstractNum>
  <w:abstractNum w:abstractNumId="140">
    <w:nsid w:val="710757D0"/>
    <w:multiLevelType w:val="hybridMultilevel"/>
    <w:lvl w:ilvl="0">
      <w:lvlJc w:val="left"/>
      <w:lvlText w:val="(%1)"/>
      <w:numFmt w:val="decimal"/>
      <w:start w:val="7"/>
    </w:lvl>
    <w:lvl w:ilvl="1">
      <w:lvlJc w:val="left"/>
      <w:lvlText w:val="(%2)"/>
      <w:numFmt w:val="lowerLetter"/>
      <w:start w:val="1"/>
    </w:lvl>
  </w:abstractNum>
  <w:abstractNum w:abstractNumId="141">
    <w:nsid w:val="5015CD1A"/>
    <w:multiLevelType w:val="hybridMultilevel"/>
    <w:lvl w:ilvl="0">
      <w:lvlJc w:val="left"/>
      <w:lvlText w:val="(%1)"/>
      <w:numFmt w:val="decimal"/>
      <w:start w:val="11"/>
    </w:lvl>
  </w:abstractNum>
  <w:abstractNum w:abstractNumId="142">
    <w:nsid w:val="424479DA"/>
    <w:multiLevelType w:val="hybridMultilevel"/>
    <w:lvl w:ilvl="0">
      <w:lvlJc w:val="left"/>
      <w:lvlText w:val="(%1)"/>
      <w:numFmt w:val="lowerRoman"/>
      <w:start w:val="9"/>
    </w:lvl>
    <w:lvl w:ilvl="1">
      <w:lvlJc w:val="left"/>
      <w:lvlText w:val="(%2)"/>
      <w:numFmt w:val="decimal"/>
      <w:start w:val="12"/>
    </w:lvl>
  </w:abstractNum>
  <w:abstractNum w:abstractNumId="143">
    <w:nsid w:val="1A9A9E69"/>
    <w:multiLevelType w:val="hybridMultilevel"/>
    <w:lvl w:ilvl="0">
      <w:lvlJc w:val="left"/>
      <w:lvlText w:val="(%1)"/>
      <w:numFmt w:val="lowerRoman"/>
      <w:start w:val="7"/>
    </w:lvl>
    <w:lvl w:ilvl="1">
      <w:lvlJc w:val="left"/>
      <w:lvlText w:val="%2"/>
      <w:numFmt w:val="decimal"/>
      <w:start w:val="1"/>
    </w:lvl>
  </w:abstractNum>
  <w:abstractNum w:abstractNumId="144">
    <w:nsid w:val="475E256A"/>
    <w:multiLevelType w:val="hybridMultilevel"/>
    <w:lvl w:ilvl="0">
      <w:lvlJc w:val="left"/>
      <w:lvlText w:val="(%1)"/>
      <w:numFmt w:val="decimal"/>
      <w:start w:val="13"/>
    </w:lvl>
  </w:abstractNum>
  <w:abstractNum w:abstractNumId="145">
    <w:nsid w:val="368DB37E"/>
    <w:multiLevelType w:val="hybridMultilevel"/>
    <w:lvl w:ilvl="0">
      <w:lvlJc w:val="left"/>
      <w:lvlText w:val="(%1)"/>
      <w:numFmt w:val="decimal"/>
      <w:start w:val="16"/>
    </w:lvl>
  </w:abstractNum>
  <w:abstractNum w:abstractNumId="146">
    <w:nsid w:val="6A3B714C"/>
    <w:multiLevelType w:val="hybridMultilevel"/>
    <w:lvl w:ilvl="0">
      <w:lvlJc w:val="left"/>
      <w:lvlText w:val="(%1)"/>
      <w:numFmt w:val="decimal"/>
      <w:start w:val="19"/>
    </w:lvl>
  </w:abstractNum>
  <w:abstractNum w:abstractNumId="147">
    <w:nsid w:val="327B517E"/>
    <w:multiLevelType w:val="hybridMultilevel"/>
    <w:lvl w:ilvl="0">
      <w:lvlJc w:val="left"/>
      <w:lvlText w:val="*"/>
      <w:numFmt w:val="bullet"/>
      <w:start w:val="1"/>
    </w:lvl>
  </w:abstractNum>
  <w:abstractNum w:abstractNumId="148">
    <w:nsid w:val="1F461B51"/>
    <w:multiLevelType w:val="hybridMultilevel"/>
    <w:lvl w:ilvl="0">
      <w:lvlJc w:val="left"/>
      <w:lvlText w:val="*"/>
      <w:numFmt w:val="bullet"/>
      <w:start w:val="1"/>
    </w:lvl>
  </w:abstractNum>
  <w:abstractNum w:abstractNumId="149">
    <w:nsid w:val="29BACF25"/>
    <w:multiLevelType w:val="hybridMultilevel"/>
    <w:lvl w:ilvl="0">
      <w:lvlJc w:val="left"/>
      <w:lvlText w:val="*"/>
      <w:numFmt w:val="bullet"/>
      <w:start w:val="1"/>
    </w:lvl>
  </w:abstractNum>
  <w:abstractNum w:abstractNumId="150">
    <w:nsid w:val="5D5BABB3"/>
    <w:multiLevelType w:val="hybridMultilevel"/>
    <w:lvl w:ilvl="0">
      <w:lvlJc w:val="left"/>
      <w:lvlText w:val="%1."/>
      <w:numFmt w:val="decimal"/>
      <w:start w:val="1"/>
    </w:lvl>
  </w:abstractNum>
  <w:abstractNum w:abstractNumId="151">
    <w:nsid w:val="51BF6B48"/>
    <w:multiLevelType w:val="hybridMultilevel"/>
    <w:lvl w:ilvl="0">
      <w:lvlJc w:val="left"/>
      <w:lvlText w:val="%1."/>
      <w:numFmt w:val="decimal"/>
      <w:start w:val="2"/>
    </w:lvl>
  </w:abstractNum>
  <w:abstractNum w:abstractNumId="152">
    <w:nsid w:val="7E0F6384"/>
    <w:multiLevelType w:val="hybridMultilevel"/>
    <w:lvl w:ilvl="0">
      <w:lvlJc w:val="left"/>
      <w:lvlText w:val="%1."/>
      <w:numFmt w:val="decimal"/>
      <w:start w:val="3"/>
    </w:lvl>
    <w:lvl w:ilvl="1">
      <w:lvlJc w:val="left"/>
      <w:lvlText w:val="(%2)"/>
      <w:numFmt w:val="lowerLetter"/>
      <w:start w:val="1"/>
    </w:lvl>
  </w:abstractNum>
  <w:abstractNum w:abstractNumId="153">
    <w:nsid w:val="2B4B8B53"/>
    <w:multiLevelType w:val="hybridMultilevel"/>
    <w:lvl w:ilvl="0">
      <w:lvlJc w:val="left"/>
      <w:lvlText w:val="(%1)"/>
      <w:numFmt w:val="lowerLetter"/>
      <w:start w:val="2"/>
    </w:lvl>
  </w:abstractNum>
  <w:abstractNum w:abstractNumId="154">
    <w:nsid w:val="72E3413A"/>
    <w:multiLevelType w:val="hybridMultilevel"/>
    <w:lvl w:ilvl="0">
      <w:lvlJc w:val="left"/>
      <w:lvlText w:val="%1"/>
      <w:numFmt w:val="decimal"/>
      <w:start w:val="1"/>
    </w:lvl>
    <w:lvl w:ilvl="1">
      <w:lvlJc w:val="left"/>
      <w:lvlText w:val="(%2)"/>
      <w:numFmt w:val="lowerLetter"/>
      <w:start w:val="4"/>
    </w:lvl>
  </w:abstractNum>
  <w:abstractNum w:abstractNumId="155">
    <w:nsid w:val="116AE494"/>
    <w:multiLevelType w:val="hybridMultilevel"/>
    <w:lvl w:ilvl="0">
      <w:lvlJc w:val="left"/>
      <w:lvlText w:val="%1."/>
      <w:numFmt w:val="decimal"/>
      <w:start w:val="4"/>
    </w:lvl>
    <w:lvl w:ilvl="1">
      <w:lvlJc w:val="left"/>
      <w:lvlText w:val="%2"/>
      <w:numFmt w:val="lowerLetter"/>
      <w:start w:val="1"/>
    </w:lvl>
  </w:abstractNum>
  <w:abstractNum w:abstractNumId="156">
    <w:nsid w:val="3494B2FB"/>
    <w:multiLevelType w:val="hybridMultilevel"/>
    <w:lvl w:ilvl="0">
      <w:lvlJc w:val="left"/>
      <w:lvlText w:val="(%1)"/>
      <w:numFmt w:val="lowerLetter"/>
      <w:start w:val="1"/>
    </w:lvl>
  </w:abstractNum>
  <w:abstractNum w:abstractNumId="157">
    <w:nsid w:val="B13A31"/>
    <w:multiLevelType w:val="hybridMultilevel"/>
    <w:lvl w:ilvl="0">
      <w:lvlJc w:val="left"/>
      <w:lvlText w:val="(%1)"/>
      <w:numFmt w:val="lowerLetter"/>
      <w:start w:val="2"/>
    </w:lvl>
  </w:abstractNum>
  <w:abstractNum w:abstractNumId="158">
    <w:nsid w:val="64429599"/>
    <w:multiLevelType w:val="hybridMultilevel"/>
    <w:lvl w:ilvl="0">
      <w:lvlJc w:val="left"/>
      <w:lvlText w:val="%1."/>
      <w:numFmt w:val="decimal"/>
      <w:start w:val="1"/>
    </w:lvl>
  </w:abstractNum>
  <w:abstractNum w:abstractNumId="159">
    <w:nsid w:val="631F1690"/>
    <w:multiLevelType w:val="hybridMultilevel"/>
    <w:lvl w:ilvl="0">
      <w:lvlJc w:val="left"/>
      <w:lvlText w:val="%1"/>
      <w:numFmt w:val="decimal"/>
      <w:start w:val="1"/>
    </w:lvl>
    <w:lvl w:ilvl="1">
      <w:lvlJc w:val="left"/>
      <w:lvlText w:val="(%2)"/>
      <w:numFmt w:val="lowerLetter"/>
      <w:start w:val="2"/>
    </w:lvl>
  </w:abstractNum>
  <w:abstractNum w:abstractNumId="160">
    <w:nsid w:val="25973E32"/>
    <w:multiLevelType w:val="hybridMultilevel"/>
    <w:lvl w:ilvl="0">
      <w:lvlJc w:val="left"/>
      <w:lvlText w:val="%1."/>
      <w:numFmt w:val="decimal"/>
      <w:start w:val="2"/>
    </w:lvl>
    <w:lvl w:ilvl="1">
      <w:lvlJc w:val="left"/>
      <w:lvlText w:val="%2"/>
      <w:numFmt w:val="lowerLetter"/>
      <w:start w:val="1"/>
    </w:lvl>
  </w:abstractNum>
  <w:abstractNum w:abstractNumId="161">
    <w:nsid w:val="EAD6F57"/>
    <w:multiLevelType w:val="hybridMultilevel"/>
    <w:lvl w:ilvl="0">
      <w:lvlJc w:val="left"/>
      <w:lvlText w:val="(%1)"/>
      <w:numFmt w:val="lowerLetter"/>
      <w:start w:val="2"/>
    </w:lvl>
  </w:abstractNum>
  <w:abstractNum w:abstractNumId="162">
    <w:nsid w:val="6EC9D844"/>
    <w:multiLevelType w:val="hybridMultilevel"/>
    <w:lvl w:ilvl="0">
      <w:lvlJc w:val="left"/>
      <w:lvlText w:val="$"/>
      <w:numFmt w:val="bullet"/>
      <w:start w:val="1"/>
    </w:lvl>
    <w:lvl w:ilvl="1">
      <w:lvlJc w:val="left"/>
      <w:lvlText w:val="%2."/>
      <w:numFmt w:val="decimal"/>
      <w:start w:val="1"/>
    </w:lvl>
  </w:abstractNum>
  <w:abstractNum w:abstractNumId="163">
    <w:nsid w:val="5C49EAEE"/>
    <w:multiLevelType w:val="hybridMultilevel"/>
    <w:lvl w:ilvl="0">
      <w:lvlJc w:val="left"/>
      <w:lvlText w:val="(%1)"/>
      <w:numFmt w:val="lowerLetter"/>
      <w:start w:val="1"/>
    </w:lvl>
  </w:abstractNum>
  <w:abstractNum w:abstractNumId="164">
    <w:nsid w:val="64AF49B"/>
    <w:multiLevelType w:val="hybridMultilevel"/>
    <w:lvl w:ilvl="0">
      <w:lvlJc w:val="left"/>
      <w:lvlText w:val="(%1)"/>
      <w:numFmt w:val="lowerLetter"/>
      <w:start w:val="3"/>
    </w:lvl>
  </w:abstractNum>
  <w:abstractNum w:abstractNumId="165">
    <w:nsid w:val="397C46BC"/>
    <w:multiLevelType w:val="hybridMultilevel"/>
    <w:lvl w:ilvl="0">
      <w:lvlJc w:val="left"/>
      <w:lvlText w:val="%1."/>
      <w:numFmt w:val="decimal"/>
      <w:start w:val="2"/>
    </w:lvl>
  </w:abstractNum>
  <w:abstractNum w:abstractNumId="166">
    <w:nsid w:val="7E448DE9"/>
    <w:multiLevelType w:val="hybridMultilevel"/>
    <w:lvl w:ilvl="0">
      <w:lvlJc w:val="left"/>
      <w:lvlText w:val="(%1)"/>
      <w:numFmt w:val="lowerLetter"/>
      <w:start w:val="1"/>
    </w:lvl>
  </w:abstractNum>
  <w:abstractNum w:abstractNumId="167">
    <w:nsid w:val="5A9CC3E5"/>
    <w:multiLevelType w:val="hybridMultilevel"/>
    <w:lvl w:ilvl="0">
      <w:lvlJc w:val="left"/>
      <w:lvlText w:val="(%1)"/>
      <w:numFmt w:val="lowerLetter"/>
      <w:start w:val="1"/>
    </w:lvl>
  </w:abstractNum>
  <w:abstractNum w:abstractNumId="168">
    <w:nsid w:val="1AFE3625"/>
    <w:multiLevelType w:val="hybridMultilevel"/>
    <w:lvl w:ilvl="0">
      <w:lvlJc w:val="left"/>
      <w:lvlText w:val="%1"/>
      <w:numFmt w:val="upperLetter"/>
      <w:start w:val="1"/>
    </w:lvl>
    <w:lvl w:ilvl="1">
      <w:lvlJc w:val="left"/>
      <w:lvlText w:val="%2."/>
      <w:numFmt w:val="decimal"/>
      <w:start w:val="1"/>
    </w:lvl>
  </w:abstractNum>
  <w:abstractNum w:abstractNumId="169">
    <w:nsid w:val="3CA88ECF"/>
    <w:multiLevelType w:val="hybridMultilevel"/>
    <w:lvl w:ilvl="0">
      <w:lvlJc w:val="left"/>
      <w:lvlText w:val="(%1)"/>
      <w:numFmt w:val="upperLetter"/>
      <w:start w:val="6"/>
    </w:lvl>
    <w:lvl w:ilvl="1">
      <w:lvlJc w:val="left"/>
      <w:lvlText w:val="%2"/>
      <w:numFmt w:val="decimal"/>
      <w:start w:val="1"/>
    </w:lvl>
  </w:abstractNum>
  <w:abstractNum w:abstractNumId="170">
    <w:nsid w:val="6EBE4208"/>
    <w:multiLevelType w:val="hybridMultilevel"/>
    <w:lvl w:ilvl="0">
      <w:lvlJc w:val="left"/>
      <w:lvlText w:val="%1."/>
      <w:numFmt w:val="decimal"/>
      <w:start w:val="3"/>
    </w:lvl>
  </w:abstractNum>
  <w:abstractNum w:abstractNumId="171">
    <w:nsid w:val="C058DF5"/>
    <w:multiLevelType w:val="hybridMultilevel"/>
    <w:lvl w:ilvl="0">
      <w:lvlJc w:val="left"/>
      <w:lvlText w:val="%1."/>
      <w:numFmt w:val="decimal"/>
      <w:start w:val="1"/>
    </w:lvl>
  </w:abstractNum>
  <w:abstractNum w:abstractNumId="172">
    <w:nsid w:val="CBE5BE9"/>
    <w:multiLevelType w:val="hybridMultilevel"/>
    <w:lvl w:ilvl="0">
      <w:lvlJc w:val="left"/>
      <w:lvlText w:val="%1."/>
      <w:numFmt w:val="decimal"/>
      <w:start w:val="5"/>
    </w:lvl>
  </w:abstractNum>
  <w:abstractNum w:abstractNumId="173">
    <w:nsid w:val="3102BBE2"/>
    <w:multiLevelType w:val="hybridMultilevel"/>
    <w:lvl w:ilvl="0">
      <w:lvlJc w:val="left"/>
      <w:lvlText w:val="%1."/>
      <w:numFmt w:val="decimal"/>
      <w:start w:val="1"/>
    </w:lvl>
  </w:abstractNum>
  <w:abstractNum w:abstractNumId="174">
    <w:nsid w:val="26A02C5E"/>
    <w:multiLevelType w:val="hybridMultilevel"/>
    <w:lvl w:ilvl="0">
      <w:lvlJc w:val="left"/>
      <w:lvlText w:val="%1."/>
      <w:numFmt w:val="decimal"/>
      <w:start w:val="2"/>
    </w:lvl>
  </w:abstractNum>
  <w:abstractNum w:abstractNumId="175">
    <w:nsid w:val="541C8153"/>
    <w:multiLevelType w:val="hybridMultilevel"/>
    <w:lvl w:ilvl="0">
      <w:lvlJc w:val="left"/>
      <w:lvlText w:val="(%1)"/>
      <w:numFmt w:val="lowerLetter"/>
      <w:start w:val="1"/>
    </w:lvl>
    <w:lvl w:ilvl="1">
      <w:lvlJc w:val="left"/>
      <w:lvlText w:val="(%2)"/>
      <w:numFmt w:val="lowerRoman"/>
      <w:start w:val="1"/>
    </w:lvl>
  </w:abstractNum>
  <w:abstractNum w:abstractNumId="176">
    <w:nsid w:val="67906F60"/>
    <w:multiLevelType w:val="hybridMultilevel"/>
    <w:lvl w:ilvl="0">
      <w:lvlJc w:val="left"/>
      <w:lvlText w:val="(%1)"/>
      <w:numFmt w:val="lowerLetter"/>
      <w:start w:val="3"/>
    </w:lvl>
    <w:lvl w:ilvl="1">
      <w:lvlJc w:val="left"/>
      <w:lvlText w:val="(%2)"/>
      <w:numFmt w:val="lowerRoman"/>
      <w:start w:val="1"/>
    </w:lvl>
  </w:abstractNum>
  <w:abstractNum w:abstractNumId="177">
    <w:nsid w:val="10DB9DAA"/>
    <w:multiLevelType w:val="hybridMultilevel"/>
    <w:lvl w:ilvl="0">
      <w:lvlJc w:val="left"/>
      <w:lvlText w:val="(%1)"/>
      <w:numFmt w:val="lowerLetter"/>
      <w:start w:val="4"/>
    </w:lvl>
    <w:lvl w:ilvl="1">
      <w:lvlJc w:val="left"/>
      <w:lvlText w:val="(%2)"/>
      <w:numFmt w:val="lowerLetter"/>
      <w:start w:val="9"/>
    </w:lvl>
  </w:abstractNum>
  <w:abstractNum w:abstractNumId="178">
    <w:nsid w:val="697D2D2"/>
    <w:multiLevelType w:val="hybridMultilevel"/>
    <w:lvl w:ilvl="0">
      <w:lvlJc w:val="left"/>
      <w:lvlText w:val="%1"/>
      <w:numFmt w:val="lowerLetter"/>
      <w:start w:val="1"/>
    </w:lvl>
    <w:lvl w:ilvl="1">
      <w:lvlJc w:val="left"/>
      <w:lvlText w:val="(%2)"/>
      <w:numFmt w:val="lowerRoman"/>
      <w:start w:val="2"/>
    </w:lvl>
  </w:abstractNum>
  <w:abstractNum w:abstractNumId="179">
    <w:nsid w:val="6D68AB2"/>
    <w:multiLevelType w:val="hybridMultilevel"/>
    <w:lvl w:ilvl="0">
      <w:lvlJc w:val="left"/>
      <w:lvlText w:val="(%1)"/>
      <w:numFmt w:val="lowerLetter"/>
      <w:start w:val="5"/>
    </w:lvl>
    <w:lvl w:ilvl="1">
      <w:lvlJc w:val="left"/>
      <w:lvlText w:val="(%2)"/>
      <w:numFmt w:val="lowerRoman"/>
      <w:start w:val="1"/>
    </w:lvl>
  </w:abstractNum>
  <w:abstractNum w:abstractNumId="180">
    <w:nsid w:val="3A966CD0"/>
    <w:multiLevelType w:val="hybridMultilevel"/>
    <w:lvl w:ilvl="0">
      <w:lvlJc w:val="left"/>
      <w:lvlText w:val="%1."/>
      <w:numFmt w:val="decimal"/>
      <w:start w:val="3"/>
    </w:lvl>
  </w:abstractNum>
  <w:abstractNum w:abstractNumId="181">
    <w:nsid w:val="63F37E85"/>
    <w:multiLevelType w:val="hybridMultilevel"/>
    <w:lvl w:ilvl="0">
      <w:lvlJc w:val="left"/>
      <w:lvlText w:val="(%1)"/>
      <w:numFmt w:val="lowerLetter"/>
      <w:start w:val="1"/>
    </w:lvl>
  </w:abstractNum>
  <w:abstractNum w:abstractNumId="182">
    <w:nsid w:val="5895F5FA"/>
    <w:multiLevelType w:val="hybridMultilevel"/>
    <w:lvl w:ilvl="0">
      <w:lvlJc w:val="left"/>
      <w:lvlText w:val="(%1)"/>
      <w:numFmt w:val="lowerLetter"/>
      <w:start w:val="4"/>
    </w:lvl>
  </w:abstractNum>
  <w:abstractNum w:abstractNumId="183">
    <w:nsid w:val="38A5D054"/>
    <w:multiLevelType w:val="hybridMultilevel"/>
    <w:lvl w:ilvl="0">
      <w:lvlJc w:val="left"/>
      <w:lvlText w:val="%1."/>
      <w:numFmt w:val="decimal"/>
      <w:start w:val="4"/>
    </w:lvl>
  </w:abstractNum>
  <w:abstractNum w:abstractNumId="184">
    <w:nsid w:val="F3F09D8"/>
    <w:multiLevelType w:val="hybridMultilevel"/>
    <w:lvl w:ilvl="0">
      <w:lvlJc w:val="left"/>
      <w:lvlText w:val="(%1)"/>
      <w:numFmt w:val="lowerLetter"/>
      <w:start w:val="1"/>
    </w:lvl>
    <w:lvl w:ilvl="1">
      <w:lvlJc w:val="left"/>
      <w:lvlText w:val="(%2)"/>
      <w:numFmt w:val="lowerRoman"/>
      <w:start w:val="1"/>
    </w:lvl>
  </w:abstractNum>
  <w:abstractNum w:abstractNumId="185">
    <w:nsid w:val="4B79373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86">
    <w:nsid w:val="4A10B4E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87">
    <w:nsid w:val="43D3BCD4"/>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188">
    <w:nsid w:val="4C2A7166"/>
    <w:multiLevelType w:val="hybridMultilevel"/>
    <w:lvl w:ilvl="0">
      <w:lvlJc w:val="left"/>
      <w:lvlText w:val="%1"/>
      <w:numFmt w:val="lowerLetter"/>
      <w:start w:val="1"/>
    </w:lvl>
    <w:lvl w:ilvl="1">
      <w:lvlJc w:val="left"/>
      <w:lvlText w:val="(%2)"/>
      <w:numFmt w:val="lowerRoman"/>
      <w:start w:val="3"/>
    </w:lvl>
  </w:abstractNum>
  <w:abstractNum w:abstractNumId="189">
    <w:nsid w:val="2E534A82"/>
    <w:multiLevelType w:val="hybridMultilevel"/>
    <w:lvl w:ilvl="0">
      <w:lvlJc w:val="left"/>
      <w:lvlText w:val="(%1)"/>
      <w:numFmt w:val="lowerLetter"/>
      <w:start w:val="4"/>
    </w:lvl>
    <w:lvl w:ilvl="1">
      <w:lvlJc w:val="left"/>
      <w:lvlText w:val="%2"/>
      <w:numFmt w:val="lowerRoman"/>
      <w:start w:val="1"/>
    </w:lvl>
  </w:abstractNum>
  <w:abstractNum w:abstractNumId="190">
    <w:nsid w:val="26F2D364"/>
    <w:multiLevelType w:val="hybridMultilevel"/>
    <w:lvl w:ilvl="0">
      <w:lvlJc w:val="left"/>
      <w:lvlText w:val="(%1)"/>
      <w:numFmt w:val="lowerLetter"/>
      <w:start w:val="7"/>
    </w:lvl>
  </w:abstractNum>
  <w:abstractNum w:abstractNumId="191">
    <w:nsid w:val="71C1AF98"/>
    <w:multiLevelType w:val="hybridMultilevel"/>
    <w:lvl w:ilvl="0">
      <w:lvlJc w:val="left"/>
      <w:lvlText w:val="(%1)"/>
      <w:numFmt w:val="lowerLetter"/>
      <w:start w:val="8"/>
    </w:lvl>
  </w:abstractNum>
  <w:abstractNum w:abstractNumId="192">
    <w:nsid w:val="3D00B9D9"/>
    <w:multiLevelType w:val="hybridMultilevel"/>
    <w:lvl w:ilvl="0">
      <w:lvlJc w:val="left"/>
      <w:lvlText w:val="%1"/>
      <w:numFmt w:val="lowerLetter"/>
      <w:start w:val="1"/>
    </w:lvl>
    <w:lvl w:ilvl="1">
      <w:lvlJc w:val="left"/>
      <w:lvlText w:val="(%2)"/>
      <w:numFmt w:val="lowerLetter"/>
      <w:start w:val="35"/>
    </w:lvl>
  </w:abstractNum>
  <w:abstractNum w:abstractNumId="193">
    <w:nsid w:val="15BCABA8"/>
    <w:multiLevelType w:val="hybridMultilevel"/>
    <w:lvl w:ilvl="0">
      <w:lvlJc w:val="left"/>
      <w:lvlText w:val="(%1)"/>
      <w:numFmt w:val="lowerLetter"/>
      <w:start w:val="12"/>
    </w:lvl>
    <w:lvl w:ilvl="1">
      <w:lvlJc w:val="left"/>
      <w:lvlText w:val="%2"/>
      <w:numFmt w:val="lowerLetter"/>
      <w:start w:val="1"/>
    </w:lvl>
  </w:abstractNum>
  <w:abstractNum w:abstractNumId="194">
    <w:nsid w:val="4E0B9A87"/>
    <w:multiLevelType w:val="hybridMultilevel"/>
    <w:lvl w:ilvl="0">
      <w:lvlJc w:val="left"/>
      <w:lvlText w:val="(%1)"/>
      <w:numFmt w:val="lowerLetter"/>
      <w:start w:val="16"/>
    </w:lvl>
  </w:abstractNum>
  <w:abstractNum w:abstractNumId="195">
    <w:nsid w:val="434BAE75"/>
    <w:multiLevelType w:val="hybridMultilevel"/>
    <w:lvl w:ilvl="0">
      <w:lvlJc w:val="left"/>
      <w:lvlText w:val="(%1)"/>
      <w:numFmt w:val="lowerLetter"/>
      <w:start w:val="17"/>
    </w:lvl>
    <w:lvl w:ilvl="1">
      <w:lvlJc w:val="left"/>
      <w:lvlText w:val="(%2)"/>
      <w:numFmt w:val="lowerRoman"/>
      <w:start w:val="1"/>
    </w:lvl>
  </w:abstractNum>
  <w:abstractNum w:abstractNumId="196">
    <w:nsid w:val="4F38F265"/>
    <w:multiLevelType w:val="hybridMultilevel"/>
    <w:lvl w:ilvl="0">
      <w:lvlJc w:val="left"/>
      <w:lvlText w:val="(%1)"/>
      <w:numFmt w:val="lowerRoman"/>
      <w:start w:val="5"/>
    </w:lvl>
  </w:abstractNum>
  <w:abstractNum w:abstractNumId="197">
    <w:nsid w:val="4C502870"/>
    <w:multiLevelType w:val="hybridMultilevel"/>
    <w:lvl w:ilvl="0">
      <w:lvlJc w:val="left"/>
      <w:lvlText w:val="(%1)"/>
      <w:numFmt w:val="lowerLetter"/>
      <w:start w:val="18"/>
    </w:lvl>
    <w:lvl w:ilvl="1">
      <w:lvlJc w:val="left"/>
      <w:lvlText w:val="(%2)"/>
      <w:numFmt w:val="lowerRoman"/>
      <w:start w:val="1"/>
    </w:lvl>
  </w:abstractNum>
  <w:abstractNum w:abstractNumId="198">
    <w:nsid w:val="1DE8725A"/>
    <w:multiLevelType w:val="hybridMultilevel"/>
    <w:lvl w:ilvl="0">
      <w:lvlJc w:val="left"/>
      <w:lvlText w:val="(%1)"/>
      <w:numFmt w:val="lowerRoman"/>
      <w:start w:val="4"/>
    </w:lvl>
  </w:abstractNum>
  <w:abstractNum w:abstractNumId="199">
    <w:nsid w:val="6A37288A"/>
    <w:multiLevelType w:val="hybridMultilevel"/>
    <w:lvl w:ilvl="0">
      <w:lvlJc w:val="left"/>
      <w:lvlText w:val="(%1)"/>
      <w:numFmt w:val="lowerLetter"/>
      <w:start w:val="19"/>
    </w:lvl>
  </w:abstractNum>
  <w:abstractNum w:abstractNumId="200">
    <w:nsid w:val="8F8B73F"/>
    <w:multiLevelType w:val="hybridMultilevel"/>
    <w:lvl w:ilvl="0">
      <w:lvlJc w:val="left"/>
      <w:lvlText w:val="(%1)"/>
      <w:numFmt w:val="lowerRoman"/>
      <w:start w:val="5"/>
    </w:lvl>
  </w:abstractNum>
  <w:abstractNum w:abstractNumId="201">
    <w:nsid w:val="CA6B462"/>
    <w:multiLevelType w:val="hybridMultilevel"/>
    <w:lvl w:ilvl="0">
      <w:lvlJc w:val="left"/>
      <w:lvlText w:val="%1."/>
      <w:numFmt w:val="decimal"/>
      <w:start w:val="5"/>
    </w:lvl>
  </w:abstractNum>
  <w:abstractNum w:abstractNumId="202">
    <w:nsid w:val="763CB680"/>
    <w:multiLevelType w:val="hybridMultilevel"/>
    <w:lvl w:ilvl="0">
      <w:lvlJc w:val="left"/>
      <w:lvlText w:val="(%1)"/>
      <w:numFmt w:val="lowerLetter"/>
      <w:start w:val="1"/>
    </w:lvl>
  </w:abstractNum>
  <w:abstractNum w:abstractNumId="203">
    <w:nsid w:val="15B71329"/>
    <w:multiLevelType w:val="hybridMultilevel"/>
    <w:lvl w:ilvl="0">
      <w:lvlJc w:val="left"/>
      <w:lvlText w:val="%1"/>
      <w:numFmt w:val="lowerLetter"/>
      <w:start w:val="1"/>
    </w:lvl>
    <w:lvl w:ilvl="1">
      <w:lvlJc w:val="left"/>
      <w:lvlText w:val="(%2)"/>
      <w:numFmt w:val="lowerLetter"/>
      <w:start w:val="2"/>
    </w:lvl>
  </w:abstractNum>
  <w:abstractNum w:abstractNumId="204">
    <w:nsid w:val="3DA97044"/>
    <w:multiLevelType w:val="hybridMultilevel"/>
    <w:lvl w:ilvl="0">
      <w:lvlJc w:val="left"/>
      <w:lvlText w:val="(%1)"/>
      <w:numFmt w:val="lowerLetter"/>
      <w:start w:val="35"/>
    </w:lvl>
    <w:lvl w:ilvl="1">
      <w:lvlJc w:val="left"/>
      <w:lvlText w:val="%2"/>
      <w:numFmt w:val="lowerLetter"/>
      <w:start w:val="1"/>
    </w:lvl>
  </w:abstractNum>
  <w:abstractNum w:abstractNumId="205">
    <w:nsid w:val="1CDCE2DE"/>
    <w:multiLevelType w:val="hybridMultilevel"/>
    <w:lvl w:ilvl="0">
      <w:lvlJc w:val="left"/>
      <w:lvlText w:val="(%1)"/>
      <w:numFmt w:val="lowerLetter"/>
      <w:start w:val="35"/>
    </w:lvl>
    <w:lvl w:ilvl="1">
      <w:lvlJc w:val="left"/>
      <w:lvlText w:val="(%2)"/>
      <w:numFmt w:val="lowerLetter"/>
      <w:start w:val="4"/>
    </w:lvl>
  </w:abstractNum>
  <w:abstractNum w:abstractNumId="206">
    <w:nsid w:val="69D3947C"/>
    <w:multiLevelType w:val="hybridMultilevel"/>
    <w:lvl w:ilvl="0">
      <w:lvlJc w:val="left"/>
      <w:lvlText w:val="(%1)"/>
      <w:numFmt w:val="lowerLetter"/>
      <w:start w:val="5"/>
    </w:lvl>
  </w:abstractNum>
  <w:abstractNum w:abstractNumId="207">
    <w:nsid w:val="2539DFA5"/>
    <w:multiLevelType w:val="hybridMultilevel"/>
    <w:lvl w:ilvl="0">
      <w:lvlJc w:val="left"/>
      <w:lvlText w:val="%1."/>
      <w:numFmt w:val="decimal"/>
      <w:start w:val="7"/>
    </w:lvl>
  </w:abstractNum>
  <w:abstractNum w:abstractNumId="208">
    <w:nsid w:val="2DB88089"/>
    <w:multiLevelType w:val="hybridMultilevel"/>
    <w:lvl w:ilvl="0">
      <w:lvlJc w:val="left"/>
      <w:lvlText w:val="(%1)"/>
      <w:numFmt w:val="lowerLetter"/>
      <w:start w:val="1"/>
    </w:lvl>
  </w:abstractNum>
  <w:abstractNum w:abstractNumId="209">
    <w:nsid w:val="706B674E"/>
    <w:multiLevelType w:val="hybridMultilevel"/>
    <w:lvl w:ilvl="0">
      <w:lvlJc w:val="left"/>
      <w:lvlText w:val="%1."/>
      <w:numFmt w:val="decimal"/>
      <w:start w:val="8"/>
    </w:lvl>
  </w:abstractNum>
  <w:abstractNum w:abstractNumId="210">
    <w:nsid w:val="2C106A57"/>
    <w:multiLevelType w:val="hybridMultilevel"/>
    <w:lvl w:ilvl="0">
      <w:lvlJc w:val="left"/>
      <w:lvlText w:val="(%1)"/>
      <w:numFmt w:val="lowerLetter"/>
      <w:start w:val="2"/>
    </w:lvl>
  </w:abstractNum>
  <w:abstractNum w:abstractNumId="211">
    <w:nsid w:val="684EED59"/>
    <w:multiLevelType w:val="hybridMultilevel"/>
    <w:lvl w:ilvl="0">
      <w:lvlJc w:val="left"/>
      <w:lvlText w:val="%1."/>
      <w:numFmt w:val="decimal"/>
      <w:start w:val="9"/>
    </w:lvl>
  </w:abstractNum>
  <w:abstractNum w:abstractNumId="212">
    <w:nsid w:val="545EE5D3"/>
    <w:multiLevelType w:val="hybridMultilevel"/>
    <w:lvl w:ilvl="0">
      <w:lvlJc w:val="left"/>
      <w:lvlText w:val="%1."/>
      <w:numFmt w:val="decimal"/>
      <w:start w:val="11"/>
    </w:lvl>
  </w:abstractNum>
  <w:abstractNum w:abstractNumId="213">
    <w:nsid w:val="4A66051"/>
    <w:multiLevelType w:val="hybridMultilevel"/>
    <w:lvl w:ilvl="0">
      <w:lvlJc w:val="left"/>
      <w:lvlText w:val="(%1)"/>
      <w:numFmt w:val="lowerLetter"/>
      <w:start w:val="1"/>
    </w:lvl>
  </w:abstractNum>
  <w:abstractNum w:abstractNumId="214">
    <w:nsid w:val="20F4BDAD"/>
    <w:multiLevelType w:val="hybridMultilevel"/>
    <w:lvl w:ilvl="0">
      <w:lvlJc w:val="left"/>
      <w:lvlText w:val="%1."/>
      <w:numFmt w:val="decimal"/>
      <w:start w:val="12"/>
    </w:lvl>
  </w:abstractNum>
  <w:abstractNum w:abstractNumId="215">
    <w:nsid w:val="639DEFA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2019-12-28T19:13:07Z</dcterms:created>
  <dcterms:modified xsi:type="dcterms:W3CDTF">2019-12-28T19:13:07Z</dcterms:modified>
</cp:coreProperties>
</file>