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More Daniel B.</w:t>
              </w:r>
            </w:hyperlink>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72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700" w:type="dxa"/>
            <w:vAlign w:val="bottom"/>
          </w:tcPr>
          <w:p>
            <w:pPr>
              <w:ind w:left="1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vMerge w:val="continue"/>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CLEARWAY ENERGY, INC.</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09/01/2021</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5"/>
            <w:vMerge w:val="restart"/>
          </w:tcPr>
          <w:p>
            <w:pPr>
              <w:spacing w:after="0"/>
              <w:rPr>
                <w:sz w:val="20"/>
                <w:szCs w:val="20"/>
                <w:color w:val="auto"/>
              </w:rPr>
            </w:pPr>
            <w:r>
              <w:rPr>
                <w:rFonts w:ascii="Arial" w:cs="Arial" w:eastAsia="Arial" w:hAnsi="Arial"/>
                <w:sz w:val="17"/>
                <w:szCs w:val="17"/>
                <w:color w:val="0000FF"/>
              </w:rPr>
              <w:t>300 CARNEGIE CENTER, SUITE 300</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5"/>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Arial" w:cs="Arial" w:eastAsia="Arial" w:hAnsi="Arial"/>
                <w:sz w:val="17"/>
                <w:szCs w:val="17"/>
                <w:color w:val="0000FF"/>
              </w:rPr>
              <w:t>PRINCETON   NJ</w:t>
            </w:r>
          </w:p>
        </w:tc>
        <w:tc>
          <w:tcPr>
            <w:tcW w:w="86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21"/>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5"/>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4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5"/>
            <w:vMerge w:val="restart"/>
          </w:tcPr>
          <w:p>
            <w:pPr>
              <w:jc w:val="right"/>
              <w:ind w:right="55"/>
              <w:spacing w:after="0"/>
              <w:rPr>
                <w:sz w:val="20"/>
                <w:szCs w:val="20"/>
                <w:color w:val="auto"/>
              </w:rPr>
            </w:pPr>
            <w:r>
              <w:rPr>
                <w:rFonts w:ascii="Arial" w:cs="Arial" w:eastAsia="Arial" w:hAnsi="Arial"/>
                <w:sz w:val="17"/>
                <w:szCs w:val="17"/>
                <w:color w:val="0000FF"/>
              </w:rPr>
              <w:t>09/01/2021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300"/>
              <w:spacing w:after="0"/>
              <w:rPr>
                <w:sz w:val="20"/>
                <w:szCs w:val="20"/>
                <w:color w:val="auto"/>
              </w:rPr>
            </w:pPr>
            <w:r>
              <w:rPr>
                <w:rFonts w:ascii="Arial" w:cs="Arial" w:eastAsia="Arial" w:hAnsi="Arial"/>
                <w:sz w:val="17"/>
                <w:szCs w:val="17"/>
                <w:color w:val="0000FF"/>
              </w:rPr>
              <w:t>345</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22"/>
                <w:szCs w:val="22"/>
                <w:color w:val="auto"/>
              </w:rPr>
            </w:pPr>
          </w:p>
        </w:tc>
        <w:tc>
          <w:tcPr>
            <w:tcW w:w="1200" w:type="dxa"/>
            <w:vAlign w:val="bottom"/>
            <w:gridSpan w:val="2"/>
            <w:vMerge w:val="restart"/>
          </w:tcPr>
          <w:p>
            <w:pPr>
              <w:ind w:left="280"/>
              <w:spacing w:after="0"/>
              <w:rPr>
                <w:sz w:val="20"/>
                <w:szCs w:val="20"/>
                <w:color w:val="auto"/>
              </w:rPr>
            </w:pPr>
            <w:r>
              <w:rPr>
                <w:rFonts w:ascii="Arial" w:cs="Arial" w:eastAsia="Arial" w:hAnsi="Arial"/>
                <w:sz w:val="17"/>
                <w:szCs w:val="17"/>
                <w:color w:val="0000FF"/>
              </w:rPr>
              <w:t>33,106</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6"/>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2,495 dividend equivalent rights that may only be settled in Class C Common Stock.</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Michael A. Brown, by</w:t>
            </w:r>
          </w:p>
        </w:tc>
        <w:tc>
          <w:tcPr>
            <w:tcW w:w="3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09/03/2021</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39398"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2021-09-03T16:04:23Z</dcterms:created>
  <dcterms:modified xsi:type="dcterms:W3CDTF">2021-09-03T16:04:23Z</dcterms:modified>
</cp:coreProperties>
</file>