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bookmarkStart w:id="0" w:name="tm2128073d3_8k.htm"/>
      <w:bookmarkStart w:id="1" w:name="kstm2128073d3_8k"/>
      <w:bookmarkEnd w:id="0"/>
      <w:bookmarkEnd w:id="1"/>
      <w:r>
        <w:rPr/>
        <w:t> </w:t>
      </w:r>
    </w:p>
    <w:p>
      <w:pPr>
        <w:pStyle w:val="TextBody"/>
        <w:rPr>
          <w:bdr w:val="single" w:sz="16" w:space="1" w:color="000000"/>
        </w:rPr>
      </w:pPr>
      <w:r>
        <w:rPr>
          <w:bdr w:val="single" w:sz="16" w:space="1" w:color="000000"/>
        </w:rPr>
        <w:t> </w:t>
      </w:r>
    </w:p>
    <w:p>
      <w:pPr>
        <w:pStyle w:val="TextBody"/>
        <w:rPr/>
      </w:pPr>
      <w:r>
        <w:rPr/>
        <w:t> </w:t>
      </w:r>
    </w:p>
    <w:p>
      <w:pPr>
        <w:pStyle w:val="TextBody"/>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w:t>
      </w:r>
      <w:bookmarkStart w:id="2" w:name="xdx_901_edei--DocumentType_c20210924__20"/>
      <w:bookmarkEnd w:id="2"/>
      <w:r>
        <w:rPr>
          <w:rFonts w:ascii="Times New Roman;Times;Serif" w:hAnsi="Times New Roman;Times;Serif"/>
          <w:b/>
          <w:i w:val="false"/>
          <w:caps w:val="false"/>
          <w:smallCaps w:val="false"/>
          <w:sz w:val="36"/>
        </w:rPr>
        <w:t>8-K</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D_edei--DocumentPeriodEndDate_c202"/>
      <w:bookmarkEnd w:id="3"/>
      <w:r>
        <w:rPr>
          <w:rFonts w:ascii="Times New Roman;Times;Serif" w:hAnsi="Times New Roman;Times;Serif"/>
          <w:b/>
          <w:i w:val="false"/>
          <w:caps w:val="false"/>
          <w:smallCaps w:val="false"/>
          <w:sz w:val="20"/>
        </w:rPr>
        <w:t>September 24, 2021</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36"/>
        </w:rPr>
      </w:pPr>
      <w:bookmarkStart w:id="4" w:name="xdx_90E_edei--EntityRegistrantName_c2021"/>
      <w:bookmarkEnd w:id="4"/>
      <w:r>
        <w:rPr>
          <w:rFonts w:ascii="Times New Roman;Times;Serif" w:hAnsi="Times New Roman;Times;Serif"/>
          <w:b/>
          <w:i w:val="false"/>
          <w:caps w:val="false"/>
          <w:smallCaps w:val="false"/>
          <w:sz w:val="36"/>
        </w:rPr>
        <w:t>Clearway Energy, Inc.</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spacing w:before="0" w:after="0"/>
        <w:ind w:left="0" w:right="0" w:hanging="0"/>
        <w:rPr>
          <w:caps w:val="false"/>
          <w:smallCaps w:val="false"/>
        </w:rPr>
      </w:pPr>
      <w:r>
        <w:rPr>
          <w:caps w:val="false"/>
          <w:smallCaps w:val="false"/>
        </w:rPr>
        <w:t> </w:t>
      </w:r>
    </w:p>
    <w:tbl>
      <w:tblPr>
        <w:tblW w:w="7845" w:type="dxa"/>
        <w:jc w:val="left"/>
        <w:tblInd w:w="0" w:type="dxa"/>
        <w:tblCellMar>
          <w:top w:w="0" w:type="dxa"/>
          <w:left w:w="0" w:type="dxa"/>
          <w:bottom w:w="0" w:type="dxa"/>
          <w:right w:w="0" w:type="dxa"/>
        </w:tblCellMar>
      </w:tblPr>
      <w:tblGrid>
        <w:gridCol w:w="2735"/>
        <w:gridCol w:w="60"/>
        <w:gridCol w:w="2210"/>
        <w:gridCol w:w="60"/>
        <w:gridCol w:w="2780"/>
      </w:tblGrid>
      <w:tr>
        <w:trPr/>
        <w:tc>
          <w:tcPr>
            <w:tcW w:w="2735" w:type="dxa"/>
            <w:tcBorders/>
            <w:shd w:fill="auto" w:val="clear"/>
            <w:vAlign w:val="center"/>
          </w:tcPr>
          <w:p>
            <w:pPr>
              <w:pStyle w:val="TableContents"/>
              <w:spacing w:before="0" w:after="283"/>
              <w:jc w:val="center"/>
              <w:rPr>
                <w:b/>
                <w:sz w:val="20"/>
              </w:rPr>
            </w:pPr>
            <w:bookmarkStart w:id="5" w:name="xdx_90C_edei--EntityIncorporationStateCo"/>
            <w:bookmarkEnd w:id="5"/>
            <w:r>
              <w:rPr>
                <w:b/>
                <w:sz w:val="20"/>
              </w:rPr>
              <w:t>Delaware</w:t>
            </w:r>
          </w:p>
        </w:tc>
        <w:tc>
          <w:tcPr>
            <w:tcW w:w="60" w:type="dxa"/>
            <w:tcBorders/>
            <w:shd w:fill="auto" w:val="clear"/>
            <w:vAlign w:val="center"/>
          </w:tcPr>
          <w:p>
            <w:pPr>
              <w:pStyle w:val="TableContents"/>
              <w:spacing w:before="0" w:after="283"/>
              <w:jc w:val="center"/>
              <w:rPr/>
            </w:pPr>
            <w:r>
              <w:rPr/>
              <w:t> </w:t>
            </w:r>
          </w:p>
        </w:tc>
        <w:tc>
          <w:tcPr>
            <w:tcW w:w="2210" w:type="dxa"/>
            <w:tcBorders/>
            <w:shd w:fill="auto" w:val="clear"/>
            <w:vAlign w:val="center"/>
          </w:tcPr>
          <w:p>
            <w:pPr>
              <w:pStyle w:val="TableContents"/>
              <w:spacing w:before="0" w:after="283"/>
              <w:jc w:val="center"/>
              <w:rPr>
                <w:b/>
                <w:sz w:val="20"/>
              </w:rPr>
            </w:pPr>
            <w:bookmarkStart w:id="6" w:name="xdx_90F_edei--EntityFileNumber_c20210924"/>
            <w:bookmarkEnd w:id="6"/>
            <w:r>
              <w:rPr>
                <w:b/>
                <w:sz w:val="20"/>
              </w:rPr>
              <w:t>001-36002</w:t>
            </w:r>
          </w:p>
        </w:tc>
        <w:tc>
          <w:tcPr>
            <w:tcW w:w="60" w:type="dxa"/>
            <w:tcBorders/>
            <w:shd w:fill="auto" w:val="clear"/>
            <w:vAlign w:val="center"/>
          </w:tcPr>
          <w:p>
            <w:pPr>
              <w:pStyle w:val="TableContents"/>
              <w:spacing w:before="0" w:after="283"/>
              <w:jc w:val="center"/>
              <w:rPr/>
            </w:pPr>
            <w:r>
              <w:rPr/>
              <w:t> </w:t>
            </w:r>
          </w:p>
        </w:tc>
        <w:tc>
          <w:tcPr>
            <w:tcW w:w="2780" w:type="dxa"/>
            <w:tcBorders/>
            <w:shd w:fill="auto" w:val="clear"/>
            <w:vAlign w:val="center"/>
          </w:tcPr>
          <w:p>
            <w:pPr>
              <w:pStyle w:val="TableContents"/>
              <w:spacing w:before="0" w:after="283"/>
              <w:jc w:val="center"/>
              <w:rPr>
                <w:b/>
                <w:sz w:val="20"/>
              </w:rPr>
            </w:pPr>
            <w:bookmarkStart w:id="7" w:name="xdx_90B_edei--EntityTaxIdentificationNum"/>
            <w:bookmarkEnd w:id="7"/>
            <w:r>
              <w:rPr>
                <w:b/>
                <w:sz w:val="20"/>
              </w:rPr>
              <w:t>46-1777204</w:t>
            </w:r>
          </w:p>
        </w:tc>
      </w:tr>
      <w:tr>
        <w:trPr/>
        <w:tc>
          <w:tcPr>
            <w:tcW w:w="2735" w:type="dxa"/>
            <w:tcBorders/>
            <w:shd w:fill="auto" w:val="clear"/>
            <w:vAlign w:val="center"/>
          </w:tcPr>
          <w:p>
            <w:pPr>
              <w:pStyle w:val="TableContents"/>
              <w:spacing w:before="0" w:after="283"/>
              <w:jc w:val="center"/>
              <w:rPr/>
            </w:pPr>
            <w:r>
              <w:rPr/>
              <w:t>(State or other jurisdiction of</w:t>
              <w:br/>
              <w:t>incorporation)</w:t>
            </w:r>
          </w:p>
        </w:tc>
        <w:tc>
          <w:tcPr>
            <w:tcW w:w="60" w:type="dxa"/>
            <w:tcBorders/>
            <w:shd w:fill="auto" w:val="clear"/>
            <w:vAlign w:val="center"/>
          </w:tcPr>
          <w:p>
            <w:pPr>
              <w:pStyle w:val="TableContents"/>
              <w:spacing w:before="0" w:after="283"/>
              <w:jc w:val="center"/>
              <w:rPr/>
            </w:pPr>
            <w:r>
              <w:rPr/>
              <w:t> </w:t>
            </w:r>
          </w:p>
        </w:tc>
        <w:tc>
          <w:tcPr>
            <w:tcW w:w="2210" w:type="dxa"/>
            <w:tcBorders/>
            <w:shd w:fill="auto" w:val="clear"/>
            <w:vAlign w:val="center"/>
          </w:tcPr>
          <w:p>
            <w:pPr>
              <w:pStyle w:val="TableContents"/>
              <w:spacing w:before="0" w:after="283"/>
              <w:jc w:val="center"/>
              <w:rPr>
                <w:sz w:val="20"/>
              </w:rPr>
            </w:pPr>
            <w:r>
              <w:rPr>
                <w:sz w:val="20"/>
              </w:rPr>
              <w:t>(Commission File Number)</w:t>
            </w:r>
          </w:p>
        </w:tc>
        <w:tc>
          <w:tcPr>
            <w:tcW w:w="60" w:type="dxa"/>
            <w:tcBorders/>
            <w:shd w:fill="auto" w:val="clear"/>
            <w:vAlign w:val="center"/>
          </w:tcPr>
          <w:p>
            <w:pPr>
              <w:pStyle w:val="TableContents"/>
              <w:spacing w:before="0" w:after="283"/>
              <w:jc w:val="center"/>
              <w:rPr/>
            </w:pPr>
            <w:r>
              <w:rPr/>
              <w:t> </w:t>
            </w:r>
          </w:p>
        </w:tc>
        <w:tc>
          <w:tcPr>
            <w:tcW w:w="2780" w:type="dxa"/>
            <w:tcBorders/>
            <w:shd w:fill="auto" w:val="clear"/>
            <w:vAlign w:val="center"/>
          </w:tcPr>
          <w:p>
            <w:pPr>
              <w:pStyle w:val="TableContents"/>
              <w:spacing w:before="0" w:after="283"/>
              <w:jc w:val="center"/>
              <w:rPr>
                <w:sz w:val="20"/>
              </w:rPr>
            </w:pPr>
            <w:r>
              <w:rPr>
                <w:sz w:val="20"/>
              </w:rPr>
              <w:t>(IRS Employer Identification No.)</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bookmarkStart w:id="8" w:name="xdx_901_edei--EntityAddressAddressLine1_"/>
      <w:bookmarkEnd w:id="8"/>
      <w:r>
        <w:rPr>
          <w:rFonts w:ascii="Times New Roman;Times;Serif" w:hAnsi="Times New Roman;Times;Serif"/>
          <w:b/>
          <w:i w:val="false"/>
          <w:caps w:val="false"/>
          <w:smallCaps w:val="false"/>
          <w:sz w:val="20"/>
        </w:rPr>
        <w:t xml:space="preserve">300 Carnegie Center, </w:t>
      </w:r>
      <w:bookmarkStart w:id="9" w:name="xdx_909_edei--EntityAddressAddressLine2_"/>
      <w:bookmarkEnd w:id="9"/>
      <w:r>
        <w:rPr>
          <w:rFonts w:ascii="Times New Roman;Times;Serif" w:hAnsi="Times New Roman;Times;Serif"/>
          <w:b/>
          <w:i w:val="false"/>
          <w:caps w:val="false"/>
          <w:smallCaps w:val="false"/>
          <w:sz w:val="20"/>
        </w:rPr>
        <w:t xml:space="preserve">Suite 300, </w:t>
      </w:r>
      <w:bookmarkStart w:id="10" w:name="xdx_904_edei--EntityAddressCityOrTown_c2"/>
      <w:bookmarkEnd w:id="10"/>
      <w:r>
        <w:rPr>
          <w:rFonts w:ascii="Times New Roman;Times;Serif" w:hAnsi="Times New Roman;Times;Serif"/>
          <w:b/>
          <w:i w:val="false"/>
          <w:caps w:val="false"/>
          <w:smallCaps w:val="false"/>
          <w:sz w:val="20"/>
        </w:rPr>
        <w:t xml:space="preserve">Princeton, </w:t>
      </w:r>
      <w:bookmarkStart w:id="11" w:name="xdx_909_edei--EntityAddressStateOrProvin"/>
      <w:bookmarkEnd w:id="11"/>
      <w:r>
        <w:rPr>
          <w:rFonts w:ascii="Times New Roman;Times;Serif" w:hAnsi="Times New Roman;Times;Serif"/>
          <w:b/>
          <w:i w:val="false"/>
          <w:caps w:val="false"/>
          <w:smallCaps w:val="false"/>
          <w:sz w:val="20"/>
        </w:rPr>
        <w:t xml:space="preserve">New Jersey </w:t>
      </w:r>
      <w:bookmarkStart w:id="12" w:name="xdx_906_edei--EntityAddressPostalZipCode"/>
      <w:bookmarkEnd w:id="12"/>
      <w:r>
        <w:rPr>
          <w:rFonts w:ascii="Times New Roman;Times;Serif" w:hAnsi="Times New Roman;Times;Serif"/>
          <w:b/>
          <w:i w:val="false"/>
          <w:caps w:val="false"/>
          <w:smallCaps w:val="false"/>
          <w:sz w:val="20"/>
        </w:rPr>
        <w:t>08540</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including zip code)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3" w:name="xdx_90C_edei--CityAreaCode_c20210924__20"/>
      <w:bookmarkEnd w:id="13"/>
      <w:r>
        <w:rPr>
          <w:rFonts w:ascii="Times New Roman;Times;Serif" w:hAnsi="Times New Roman;Times;Serif"/>
          <w:b/>
          <w:i w:val="false"/>
          <w:caps w:val="false"/>
          <w:smallCaps w:val="false"/>
          <w:sz w:val="20"/>
        </w:rPr>
        <w:t xml:space="preserve">609) </w:t>
      </w:r>
      <w:bookmarkStart w:id="14" w:name="xdx_904_edei--LocalPhoneNumber_c20210924"/>
      <w:bookmarkEnd w:id="14"/>
      <w:r>
        <w:rPr>
          <w:rFonts w:ascii="Times New Roman;Times;Serif" w:hAnsi="Times New Roman;Times;Serif"/>
          <w:b/>
          <w:i w:val="false"/>
          <w:caps w:val="false"/>
          <w:smallCaps w:val="false"/>
          <w:sz w:val="20"/>
        </w:rPr>
        <w:t>608-1525</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spacing w:before="0" w:after="0"/>
        <w:ind w:left="0" w:right="0" w:hanging="0"/>
        <w:rPr>
          <w:caps w:val="false"/>
          <w:smallCaps w:val="false"/>
        </w:rPr>
      </w:pPr>
      <w:r>
        <w:rPr>
          <w:caps w:val="false"/>
          <w:smallCaps w:val="false"/>
        </w:rPr>
        <w:t> </w:t>
      </w:r>
    </w:p>
    <w:tbl>
      <w:tblPr>
        <w:tblW w:w="7600" w:type="dxa"/>
        <w:jc w:val="left"/>
        <w:tblInd w:w="0" w:type="dxa"/>
        <w:tblCellMar>
          <w:top w:w="0" w:type="dxa"/>
          <w:left w:w="0" w:type="dxa"/>
          <w:bottom w:w="0" w:type="dxa"/>
          <w:right w:w="0" w:type="dxa"/>
        </w:tblCellMar>
      </w:tblPr>
      <w:tblGrid>
        <w:gridCol w:w="75"/>
        <w:gridCol w:w="230"/>
        <w:gridCol w:w="7295"/>
      </w:tblGrid>
      <w:tr>
        <w:trPr/>
        <w:tc>
          <w:tcPr>
            <w:tcW w:w="75" w:type="dxa"/>
            <w:tcBorders/>
            <w:shd w:fill="auto" w:val="clear"/>
            <w:vAlign w:val="center"/>
          </w:tcPr>
          <w:p>
            <w:pPr>
              <w:pStyle w:val="TableContents"/>
              <w:spacing w:before="0" w:after="283"/>
              <w:jc w:val="both"/>
              <w:rPr/>
            </w:pPr>
            <w:r>
              <w:rPr/>
              <w:t> </w:t>
            </w:r>
          </w:p>
        </w:tc>
        <w:tc>
          <w:tcPr>
            <w:tcW w:w="230" w:type="dxa"/>
            <w:tcBorders/>
            <w:shd w:fill="auto" w:val="clear"/>
            <w:vAlign w:val="center"/>
          </w:tcPr>
          <w:p>
            <w:pPr>
              <w:pStyle w:val="TableContents"/>
              <w:spacing w:before="0" w:after="283"/>
              <w:rPr>
                <w:caps w:val="false"/>
                <w:smallCaps w:val="false"/>
              </w:rPr>
            </w:pPr>
            <w:bookmarkStart w:id="15" w:name="xdx_903_edei--WrittenCommunications_c202"/>
            <w:bookmarkEnd w:id="15"/>
            <w:r>
              <w:rPr>
                <w:caps w:val="false"/>
                <w:smallCaps w:val="false"/>
              </w:rPr>
              <w:t>☐</w:t>
            </w:r>
          </w:p>
        </w:tc>
        <w:tc>
          <w:tcPr>
            <w:tcW w:w="7295" w:type="dxa"/>
            <w:tcBorders/>
            <w:shd w:fill="auto" w:val="clear"/>
            <w:vAlign w:val="center"/>
          </w:tcPr>
          <w:p>
            <w:pPr>
              <w:pStyle w:val="TableContents"/>
              <w:spacing w:before="0" w:after="283"/>
              <w:jc w:val="both"/>
              <w:rPr>
                <w:sz w:val="20"/>
              </w:rPr>
            </w:pPr>
            <w:r>
              <w:rPr>
                <w:sz w:val="20"/>
              </w:rPr>
              <w:t>Written communications pursuant to Rule 425 under the Securities Act (17 CFR 230.425)</w:t>
            </w:r>
          </w:p>
        </w:tc>
      </w:tr>
    </w:tbl>
    <w:p>
      <w:pPr>
        <w:pStyle w:val="TextBody"/>
        <w:spacing w:before="0" w:after="0"/>
        <w:ind w:left="0" w:right="0" w:hanging="0"/>
        <w:rPr>
          <w:caps w:val="false"/>
          <w:smallCaps w:val="false"/>
        </w:rPr>
      </w:pPr>
      <w:r>
        <w:rPr>
          <w:caps w:val="false"/>
          <w:smallCaps w:val="false"/>
        </w:rPr>
        <w:t> </w:t>
      </w:r>
    </w:p>
    <w:tbl>
      <w:tblPr>
        <w:tblW w:w="7630" w:type="dxa"/>
        <w:jc w:val="left"/>
        <w:tblInd w:w="0" w:type="dxa"/>
        <w:tblCellMar>
          <w:top w:w="0" w:type="dxa"/>
          <w:left w:w="0" w:type="dxa"/>
          <w:bottom w:w="0" w:type="dxa"/>
          <w:right w:w="0" w:type="dxa"/>
        </w:tblCellMar>
      </w:tblPr>
      <w:tblGrid>
        <w:gridCol w:w="75"/>
        <w:gridCol w:w="230"/>
        <w:gridCol w:w="7325"/>
      </w:tblGrid>
      <w:tr>
        <w:trPr/>
        <w:tc>
          <w:tcPr>
            <w:tcW w:w="75" w:type="dxa"/>
            <w:tcBorders/>
            <w:shd w:fill="auto" w:val="clear"/>
            <w:vAlign w:val="center"/>
          </w:tcPr>
          <w:p>
            <w:pPr>
              <w:pStyle w:val="TableContents"/>
              <w:spacing w:before="0" w:after="283"/>
              <w:jc w:val="both"/>
              <w:rPr/>
            </w:pPr>
            <w:r>
              <w:rPr/>
              <w:t> </w:t>
            </w:r>
          </w:p>
        </w:tc>
        <w:tc>
          <w:tcPr>
            <w:tcW w:w="230" w:type="dxa"/>
            <w:tcBorders/>
            <w:shd w:fill="auto" w:val="clear"/>
            <w:vAlign w:val="center"/>
          </w:tcPr>
          <w:p>
            <w:pPr>
              <w:pStyle w:val="TableContents"/>
              <w:spacing w:before="0" w:after="283"/>
              <w:rPr/>
            </w:pPr>
            <w:bookmarkStart w:id="16" w:name="xdx_900_edei--SolicitingMaterial_c202109"/>
            <w:bookmarkEnd w:id="16"/>
            <w:r>
              <w:rPr/>
              <w:t>☐</w:t>
            </w:r>
          </w:p>
        </w:tc>
        <w:tc>
          <w:tcPr>
            <w:tcW w:w="7325" w:type="dxa"/>
            <w:tcBorders/>
            <w:shd w:fill="auto" w:val="clear"/>
            <w:vAlign w:val="center"/>
          </w:tcPr>
          <w:p>
            <w:pPr>
              <w:pStyle w:val="TableContents"/>
              <w:spacing w:before="0" w:after="283"/>
              <w:jc w:val="both"/>
              <w:rPr>
                <w:sz w:val="20"/>
              </w:rPr>
            </w:pPr>
            <w:r>
              <w:rPr>
                <w:sz w:val="20"/>
              </w:rPr>
              <w:t>Soliciting material pursuant to Rule 14a-12 under the Exchange Act (17 CFR 240.14a-12)</w:t>
            </w:r>
          </w:p>
        </w:tc>
      </w:tr>
    </w:tbl>
    <w:p>
      <w:pPr>
        <w:pStyle w:val="TextBody"/>
        <w:spacing w:before="0" w:after="0"/>
        <w:ind w:left="0" w:right="0" w:hanging="0"/>
        <w:rPr>
          <w:caps w:val="false"/>
          <w:smallCaps w:val="false"/>
        </w:rPr>
      </w:pPr>
      <w:r>
        <w:rPr>
          <w:caps w:val="false"/>
          <w:smallCaps w:val="false"/>
        </w:rPr>
        <w:t> </w:t>
      </w:r>
    </w:p>
    <w:tbl>
      <w:tblPr>
        <w:tblW w:w="9370" w:type="dxa"/>
        <w:jc w:val="left"/>
        <w:tblInd w:w="0" w:type="dxa"/>
        <w:tblCellMar>
          <w:top w:w="0" w:type="dxa"/>
          <w:left w:w="0" w:type="dxa"/>
          <w:bottom w:w="0" w:type="dxa"/>
          <w:right w:w="0" w:type="dxa"/>
        </w:tblCellMar>
      </w:tblPr>
      <w:tblGrid>
        <w:gridCol w:w="75"/>
        <w:gridCol w:w="230"/>
        <w:gridCol w:w="9065"/>
      </w:tblGrid>
      <w:tr>
        <w:trPr/>
        <w:tc>
          <w:tcPr>
            <w:tcW w:w="75" w:type="dxa"/>
            <w:tcBorders/>
            <w:shd w:fill="auto" w:val="clear"/>
            <w:vAlign w:val="center"/>
          </w:tcPr>
          <w:p>
            <w:pPr>
              <w:pStyle w:val="TableContents"/>
              <w:spacing w:before="0" w:after="283"/>
              <w:jc w:val="both"/>
              <w:rPr/>
            </w:pPr>
            <w:r>
              <w:rPr/>
              <w:t> </w:t>
            </w:r>
          </w:p>
        </w:tc>
        <w:tc>
          <w:tcPr>
            <w:tcW w:w="230" w:type="dxa"/>
            <w:tcBorders/>
            <w:shd w:fill="auto" w:val="clear"/>
            <w:vAlign w:val="center"/>
          </w:tcPr>
          <w:p>
            <w:pPr>
              <w:pStyle w:val="TableContents"/>
              <w:spacing w:before="0" w:after="283"/>
              <w:rPr/>
            </w:pPr>
            <w:bookmarkStart w:id="17" w:name="xdx_909_edei--PreCommencementTenderOffer"/>
            <w:bookmarkEnd w:id="17"/>
            <w:r>
              <w:rPr/>
              <w:t>☐</w:t>
            </w:r>
          </w:p>
        </w:tc>
        <w:tc>
          <w:tcPr>
            <w:tcW w:w="9065" w:type="dxa"/>
            <w:tcBorders/>
            <w:shd w:fill="auto" w:val="clear"/>
            <w:vAlign w:val="center"/>
          </w:tcPr>
          <w:p>
            <w:pPr>
              <w:pStyle w:val="TableContents"/>
              <w:spacing w:before="0" w:after="283"/>
              <w:jc w:val="both"/>
              <w:rPr>
                <w:sz w:val="20"/>
              </w:rPr>
            </w:pPr>
            <w:r>
              <w:rPr>
                <w:sz w:val="20"/>
              </w:rPr>
              <w:t>Pre-commencement communications pursuant to Rule 14d-2(b) under the Exchange Act (17 CFR 240.14d-2(b))</w:t>
            </w:r>
          </w:p>
        </w:tc>
      </w:tr>
    </w:tbl>
    <w:p>
      <w:pPr>
        <w:pStyle w:val="TextBody"/>
        <w:spacing w:before="0" w:after="0"/>
        <w:ind w:left="0" w:right="0" w:hanging="0"/>
        <w:rPr>
          <w:caps w:val="false"/>
          <w:smallCaps w:val="false"/>
        </w:rPr>
      </w:pPr>
      <w:r>
        <w:rPr>
          <w:caps w:val="false"/>
          <w:smallCaps w:val="false"/>
        </w:rPr>
        <w:t> </w:t>
      </w:r>
    </w:p>
    <w:tbl>
      <w:tblPr>
        <w:tblW w:w="9310" w:type="dxa"/>
        <w:jc w:val="left"/>
        <w:tblInd w:w="0" w:type="dxa"/>
        <w:tblCellMar>
          <w:top w:w="0" w:type="dxa"/>
          <w:left w:w="0" w:type="dxa"/>
          <w:bottom w:w="0" w:type="dxa"/>
          <w:right w:w="0" w:type="dxa"/>
        </w:tblCellMar>
      </w:tblPr>
      <w:tblGrid>
        <w:gridCol w:w="75"/>
        <w:gridCol w:w="230"/>
        <w:gridCol w:w="9005"/>
      </w:tblGrid>
      <w:tr>
        <w:trPr/>
        <w:tc>
          <w:tcPr>
            <w:tcW w:w="75" w:type="dxa"/>
            <w:tcBorders/>
            <w:shd w:fill="auto" w:val="clear"/>
            <w:vAlign w:val="center"/>
          </w:tcPr>
          <w:p>
            <w:pPr>
              <w:pStyle w:val="TableContents"/>
              <w:spacing w:before="0" w:after="283"/>
              <w:jc w:val="both"/>
              <w:rPr/>
            </w:pPr>
            <w:r>
              <w:rPr/>
              <w:t> </w:t>
            </w:r>
          </w:p>
        </w:tc>
        <w:tc>
          <w:tcPr>
            <w:tcW w:w="230" w:type="dxa"/>
            <w:tcBorders/>
            <w:shd w:fill="auto" w:val="clear"/>
            <w:vAlign w:val="center"/>
          </w:tcPr>
          <w:p>
            <w:pPr>
              <w:pStyle w:val="TableContents"/>
              <w:spacing w:before="0" w:after="283"/>
              <w:rPr>
                <w:caps w:val="false"/>
                <w:smallCaps w:val="false"/>
              </w:rPr>
            </w:pPr>
            <w:bookmarkStart w:id="18" w:name="xdx_90B_edei--PreCommencementIssuerTende"/>
            <w:bookmarkEnd w:id="18"/>
            <w:r>
              <w:rPr>
                <w:caps w:val="false"/>
                <w:smallCaps w:val="false"/>
              </w:rPr>
              <w:t>☐</w:t>
            </w:r>
          </w:p>
        </w:tc>
        <w:tc>
          <w:tcPr>
            <w:tcW w:w="9005" w:type="dxa"/>
            <w:tcBorders/>
            <w:shd w:fill="auto" w:val="clear"/>
            <w:vAlign w:val="center"/>
          </w:tcPr>
          <w:p>
            <w:pPr>
              <w:pStyle w:val="TableContents"/>
              <w:spacing w:before="0" w:after="283"/>
              <w:jc w:val="both"/>
              <w:rPr>
                <w:sz w:val="20"/>
              </w:rPr>
            </w:pPr>
            <w:r>
              <w:rPr>
                <w:sz w:val="20"/>
              </w:rPr>
              <w:t>Pre-commencement communications pursuant to Rule 13e-4(c) under the Exchange Act (17 CFR 240.13e-4(c))</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spacing w:before="0" w:after="0"/>
        <w:ind w:left="0" w:right="0" w:hanging="0"/>
        <w:rPr>
          <w:caps w:val="false"/>
          <w:smallCaps w:val="false"/>
        </w:rPr>
      </w:pPr>
      <w:r>
        <w:rPr>
          <w:caps w:val="false"/>
          <w:smallCaps w:val="false"/>
        </w:rPr>
        <w:t> </w:t>
      </w:r>
    </w:p>
    <w:tbl>
      <w:tblPr>
        <w:tblW w:w="7890" w:type="dxa"/>
        <w:jc w:val="left"/>
        <w:tblInd w:w="0" w:type="dxa"/>
        <w:tblCellMar>
          <w:top w:w="0" w:type="dxa"/>
          <w:left w:w="0" w:type="dxa"/>
          <w:bottom w:w="28" w:type="dxa"/>
          <w:right w:w="0" w:type="dxa"/>
        </w:tblCellMar>
      </w:tblPr>
      <w:tblGrid>
        <w:gridCol w:w="3305"/>
        <w:gridCol w:w="60"/>
        <w:gridCol w:w="1610"/>
        <w:gridCol w:w="60"/>
        <w:gridCol w:w="2855"/>
      </w:tblGrid>
      <w:tr>
        <w:trPr/>
        <w:tc>
          <w:tcPr>
            <w:tcW w:w="3305" w:type="dxa"/>
            <w:tcBorders>
              <w:bottom w:val="single" w:sz="8" w:space="0" w:color="000000"/>
            </w:tcBorders>
            <w:shd w:fill="auto" w:val="clear"/>
            <w:vAlign w:val="center"/>
          </w:tcPr>
          <w:p>
            <w:pPr>
              <w:pStyle w:val="TableContents"/>
              <w:spacing w:before="0" w:after="283"/>
              <w:jc w:val="center"/>
              <w:rPr>
                <w:b/>
                <w:sz w:val="20"/>
              </w:rPr>
            </w:pPr>
            <w:r>
              <w:rPr>
                <w:b/>
                <w:sz w:val="20"/>
              </w:rPr>
              <w:t>Title of each class</w:t>
            </w:r>
          </w:p>
        </w:tc>
        <w:tc>
          <w:tcPr>
            <w:tcW w:w="60" w:type="dxa"/>
            <w:tcBorders/>
            <w:shd w:fill="auto" w:val="clear"/>
            <w:tcMar>
              <w:bottom w:w="0" w:type="dxa"/>
            </w:tcMar>
            <w:vAlign w:val="center"/>
          </w:tcPr>
          <w:p>
            <w:pPr>
              <w:pStyle w:val="TableContents"/>
              <w:spacing w:before="0" w:after="283"/>
              <w:rPr/>
            </w:pPr>
            <w:r>
              <w:rPr/>
              <w:t> </w:t>
            </w:r>
          </w:p>
        </w:tc>
        <w:tc>
          <w:tcPr>
            <w:tcW w:w="1610" w:type="dxa"/>
            <w:tcBorders>
              <w:bottom w:val="single" w:sz="8" w:space="0" w:color="000000"/>
            </w:tcBorders>
            <w:shd w:fill="auto" w:val="clear"/>
            <w:vAlign w:val="center"/>
          </w:tcPr>
          <w:p>
            <w:pPr>
              <w:pStyle w:val="TableContents"/>
              <w:spacing w:before="0" w:after="283"/>
              <w:jc w:val="center"/>
              <w:rPr>
                <w:b/>
                <w:sz w:val="20"/>
              </w:rPr>
            </w:pPr>
            <w:r>
              <w:rPr>
                <w:b/>
                <w:sz w:val="20"/>
              </w:rPr>
              <w:t>Trading Symbol(s)</w:t>
            </w:r>
          </w:p>
        </w:tc>
        <w:tc>
          <w:tcPr>
            <w:tcW w:w="60" w:type="dxa"/>
            <w:tcBorders/>
            <w:shd w:fill="auto" w:val="clear"/>
            <w:tcMar>
              <w:bottom w:w="0" w:type="dxa"/>
            </w:tcMar>
            <w:vAlign w:val="center"/>
          </w:tcPr>
          <w:p>
            <w:pPr>
              <w:pStyle w:val="TableContents"/>
              <w:spacing w:before="0" w:after="283"/>
              <w:rPr/>
            </w:pPr>
            <w:r>
              <w:rPr/>
              <w:t> </w:t>
            </w:r>
          </w:p>
        </w:tc>
        <w:tc>
          <w:tcPr>
            <w:tcW w:w="2855" w:type="dxa"/>
            <w:tcBorders>
              <w:bottom w:val="single" w:sz="8" w:space="0" w:color="000000"/>
            </w:tcBorders>
            <w:shd w:fill="auto" w:val="clear"/>
            <w:vAlign w:val="center"/>
          </w:tcPr>
          <w:p>
            <w:pPr>
              <w:pStyle w:val="TableContents"/>
              <w:spacing w:before="0" w:after="283"/>
              <w:jc w:val="center"/>
              <w:rPr>
                <w:b/>
                <w:sz w:val="20"/>
              </w:rPr>
            </w:pPr>
            <w:r>
              <w:rPr>
                <w:b/>
                <w:sz w:val="20"/>
              </w:rPr>
              <w:t xml:space="preserve">Name of each exchange on which </w:t>
              <w:br/>
              <w:t>registered</w:t>
            </w:r>
          </w:p>
        </w:tc>
      </w:tr>
      <w:tr>
        <w:trPr/>
        <w:tc>
          <w:tcPr>
            <w:tcW w:w="3305" w:type="dxa"/>
            <w:tcBorders/>
            <w:shd w:fill="auto" w:val="clear"/>
            <w:tcMar>
              <w:bottom w:w="0" w:type="dxa"/>
            </w:tcMar>
            <w:vAlign w:val="center"/>
          </w:tcPr>
          <w:p>
            <w:pPr>
              <w:pStyle w:val="TableContents"/>
              <w:spacing w:before="0" w:after="283"/>
              <w:jc w:val="center"/>
              <w:rPr>
                <w:sz w:val="20"/>
              </w:rPr>
            </w:pPr>
            <w:bookmarkStart w:id="19" w:name="xdx_907_edei--Security12bTitle_c20210924"/>
            <w:bookmarkEnd w:id="19"/>
            <w:r>
              <w:rPr>
                <w:sz w:val="20"/>
              </w:rPr>
              <w:t>Class A Common Stock, par value $0.01</w:t>
            </w:r>
          </w:p>
        </w:tc>
        <w:tc>
          <w:tcPr>
            <w:tcW w:w="60" w:type="dxa"/>
            <w:tcBorders/>
            <w:shd w:fill="auto" w:val="clear"/>
            <w:tcMar>
              <w:bottom w:w="0" w:type="dxa"/>
            </w:tcMar>
            <w:vAlign w:val="center"/>
          </w:tcPr>
          <w:p>
            <w:pPr>
              <w:pStyle w:val="TableContents"/>
              <w:spacing w:before="0" w:after="283"/>
              <w:rPr/>
            </w:pPr>
            <w:r>
              <w:rPr/>
              <w:t> </w:t>
            </w:r>
          </w:p>
        </w:tc>
        <w:tc>
          <w:tcPr>
            <w:tcW w:w="1610" w:type="dxa"/>
            <w:tcBorders/>
            <w:shd w:fill="auto" w:val="clear"/>
            <w:tcMar>
              <w:bottom w:w="0" w:type="dxa"/>
            </w:tcMar>
            <w:vAlign w:val="center"/>
          </w:tcPr>
          <w:p>
            <w:pPr>
              <w:pStyle w:val="TableContents"/>
              <w:spacing w:before="0" w:after="283"/>
              <w:jc w:val="center"/>
              <w:rPr>
                <w:sz w:val="20"/>
              </w:rPr>
            </w:pPr>
            <w:bookmarkStart w:id="20" w:name="xdx_90D_edei--TradingSymbol_c20210924__2"/>
            <w:bookmarkEnd w:id="20"/>
            <w:r>
              <w:rPr>
                <w:sz w:val="20"/>
              </w:rPr>
              <w:t>CWEN.A</w:t>
            </w:r>
          </w:p>
        </w:tc>
        <w:tc>
          <w:tcPr>
            <w:tcW w:w="60" w:type="dxa"/>
            <w:tcBorders/>
            <w:shd w:fill="auto" w:val="clear"/>
            <w:tcMar>
              <w:bottom w:w="0" w:type="dxa"/>
            </w:tcMar>
            <w:vAlign w:val="center"/>
          </w:tcPr>
          <w:p>
            <w:pPr>
              <w:pStyle w:val="TableContents"/>
              <w:spacing w:before="0" w:after="283"/>
              <w:rPr/>
            </w:pPr>
            <w:r>
              <w:rPr/>
              <w:t> </w:t>
            </w:r>
          </w:p>
        </w:tc>
        <w:tc>
          <w:tcPr>
            <w:tcW w:w="2855" w:type="dxa"/>
            <w:tcBorders/>
            <w:shd w:fill="auto" w:val="clear"/>
            <w:tcMar>
              <w:bottom w:w="0" w:type="dxa"/>
            </w:tcMar>
            <w:vAlign w:val="center"/>
          </w:tcPr>
          <w:p>
            <w:pPr>
              <w:pStyle w:val="TableContents"/>
              <w:spacing w:before="0" w:after="283"/>
              <w:jc w:val="center"/>
              <w:rPr>
                <w:sz w:val="20"/>
              </w:rPr>
            </w:pPr>
            <w:bookmarkStart w:id="21" w:name="xdx_907_edei--SecurityExchangeName_c2021"/>
            <w:bookmarkEnd w:id="21"/>
            <w:r>
              <w:rPr>
                <w:sz w:val="20"/>
              </w:rPr>
              <w:t>New York Stock Exchange</w:t>
            </w:r>
          </w:p>
        </w:tc>
      </w:tr>
      <w:tr>
        <w:trPr/>
        <w:tc>
          <w:tcPr>
            <w:tcW w:w="3305" w:type="dxa"/>
            <w:tcBorders/>
            <w:shd w:fill="auto" w:val="clear"/>
            <w:tcMar>
              <w:bottom w:w="0" w:type="dxa"/>
            </w:tcMar>
            <w:vAlign w:val="center"/>
          </w:tcPr>
          <w:p>
            <w:pPr>
              <w:pStyle w:val="TableContents"/>
              <w:spacing w:before="0" w:after="283"/>
              <w:jc w:val="center"/>
              <w:rPr>
                <w:sz w:val="20"/>
              </w:rPr>
            </w:pPr>
            <w:bookmarkStart w:id="22" w:name="xdx_90C_edei--Security12bTitle_c20210924"/>
            <w:bookmarkEnd w:id="22"/>
            <w:r>
              <w:rPr>
                <w:sz w:val="20"/>
              </w:rPr>
              <w:t>Class C Common Stock, par value $0.01</w:t>
            </w:r>
          </w:p>
        </w:tc>
        <w:tc>
          <w:tcPr>
            <w:tcW w:w="60" w:type="dxa"/>
            <w:tcBorders/>
            <w:shd w:fill="auto" w:val="clear"/>
            <w:tcMar>
              <w:bottom w:w="0" w:type="dxa"/>
            </w:tcMar>
            <w:vAlign w:val="center"/>
          </w:tcPr>
          <w:p>
            <w:pPr>
              <w:pStyle w:val="TableContents"/>
              <w:spacing w:before="0" w:after="283"/>
              <w:rPr/>
            </w:pPr>
            <w:r>
              <w:rPr/>
              <w:t> </w:t>
            </w:r>
          </w:p>
        </w:tc>
        <w:tc>
          <w:tcPr>
            <w:tcW w:w="1610" w:type="dxa"/>
            <w:tcBorders/>
            <w:shd w:fill="auto" w:val="clear"/>
            <w:tcMar>
              <w:bottom w:w="0" w:type="dxa"/>
            </w:tcMar>
            <w:vAlign w:val="center"/>
          </w:tcPr>
          <w:p>
            <w:pPr>
              <w:pStyle w:val="TableContents"/>
              <w:spacing w:before="0" w:after="283"/>
              <w:jc w:val="center"/>
              <w:rPr>
                <w:sz w:val="20"/>
              </w:rPr>
            </w:pPr>
            <w:bookmarkStart w:id="23" w:name="xdx_90C_edei--TradingSymbol_c20210924__2"/>
            <w:bookmarkEnd w:id="23"/>
            <w:r>
              <w:rPr>
                <w:sz w:val="20"/>
              </w:rPr>
              <w:t>CWEN</w:t>
            </w:r>
          </w:p>
        </w:tc>
        <w:tc>
          <w:tcPr>
            <w:tcW w:w="60" w:type="dxa"/>
            <w:tcBorders/>
            <w:shd w:fill="auto" w:val="clear"/>
            <w:tcMar>
              <w:bottom w:w="0" w:type="dxa"/>
            </w:tcMar>
            <w:vAlign w:val="center"/>
          </w:tcPr>
          <w:p>
            <w:pPr>
              <w:pStyle w:val="TableContents"/>
              <w:spacing w:before="0" w:after="283"/>
              <w:rPr/>
            </w:pPr>
            <w:r>
              <w:rPr/>
              <w:t> </w:t>
            </w:r>
          </w:p>
        </w:tc>
        <w:tc>
          <w:tcPr>
            <w:tcW w:w="2855" w:type="dxa"/>
            <w:tcBorders/>
            <w:shd w:fill="auto" w:val="clear"/>
            <w:tcMar>
              <w:bottom w:w="0" w:type="dxa"/>
            </w:tcMar>
            <w:vAlign w:val="center"/>
          </w:tcPr>
          <w:p>
            <w:pPr>
              <w:pStyle w:val="TableContents"/>
              <w:spacing w:before="0" w:after="283"/>
              <w:jc w:val="center"/>
              <w:rPr>
                <w:sz w:val="20"/>
              </w:rPr>
            </w:pPr>
            <w:bookmarkStart w:id="24" w:name="xdx_902_edei--SecurityExchangeName_c2021"/>
            <w:bookmarkEnd w:id="24"/>
            <w:r>
              <w:rPr>
                <w:sz w:val="20"/>
              </w:rPr>
              <w:t>New York Stock Exchange</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72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25" w:name="xdx_908_edei--EntityEmergingGrowthCompan"/>
      <w:bookmarkEnd w:id="25"/>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0" w:after="0"/>
        <w:ind w:left="0" w:right="0" w:hanging="0"/>
        <w:rPr>
          <w:caps w:val="false"/>
          <w:smallCaps w:val="false"/>
        </w:rPr>
      </w:pPr>
      <w:r>
        <w:rPr>
          <w:caps w:val="false"/>
          <w:smallCaps w:val="false"/>
        </w:rPr>
        <w:t> </w:t>
      </w:r>
    </w:p>
    <w:p>
      <w:pPr>
        <w:pStyle w:val="TextBody"/>
        <w:ind w:left="0" w:right="0" w:hanging="0"/>
        <w:rPr>
          <w:bdr w:val="single" w:sz="8" w:space="1" w:color="000000"/>
        </w:rPr>
      </w:pPr>
      <w:r>
        <w:rPr>
          <w:bdr w:val="single" w:sz="8" w:space="1" w:color="000000"/>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tbl>
      <w:tblPr>
        <w:tblW w:w="2448" w:type="dxa"/>
        <w:jc w:val="left"/>
        <w:tblInd w:w="0" w:type="dxa"/>
        <w:tblCellMar>
          <w:top w:w="0" w:type="dxa"/>
          <w:left w:w="0" w:type="dxa"/>
          <w:bottom w:w="0" w:type="dxa"/>
          <w:right w:w="0" w:type="dxa"/>
        </w:tblCellMar>
      </w:tblPr>
      <w:tblGrid>
        <w:gridCol w:w="38"/>
        <w:gridCol w:w="965"/>
        <w:gridCol w:w="1445"/>
      </w:tblGrid>
      <w:tr>
        <w:trPr/>
        <w:tc>
          <w:tcPr>
            <w:tcW w:w="38" w:type="dxa"/>
            <w:tcBorders/>
            <w:shd w:fill="auto" w:val="clear"/>
            <w:vAlign w:val="center"/>
          </w:tcPr>
          <w:p>
            <w:pPr>
              <w:pStyle w:val="TableContents"/>
              <w:spacing w:before="0" w:after="283"/>
              <w:rPr>
                <w:sz w:val="4"/>
                <w:szCs w:val="4"/>
              </w:rPr>
            </w:pPr>
            <w:r>
              <w:rPr>
                <w:sz w:val="4"/>
                <w:szCs w:val="4"/>
              </w:rPr>
            </w:r>
          </w:p>
        </w:tc>
        <w:tc>
          <w:tcPr>
            <w:tcW w:w="965" w:type="dxa"/>
            <w:tcBorders/>
            <w:shd w:fill="auto" w:val="clear"/>
            <w:vAlign w:val="center"/>
          </w:tcPr>
          <w:p>
            <w:pPr>
              <w:pStyle w:val="TableContents"/>
              <w:spacing w:before="0" w:after="283"/>
              <w:rPr>
                <w:b/>
              </w:rPr>
            </w:pPr>
            <w:r>
              <w:rPr>
                <w:b/>
              </w:rPr>
              <w:t>Item 8.01</w:t>
            </w:r>
          </w:p>
        </w:tc>
        <w:tc>
          <w:tcPr>
            <w:tcW w:w="1445" w:type="dxa"/>
            <w:tcBorders/>
            <w:shd w:fill="auto" w:val="clear"/>
            <w:vAlign w:val="center"/>
          </w:tcPr>
          <w:p>
            <w:pPr>
              <w:pStyle w:val="TableContents"/>
              <w:spacing w:before="0" w:after="283"/>
              <w:rPr>
                <w:b/>
              </w:rPr>
            </w:pPr>
            <w:r>
              <w:rPr>
                <w:b/>
              </w:rPr>
              <w:t>Other Events.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24, 2021, Clearway Energy Operating LLC, a subsidiary of Clearway Energy, Inc., issued a press release announcing the pricing of its offering (the “Offering”) of $350 million in aggregate principal amount of senior notes due 2032 (the “Notes”). A copy of the press release is attached hereto as Exhibit 99.1 and incorporated by reference herein. This Current Report on Form 8-K does not constitute an offer to sell or the solicitation of an offer to buy the Notes.</w:t>
      </w:r>
    </w:p>
    <w:p>
      <w:pPr>
        <w:pStyle w:val="TextBody"/>
        <w:spacing w:before="0" w:after="0"/>
        <w:ind w:left="0" w:right="0" w:hanging="0"/>
        <w:rPr>
          <w:caps w:val="false"/>
          <w:smallCaps w:val="false"/>
        </w:rPr>
      </w:pPr>
      <w:r>
        <w:rPr>
          <w:caps w:val="false"/>
          <w:smallCaps w:val="false"/>
        </w:rPr>
        <w:t> </w:t>
      </w:r>
    </w:p>
    <w:tbl>
      <w:tblPr>
        <w:tblW w:w="4563" w:type="dxa"/>
        <w:jc w:val="left"/>
        <w:tblInd w:w="0" w:type="dxa"/>
        <w:tblCellMar>
          <w:top w:w="0" w:type="dxa"/>
          <w:left w:w="0" w:type="dxa"/>
          <w:bottom w:w="0" w:type="dxa"/>
          <w:right w:w="0" w:type="dxa"/>
        </w:tblCellMar>
      </w:tblPr>
      <w:tblGrid>
        <w:gridCol w:w="38"/>
        <w:gridCol w:w="965"/>
        <w:gridCol w:w="3560"/>
      </w:tblGrid>
      <w:tr>
        <w:trPr/>
        <w:tc>
          <w:tcPr>
            <w:tcW w:w="38" w:type="dxa"/>
            <w:tcBorders/>
            <w:shd w:fill="auto" w:val="clear"/>
            <w:vAlign w:val="center"/>
          </w:tcPr>
          <w:p>
            <w:pPr>
              <w:pStyle w:val="TableContents"/>
              <w:spacing w:before="0" w:after="283"/>
              <w:rPr>
                <w:sz w:val="4"/>
                <w:szCs w:val="4"/>
              </w:rPr>
            </w:pPr>
            <w:r>
              <w:rPr>
                <w:sz w:val="4"/>
                <w:szCs w:val="4"/>
              </w:rPr>
            </w:r>
          </w:p>
        </w:tc>
        <w:tc>
          <w:tcPr>
            <w:tcW w:w="965" w:type="dxa"/>
            <w:tcBorders/>
            <w:shd w:fill="auto" w:val="clear"/>
            <w:vAlign w:val="center"/>
          </w:tcPr>
          <w:p>
            <w:pPr>
              <w:pStyle w:val="TableContents"/>
              <w:spacing w:before="0" w:after="283"/>
              <w:rPr>
                <w:b/>
              </w:rPr>
            </w:pPr>
            <w:r>
              <w:rPr>
                <w:b/>
              </w:rPr>
              <w:t>Item 9.01</w:t>
            </w:r>
          </w:p>
        </w:tc>
        <w:tc>
          <w:tcPr>
            <w:tcW w:w="3560" w:type="dxa"/>
            <w:tcBorders/>
            <w:shd w:fill="auto" w:val="clear"/>
            <w:vAlign w:val="center"/>
          </w:tcPr>
          <w:p>
            <w:pPr>
              <w:pStyle w:val="TableContents"/>
              <w:spacing w:before="0" w:after="283"/>
              <w:rPr>
                <w:b/>
              </w:rPr>
            </w:pPr>
            <w:r>
              <w:rPr>
                <w:b/>
              </w:rPr>
              <w:t>Financial Statements and Exhibits.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spacing w:before="0" w:after="0"/>
        <w:ind w:left="0" w:right="0" w:hanging="0"/>
        <w:rPr>
          <w:caps w:val="false"/>
          <w:smallCaps w:val="false"/>
        </w:rPr>
      </w:pPr>
      <w:r>
        <w:rPr>
          <w:caps w:val="false"/>
          <w:smallCaps w:val="false"/>
        </w:rPr>
        <w:t> </w:t>
      </w:r>
    </w:p>
    <w:tbl>
      <w:tblPr>
        <w:tblW w:w="8065" w:type="dxa"/>
        <w:jc w:val="left"/>
        <w:tblInd w:w="0" w:type="dxa"/>
        <w:tblCellMar>
          <w:top w:w="0" w:type="dxa"/>
          <w:left w:w="0" w:type="dxa"/>
          <w:bottom w:w="28" w:type="dxa"/>
          <w:right w:w="0" w:type="dxa"/>
        </w:tblCellMar>
      </w:tblPr>
      <w:tblGrid>
        <w:gridCol w:w="665"/>
        <w:gridCol w:w="60"/>
        <w:gridCol w:w="7340"/>
      </w:tblGrid>
      <w:tr>
        <w:trPr/>
        <w:tc>
          <w:tcPr>
            <w:tcW w:w="665" w:type="dxa"/>
            <w:tcBorders>
              <w:bottom w:val="single" w:sz="8" w:space="0" w:color="000000"/>
            </w:tcBorders>
            <w:shd w:fill="auto" w:val="clear"/>
            <w:vAlign w:val="center"/>
          </w:tcPr>
          <w:p>
            <w:pPr>
              <w:pStyle w:val="TableContents"/>
              <w:spacing w:before="0" w:after="283"/>
              <w:rPr>
                <w:b/>
                <w:sz w:val="20"/>
              </w:rPr>
            </w:pPr>
            <w:r>
              <w:rPr>
                <w:b/>
                <w:sz w:val="20"/>
              </w:rPr>
              <w:t>Exhibit</w:t>
              <w:br/>
              <w:t>No.</w:t>
            </w:r>
          </w:p>
        </w:tc>
        <w:tc>
          <w:tcPr>
            <w:tcW w:w="60" w:type="dxa"/>
            <w:tcBorders/>
            <w:shd w:fill="auto" w:val="clear"/>
            <w:tcMar>
              <w:bottom w:w="0" w:type="dxa"/>
            </w:tcMar>
            <w:vAlign w:val="center"/>
          </w:tcPr>
          <w:p>
            <w:pPr>
              <w:pStyle w:val="TableContents"/>
              <w:spacing w:before="0" w:after="283"/>
              <w:jc w:val="center"/>
              <w:rPr/>
            </w:pPr>
            <w:r>
              <w:rPr/>
              <w:t> </w:t>
            </w:r>
          </w:p>
        </w:tc>
        <w:tc>
          <w:tcPr>
            <w:tcW w:w="7340" w:type="dxa"/>
            <w:tcBorders>
              <w:bottom w:val="single" w:sz="8" w:space="0" w:color="000000"/>
            </w:tcBorders>
            <w:shd w:fill="auto" w:val="clear"/>
            <w:vAlign w:val="center"/>
          </w:tcPr>
          <w:p>
            <w:pPr>
              <w:pStyle w:val="TableContents"/>
              <w:spacing w:before="0" w:after="283"/>
              <w:jc w:val="center"/>
              <w:rPr>
                <w:b/>
                <w:sz w:val="20"/>
              </w:rPr>
            </w:pPr>
            <w:r>
              <w:rPr>
                <w:b/>
                <w:sz w:val="20"/>
              </w:rPr>
              <w:t>Description</w:t>
            </w:r>
          </w:p>
        </w:tc>
      </w:tr>
      <w:tr>
        <w:trPr/>
        <w:tc>
          <w:tcPr>
            <w:tcW w:w="665" w:type="dxa"/>
            <w:tcBorders/>
            <w:shd w:fill="auto" w:val="clear"/>
            <w:tcMar>
              <w:bottom w:w="0" w:type="dxa"/>
            </w:tcMar>
            <w:vAlign w:val="center"/>
          </w:tcPr>
          <w:p>
            <w:pPr>
              <w:pStyle w:val="TableContents"/>
              <w:spacing w:before="0" w:after="283"/>
              <w:rPr/>
            </w:pPr>
            <w:hyperlink w:anchor="tm2128073d3_ex99-1.htm">
              <w:r>
                <w:rPr>
                  <w:rStyle w:val="InternetLink"/>
                  <w:sz w:val="20"/>
                </w:rPr>
                <w:t>99.1</w:t>
              </w:r>
            </w:hyperlink>
          </w:p>
        </w:tc>
        <w:tc>
          <w:tcPr>
            <w:tcW w:w="60" w:type="dxa"/>
            <w:tcBorders/>
            <w:shd w:fill="auto" w:val="clear"/>
            <w:tcMar>
              <w:bottom w:w="0" w:type="dxa"/>
            </w:tcMar>
            <w:vAlign w:val="center"/>
          </w:tcPr>
          <w:p>
            <w:pPr>
              <w:pStyle w:val="TableContents"/>
              <w:spacing w:before="0" w:after="283"/>
              <w:rPr/>
            </w:pPr>
            <w:r>
              <w:rPr/>
              <w:t> </w:t>
            </w:r>
          </w:p>
        </w:tc>
        <w:tc>
          <w:tcPr>
            <w:tcW w:w="7340" w:type="dxa"/>
            <w:tcBorders/>
            <w:shd w:fill="auto" w:val="clear"/>
            <w:tcMar>
              <w:bottom w:w="0" w:type="dxa"/>
            </w:tcMar>
            <w:vAlign w:val="center"/>
          </w:tcPr>
          <w:p>
            <w:pPr>
              <w:pStyle w:val="TableContents"/>
              <w:spacing w:before="0" w:after="283"/>
              <w:rPr/>
            </w:pPr>
            <w:hyperlink w:anchor="tm2128073d3_ex99-1.htm">
              <w:r>
                <w:rPr>
                  <w:rStyle w:val="InternetLink"/>
                  <w:sz w:val="20"/>
                </w:rPr>
                <w:t>Press Release, dated September 24, 2021, announcing the pricing of the Offering.</w:t>
              </w:r>
            </w:hyperlink>
          </w:p>
        </w:tc>
      </w:tr>
      <w:tr>
        <w:trPr/>
        <w:tc>
          <w:tcPr>
            <w:tcW w:w="665" w:type="dxa"/>
            <w:tcBorders/>
            <w:shd w:fill="auto" w:val="clear"/>
            <w:tcMar>
              <w:bottom w:w="0" w:type="dxa"/>
            </w:tcMar>
            <w:vAlign w:val="center"/>
          </w:tcPr>
          <w:p>
            <w:pPr>
              <w:pStyle w:val="TableContents"/>
              <w:spacing w:before="0" w:after="283"/>
              <w:rPr>
                <w:sz w:val="20"/>
              </w:rPr>
            </w:pPr>
            <w:r>
              <w:rPr>
                <w:sz w:val="20"/>
              </w:rPr>
              <w:t>104</w:t>
            </w:r>
          </w:p>
        </w:tc>
        <w:tc>
          <w:tcPr>
            <w:tcW w:w="60" w:type="dxa"/>
            <w:tcBorders/>
            <w:shd w:fill="auto" w:val="clear"/>
            <w:tcMar>
              <w:bottom w:w="0" w:type="dxa"/>
            </w:tcMar>
            <w:vAlign w:val="center"/>
          </w:tcPr>
          <w:p>
            <w:pPr>
              <w:pStyle w:val="TableContents"/>
              <w:spacing w:before="0" w:after="283"/>
              <w:rPr/>
            </w:pPr>
            <w:r>
              <w:rPr/>
              <w:t> </w:t>
            </w:r>
          </w:p>
        </w:tc>
        <w:tc>
          <w:tcPr>
            <w:tcW w:w="7340" w:type="dxa"/>
            <w:tcBorders/>
            <w:shd w:fill="auto" w:val="clear"/>
            <w:tcMar>
              <w:bottom w:w="0" w:type="dxa"/>
            </w:tcMar>
            <w:vAlign w:val="center"/>
          </w:tcPr>
          <w:p>
            <w:pPr>
              <w:pStyle w:val="TableContents"/>
              <w:spacing w:before="0" w:after="283"/>
              <w:rPr>
                <w:color w:val="212529"/>
                <w:sz w:val="20"/>
                <w:highlight w:val="white"/>
              </w:rPr>
            </w:pPr>
            <w:r>
              <w:rPr>
                <w:color w:val="212529"/>
                <w:sz w:val="20"/>
                <w:highlight w:val="white"/>
              </w:rPr>
              <w:t>Cover Page Interactive Data File (formatted as inline XBRL and contained in Exhibit 101)</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2 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spacing w:before="0" w:after="0"/>
        <w:ind w:left="0" w:right="0" w:hanging="0"/>
        <w:rPr>
          <w:caps w:val="false"/>
          <w:smallCaps w:val="false"/>
        </w:rPr>
      </w:pPr>
      <w:r>
        <w:rPr>
          <w:caps w:val="false"/>
          <w:smallCaps w:val="false"/>
        </w:rPr>
        <w:t> </w:t>
      </w:r>
    </w:p>
    <w:tbl>
      <w:tblPr>
        <w:tblW w:w="3775" w:type="dxa"/>
        <w:jc w:val="left"/>
        <w:tblInd w:w="0" w:type="dxa"/>
        <w:tblCellMar>
          <w:top w:w="0" w:type="dxa"/>
          <w:left w:w="0" w:type="dxa"/>
          <w:bottom w:w="0" w:type="dxa"/>
          <w:right w:w="0" w:type="dxa"/>
        </w:tblCellMar>
      </w:tblPr>
      <w:tblGrid>
        <w:gridCol w:w="75"/>
        <w:gridCol w:w="320"/>
        <w:gridCol w:w="3380"/>
      </w:tblGrid>
      <w:tr>
        <w:trPr/>
        <w:tc>
          <w:tcPr>
            <w:tcW w:w="75" w:type="dxa"/>
            <w:tcBorders/>
            <w:shd w:fill="auto" w:val="clear"/>
            <w:vAlign w:val="center"/>
          </w:tcPr>
          <w:p>
            <w:pPr>
              <w:pStyle w:val="TableContents"/>
              <w:spacing w:before="0" w:after="283"/>
              <w:rPr/>
            </w:pPr>
            <w:r>
              <w:rPr/>
              <w:t> </w:t>
            </w:r>
          </w:p>
        </w:tc>
        <w:tc>
          <w:tcPr>
            <w:tcW w:w="3700" w:type="dxa"/>
            <w:gridSpan w:val="2"/>
            <w:tcBorders/>
            <w:shd w:fill="auto" w:val="clear"/>
            <w:vAlign w:val="center"/>
          </w:tcPr>
          <w:p>
            <w:pPr>
              <w:pStyle w:val="TableContents"/>
              <w:spacing w:before="0" w:after="283"/>
              <w:rPr/>
            </w:pPr>
            <w:r>
              <w:rPr>
                <w:b/>
              </w:rPr>
              <w:t>Clearway Energy, Inc.</w:t>
              <w:br/>
            </w:r>
            <w:r>
              <w:rPr/>
              <w:t>(Registrant)</w:t>
            </w:r>
          </w:p>
        </w:tc>
      </w:tr>
      <w:tr>
        <w:trPr/>
        <w:tc>
          <w:tcPr>
            <w:tcW w:w="7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3380"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sz w:val="20"/>
              </w:rPr>
            </w:pPr>
            <w:r>
              <w:rPr>
                <w:sz w:val="20"/>
              </w:rPr>
              <w:t>By:</w:t>
            </w:r>
          </w:p>
        </w:tc>
        <w:tc>
          <w:tcPr>
            <w:tcW w:w="3380" w:type="dxa"/>
            <w:tcBorders>
              <w:bottom w:val="single" w:sz="8" w:space="0" w:color="000000"/>
            </w:tcBorders>
            <w:shd w:fill="auto" w:val="clear"/>
            <w:tcMar>
              <w:bottom w:w="28" w:type="dxa"/>
            </w:tcMar>
            <w:vAlign w:val="center"/>
          </w:tcPr>
          <w:p>
            <w:pPr>
              <w:pStyle w:val="TableContents"/>
              <w:spacing w:before="0" w:after="283"/>
              <w:rPr>
                <w:i/>
                <w:sz w:val="20"/>
              </w:rPr>
            </w:pPr>
            <w:r>
              <w:rPr>
                <w:i/>
                <w:sz w:val="20"/>
              </w:rPr>
              <w:t>/s/ Kevin P. Malcarney</w:t>
            </w:r>
          </w:p>
        </w:tc>
      </w:tr>
      <w:tr>
        <w:trPr/>
        <w:tc>
          <w:tcPr>
            <w:tcW w:w="7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3380" w:type="dxa"/>
            <w:tcBorders/>
            <w:shd w:fill="auto" w:val="clear"/>
            <w:vAlign w:val="center"/>
          </w:tcPr>
          <w:p>
            <w:pPr>
              <w:pStyle w:val="TableContents"/>
              <w:spacing w:before="0" w:after="283"/>
              <w:rPr>
                <w:sz w:val="20"/>
              </w:rPr>
            </w:pPr>
            <w:r>
              <w:rPr>
                <w:sz w:val="20"/>
              </w:rPr>
              <w:t>Kevin P. Malcarney</w:t>
            </w:r>
          </w:p>
        </w:tc>
      </w:tr>
      <w:tr>
        <w:trPr/>
        <w:tc>
          <w:tcPr>
            <w:tcW w:w="7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3380" w:type="dxa"/>
            <w:tcBorders/>
            <w:shd w:fill="auto" w:val="clear"/>
            <w:vAlign w:val="center"/>
          </w:tcPr>
          <w:p>
            <w:pPr>
              <w:pStyle w:val="TableContents"/>
              <w:spacing w:before="0" w:after="283"/>
              <w:rPr>
                <w:sz w:val="20"/>
              </w:rPr>
            </w:pPr>
            <w:r>
              <w:rPr>
                <w:sz w:val="20"/>
              </w:rPr>
              <w:t>General Counsel and Corporate Secretary</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24, 2021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3 </w:t>
      </w:r>
    </w:p>
    <w:p>
      <w:pPr>
        <w:pStyle w:val="TextBody"/>
        <w:spacing w:before="0" w:after="0"/>
        <w:ind w:left="0" w:right="0" w:hanging="0"/>
        <w:jc w:val="center"/>
        <w:rPr>
          <w:caps w:val="false"/>
          <w:smallCaps w:val="false"/>
        </w:rPr>
      </w:pPr>
      <w:r>
        <w:rPr>
          <w:caps w:val="false"/>
          <w:smallCaps w:val="false"/>
        </w:rPr>
        <w:t>  </w:t>
      </w:r>
      <w:r>
        <w:br w:type="page"/>
      </w:r>
    </w:p>
    <w:p>
      <w:pPr>
        <w:pStyle w:val="TextBody"/>
        <w:spacing w:before="0" w:after="0"/>
        <w:ind w:left="0" w:right="0" w:hanging="0"/>
        <w:rPr/>
      </w:pPr>
      <w:bookmarkStart w:id="26" w:name="tm2128073d3_ex99-1.htm"/>
      <w:bookmarkStart w:id="27" w:name="kstm2128073d3_ex991"/>
      <w:bookmarkEnd w:id="26"/>
      <w:bookmarkEnd w:id="27"/>
      <w:r>
        <w:rPr/>
        <w:t> </w:t>
      </w:r>
    </w:p>
    <w:p>
      <w:pPr>
        <w:pStyle w:val="TextBody"/>
        <w:spacing w:before="0" w:after="0"/>
        <w:ind w:left="0" w:right="0" w:hanging="0"/>
        <w:jc w:val="right"/>
        <w:rPr>
          <w:b/>
        </w:rPr>
      </w:pPr>
      <w:r>
        <w:rPr>
          <w:b/>
        </w:rPr>
        <w:t>Exhibit 99.1</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drawing>
          <wp:inline distT="0" distB="0" distL="0" distR="0">
            <wp:extent cx="3209925" cy="5048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209925" cy="504825"/>
                    </a:xfrm>
                    <a:prstGeom prst="rect">
                      <a:avLst/>
                    </a:prstGeom>
                  </pic:spPr>
                </pic:pic>
              </a:graphicData>
            </a:graphic>
          </wp:inline>
        </w:drawing>
      </w:r>
      <w:r>
        <w:rPr>
          <w:caps w:val="false"/>
          <w:smallCaps w:val="false"/>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Clearway Energy Operating LLC, a Subsidiary of Clearway Energy, Inc.,</w:t>
        <w:br/>
        <w:t>Announces Pricing of Offering of $350 Million “Green Bond”</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PRINCETON, NJ; September 24, 2021 — </w:t>
      </w:r>
      <w:r>
        <w:rPr>
          <w:rFonts w:ascii="Times New Roman;Times;Serif" w:hAnsi="Times New Roman;Times;Serif"/>
          <w:b w:val="false"/>
          <w:i w:val="false"/>
          <w:caps w:val="false"/>
          <w:smallCaps w:val="false"/>
          <w:sz w:val="20"/>
          <w:highlight w:val="white"/>
        </w:rPr>
        <w:t> </w:t>
      </w:r>
      <w:r>
        <w:rPr>
          <w:rFonts w:ascii="Times New Roman;Times;Serif" w:hAnsi="Times New Roman;Times;Serif"/>
          <w:b w:val="false"/>
          <w:i w:val="false"/>
          <w:caps w:val="false"/>
          <w:smallCaps w:val="false"/>
          <w:sz w:val="20"/>
        </w:rPr>
        <w:t>Clearway Energy Operating LLC (“Clearway Operating”), a subsidiary of Clearway Energy, Inc. (NYSE: CWEN, CWEN.A) (“Clearway Energy”), has priced its offering of $350 million in aggregate principal amount of 3.750% senior notes due 2032 (the “New Notes”) at a price to the public of 100% of their face value. The New Notes will be senior unsecured obligations of Clearway Operating and will be guaranteed by Clearway Energy LLC, Clearway Operating’s parent company, and by each of Clearway Operating’s wholly owned current and future subsidiaries that guarantees indebtedness under its credit agreement.</w:t>
      </w:r>
    </w:p>
    <w:p>
      <w:pPr>
        <w:pStyle w:val="TextBody"/>
        <w:spacing w:before="0" w:after="0"/>
        <w:ind w:left="0" w:right="0" w:hanging="0"/>
        <w:jc w:val="left"/>
        <w:rPr>
          <w:caps w:val="false"/>
          <w:smallCaps w:val="false"/>
        </w:rPr>
      </w:pPr>
      <w:r>
        <w:rPr>
          <w:caps w:val="false"/>
          <w:smallCaps w:val="false"/>
        </w:rPr>
        <w:t> </w:t>
      </w:r>
    </w:p>
    <w:p>
      <w:pPr>
        <w:pStyle w:val="TextBody"/>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New Notes will mature on January 15, 2032. The offering is expected to close on October 1, 2021, subject to customary conditions.</w:t>
      </w:r>
    </w:p>
    <w:p>
      <w:pPr>
        <w:pStyle w:val="TextBody"/>
        <w:spacing w:before="0" w:after="0"/>
        <w:ind w:left="0" w:right="0" w:hanging="0"/>
        <w:jc w:val="left"/>
        <w:rPr>
          <w:caps w:val="false"/>
          <w:smallCaps w:val="false"/>
        </w:rPr>
      </w:pPr>
      <w:r>
        <w:rPr>
          <w:caps w:val="false"/>
          <w:smallCaps w:val="false"/>
        </w:rPr>
        <w:t> </w:t>
      </w:r>
    </w:p>
    <w:p>
      <w:pPr>
        <w:pStyle w:val="TextBody"/>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Clearway Operating intends to allocate an amount equal to the net proceeds from the offering of the New Notes to finance or refinance, in part or in full, new and existing projects and assets meeting certain renewable energy generation eligibility criteria. Specifically, Clearway Operating intends to use the net proceeds of the offering, together with existing corporate liquidity, (i) to repurchase any and all of the $350 million outstanding aggregate principal amount of its 5.000% senior notes due 2026 (the “2026 Notes”) and (ii) to pay fees and expenses incurred in connection with the repurchase of the 2026 Notes.</w:t>
      </w:r>
    </w:p>
    <w:p>
      <w:pPr>
        <w:pStyle w:val="TextBody"/>
        <w:spacing w:before="0" w:after="0"/>
        <w:ind w:left="0" w:right="0" w:hanging="0"/>
        <w:jc w:val="left"/>
        <w:rPr>
          <w:caps w:val="false"/>
          <w:smallCaps w:val="false"/>
        </w:rPr>
      </w:pPr>
      <w:r>
        <w:rPr>
          <w:caps w:val="false"/>
          <w:smallCaps w:val="false"/>
        </w:rPr>
        <w:t> </w:t>
      </w:r>
    </w:p>
    <w:p>
      <w:pPr>
        <w:pStyle w:val="TextBody"/>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New Notes and related guarantees are being offered only to qualified institutional buyers in reliance on Rule 144A under the Securities Act of 1933, as amended (the “Securities Act”), or outside the United States to persons other than “U.S. persons” in compliance with Regulation S under the Securities Act. The New Notes and related guarantees have not been registered under the Securities Act or the securities laws of any other jurisdiction and may not be offered or sold in the United States absent registration or an applicable exemption from the registration requirements. This notice is issued pursuant to Rule 135c of the Securities Act, and does not constitute an offer to sell any security, including the New Notes, nor a solicitation for an offer to purchase any security, including the New Notes or the 2026 Notes, and shall not constitute an offer, solicitation or sale in any jurisdiction in which such offering, solicitation or sale would be unlawful.</w:t>
      </w:r>
    </w:p>
    <w:p>
      <w:pPr>
        <w:pStyle w:val="TextBody"/>
        <w:spacing w:before="0" w:after="0"/>
        <w:ind w:left="0" w:right="0" w:hanging="0"/>
        <w:jc w:val="left"/>
        <w:rPr>
          <w:caps w:val="false"/>
          <w:smallCaps w:val="false"/>
        </w:rPr>
      </w:pPr>
      <w:r>
        <w:rPr>
          <w:caps w:val="false"/>
          <w:smallCaps w:val="false"/>
        </w:rPr>
        <w:t> </w:t>
      </w:r>
    </w:p>
    <w:p>
      <w:pPr>
        <w:pStyle w:val="TextBody"/>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Clearway Energy, Inc.</w:t>
      </w:r>
    </w:p>
    <w:p>
      <w:pPr>
        <w:pStyle w:val="TextBody"/>
        <w:spacing w:before="0" w:after="0"/>
        <w:ind w:left="0" w:right="0" w:hanging="0"/>
        <w:jc w:val="left"/>
        <w:rPr>
          <w:caps w:val="false"/>
          <w:smallCaps w:val="false"/>
        </w:rPr>
      </w:pPr>
      <w:r>
        <w:rPr>
          <w:caps w:val="false"/>
          <w:smallCaps w:val="false"/>
        </w:rPr>
        <w:t> </w:t>
      </w:r>
    </w:p>
    <w:p>
      <w:pPr>
        <w:pStyle w:val="TextBody"/>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Clearway Energy, Inc. is one of the largest renewable energy owners in the US with over 4,700 net MW of installed wind and solar generation projects. Clearway Energy’s over 8,000 net MW of assets also includes approximately 2,500 net MW of environmentally-sound, highly efficient natural gas generation facilities as well as a portfolio of district energy systems. Through this environmentally-sound diversified and primarily contracted portfolio, Clearway Energy endeavors to provide its investors with stable and growing dividend income. Clearway Energy’s Class C and Class A common stock are traded on the New York Stock Exchange under the symbols CWEN and CWEN.A, respectively. Clearway Energy, Inc. is sponsored by its controlling investor Global Infrastructure Partners III (GIP), an independent infrastructure fund manager that invests in infrastructure and businesses in both OECD and select emerging market countries, through GIP’s portfolio company, Clearway Energy Group.</w:t>
      </w:r>
    </w:p>
    <w:p>
      <w:pPr>
        <w:pStyle w:val="TextBody"/>
        <w:spacing w:before="0" w:after="0"/>
        <w:ind w:left="0" w:right="0" w:hanging="0"/>
        <w:jc w:val="left"/>
        <w:rPr>
          <w:caps w:val="false"/>
          <w:smallCaps w:val="false"/>
        </w:rPr>
      </w:pPr>
      <w:r>
        <w:rPr>
          <w:caps w:val="false"/>
          <w:smallCaps w:val="false"/>
        </w:rPr>
        <w:t> </w:t>
      </w:r>
    </w:p>
    <w:p>
      <w:pPr>
        <w:pStyle w:val="TextBody"/>
        <w:spacing w:before="0" w:after="0"/>
        <w:ind w:left="0" w:right="0" w:hanging="0"/>
        <w:rPr/>
      </w:pPr>
      <w:r>
        <w:rPr/>
        <w:t> </w:t>
      </w:r>
    </w:p>
    <w:p>
      <w:pPr>
        <w:pStyle w:val="TextBody"/>
        <w:spacing w:before="0" w:after="0"/>
        <w:ind w:left="0" w:right="0" w:hanging="0"/>
        <w:jc w:val="left"/>
        <w:rPr>
          <w:caps w:val="false"/>
          <w:smallCaps w:val="false"/>
        </w:rPr>
      </w:pPr>
      <w:r>
        <w:rPr>
          <w:caps w:val="false"/>
          <w:smallCaps w:val="false"/>
        </w:rPr>
        <w:t> </w:t>
      </w:r>
    </w:p>
    <w:p>
      <w:pPr>
        <w:pStyle w:val="TextBody"/>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spacing w:before="0" w:after="0"/>
        <w:ind w:left="0" w:right="0" w:hanging="0"/>
        <w:jc w:val="left"/>
        <w:rPr>
          <w:caps w:val="false"/>
          <w:smallCaps w:val="false"/>
        </w:rPr>
      </w:pPr>
      <w:r>
        <w:rPr>
          <w:caps w:val="false"/>
          <w:smallCaps w:val="false"/>
        </w:rPr>
        <w:t> </w:t>
      </w:r>
    </w:p>
    <w:p>
      <w:pPr>
        <w:pStyle w:val="TextBody"/>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news release contains forward-looking statements within the meaning of Section 27A of the Securities Act and Section 21E of the Securities Exchange Act of 1934. Forward-looking statements are subject to certain risks, uncertainties and assumptions, and typically can be identified by the use of words such as “expect,” “estimate,” “should,” “anticipate,” “forecast,” “plan,” “outlook,” “believe” and similar terms.</w:t>
      </w:r>
    </w:p>
    <w:p>
      <w:pPr>
        <w:pStyle w:val="TextBody"/>
        <w:spacing w:before="0" w:after="0"/>
        <w:ind w:left="0" w:right="0" w:hanging="0"/>
        <w:jc w:val="left"/>
        <w:rPr>
          <w:caps w:val="false"/>
          <w:smallCaps w:val="false"/>
        </w:rPr>
      </w:pPr>
      <w:r>
        <w:rPr>
          <w:caps w:val="false"/>
          <w:smallCaps w:val="false"/>
        </w:rPr>
        <w:t> </w:t>
      </w:r>
    </w:p>
    <w:p>
      <w:pPr>
        <w:pStyle w:val="TextBody"/>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Although Clearway Energy believes that the expectations are reasonable, it can give no assurance that these expectations will prove to be correct, and actual results may vary materially. Factors that could cause actual results to differ materially from those contemplated above include, among others, impacts related to COVID-19 or any other pandemic, impacts of recent weather events on the Company, its operations, its facilities and its financial results, </w:t>
      </w:r>
      <w:r>
        <w:rPr>
          <w:rFonts w:ascii="Times New Roman;Times;Serif" w:hAnsi="Times New Roman;Times;Serif"/>
          <w:b w:val="false"/>
          <w:i w:val="false"/>
          <w:caps w:val="false"/>
          <w:smallCaps w:val="false"/>
          <w:sz w:val="20"/>
          <w:highlight w:val="white"/>
        </w:rPr>
        <w:t>any potential disposition of Clearway Energy’s Thermal platform</w:t>
      </w:r>
      <w:r>
        <w:rPr>
          <w:rFonts w:ascii="Times New Roman;Times;Serif" w:hAnsi="Times New Roman;Times;Serif"/>
          <w:b w:val="false"/>
          <w:i w:val="false"/>
          <w:caps w:val="false"/>
          <w:smallCaps w:val="false"/>
          <w:sz w:val="20"/>
        </w:rPr>
        <w:t>, risks and uncertainties related to the capital markets generally, whether Clearway Energy will consummate the offering, the anticipated terms of the New Notes and the anticipated use of proceeds, including the results of the repurchase of the 2026 Notes.</w:t>
      </w:r>
    </w:p>
    <w:p>
      <w:pPr>
        <w:pStyle w:val="TextBody"/>
        <w:spacing w:before="0" w:after="0"/>
        <w:ind w:left="0" w:right="0" w:hanging="0"/>
        <w:jc w:val="left"/>
        <w:rPr>
          <w:caps w:val="false"/>
          <w:smallCaps w:val="false"/>
        </w:rPr>
      </w:pPr>
      <w:r>
        <w:rPr>
          <w:caps w:val="false"/>
          <w:smallCaps w:val="false"/>
        </w:rPr>
        <w:t> </w:t>
      </w:r>
    </w:p>
    <w:p>
      <w:pPr>
        <w:pStyle w:val="TextBody"/>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Clearway Energy undertakes no obligation to update or revise any forward-looking statements, whether as a result of new information, future events or otherwise, except as required by law. The foregoing review of factors that could cause Clearway Energy’s actual results to differ materially from those contemplated in the forward-looking statements included in this news release should be considered in connection with information regarding risks and uncertainties that may affect Clearway Energy’s future results included in Clearway Energy’s filings, or the filings of Clearway Energy LLC, with the Securities and Exchange Commission at </w:t>
      </w:r>
      <w:r>
        <w:rPr>
          <w:rFonts w:ascii="Times New Roman;Times;Serif" w:hAnsi="Times New Roman;Times;Serif"/>
          <w:b w:val="false"/>
          <w:i w:val="false"/>
          <w:caps w:val="false"/>
          <w:smallCaps w:val="false"/>
          <w:sz w:val="20"/>
          <w:u w:val="single"/>
        </w:rPr>
        <w:t>www.sec.gov</w:t>
      </w:r>
      <w:r>
        <w:rPr>
          <w:rFonts w:ascii="Times New Roman;Times;Serif" w:hAnsi="Times New Roman;Times;Serif"/>
          <w:b w:val="false"/>
          <w:i w:val="false"/>
          <w:caps w:val="false"/>
          <w:smallCaps w:val="false"/>
          <w:sz w:val="20"/>
        </w:rPr>
        <w:t xml:space="preserve">. In addition, Clearway Energy makes available free of charge at </w:t>
      </w:r>
      <w:r>
        <w:rPr>
          <w:rFonts w:ascii="Times New Roman;Times;Serif" w:hAnsi="Times New Roman;Times;Serif"/>
          <w:b w:val="false"/>
          <w:i w:val="false"/>
          <w:caps w:val="false"/>
          <w:smallCaps w:val="false"/>
          <w:sz w:val="20"/>
          <w:u w:val="single"/>
        </w:rPr>
        <w:t>www.clearwayenergy.com</w:t>
      </w:r>
      <w:r>
        <w:rPr>
          <w:rFonts w:ascii="Times New Roman;Times;Serif" w:hAnsi="Times New Roman;Times;Serif"/>
          <w:b w:val="false"/>
          <w:i w:val="false"/>
          <w:caps w:val="false"/>
          <w:smallCaps w:val="false"/>
          <w:sz w:val="20"/>
        </w:rPr>
        <w:t>, copies of materials it files with, or furnishes to, the Securities and Exchange Commission.</w:t>
      </w:r>
    </w:p>
    <w:p>
      <w:pPr>
        <w:pStyle w:val="TextBody"/>
        <w:spacing w:before="0" w:after="0"/>
        <w:ind w:left="0" w:right="0" w:hanging="0"/>
        <w:jc w:val="left"/>
        <w:rPr>
          <w:caps w:val="false"/>
          <w:smallCaps w:val="false"/>
        </w:rPr>
      </w:pPr>
      <w:r>
        <w:rPr>
          <w:caps w:val="false"/>
          <w:smallCaps w:val="false"/>
        </w:rPr>
        <w:t> </w:t>
      </w:r>
    </w:p>
    <w:p>
      <w:pPr>
        <w:pStyle w:val="TextBody"/>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Investors:</w:t>
      </w:r>
    </w:p>
    <w:p>
      <w:pPr>
        <w:pStyle w:val="TextBody"/>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Akil Marsh, 609-608-1500</w:t>
      </w:r>
      <w:r>
        <w:rPr>
          <w:rFonts w:ascii="Times New Roman;Times;Serif" w:hAnsi="Times New Roman;Times;Serif"/>
          <w:b/>
          <w:i w:val="false"/>
          <w:caps w:val="false"/>
          <w:smallCaps w:val="false"/>
          <w:sz w:val="20"/>
        </w:rPr>
        <w:br/>
      </w:r>
      <w:r>
        <w:rPr>
          <w:rFonts w:ascii="Times New Roman;Times;Serif" w:hAnsi="Times New Roman;Times;Serif"/>
          <w:b w:val="false"/>
          <w:i w:val="false"/>
          <w:caps w:val="false"/>
          <w:smallCaps w:val="false"/>
          <w:sz w:val="20"/>
        </w:rPr>
        <w:t>investor.relations@clearwayenergy.com</w:t>
      </w:r>
    </w:p>
    <w:p>
      <w:pPr>
        <w:pStyle w:val="TextBody"/>
        <w:spacing w:before="0" w:after="0"/>
        <w:ind w:left="0" w:right="0" w:hanging="0"/>
        <w:jc w:val="left"/>
        <w:rPr>
          <w:caps w:val="false"/>
          <w:smallCaps w:val="false"/>
        </w:rPr>
      </w:pPr>
      <w:r>
        <w:rPr>
          <w:caps w:val="false"/>
          <w:smallCaps w:val="false"/>
        </w:rPr>
        <w:t> </w:t>
      </w:r>
    </w:p>
    <w:p>
      <w:pPr>
        <w:pStyle w:val="TextBody"/>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Media:</w:t>
      </w:r>
      <w:r>
        <w:rPr>
          <w:rFonts w:ascii="Times New Roman;Times;Serif" w:hAnsi="Times New Roman;Times;Serif"/>
          <w:b w:val="false"/>
          <w:i w:val="false"/>
          <w:caps w:val="false"/>
          <w:smallCaps w:val="false"/>
          <w:sz w:val="20"/>
        </w:rPr>
        <w:br/>
        <w:t>media@clearwayenergy.com </w:t>
      </w:r>
    </w:p>
    <w:p>
      <w:pPr>
        <w:pStyle w:val="TextBody"/>
        <w:spacing w:before="0" w:after="0"/>
        <w:ind w:left="0" w:right="0" w:hanging="0"/>
        <w:jc w:val="left"/>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2</w:t>
      </w:r>
    </w:p>
    <w:p>
      <w:pPr>
        <w:pStyle w:val="TextBody"/>
        <w:spacing w:before="0" w:after="0"/>
        <w:ind w:left="0" w:right="0" w:hanging="0"/>
        <w:jc w:val="left"/>
        <w:rPr>
          <w:caps w:val="false"/>
          <w:smallCaps w:val="false"/>
        </w:rPr>
      </w:pPr>
      <w:r>
        <w:rPr>
          <w:caps w:val="false"/>
          <w:smallCaps w:val="false"/>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6</Pages>
  <Words>1339</Words>
  <CharactersWithSpaces>8866</CharactersWithSpaces>
  <Paragraphs>166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