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June 30,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31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8,801,424</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8,867,823</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73,484</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8,941,307</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12.19%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55"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55" w:orient="portrait"/>
          <w:cols w:equalWidth="0" w:num="2">
            <w:col w:w="1380" w:space="320"/>
            <w:col w:w="8519"/>
          </w:cols>
          <w:pgMar w:left="24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8,205,336</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8,276,895</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64,504</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8,341,399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11.38%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159"/>
          </w:cols>
          <w:pgMar w:left="24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8,205,336</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8,276,895</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64,504</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8,341,399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11.38%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24" w:lineRule="exact"/>
        <w:rPr>
          <w:sz w:val="20"/>
          <w:szCs w:val="20"/>
          <w:color w:val="auto"/>
        </w:rPr>
      </w:pPr>
    </w:p>
    <w:p>
      <w:pPr>
        <w:jc w:val="both"/>
        <w:ind w:left="860" w:right="231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Investments Corporation IRS Identification Nos. of Above Persons          IRS No.25-1442864</w:t>
      </w:r>
    </w:p>
    <w:p>
      <w:pPr>
        <w:sectPr>
          <w:pgSz w:w="11900" w:h="16838" w:orient="portrait"/>
          <w:cols w:equalWidth="0" w:num="1">
            <w:col w:w="10219"/>
          </w:cols>
          <w:pgMar w:left="240" w:top="136" w:right="1440" w:bottom="0" w:gutter="0" w:footer="0" w:header="0"/>
          <w:type w:val="continuous"/>
        </w:sectPr>
      </w:pPr>
    </w:p>
    <w:p>
      <w:pPr>
        <w:spacing w:after="0" w:line="170"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6,481,048</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6,552,607</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64,504</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6,617,111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9.02%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519"/>
          </w:cols>
          <w:pgMar w:left="240" w:top="136"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information applies if checked: ( ) The Bank of New York Mellon and/or ( ) The Bank of New York Mellon Trust Company, National</w:t>
      </w:r>
    </w:p>
    <w:p>
      <w:pPr>
        <w:spacing w:after="0" w:line="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Association is/are the trustee of the issuer's employee benefit plan (the 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than five percent of the class of securities, check the following ( )</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10,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IVAN R. ARIAS</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Ivan R. Arias</w:t>
      </w:r>
    </w:p>
    <w:p>
      <w:pPr>
        <w:ind w:left="2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779" w:hanging="525"/>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5"/>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419" w:hanging="525"/>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5"/>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740" w:hanging="205"/>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w:t>
      </w:r>
    </w:p>
    <w:p>
      <w:pPr>
        <w:spacing w:after="0" w:line="4" w:lineRule="exact"/>
        <w:rPr>
          <w:rFonts w:ascii="Courier New" w:cs="Courier New" w:eastAsia="Courier New" w:hAnsi="Courier New"/>
          <w:sz w:val="18"/>
          <w:szCs w:val="18"/>
          <w:color w:val="auto"/>
        </w:rPr>
      </w:pPr>
    </w:p>
    <w:p>
      <w:pPr>
        <w:ind w:left="106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Titulos e Valores Mobiliarios S.A.(parent holding company of BNY Mellon Administracao de Ativos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Administracao de Ativos Ltda.</w:t>
      </w:r>
    </w:p>
    <w:p>
      <w:pPr>
        <w:spacing w:after="0" w:line="5" w:lineRule="exact"/>
        <w:rPr>
          <w:sz w:val="20"/>
          <w:szCs w:val="20"/>
          <w:color w:val="auto"/>
        </w:rPr>
      </w:pPr>
    </w:p>
    <w:p>
      <w:pPr>
        <w:ind w:left="1060" w:right="273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sectPr>
          <w:pgSz w:w="11900" w:h="16838" w:orient="portrait"/>
          <w:cols w:equalWidth="0" w:num="1">
            <w:col w:w="10219"/>
          </w:cols>
          <w:pgMar w:left="240" w:top="136" w:right="1440" w:bottom="0" w:gutter="0" w:footer="0" w:header="0"/>
        </w:sectPr>
      </w:pPr>
    </w:p>
    <w:bookmarkStart w:id="4" w:name="page5"/>
    <w:bookmarkEnd w:id="4"/>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5"/>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5"/>
        <w:spacing w:after="0" w:line="237"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(North America)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Asset Management Japan Limited</w:t>
      </w:r>
    </w:p>
    <w:p>
      <w:pPr>
        <w:spacing w:after="0" w:line="207" w:lineRule="exact"/>
        <w:rPr>
          <w:rFonts w:ascii="Courier New" w:cs="Courier New" w:eastAsia="Courier New" w:hAnsi="Courier New"/>
          <w:sz w:val="18"/>
          <w:szCs w:val="18"/>
          <w:color w:val="auto"/>
        </w:rPr>
      </w:pPr>
    </w:p>
    <w:p>
      <w:pPr>
        <w:ind w:left="540" w:right="2419" w:hanging="532"/>
        <w:spacing w:after="0" w:line="268"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Securities Corporation</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LLC</w:t>
      </w:r>
    </w:p>
    <w:p>
      <w:pPr>
        <w:spacing w:after="0" w:line="207"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319" w:hanging="525"/>
        <w:spacing w:after="0" w:line="235"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(as parent holding company of MBC Investments Corporation)</w:t>
      </w:r>
    </w:p>
    <w:p>
      <w:pPr>
        <w:spacing w:after="0" w:line="6" w:lineRule="exact"/>
        <w:rPr>
          <w:sz w:val="20"/>
          <w:szCs w:val="20"/>
          <w:color w:val="auto"/>
        </w:rPr>
      </w:pPr>
    </w:p>
    <w:p>
      <w:pPr>
        <w:ind w:left="1060" w:right="2199" w:hanging="525"/>
        <w:spacing w:after="0" w:line="268" w:lineRule="auto"/>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Mellon Investments Corporation; BNY Mellon Investment; Management(Jersey) Ltd.; BNY Mellon Investment Management APAC LP; BNY Mellon Investment Adviser, Inc; ARX Investimentos Ltda. ;</w:t>
      </w:r>
    </w:p>
    <w:p>
      <w:pPr>
        <w:ind w:left="1060"/>
        <w:spacing w:after="0" w:line="234" w:lineRule="auto"/>
        <w:rPr>
          <w:sz w:val="20"/>
          <w:szCs w:val="20"/>
          <w:color w:val="auto"/>
        </w:rPr>
      </w:pPr>
      <w:r>
        <w:rPr>
          <w:rFonts w:ascii="Courier New" w:cs="Courier New" w:eastAsia="Courier New" w:hAnsi="Courier New"/>
          <w:sz w:val="18"/>
          <w:szCs w:val="18"/>
          <w:color w:val="auto"/>
        </w:rPr>
        <w:t>Mellon Global Investing Corporation)</w:t>
      </w:r>
    </w:p>
    <w:p>
      <w:pPr>
        <w:spacing w:after="0" w:line="4" w:lineRule="exact"/>
        <w:rPr>
          <w:sz w:val="20"/>
          <w:szCs w:val="20"/>
          <w:color w:val="auto"/>
        </w:rPr>
      </w:pPr>
    </w:p>
    <w:p>
      <w:pPr>
        <w:ind w:left="1060" w:right="17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Management (Jersey) Ltd. (parent holding company of BNY Mellon Investment Management (Europe) Ltd.)</w:t>
      </w:r>
    </w:p>
    <w:p>
      <w:pPr>
        <w:spacing w:after="0" w:line="6" w:lineRule="exact"/>
        <w:rPr>
          <w:sz w:val="20"/>
          <w:szCs w:val="20"/>
          <w:color w:val="auto"/>
        </w:rPr>
      </w:pPr>
    </w:p>
    <w:p>
      <w:pPr>
        <w:ind w:left="1060" w:right="1779" w:hanging="525"/>
        <w:spacing w:after="0" w:line="235" w:lineRule="auto"/>
        <w:tabs>
          <w:tab w:leader="none" w:pos="7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tbl>
      <w:tblPr>
        <w:tblLayout w:type="fixed"/>
        <w:tblInd w:w="54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BNY</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Mellon</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Investment</w:t>
            </w:r>
          </w:p>
        </w:tc>
        <w:tc>
          <w:tcPr>
            <w:tcW w:w="5020" w:type="dxa"/>
            <w:vAlign w:val="bottom"/>
          </w:tcPr>
          <w:p>
            <w:pPr>
              <w:ind w:left="60"/>
              <w:spacing w:after="0"/>
              <w:rPr>
                <w:sz w:val="20"/>
                <w:szCs w:val="20"/>
                <w:color w:val="auto"/>
              </w:rPr>
            </w:pPr>
            <w:r>
              <w:rPr>
                <w:rFonts w:ascii="Courier New" w:cs="Courier New" w:eastAsia="Courier New" w:hAnsi="Courier New"/>
                <w:sz w:val="18"/>
                <w:szCs w:val="18"/>
                <w:color w:val="auto"/>
              </w:rPr>
              <w:t>Management Cayman Ltd.)</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  BNY</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Mellon</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5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Management Europe Holdings Ltd. (parent holding</w:t>
            </w: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 of</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BNY Mellon</w:t>
            </w:r>
          </w:p>
        </w:tc>
        <w:tc>
          <w:tcPr>
            <w:tcW w:w="5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International Asset Management Group Limited)</w:t>
            </w:r>
          </w:p>
        </w:tc>
      </w:tr>
    </w:tbl>
    <w:p>
      <w:pPr>
        <w:spacing w:after="0" w:line="4" w:lineRule="exact"/>
        <w:rPr>
          <w:sz w:val="20"/>
          <w:szCs w:val="20"/>
          <w:color w:val="auto"/>
        </w:rPr>
      </w:pPr>
    </w:p>
    <w:p>
      <w:pPr>
        <w:ind w:left="1060" w:right="1779" w:hanging="525"/>
        <w:spacing w:after="0" w:line="268" w:lineRule="auto"/>
        <w:tabs>
          <w:tab w:leader="none" w:pos="7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w:t>
      </w:r>
    </w:p>
    <w:p>
      <w:pPr>
        <w:ind w:left="1060" w:right="2199"/>
        <w:spacing w:after="0" w:line="235" w:lineRule="auto"/>
        <w:rPr>
          <w:sz w:val="20"/>
          <w:szCs w:val="20"/>
          <w:color w:val="auto"/>
        </w:rPr>
      </w:pPr>
      <w:r>
        <w:rPr>
          <w:rFonts w:ascii="Courier New" w:cs="Courier New" w:eastAsia="Courier New" w:hAnsi="Courier New"/>
          <w:sz w:val="18"/>
          <w:szCs w:val="18"/>
          <w:color w:val="auto"/>
        </w:rPr>
        <w:t>Asset Management (Holdings) Limited; Insight Investment Management Limited)</w:t>
      </w:r>
    </w:p>
    <w:p>
      <w:pPr>
        <w:spacing w:after="0" w:line="6" w:lineRule="exact"/>
        <w:rPr>
          <w:sz w:val="20"/>
          <w:szCs w:val="20"/>
          <w:color w:val="auto"/>
        </w:rPr>
      </w:pPr>
    </w:p>
    <w:p>
      <w:pPr>
        <w:ind w:left="1060" w:right="1779" w:hanging="525"/>
        <w:spacing w:after="0" w:line="236"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(North America) Limited; Newton Investment Management Limited)</w:t>
      </w:r>
    </w:p>
    <w:p>
      <w:pPr>
        <w:spacing w:after="0" w:line="6" w:lineRule="exact"/>
        <w:rPr>
          <w:sz w:val="20"/>
          <w:szCs w:val="20"/>
          <w:color w:val="auto"/>
        </w:rPr>
      </w:pPr>
    </w:p>
    <w:p>
      <w:pPr>
        <w:ind w:left="1060" w:right="1999" w:hanging="525"/>
        <w:spacing w:after="0" w:line="290" w:lineRule="auto"/>
        <w:tabs>
          <w:tab w:leader="none" w:pos="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Limited (parent holding company of BNY Mellon International Asset Management</w:t>
      </w:r>
    </w:p>
    <w:p>
      <w:pPr>
        <w:spacing w:after="0" w:line="170" w:lineRule="exact"/>
        <w:rPr>
          <w:sz w:val="20"/>
          <w:szCs w:val="20"/>
          <w:color w:val="auto"/>
        </w:rPr>
      </w:pPr>
    </w:p>
    <w:p>
      <w:pPr>
        <w:ind w:left="1060" w:right="2199" w:hanging="525"/>
        <w:spacing w:after="0" w:line="268" w:lineRule="auto"/>
        <w:tabs>
          <w:tab w:leader="none" w:pos="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419" w:hanging="525"/>
        <w:spacing w:after="0" w:line="236"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99" w:hanging="525"/>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319" w:hanging="525"/>
        <w:spacing w:after="0" w:line="235"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Holdings Limited (parent holding company of BNY Mellon Asset Management Japan Limited)</w:t>
      </w:r>
    </w:p>
    <w:p>
      <w:pPr>
        <w:spacing w:after="0" w:line="6" w:lineRule="exact"/>
        <w:rPr>
          <w:sz w:val="20"/>
          <w:szCs w:val="20"/>
          <w:color w:val="auto"/>
        </w:rPr>
      </w:pPr>
    </w:p>
    <w:p>
      <w:pPr>
        <w:ind w:left="1060" w:right="1879" w:hanging="525"/>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spacing w:after="0" w:line="6" w:lineRule="exact"/>
        <w:rPr>
          <w:sz w:val="20"/>
          <w:szCs w:val="20"/>
          <w:color w:val="auto"/>
        </w:rPr>
      </w:pPr>
    </w:p>
    <w:p>
      <w:pPr>
        <w:ind w:left="1060" w:right="231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Mellon Overseas Investment Corporation (parent holding company of Mellon Canada Holding Company; BNY Mellon Participacoes Ltda.)</w:t>
      </w:r>
    </w:p>
    <w:p>
      <w:pPr>
        <w:ind w:left="1060" w:right="2099" w:hanging="525"/>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jc w:val="both"/>
        <w:ind w:left="1060" w:right="20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International Financing Corporation (parent holding company of BNY Mellon Trust Company (Cayman) Limited)</w:t>
      </w:r>
    </w:p>
    <w:p>
      <w:pPr>
        <w:spacing w:after="0" w:line="6" w:lineRule="exact"/>
        <w:rPr>
          <w:sz w:val="20"/>
          <w:szCs w:val="20"/>
          <w:color w:val="auto"/>
        </w:rPr>
      </w:pPr>
    </w:p>
    <w:p>
      <w:pPr>
        <w:ind w:left="1060" w:right="273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Capital Markets Holdings, Inc. (parent holding company of BNY Mellon Capital Markets, LLC)</w:t>
      </w:r>
    </w:p>
    <w:p>
      <w:pPr>
        <w:spacing w:after="0" w:line="6" w:lineRule="exact"/>
        <w:rPr>
          <w:sz w:val="20"/>
          <w:szCs w:val="20"/>
          <w:color w:val="auto"/>
        </w:rPr>
      </w:pPr>
    </w:p>
    <w:p>
      <w:pPr>
        <w:ind w:left="1060" w:right="2619" w:hanging="525"/>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NOTE: ALL OF THE LEGAL ENTITIES LISTED UNDER (A), (B), (C) AND (D) ABOVE ARE DIRECT OR INDIRECT SUBSIDIARIES OF THE BANK OF NEW YORK MELLON CORPORATION.</w:t>
      </w:r>
    </w:p>
    <w:p>
      <w:pPr>
        <w:sectPr>
          <w:pgSz w:w="11900" w:h="16838" w:orient="portrait"/>
          <w:cols w:equalWidth="0" w:num="1">
            <w:col w:w="10219"/>
          </w:cols>
          <w:pgMar w:left="240" w:top="136"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6" w:lineRule="exact"/>
        <w:rPr>
          <w:sz w:val="20"/>
          <w:szCs w:val="20"/>
          <w:color w:val="auto"/>
        </w:rPr>
      </w:pPr>
    </w:p>
    <w:p>
      <w:pPr>
        <w:ind w:left="540" w:right="303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303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18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9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59" w:gutter="0" w:footer="0" w:header="0"/>
        </w:sectPr>
      </w:pPr>
    </w:p>
    <w:p>
      <w:pPr>
        <w:spacing w:after="0" w:line="224"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NATIONAL ASSOCIATION</w:t>
      </w:r>
    </w:p>
    <w:p>
      <w:pPr>
        <w:spacing w:after="0" w:line="418" w:lineRule="exact"/>
        <w:rPr>
          <w:sz w:val="20"/>
          <w:szCs w:val="20"/>
          <w:color w:val="auto"/>
        </w:rPr>
      </w:pPr>
    </w:p>
    <w:p>
      <w:pPr>
        <w:sectPr>
          <w:pgSz w:w="11900" w:h="16838" w:orient="portrait"/>
          <w:cols w:equalWidth="0" w:num="2">
            <w:col w:w="3600" w:space="720"/>
            <w:col w:w="5899"/>
          </w:cols>
          <w:pgMar w:left="240" w:top="142" w:right="1440" w:bottom="159" w:gutter="0" w:footer="0" w:header="0"/>
          <w:type w:val="continuous"/>
        </w:sectPr>
      </w:pPr>
    </w:p>
    <w:p>
      <w:pPr>
        <w:spacing w:after="0" w:line="8" w:lineRule="exact"/>
        <w:rPr>
          <w:sz w:val="20"/>
          <w:szCs w:val="20"/>
          <w:color w:val="auto"/>
        </w:rPr>
      </w:pPr>
    </w:p>
    <w:p>
      <w:pPr>
        <w:ind w:left="420" w:right="640" w:hanging="419"/>
        <w:spacing w:after="0" w:line="268" w:lineRule="auto"/>
        <w:tabs>
          <w:tab w:leader="none" w:pos="400" w:val="left"/>
        </w:tabs>
        <w:rPr>
          <w:sz w:val="20"/>
          <w:szCs w:val="20"/>
          <w:color w:val="auto"/>
        </w:rPr>
      </w:pPr>
      <w:r>
        <w:rPr>
          <w:rFonts w:ascii="Courier New" w:cs="Courier New" w:eastAsia="Courier New" w:hAnsi="Courier New"/>
          <w:sz w:val="16"/>
          <w:szCs w:val="16"/>
          <w:color w:val="auto"/>
        </w:rPr>
        <w:t>By:</w:t>
        <w:tab/>
        <w:t>/S/ MITCHELL E.HARRIS ---------------------- Mitchell E. Harris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1" w:lineRule="exact"/>
        <w:rPr>
          <w:sz w:val="20"/>
          <w:szCs w:val="20"/>
          <w:color w:val="auto"/>
        </w:rPr>
      </w:pPr>
    </w:p>
    <w:p>
      <w:pPr>
        <w:sectPr>
          <w:pgSz w:w="11900" w:h="16838" w:orient="portrait"/>
          <w:cols w:equalWidth="0" w:num="2">
            <w:col w:w="3600" w:space="720"/>
            <w:col w:w="5899"/>
          </w:cols>
          <w:pgMar w:left="240" w:top="142" w:right="1440" w:bottom="159"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Investment Management</w:t>
      </w:r>
    </w:p>
    <w:p>
      <w:pPr>
        <w:sectPr>
          <w:pgSz w:w="11900" w:h="16838" w:orient="portrait"/>
          <w:cols w:equalWidth="0" w:num="1">
            <w:col w:w="10219"/>
          </w:cols>
          <w:pgMar w:left="240" w:top="142" w:right="1440" w:bottom="159" w:gutter="0" w:footer="0" w:header="0"/>
          <w:type w:val="continuous"/>
        </w:sectPr>
      </w:pP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16, 2015</w:t>
      </w:r>
    </w:p>
    <w:p>
      <w:pPr>
        <w:spacing w:after="0" w:line="216" w:lineRule="exact"/>
        <w:rPr>
          <w:sz w:val="20"/>
          <w:szCs w:val="20"/>
          <w:color w:val="auto"/>
        </w:rPr>
      </w:pPr>
    </w:p>
    <w:p>
      <w:pPr>
        <w:sectPr>
          <w:pgSz w:w="11900" w:h="16838" w:orient="portrait"/>
          <w:cols w:equalWidth="0" w:num="3">
            <w:col w:w="3600" w:space="720"/>
            <w:col w:w="540" w:space="200"/>
            <w:col w:w="5159"/>
          </w:cols>
          <w:pgMar w:left="240" w:top="142" w:right="1440" w:bottom="159"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NATIONAL ASSOCIATION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00" w:lineRule="exact"/>
        <w:rPr>
          <w:sz w:val="20"/>
          <w:szCs w:val="20"/>
          <w:color w:val="auto"/>
        </w:rPr>
      </w:pPr>
    </w:p>
    <w:p>
      <w:pPr>
        <w:sectPr>
          <w:pgSz w:w="11900" w:h="16838" w:orient="portrait"/>
          <w:cols w:equalWidth="0" w:num="2">
            <w:col w:w="3600" w:space="720"/>
            <w:col w:w="5899"/>
          </w:cols>
          <w:pgMar w:left="240" w:top="142" w:right="1440" w:bottom="159"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Operating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17, 2016</w:t>
      </w:r>
    </w:p>
    <w:p>
      <w:pPr>
        <w:sectPr>
          <w:pgSz w:w="11900" w:h="16838" w:orient="portrait"/>
          <w:cols w:equalWidth="0" w:num="2">
            <w:col w:w="3600" w:space="720"/>
            <w:col w:w="5899"/>
          </w:cols>
          <w:pgMar w:left="240" w:top="142" w:right="1440" w:bottom="15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MITCHELL E. HARRIS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CURTIS ARLEDGE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Mitchell E. Harris</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Curtis Arledge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Executive Vice President</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18, 2015</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Date:</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26,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THE BANK OF NEW YORK MELLON TRUST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ANTONIO PORTUONDO</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KURTIS R. KURIMSKY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Antonio Portuondo</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Kurtis R. Kurimsky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8,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LEE JAMES WOOLLEY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Lee James Woolley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Chairman and</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19, 2015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Claire Santaniello</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Jeff Gearhart</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ectPr>
          <w:pgSz w:w="11900" w:h="16838" w:orient="portrait"/>
          <w:cols w:equalWidth="0" w:num="2">
            <w:col w:w="3600" w:space="720"/>
            <w:col w:w="5899"/>
          </w:cols>
          <w:pgMar w:left="24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ADVISER, INC</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(GLOBAL)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JAMES BITETTO</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Bitetto</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Secretary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03, 2019</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16,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BNY MELLON ASSET MANAGEMENT JAPAN</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JOHN J. BRETT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SHIZU KISHIMOTO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J. Brett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Shizu Kishimoto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Representative Director</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and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30,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5,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MELLON INVESTMENTS CORPORATION</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BNY MELLON SECURITIES CORPORATION</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NEWTON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(NORTH 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INSIGHT INVESTMENT INTERNATIONAL</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May 17, 2016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NORTH AMERICA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ARIOLA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Ariola</w:t>
      </w:r>
    </w:p>
    <w:p>
      <w:pPr>
        <w:ind w:left="420"/>
        <w:spacing w:after="0" w:line="237" w:lineRule="auto"/>
        <w:rPr>
          <w:sz w:val="20"/>
          <w:szCs w:val="20"/>
          <w:color w:val="auto"/>
        </w:rPr>
      </w:pPr>
      <w:r>
        <w:rPr>
          <w:rFonts w:ascii="Courier New" w:cs="Courier New" w:eastAsia="Courier New" w:hAnsi="Courier New"/>
          <w:sz w:val="18"/>
          <w:szCs w:val="18"/>
          <w:color w:val="auto"/>
        </w:rPr>
        <w:t>Head of Financial Analysis</w:t>
      </w:r>
    </w:p>
    <w:p>
      <w:pPr>
        <w:spacing w:after="0" w:line="238" w:lineRule="auto"/>
        <w:rPr>
          <w:sz w:val="20"/>
          <w:szCs w:val="20"/>
          <w:color w:val="auto"/>
        </w:rPr>
      </w:pPr>
      <w:r>
        <w:rPr>
          <w:rFonts w:ascii="Courier New" w:cs="Courier New" w:eastAsia="Courier New" w:hAnsi="Courier New"/>
          <w:sz w:val="18"/>
          <w:szCs w:val="18"/>
          <w:color w:val="auto"/>
        </w:rPr>
        <w:t>Date: December 7, 2016</w:t>
      </w:r>
    </w:p>
    <w:p>
      <w:pPr>
        <w:sectPr>
          <w:pgSz w:w="11900" w:h="16838" w:orient="portrait"/>
          <w:cols w:equalWidth="0" w:num="1">
            <w:col w:w="10219"/>
          </w:cols>
          <w:pgMar w:left="240" w:top="54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Chief Administrative 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EMILY CHAN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BNY CAPITAL MARKETS HOLDINGS, INC.</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Thomas P. Gibbons</w:t>
            </w:r>
          </w:p>
        </w:tc>
      </w:tr>
    </w:tbl>
    <w:p>
      <w:pPr>
        <w:sectPr>
          <w:pgSz w:w="11900" w:h="16838" w:orient="portrait"/>
          <w:cols w:equalWidth="0" w:num="1">
            <w:col w:w="10219"/>
          </w:cols>
          <w:pgMar w:left="240" w:top="344" w:right="1440" w:bottom="0" w:gutter="0" w:footer="0" w:header="0"/>
        </w:sectPr>
      </w:pPr>
    </w:p>
    <w:bookmarkStart w:id="9" w:name="page10"/>
    <w:bookmarkEnd w:id="9"/>
    <w:p>
      <w:pPr>
        <w:ind w:left="420"/>
        <w:spacing w:after="0"/>
        <w:rPr>
          <w:sz w:val="20"/>
          <w:szCs w:val="20"/>
          <w:color w:val="auto"/>
        </w:rPr>
      </w:pPr>
      <w:r>
        <w:rPr>
          <w:rFonts w:ascii="Courier New" w:cs="Courier New" w:eastAsia="Courier New" w:hAnsi="Courier New"/>
          <w:sz w:val="18"/>
          <w:szCs w:val="18"/>
          <w:color w:val="auto"/>
        </w:rPr>
        <w:t>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21, 2015</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Vice Chairman and Chief</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sectPr>
      </w:pPr>
    </w:p>
    <w:p>
      <w:pPr>
        <w:spacing w:after="0" w:line="210"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p>
      <w:pPr>
        <w:sectPr>
          <w:pgSz w:w="11900" w:h="16838" w:orient="portrait"/>
          <w:cols w:equalWidth="0" w:num="2">
            <w:col w:w="3600" w:space="720"/>
            <w:col w:w="5899"/>
          </w:cols>
          <w:pgMar w:left="240" w:top="136" w:right="1440" w:bottom="1440" w:gutter="0" w:footer="0" w:header="0"/>
          <w:type w:val="continuous"/>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sectPr>
          <w:pgSz w:w="11900" w:h="16838" w:orient="portrait"/>
          <w:cols w:equalWidth="0" w:num="1">
            <w:col w:w="10219"/>
          </w:cols>
          <w:pgMar w:left="240" w:top="919" w:right="1440" w:bottom="0" w:gutter="0" w:footer="0" w:header="0"/>
          <w:type w:val="continuous"/>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Helby</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Chief Operating Officer</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Guilherme Abry</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left="100"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Camila Souza</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Charles Farquharson</w:t>
      </w:r>
    </w:p>
    <w:p>
      <w:pPr>
        <w:ind w:left="520"/>
        <w:spacing w:after="0" w:line="237" w:lineRule="auto"/>
        <w:rPr>
          <w:sz w:val="20"/>
          <w:szCs w:val="20"/>
          <w:color w:val="auto"/>
        </w:rPr>
      </w:pPr>
      <w:r>
        <w:rPr>
          <w:rFonts w:ascii="Courier New" w:cs="Courier New" w:eastAsia="Courier New" w:hAnsi="Courier New"/>
          <w:sz w:val="18"/>
          <w:szCs w:val="18"/>
          <w:color w:val="auto"/>
        </w:rPr>
        <w:t>Chief Risk Officer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ind w:left="100"/>
        <w:spacing w:after="0"/>
        <w:rPr>
          <w:sz w:val="20"/>
          <w:szCs w:val="20"/>
          <w:color w:val="auto"/>
        </w:rPr>
      </w:pPr>
      <w:r>
        <w:rPr>
          <w:rFonts w:ascii="Courier New" w:cs="Courier New" w:eastAsia="Courier New" w:hAnsi="Courier New"/>
          <w:sz w:val="18"/>
          <w:szCs w:val="18"/>
          <w:color w:val="auto"/>
        </w:rPr>
        <w:t>By: /S/ SHIZU KISHIMOTO</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Shizu Kishimoto</w:t>
      </w:r>
    </w:p>
    <w:p>
      <w:pPr>
        <w:ind w:left="10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100"/>
        <w:spacing w:after="0" w:line="238" w:lineRule="auto"/>
        <w:rPr>
          <w:sz w:val="20"/>
          <w:szCs w:val="20"/>
          <w:color w:val="auto"/>
        </w:rPr>
      </w:pPr>
      <w:r>
        <w:rPr>
          <w:rFonts w:ascii="Courier New" w:cs="Courier New" w:eastAsia="Courier New" w:hAnsi="Courier New"/>
          <w:sz w:val="18"/>
          <w:szCs w:val="18"/>
          <w:color w:val="auto"/>
        </w:rPr>
        <w:t>and President</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Kenneth J. Bradle</w:t>
      </w:r>
    </w:p>
    <w:p>
      <w:pPr>
        <w:ind w:left="5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NEWTON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(NORTH AMERICA) LIMITED</w:t>
      </w:r>
    </w:p>
    <w:p>
      <w:pPr>
        <w:spacing w:after="0" w:line="202"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James Helby</w:t>
      </w:r>
    </w:p>
    <w:p>
      <w:pPr>
        <w:sectPr>
          <w:pgSz w:w="11900" w:h="16838" w:orient="portrait"/>
          <w:cols w:equalWidth="0" w:num="2">
            <w:col w:w="3800" w:space="420"/>
            <w:col w:w="599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w:t>
            </w:r>
          </w:p>
        </w:tc>
        <w:tc>
          <w:tcPr>
            <w:tcW w:w="3900" w:type="dxa"/>
            <w:vAlign w:val="bottom"/>
          </w:tcPr>
          <w:p>
            <w:pPr>
              <w:ind w:left="940"/>
              <w:spacing w:after="0"/>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390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390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39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Kurtis R. Kurimsky</w:t>
      </w:r>
    </w:p>
    <w:p>
      <w:pPr>
        <w:ind w:left="120"/>
        <w:spacing w:after="0" w:line="238" w:lineRule="auto"/>
        <w:rPr>
          <w:sz w:val="20"/>
          <w:szCs w:val="20"/>
          <w:color w:val="auto"/>
        </w:rPr>
      </w:pPr>
      <w:r>
        <w:rPr>
          <w:rFonts w:ascii="Courier New" w:cs="Courier New" w:eastAsia="Courier New" w:hAnsi="Courier New"/>
          <w:sz w:val="18"/>
          <w:szCs w:val="18"/>
          <w:color w:val="auto"/>
        </w:rPr>
        <w:t>Vice President and</w:t>
      </w:r>
    </w:p>
    <w:p>
      <w:pPr>
        <w:ind w:left="120"/>
        <w:spacing w:after="0"/>
        <w:rPr>
          <w:sz w:val="20"/>
          <w:szCs w:val="20"/>
          <w:color w:val="auto"/>
        </w:rPr>
      </w:pPr>
      <w:r>
        <w:rPr>
          <w:rFonts w:ascii="Courier New" w:cs="Courier New" w:eastAsia="Courier New" w:hAnsi="Courier New"/>
          <w:sz w:val="18"/>
          <w:szCs w:val="18"/>
          <w:color w:val="auto"/>
        </w:rPr>
        <w:t>Controller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Date: March 29, 2017</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Chairman, President and</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sectPr>
      </w:pPr>
    </w:p>
    <w:p>
      <w:pPr>
        <w:spacing w:after="0" w:line="209"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INSIGHT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7"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PAUL A. GRIFFITHS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LEO P. GROHOWSKI</w:t>
      </w:r>
    </w:p>
    <w:p>
      <w:pPr>
        <w:sectPr>
          <w:pgSz w:w="11900" w:h="16838" w:orient="portrait"/>
          <w:cols w:equalWidth="0" w:num="2">
            <w:col w:w="3500" w:space="720"/>
            <w:col w:w="5999"/>
          </w:cols>
          <w:pgMar w:left="240" w:top="136" w:right="1440" w:bottom="0" w:gutter="0" w:footer="0" w:header="0"/>
          <w:type w:val="continuous"/>
        </w:sectPr>
      </w:pPr>
    </w:p>
    <w:bookmarkStart w:id="14" w:name="page15"/>
    <w:bookmarkEnd w:id="14"/>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sectPr>
      <w:pgSz w:w="11900" w:h="16838" w:orient="portrait"/>
      <w:cols w:equalWidth="0" w:num="2">
        <w:col w:w="3600" w:space="720"/>
        <w:col w:w="5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1)"/>
      <w:numFmt w:val="decimal"/>
      <w:start w:val="2"/>
    </w:lvl>
    <w:lvl w:ilvl="1">
      <w:lvlJc w:val="left"/>
      <w:lvlText w:val="(%2)"/>
      <w:numFmt w:val="lowerLetter"/>
      <w:start w:val="1"/>
    </w:lvl>
  </w:abstractNum>
  <w:abstractNum w:abstractNumId="5">
    <w:nsid w:val="436C6125"/>
    <w:multiLevelType w:val="hybridMultilevel"/>
    <w:lvl w:ilvl="0">
      <w:lvlJc w:val="left"/>
      <w:lvlText w:val="(%1)"/>
      <w:numFmt w:val="decimal"/>
      <w:start w:val="9"/>
    </w:lvl>
  </w:abstractNum>
  <w:abstractNum w:abstractNumId="6">
    <w:nsid w:val="628C895D"/>
    <w:multiLevelType w:val="hybridMultilevel"/>
    <w:lvl w:ilvl="0">
      <w:lvlJc w:val="left"/>
      <w:lvlText w:val="(%1)"/>
      <w:numFmt w:val="decimal"/>
      <w:start w:val="2"/>
    </w:lvl>
    <w:lvl w:ilvl="1">
      <w:lvlJc w:val="left"/>
      <w:lvlText w:val="(%2)"/>
      <w:numFmt w:val="lowerLetter"/>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decimal"/>
      <w:start w:val="2"/>
    </w:lvl>
    <w:lvl w:ilvl="1">
      <w:lvlJc w:val="left"/>
      <w:lvlText w:val="(%2)"/>
      <w:numFmt w:val="lowerLetter"/>
      <w:start w:val="1"/>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upperLetter"/>
      <w:start w:val="1"/>
    </w:lvl>
  </w:abstractNum>
  <w:abstractNum w:abstractNumId="11">
    <w:nsid w:val="6763845E"/>
    <w:multiLevelType w:val="hybridMultilevel"/>
    <w:lvl w:ilvl="0">
      <w:lvlJc w:val="left"/>
      <w:lvlText w:val="(%1)"/>
      <w:numFmt w:val="upperLetter"/>
      <w:start w:val="24"/>
    </w:lvl>
  </w:abstractNum>
  <w:abstractNum w:abstractNumId="12">
    <w:nsid w:val="75A2A8D4"/>
    <w:multiLevelType w:val="hybridMultilevel"/>
    <w:lvl w:ilvl="0">
      <w:lvlJc w:val="left"/>
      <w:lvlText w:val="(%1)"/>
      <w:numFmt w:val="upperLetter"/>
      <w:start w:val="24"/>
    </w:lvl>
  </w:abstractNum>
  <w:abstractNum w:abstractNumId="13">
    <w:nsid w:val="8EDBDAB"/>
    <w:multiLevelType w:val="hybridMultilevel"/>
    <w:lvl w:ilvl="0">
      <w:lvlJc w:val="left"/>
      <w:lvlText w:val="(%1)"/>
      <w:numFmt w:val="upperLetter"/>
      <w:start w:val="24"/>
    </w:lvl>
  </w:abstractNum>
  <w:abstractNum w:abstractNumId="14">
    <w:nsid w:val="79838CB2"/>
    <w:multiLevelType w:val="hybridMultilevel"/>
    <w:lvl w:ilvl="0">
      <w:lvlJc w:val="left"/>
      <w:lvlText w:val="(%1)"/>
      <w:numFmt w:val="upperLetter"/>
      <w:start w:val="1"/>
    </w:lvl>
    <w:lvl w:ilvl="1">
      <w:lvlJc w:val="left"/>
      <w:lvlText w:val="("/>
      <w:numFmt w:val="bullet"/>
      <w:start w:val="1"/>
    </w:lvl>
  </w:abstractNum>
  <w:abstractNum w:abstractNumId="15">
    <w:nsid w:val="4353D0CD"/>
    <w:multiLevelType w:val="hybridMultilevel"/>
    <w:lvl w:ilvl="0">
      <w:lvlJc w:val="left"/>
      <w:lvlText w:val="(%1)"/>
      <w:numFmt w:val="upperLetter"/>
      <w:start w:val="24"/>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upperLetter"/>
      <w:start w:val="24"/>
    </w:lvl>
  </w:abstractNum>
  <w:abstractNum w:abstractNumId="18">
    <w:nsid w:val="54E49EB4"/>
    <w:multiLevelType w:val="hybridMultilevel"/>
    <w:lvl w:ilvl="0">
      <w:lvlJc w:val="left"/>
      <w:lvlText w:val="(%1)"/>
      <w:numFmt w:val="upperLetter"/>
      <w:start w:val="24"/>
    </w:lvl>
  </w:abstractNum>
  <w:abstractNum w:abstractNumId="19">
    <w:nsid w:val="71F32454"/>
    <w:multiLevelType w:val="hybridMultilevel"/>
    <w:lvl w:ilvl="0">
      <w:lvlJc w:val="left"/>
      <w:lvlText w:val="(%1)"/>
      <w:numFmt w:val="upperLetter"/>
      <w:start w:val="2"/>
    </w:lvl>
    <w:lvl w:ilvl="1">
      <w:lvlJc w:val="left"/>
      <w:lvlText w:val="("/>
      <w:numFmt w:val="bullet"/>
      <w:start w:val="1"/>
    </w:lvl>
  </w:abstractNum>
  <w:abstractNum w:abstractNumId="20">
    <w:nsid w:val="2CA88611"/>
    <w:multiLevelType w:val="hybridMultilevel"/>
    <w:lvl w:ilvl="0">
      <w:lvlJc w:val="left"/>
      <w:lvlText w:val="(%1)"/>
      <w:numFmt w:val="upperLetter"/>
      <w:start w:val="24"/>
    </w:lvl>
  </w:abstractNum>
  <w:abstractNum w:abstractNumId="21">
    <w:nsid w:val="836C40E"/>
    <w:multiLevelType w:val="hybridMultilevel"/>
    <w:lvl w:ilvl="0">
      <w:lvlJc w:val="left"/>
      <w:lvlText w:val="(%1)"/>
      <w:numFmt w:val="upperLetter"/>
      <w:start w:val="24"/>
    </w:lvl>
  </w:abstractNum>
  <w:abstractNum w:abstractNumId="22">
    <w:nsid w:val="2901D82"/>
    <w:multiLevelType w:val="hybridMultilevel"/>
    <w:lvl w:ilvl="0">
      <w:lvlJc w:val="left"/>
      <w:lvlText w:val="(%1)"/>
      <w:numFmt w:val="upperLetter"/>
      <w:start w:val="24"/>
    </w:lvl>
  </w:abstractNum>
  <w:abstractNum w:abstractNumId="23">
    <w:nsid w:val="3A95F874"/>
    <w:multiLevelType w:val="hybridMultilevel"/>
    <w:lvl w:ilvl="0">
      <w:lvlJc w:val="left"/>
      <w:lvlText w:val="(%1)"/>
      <w:numFmt w:val="upperLetter"/>
      <w:start w:val="24"/>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upperLetter"/>
      <w:start w:val="24"/>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2019-12-01T02:37:54Z</dcterms:created>
  <dcterms:modified xsi:type="dcterms:W3CDTF">2019-12-01T02:37:54Z</dcterms:modified>
</cp:coreProperties>
</file>