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252095</wp:posOffset>
            </wp:positionH>
            <wp:positionV relativeFrom="page">
              <wp:posOffset>860425</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757555</wp:posOffset>
            </wp:positionV>
            <wp:extent cx="70580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26035"/>
                    </a:xfrm>
                    <a:prstGeom prst="rect">
                      <a:avLst/>
                    </a:prstGeom>
                    <a:noFill/>
                  </pic:spPr>
                </pic:pic>
              </a:graphicData>
            </a:graphic>
          </wp:anchor>
        </w:drawing>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44" w:lineRule="exact"/>
        <w:rPr>
          <w:sz w:val="24"/>
          <w:szCs w:val="24"/>
          <w:color w:val="auto"/>
        </w:rPr>
      </w:pPr>
    </w:p>
    <w:p>
      <w:pPr>
        <w:ind w:left="500" w:right="2140" w:hanging="361"/>
        <w:spacing w:after="0" w:line="28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w:t>
      </w:r>
    </w:p>
    <w:p>
      <w:pPr>
        <w:ind w:left="500" w:hanging="361"/>
        <w:spacing w:after="0" w:line="180" w:lineRule="auto"/>
        <w:tabs>
          <w:tab w:leader="none" w:pos="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3" w:lineRule="exact"/>
        <w:rPr>
          <w:sz w:val="24"/>
          <w:szCs w:val="24"/>
          <w:color w:val="auto"/>
        </w:rPr>
      </w:pPr>
    </w:p>
    <w:p>
      <w:pPr>
        <w:ind w:left="500"/>
        <w:spacing w:after="0"/>
        <w:tabs>
          <w:tab w:leader="none" w:pos="3840" w:val="left"/>
          <w:tab w:leader="none" w:pos="50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5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333-203369</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Clearway Energy LLC</w:t>
      </w:r>
    </w:p>
    <w:p>
      <w:pPr>
        <w:spacing w:after="0" w:line="10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18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32-0407370</w:t>
      </w:r>
    </w:p>
    <w:p>
      <w:pPr>
        <w:spacing w:after="0" w:line="28"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198" w:lineRule="exact"/>
        <w:rPr>
          <w:sz w:val="24"/>
          <w:szCs w:val="24"/>
          <w:color w:val="auto"/>
        </w:rPr>
      </w:pPr>
    </w:p>
    <w:p>
      <w:pPr>
        <w:sectPr>
          <w:pgSz w:w="11900" w:h="16838" w:orient="portrait"/>
          <w:cols w:equalWidth="0" w:num="2">
            <w:col w:w="6640" w:space="720"/>
            <w:col w:w="4060"/>
          </w:cols>
          <w:pgMar w:left="240" w:top="1440" w:right="23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300 Carnegie Center, Suite 300, Princeton, New Jersey</w:t>
      </w:r>
    </w:p>
    <w:p>
      <w:pPr>
        <w:spacing w:after="0" w:line="28"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Times New Roman" w:cs="Times New Roman" w:eastAsia="Times New Roman" w:hAnsi="Times New Roman"/>
          <w:sz w:val="16"/>
          <w:szCs w:val="16"/>
          <w:b w:val="1"/>
          <w:bCs w:val="1"/>
          <w:color w:val="auto"/>
        </w:rPr>
        <w:t>08540</w:t>
      </w:r>
    </w:p>
    <w:p>
      <w:pPr>
        <w:spacing w:after="0" w:line="28"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36" w:lineRule="exact"/>
        <w:rPr>
          <w:sz w:val="24"/>
          <w:szCs w:val="24"/>
          <w:color w:val="auto"/>
        </w:rPr>
      </w:pPr>
    </w:p>
    <w:p>
      <w:pPr>
        <w:sectPr>
          <w:pgSz w:w="11900" w:h="16838" w:orient="portrait"/>
          <w:cols w:equalWidth="0" w:num="2">
            <w:col w:w="7440" w:space="720"/>
            <w:col w:w="3260"/>
          </w:cols>
          <w:pgMar w:left="240" w:top="1440" w:right="239" w:bottom="1440" w:gutter="0" w:footer="0" w:header="0"/>
          <w:type w:val="continuous"/>
        </w:sectPr>
      </w:pPr>
    </w:p>
    <w:p>
      <w:pPr>
        <w:ind w:left="5320"/>
        <w:spacing w:after="0"/>
        <w:rPr>
          <w:sz w:val="20"/>
          <w:szCs w:val="20"/>
          <w:color w:val="auto"/>
        </w:rPr>
      </w:pPr>
      <w:r>
        <w:rPr>
          <w:rFonts w:ascii="Times New Roman" w:cs="Times New Roman" w:eastAsia="Times New Roman" w:hAnsi="Times New Roman"/>
          <w:sz w:val="16"/>
          <w:szCs w:val="16"/>
          <w:b w:val="1"/>
          <w:bCs w:val="1"/>
          <w:color w:val="auto"/>
        </w:rPr>
        <w:t>(609) 608-1525</w:t>
      </w:r>
    </w:p>
    <w:p>
      <w:pPr>
        <w:spacing w:after="0" w:line="2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5"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ind w:left="260"/>
        <w:spacing w:after="0"/>
        <w:tabs>
          <w:tab w:leader="none" w:pos="7120" w:val="left"/>
          <w:tab w:leader="none" w:pos="758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Yes o</w:t>
        <w:tab/>
        <w:t>No x</w:t>
      </w:r>
    </w:p>
    <w:p>
      <w:pPr>
        <w:spacing w:after="0" w:line="93" w:lineRule="exact"/>
        <w:rPr>
          <w:sz w:val="24"/>
          <w:szCs w:val="24"/>
          <w:color w:val="auto"/>
        </w:rPr>
      </w:pPr>
    </w:p>
    <w:p>
      <w:pPr>
        <w:ind w:left="260"/>
        <w:spacing w:after="0"/>
        <w:tabs>
          <w:tab w:leader="none" w:pos="82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  Yes x</w:t>
        <w:tab/>
        <w:t>No o</w:t>
      </w:r>
    </w:p>
    <w:p>
      <w:pPr>
        <w:spacing w:after="0" w:line="109" w:lineRule="exact"/>
        <w:rPr>
          <w:sz w:val="24"/>
          <w:szCs w:val="24"/>
          <w:color w:val="auto"/>
        </w:rPr>
      </w:pPr>
    </w:p>
    <w:p>
      <w:pPr>
        <w:jc w:val="both"/>
        <w:ind w:firstLine="243"/>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Yes o No o</w:t>
      </w:r>
    </w:p>
    <w:p>
      <w:pPr>
        <w:spacing w:after="0" w:line="126" w:lineRule="exact"/>
        <w:rPr>
          <w:sz w:val="24"/>
          <w:szCs w:val="24"/>
          <w:color w:val="auto"/>
        </w:rPr>
      </w:pPr>
    </w:p>
    <w:p>
      <w:pPr>
        <w:jc w:val="both"/>
        <w:ind w:firstLine="243"/>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ind w:firstLine="243"/>
        <w:spacing w:after="0" w:line="249"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jc w:val="both"/>
        <w:ind w:firstLine="243"/>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Times New Roman" w:cs="Times New Roman" w:eastAsia="Times New Roman" w:hAnsi="Times New Roman"/>
          <w:sz w:val="15"/>
          <w:szCs w:val="15"/>
          <w:color w:val="auto"/>
        </w:rPr>
        <w:t>.</w:t>
      </w:r>
    </w:p>
    <w:p>
      <w:pPr>
        <w:spacing w:after="0" w:line="184" w:lineRule="exact"/>
        <w:rPr>
          <w:sz w:val="24"/>
          <w:szCs w:val="24"/>
          <w:color w:val="auto"/>
        </w:rPr>
      </w:pPr>
    </w:p>
    <w:p>
      <w:pPr>
        <w:ind w:left="520"/>
        <w:spacing w:after="0"/>
        <w:tabs>
          <w:tab w:leader="none" w:pos="2840" w:val="left"/>
          <w:tab w:leader="none" w:pos="4820" w:val="left"/>
          <w:tab w:leader="none" w:pos="6920" w:val="left"/>
          <w:tab w:leader="none" w:pos="9240" w:val="left"/>
        </w:tabs>
        <w:rPr>
          <w:sz w:val="20"/>
          <w:szCs w:val="20"/>
          <w:color w:val="auto"/>
        </w:rPr>
      </w:pPr>
      <w:r>
        <w:rPr>
          <w:rFonts w:ascii="Times New Roman" w:cs="Times New Roman" w:eastAsia="Times New Roman" w:hAnsi="Times New Roman"/>
          <w:sz w:val="14"/>
          <w:szCs w:val="14"/>
          <w:color w:val="auto"/>
        </w:rPr>
        <w:t>Large accelerated filer o</w:t>
      </w:r>
      <w:r>
        <w:rPr>
          <w:sz w:val="20"/>
          <w:szCs w:val="20"/>
          <w:color w:val="auto"/>
        </w:rPr>
        <w:tab/>
      </w:r>
      <w:r>
        <w:rPr>
          <w:rFonts w:ascii="Times New Roman" w:cs="Times New Roman" w:eastAsia="Times New Roman" w:hAnsi="Times New Roman"/>
          <w:sz w:val="14"/>
          <w:szCs w:val="14"/>
          <w:color w:val="auto"/>
        </w:rPr>
        <w:t>Accelerated filer o</w:t>
      </w:r>
      <w:r>
        <w:rPr>
          <w:sz w:val="20"/>
          <w:szCs w:val="20"/>
          <w:color w:val="auto"/>
        </w:rPr>
        <w:tab/>
      </w:r>
      <w:r>
        <w:rPr>
          <w:rFonts w:ascii="Times New Roman" w:cs="Times New Roman" w:eastAsia="Times New Roman" w:hAnsi="Times New Roman"/>
          <w:sz w:val="14"/>
          <w:szCs w:val="14"/>
          <w:color w:val="auto"/>
        </w:rPr>
        <w:t>Non-accelerated filer x</w:t>
      </w:r>
      <w:r>
        <w:rPr>
          <w:sz w:val="20"/>
          <w:szCs w:val="20"/>
          <w:color w:val="auto"/>
        </w:rPr>
        <w:tab/>
      </w:r>
      <w:r>
        <w:rPr>
          <w:rFonts w:ascii="Times New Roman" w:cs="Times New Roman" w:eastAsia="Times New Roman" w:hAnsi="Times New Roman"/>
          <w:sz w:val="14"/>
          <w:szCs w:val="14"/>
          <w:color w:val="auto"/>
        </w:rPr>
        <w:t>Smaller reporting company o</w:t>
      </w:r>
      <w:r>
        <w:rPr>
          <w:sz w:val="20"/>
          <w:szCs w:val="20"/>
          <w:color w:val="auto"/>
        </w:rPr>
        <w:tab/>
      </w:r>
      <w:r>
        <w:rPr>
          <w:rFonts w:ascii="Times New Roman" w:cs="Times New Roman" w:eastAsia="Times New Roman" w:hAnsi="Times New Roman"/>
          <w:sz w:val="14"/>
          <w:szCs w:val="14"/>
          <w:color w:val="auto"/>
        </w:rPr>
        <w:t>Emerging growth company o</w:t>
      </w:r>
    </w:p>
    <w:p>
      <w:pPr>
        <w:spacing w:after="0" w:line="27" w:lineRule="exact"/>
        <w:rPr>
          <w:sz w:val="24"/>
          <w:szCs w:val="24"/>
          <w:color w:val="auto"/>
        </w:rPr>
      </w:pPr>
    </w:p>
    <w:p>
      <w:pPr>
        <w:jc w:val="both"/>
        <w:ind w:firstLine="243"/>
        <w:spacing w:after="0" w:line="24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260"/>
        <w:spacing w:after="0"/>
        <w:tabs>
          <w:tab w:leader="none" w:pos="6300" w:val="left"/>
          <w:tab w:leader="none" w:pos="6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Yes o</w:t>
        <w:tab/>
        <w:t>No x</w:t>
      </w:r>
    </w:p>
    <w:p>
      <w:pPr>
        <w:spacing w:after="0" w:line="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Clearway Energy LLC's outstanding equity interests are held by Clearway Energy, Inc. and Clearway Energy Group LLC and there are no equity interests held by non-affiliates.</w:t>
      </w:r>
    </w:p>
    <w:p>
      <w:pPr>
        <w:spacing w:after="0" w:line="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 There is no public market for the registrant's outstanding units.</w:t>
      </w:r>
    </w:p>
    <w:p>
      <w:pPr>
        <w:spacing w:after="0" w:line="231" w:lineRule="exact"/>
        <w:rPr>
          <w:sz w:val="24"/>
          <w:szCs w:val="24"/>
          <w:color w:val="auto"/>
        </w:rPr>
      </w:pPr>
    </w:p>
    <w:tbl>
      <w:tblPr>
        <w:tblLayout w:type="fixed"/>
        <w:tblInd w:w="3560" w:type="dxa"/>
        <w:tblCellMar>
          <w:top w:w="0" w:type="dxa"/>
          <w:left w:w="0" w:type="dxa"/>
          <w:bottom w:w="0" w:type="dxa"/>
          <w:right w:w="0" w:type="dxa"/>
        </w:tblCellMar>
      </w:tblPr>
      <w:tr>
        <w:trPr>
          <w:trHeight w:val="166"/>
        </w:trPr>
        <w:tc>
          <w:tcPr>
            <w:tcW w:w="1980" w:type="dxa"/>
            <w:vAlign w:val="bottom"/>
          </w:tcPr>
          <w:p>
            <w:pPr>
              <w:jc w:val="center"/>
              <w:ind w:right="1197"/>
              <w:spacing w:after="0"/>
              <w:rPr>
                <w:sz w:val="20"/>
                <w:szCs w:val="20"/>
                <w:color w:val="auto"/>
              </w:rPr>
            </w:pPr>
            <w:r>
              <w:rPr>
                <w:rFonts w:ascii="Times New Roman" w:cs="Times New Roman" w:eastAsia="Times New Roman" w:hAnsi="Times New Roman"/>
                <w:sz w:val="13"/>
                <w:szCs w:val="13"/>
                <w:b w:val="1"/>
                <w:bCs w:val="1"/>
                <w:color w:val="auto"/>
                <w:w w:val="94"/>
              </w:rPr>
              <w:t>Class</w:t>
            </w:r>
          </w:p>
        </w:tc>
        <w:tc>
          <w:tcPr>
            <w:tcW w:w="3040" w:type="dxa"/>
            <w:vAlign w:val="bottom"/>
          </w:tcPr>
          <w:p>
            <w:pPr>
              <w:jc w:val="center"/>
              <w:ind w:left="1217"/>
              <w:spacing w:after="0"/>
              <w:rPr>
                <w:sz w:val="20"/>
                <w:szCs w:val="20"/>
                <w:color w:val="auto"/>
              </w:rPr>
            </w:pPr>
            <w:r>
              <w:rPr>
                <w:rFonts w:ascii="Times New Roman" w:cs="Times New Roman" w:eastAsia="Times New Roman" w:hAnsi="Times New Roman"/>
                <w:sz w:val="13"/>
                <w:szCs w:val="13"/>
                <w:b w:val="1"/>
                <w:bCs w:val="1"/>
                <w:color w:val="auto"/>
                <w:w w:val="96"/>
              </w:rPr>
              <w:t>Outstanding at January 31, 2019</w:t>
            </w:r>
          </w:p>
        </w:tc>
      </w:tr>
      <w:tr>
        <w:trPr>
          <w:trHeight w:val="270"/>
        </w:trPr>
        <w:tc>
          <w:tcPr>
            <w:tcW w:w="1980" w:type="dxa"/>
            <w:vAlign w:val="bottom"/>
          </w:tcPr>
          <w:p>
            <w:pPr>
              <w:jc w:val="center"/>
              <w:ind w:right="1217"/>
              <w:spacing w:after="0"/>
              <w:rPr>
                <w:sz w:val="20"/>
                <w:szCs w:val="20"/>
                <w:color w:val="auto"/>
              </w:rPr>
            </w:pPr>
            <w:r>
              <w:rPr>
                <w:rFonts w:ascii="Times New Roman" w:cs="Times New Roman" w:eastAsia="Times New Roman" w:hAnsi="Times New Roman"/>
                <w:sz w:val="13"/>
                <w:szCs w:val="13"/>
                <w:color w:val="auto"/>
                <w:w w:val="96"/>
              </w:rPr>
              <w:t>Class A Units</w:t>
            </w:r>
          </w:p>
        </w:tc>
        <w:tc>
          <w:tcPr>
            <w:tcW w:w="3040" w:type="dxa"/>
            <w:vAlign w:val="bottom"/>
          </w:tcPr>
          <w:p>
            <w:pPr>
              <w:jc w:val="center"/>
              <w:ind w:left="1217"/>
              <w:spacing w:after="0"/>
              <w:rPr>
                <w:sz w:val="20"/>
                <w:szCs w:val="20"/>
                <w:color w:val="auto"/>
              </w:rPr>
            </w:pPr>
            <w:r>
              <w:rPr>
                <w:rFonts w:ascii="Times New Roman" w:cs="Times New Roman" w:eastAsia="Times New Roman" w:hAnsi="Times New Roman"/>
                <w:sz w:val="13"/>
                <w:szCs w:val="13"/>
                <w:color w:val="auto"/>
                <w:w w:val="95"/>
              </w:rPr>
              <w:t>34,599,645</w:t>
            </w:r>
          </w:p>
        </w:tc>
      </w:tr>
      <w:tr>
        <w:trPr>
          <w:trHeight w:val="270"/>
        </w:trPr>
        <w:tc>
          <w:tcPr>
            <w:tcW w:w="1980" w:type="dxa"/>
            <w:vAlign w:val="bottom"/>
          </w:tcPr>
          <w:p>
            <w:pPr>
              <w:jc w:val="center"/>
              <w:ind w:right="1197"/>
              <w:spacing w:after="0"/>
              <w:rPr>
                <w:sz w:val="20"/>
                <w:szCs w:val="20"/>
                <w:color w:val="auto"/>
              </w:rPr>
            </w:pPr>
            <w:r>
              <w:rPr>
                <w:rFonts w:ascii="Times New Roman" w:cs="Times New Roman" w:eastAsia="Times New Roman" w:hAnsi="Times New Roman"/>
                <w:sz w:val="13"/>
                <w:szCs w:val="13"/>
                <w:color w:val="auto"/>
                <w:w w:val="95"/>
              </w:rPr>
              <w:t>Class B Units</w:t>
            </w:r>
          </w:p>
        </w:tc>
        <w:tc>
          <w:tcPr>
            <w:tcW w:w="3040" w:type="dxa"/>
            <w:vAlign w:val="bottom"/>
          </w:tcPr>
          <w:p>
            <w:pPr>
              <w:jc w:val="center"/>
              <w:ind w:left="1217"/>
              <w:spacing w:after="0"/>
              <w:rPr>
                <w:sz w:val="20"/>
                <w:szCs w:val="20"/>
                <w:color w:val="auto"/>
              </w:rPr>
            </w:pPr>
            <w:r>
              <w:rPr>
                <w:rFonts w:ascii="Times New Roman" w:cs="Times New Roman" w:eastAsia="Times New Roman" w:hAnsi="Times New Roman"/>
                <w:sz w:val="13"/>
                <w:szCs w:val="13"/>
                <w:color w:val="auto"/>
                <w:w w:val="95"/>
              </w:rPr>
              <w:t>42,738,750</w:t>
            </w:r>
          </w:p>
        </w:tc>
      </w:tr>
      <w:tr>
        <w:trPr>
          <w:trHeight w:val="270"/>
        </w:trPr>
        <w:tc>
          <w:tcPr>
            <w:tcW w:w="1980" w:type="dxa"/>
            <w:vAlign w:val="bottom"/>
          </w:tcPr>
          <w:p>
            <w:pPr>
              <w:jc w:val="center"/>
              <w:ind w:right="1197"/>
              <w:spacing w:after="0"/>
              <w:rPr>
                <w:sz w:val="20"/>
                <w:szCs w:val="20"/>
                <w:color w:val="auto"/>
              </w:rPr>
            </w:pPr>
            <w:r>
              <w:rPr>
                <w:rFonts w:ascii="Times New Roman" w:cs="Times New Roman" w:eastAsia="Times New Roman" w:hAnsi="Times New Roman"/>
                <w:sz w:val="13"/>
                <w:szCs w:val="13"/>
                <w:color w:val="auto"/>
                <w:w w:val="95"/>
              </w:rPr>
              <w:t>Class C Units</w:t>
            </w:r>
          </w:p>
        </w:tc>
        <w:tc>
          <w:tcPr>
            <w:tcW w:w="3040" w:type="dxa"/>
            <w:vAlign w:val="bottom"/>
          </w:tcPr>
          <w:p>
            <w:pPr>
              <w:jc w:val="center"/>
              <w:ind w:left="1217"/>
              <w:spacing w:after="0"/>
              <w:rPr>
                <w:sz w:val="20"/>
                <w:szCs w:val="20"/>
                <w:color w:val="auto"/>
              </w:rPr>
            </w:pPr>
            <w:r>
              <w:rPr>
                <w:rFonts w:ascii="Times New Roman" w:cs="Times New Roman" w:eastAsia="Times New Roman" w:hAnsi="Times New Roman"/>
                <w:sz w:val="13"/>
                <w:szCs w:val="13"/>
                <w:color w:val="auto"/>
                <w:w w:val="95"/>
              </w:rPr>
              <w:t>73,323,463</w:t>
            </w:r>
          </w:p>
        </w:tc>
      </w:tr>
      <w:tr>
        <w:trPr>
          <w:trHeight w:val="270"/>
        </w:trPr>
        <w:tc>
          <w:tcPr>
            <w:tcW w:w="1980" w:type="dxa"/>
            <w:vAlign w:val="bottom"/>
          </w:tcPr>
          <w:p>
            <w:pPr>
              <w:jc w:val="center"/>
              <w:ind w:right="1217"/>
              <w:spacing w:after="0"/>
              <w:rPr>
                <w:sz w:val="20"/>
                <w:szCs w:val="20"/>
                <w:color w:val="auto"/>
              </w:rPr>
            </w:pPr>
            <w:r>
              <w:rPr>
                <w:rFonts w:ascii="Times New Roman" w:cs="Times New Roman" w:eastAsia="Times New Roman" w:hAnsi="Times New Roman"/>
                <w:sz w:val="13"/>
                <w:szCs w:val="13"/>
                <w:color w:val="auto"/>
                <w:w w:val="96"/>
              </w:rPr>
              <w:t>Class D Units</w:t>
            </w:r>
          </w:p>
        </w:tc>
        <w:tc>
          <w:tcPr>
            <w:tcW w:w="3040" w:type="dxa"/>
            <w:vAlign w:val="bottom"/>
          </w:tcPr>
          <w:p>
            <w:pPr>
              <w:jc w:val="center"/>
              <w:ind w:left="1217"/>
              <w:spacing w:after="0"/>
              <w:rPr>
                <w:sz w:val="20"/>
                <w:szCs w:val="20"/>
                <w:color w:val="auto"/>
              </w:rPr>
            </w:pPr>
            <w:r>
              <w:rPr>
                <w:rFonts w:ascii="Times New Roman" w:cs="Times New Roman" w:eastAsia="Times New Roman" w:hAnsi="Times New Roman"/>
                <w:sz w:val="13"/>
                <w:szCs w:val="13"/>
                <w:color w:val="auto"/>
                <w:w w:val="95"/>
              </w:rPr>
              <w:t>42,738,750</w:t>
            </w:r>
          </w:p>
        </w:tc>
      </w:tr>
    </w:tbl>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5"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5"/>
          <w:szCs w:val="15"/>
          <w:b w:val="1"/>
          <w:bCs w:val="1"/>
          <w:color w:val="auto"/>
        </w:rPr>
        <w:t>None.</w:t>
      </w:r>
    </w:p>
    <w:p>
      <w:pPr>
        <w:ind w:right="320"/>
        <w:spacing w:after="0" w:line="258" w:lineRule="auto"/>
        <w:rPr>
          <w:sz w:val="20"/>
          <w:szCs w:val="20"/>
          <w:color w:val="auto"/>
        </w:rPr>
      </w:pPr>
      <w:r>
        <w:rPr>
          <w:rFonts w:ascii="Times New Roman" w:cs="Times New Roman" w:eastAsia="Times New Roman" w:hAnsi="Times New Roman"/>
          <w:sz w:val="14"/>
          <w:szCs w:val="14"/>
          <w:color w:val="auto"/>
        </w:rPr>
        <w:t>NOTE: WHEREAS CLEARWAY ENERGY LLC MEETS THE CONDITIONS SET FORTH IN GENERAL INSTRUCTION I(1)(a) AND (b) OF FORM 10-K, THIS FORM 10-K IS BEING FILED WITH THE REDUCED DISCLOSURE FORMAT PURSUANT TO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161925</wp:posOffset>
            </wp:positionV>
            <wp:extent cx="70580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2603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76200</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10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11080" w:type="dxa"/>
            <w:vAlign w:val="bottom"/>
          </w:tcPr>
          <w:p>
            <w:pPr>
              <w:spacing w:after="0"/>
              <w:rPr>
                <w:sz w:val="20"/>
                <w:szCs w:val="20"/>
                <w:color w:val="auto"/>
              </w:rPr>
            </w:pPr>
            <w:r>
              <w:rPr>
                <w:rFonts w:ascii="Times New Roman" w:cs="Times New Roman" w:eastAsia="Times New Roman" w:hAnsi="Times New Roman"/>
                <w:sz w:val="18"/>
                <w:szCs w:val="18"/>
                <w:color w:val="auto"/>
              </w:rPr>
              <w:t>GLOSSARY OF TERMS</w:t>
            </w:r>
          </w:p>
        </w:tc>
        <w:tc>
          <w:tcPr>
            <w:tcW w:w="1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3">
              <w:r>
                <w:rPr>
                  <w:rFonts w:ascii="Times New Roman" w:cs="Times New Roman" w:eastAsia="Times New Roman" w:hAnsi="Times New Roman"/>
                  <w:sz w:val="18"/>
                  <w:szCs w:val="18"/>
                  <w:b w:val="1"/>
                  <w:bCs w:val="1"/>
                  <w:color w:val="0000EE"/>
                  <w:w w:val="88"/>
                </w:rPr>
                <w:t>3</w:t>
              </w:r>
            </w:hyperlink>
          </w:p>
        </w:tc>
      </w:tr>
      <w:tr>
        <w:trPr>
          <w:trHeight w:val="250"/>
        </w:trPr>
        <w:tc>
          <w:tcPr>
            <w:tcW w:w="1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7">
              <w:r>
                <w:rPr>
                  <w:rFonts w:ascii="Times New Roman" w:cs="Times New Roman" w:eastAsia="Times New Roman" w:hAnsi="Times New Roman"/>
                  <w:sz w:val="18"/>
                  <w:szCs w:val="18"/>
                  <w:b w:val="1"/>
                  <w:bCs w:val="1"/>
                  <w:color w:val="0000EE"/>
                  <w:w w:val="88"/>
                </w:rPr>
                <w:t>7</w:t>
              </w:r>
            </w:hyperlink>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 — Business</w:t>
            </w: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7">
              <w:r>
                <w:rPr>
                  <w:rFonts w:ascii="Times New Roman" w:cs="Times New Roman" w:eastAsia="Times New Roman" w:hAnsi="Times New Roman"/>
                  <w:sz w:val="18"/>
                  <w:szCs w:val="18"/>
                  <w:b w:val="1"/>
                  <w:bCs w:val="1"/>
                  <w:color w:val="0000EE"/>
                  <w:w w:val="88"/>
                </w:rPr>
                <w:t>7</w:t>
              </w:r>
            </w:hyperlink>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1A — Risk Factors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15">
              <w:r>
                <w:rPr>
                  <w:rFonts w:ascii="Times New Roman" w:cs="Times New Roman" w:eastAsia="Times New Roman" w:hAnsi="Times New Roman"/>
                  <w:sz w:val="18"/>
                  <w:szCs w:val="18"/>
                  <w:b w:val="1"/>
                  <w:bCs w:val="1"/>
                  <w:color w:val="0000EE"/>
                </w:rPr>
                <w:t>15</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1B — Unresolved Staff Comments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30</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2 — Properties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31</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3 — Legal Proceedings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35</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4 — Mine Safety Disclosures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35</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36</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5 — Market for Registrant's Common Equity, Related Stockholder Matters and Issuer Purchases of Equity Securities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36</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6 — Selected Financial Data</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37</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7 — Management's Discussion and Analysis of Financial Condition and Results of Operations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38</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7A — Quantitative and Qualitative Disclosures About Market Risk</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61</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8 — Financial Statements and Supplementary Data</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2">
              <w:r>
                <w:rPr>
                  <w:rFonts w:ascii="Times New Roman" w:cs="Times New Roman" w:eastAsia="Times New Roman" w:hAnsi="Times New Roman"/>
                  <w:sz w:val="18"/>
                  <w:szCs w:val="18"/>
                  <w:b w:val="1"/>
                  <w:bCs w:val="1"/>
                  <w:color w:val="0000EE"/>
                </w:rPr>
                <w:t>62</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9 — Changes in Disagreements With Accountants on Accounting and Financial Disclosure</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63</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9A — Controls and Procedures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63</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9B — Other Information</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63</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64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10 — Directors, Executive Officers and Corporate Governance</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64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11 — Executive Compensation</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64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12 — Security Ownership of Certain Beneficial Owners and Management and Related Stockholder Matters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64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13 — Certain Relationships and Related Transactions, and Director Independence</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64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14 — Principal Accounting Fees and Services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64</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66</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15 — Exhibits, Financial Statement Schedules</w:t>
            </w:r>
          </w:p>
        </w:tc>
        <w:tc>
          <w:tcPr>
            <w:tcW w:w="28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66</w:t>
              </w:r>
            </w:hyperlink>
          </w:p>
        </w:tc>
      </w:tr>
      <w:tr>
        <w:trPr>
          <w:trHeight w:val="20"/>
        </w:trPr>
        <w:tc>
          <w:tcPr>
            <w:tcW w:w="1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b w:val="1"/>
                <w:bCs w:val="1"/>
                <w:color w:val="0000EE"/>
                <w:w w:val="96"/>
              </w:rPr>
            </w:pPr>
            <w:hyperlink w:anchor="page126">
              <w:r>
                <w:rPr>
                  <w:rFonts w:ascii="Times New Roman" w:cs="Times New Roman" w:eastAsia="Times New Roman" w:hAnsi="Times New Roman"/>
                  <w:sz w:val="18"/>
                  <w:szCs w:val="18"/>
                  <w:b w:val="1"/>
                  <w:bCs w:val="1"/>
                  <w:color w:val="0000EE"/>
                  <w:w w:val="96"/>
                </w:rPr>
                <w:t>125</w:t>
              </w:r>
            </w:hyperlink>
          </w:p>
        </w:tc>
      </w:tr>
      <w:tr>
        <w:trPr>
          <w:trHeight w:val="250"/>
        </w:trPr>
        <w:tc>
          <w:tcPr>
            <w:tcW w:w="1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16 — Form 10-K Summary</w:t>
            </w: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b w:val="1"/>
                <w:bCs w:val="1"/>
                <w:color w:val="0000EE"/>
                <w:w w:val="96"/>
              </w:rPr>
            </w:pPr>
            <w:hyperlink w:anchor="page132">
              <w:r>
                <w:rPr>
                  <w:rFonts w:ascii="Times New Roman" w:cs="Times New Roman" w:eastAsia="Times New Roman" w:hAnsi="Times New Roman"/>
                  <w:sz w:val="18"/>
                  <w:szCs w:val="18"/>
                  <w:b w:val="1"/>
                  <w:bCs w:val="1"/>
                  <w:color w:val="0000EE"/>
                  <w:w w:val="96"/>
                </w:rPr>
                <w:t>130</w:t>
              </w:r>
            </w:hyperlink>
          </w:p>
        </w:tc>
      </w:tr>
      <w:tr>
        <w:trPr>
          <w:trHeight w:val="507"/>
        </w:trPr>
        <w:tc>
          <w:tcPr>
            <w:tcW w:w="1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252" w:right="259" w:bottom="1440" w:gutter="0" w:footer="0" w:header="0"/>
        </w:sectPr>
      </w:pPr>
    </w:p>
    <w:bookmarkStart w:id="2" w:name="page3"/>
    <w:bookmarkEnd w:id="2"/>
    <w:p>
      <w:pPr>
        <w:ind w:left="4700"/>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p>
      <w:pPr>
        <w:sectPr>
          <w:pgSz w:w="11900" w:h="16838" w:orient="portrait"/>
          <w:cols w:equalWidth="0" w:num="1">
            <w:col w:w="11360"/>
          </w:cols>
          <w:pgMar w:left="280" w:top="927" w:right="25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 Convertible Notes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Clearway Energy, Inc.'s $345 million aggregate principal amount of 3.50% Convertible Notes due 2019</w:t>
      </w:r>
    </w:p>
    <w:p>
      <w:pPr>
        <w:spacing w:after="0" w:line="75"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2020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Energy, Inc.'s $287.5 million aggregate principal amount of 3.25% Convertible Notes due 2020</w:t>
      </w:r>
    </w:p>
    <w:p>
      <w:pPr>
        <w:spacing w:after="0" w:line="75"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2024 Senior Notes</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Clearway Energy Operating LLC</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2025 Senior Notes</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 Operating LLC</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2026 Senior Notes</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Clearway Energy Operating LLC</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Adjusted EBITDA</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Represents EBITDA adjusted for mark-to-market gains or losses, asset write offs and impairments; and factors which the Company does not consider indicative of future operating performance</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Alta Wind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Seven wind facilities that total 947 MW located in Tehachapi, California and a portfolio of associated land leases</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Asset Retirement Obligation</w:t>
      </w:r>
    </w:p>
    <w:p>
      <w:pPr>
        <w:spacing w:after="0" w:line="74"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ARRA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American Recovery and Reinvestment Act of 2009</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ASC</w:t>
      </w:r>
    </w:p>
    <w:p>
      <w:pPr>
        <w:spacing w:after="0" w:line="20" w:lineRule="exact"/>
        <w:rPr>
          <w:sz w:val="20"/>
          <w:szCs w:val="20"/>
          <w:color w:val="auto"/>
        </w:rPr>
      </w:pPr>
      <w:r>
        <w:rPr>
          <w:sz w:val="20"/>
          <w:szCs w:val="20"/>
          <w:color w:val="auto"/>
        </w:rPr>
        <w:br w:type="column"/>
      </w:r>
    </w:p>
    <w:p>
      <w:pPr>
        <w:ind w:right="1760"/>
        <w:spacing w:after="0" w:line="281" w:lineRule="auto"/>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ATM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At-The-Market Equity Offering Program</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August 2017 Drop Down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remaining 25% interest in Wind TE Holdco</w:t>
      </w:r>
    </w:p>
    <w:p>
      <w:pPr>
        <w:spacing w:after="0" w:line="63" w:lineRule="exact"/>
        <w:rPr>
          <w:sz w:val="20"/>
          <w:szCs w:val="20"/>
          <w:color w:val="auto"/>
        </w:rPr>
      </w:pPr>
    </w:p>
    <w:p>
      <w:pPr>
        <w:sectPr>
          <w:pgSz w:w="11900" w:h="16838" w:orient="portrait"/>
          <w:cols w:equalWidth="0" w:num="2">
            <w:col w:w="2340" w:space="6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Bankruptcy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Chapter 11 of Title 11 of the United States Code</w:t>
      </w:r>
    </w:p>
    <w:p>
      <w:pPr>
        <w:spacing w:after="0" w:line="75"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Bankruptcy Court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Bankruptcy Court for the Northern District of California</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Bridge Credit Agreement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364-Day Bridge Credit Agreement, entered into by and between Clearway Operating LLC, as borrower, and Clearway Energy LLC, as guarantor, on August 31, 2018</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Buckthorn Solar Drop Down Asset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Buckthorn Renewables, LLC, which owns 100% of Buckthorn Solar Portfolio, LLC, which was acquired by Clearway Energy Operating LLC from NRG on March 30, 2018</w:t>
      </w:r>
    </w:p>
    <w:p>
      <w:pPr>
        <w:spacing w:after="0" w:line="2" w:lineRule="exact"/>
        <w:rPr>
          <w:sz w:val="20"/>
          <w:szCs w:val="20"/>
          <w:color w:val="auto"/>
        </w:rPr>
      </w:pPr>
    </w:p>
    <w:p>
      <w:pPr>
        <w:sectPr>
          <w:pgSz w:w="11900" w:h="16838" w:orient="portrait"/>
          <w:cols w:equalWidth="0" w:num="2">
            <w:col w:w="2520" w:space="44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Clean Air Act</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CAFD</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Cash Available for Distribution (CAFD)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2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Carlsbad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Carlsbad Energy Center, a 527 MW natural gas fired project located in Carlsbad, CA</w:t>
      </w:r>
    </w:p>
    <w:p>
      <w:pPr>
        <w:spacing w:after="0" w:line="74"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CDFW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California Department of Fish and Wildlife</w:t>
      </w:r>
    </w:p>
    <w:p>
      <w:pPr>
        <w:spacing w:after="0" w:line="75"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CEG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Energy Group LLC (formerly Zephyr Renewables LLC)</w:t>
      </w:r>
    </w:p>
    <w:p>
      <w:pPr>
        <w:spacing w:after="0" w:line="74"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CEG Master Services Agreement</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 Clearway Energy Operating LLC, and CEG</w:t>
      </w:r>
    </w:p>
    <w:p>
      <w:pPr>
        <w:spacing w:after="0" w:line="2" w:lineRule="exact"/>
        <w:rPr>
          <w:sz w:val="20"/>
          <w:szCs w:val="20"/>
          <w:color w:val="auto"/>
        </w:rPr>
      </w:pPr>
    </w:p>
    <w:p>
      <w:pPr>
        <w:sectPr>
          <w:pgSz w:w="11900" w:h="16838" w:orient="portrait"/>
          <w:cols w:equalWidth="0" w:num="2">
            <w:col w:w="2400" w:space="56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CEG ROFO Agreement</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Right of First Offer Agreement, entered into as of August 31, 2018, by and among Clearway Energy Group LLC and Clearway Energy, Inc., and solely for purposes of Section 2.4, GIP III Zephyr Acquisition Partners, L.P.</w:t>
      </w:r>
    </w:p>
    <w:p>
      <w:pPr>
        <w:spacing w:after="0" w:line="1"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CfD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Contract for Differences</w:t>
      </w:r>
    </w:p>
    <w:p>
      <w:pPr>
        <w:spacing w:after="0" w:line="63"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Clearway Energy Group LLC</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The holder of the Company's Class B and Class D common shares and Clearway Energy LLC's Class B and Class D units</w:t>
      </w:r>
    </w:p>
    <w:p>
      <w:pPr>
        <w:spacing w:after="0" w:line="2"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Clearway Energy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Formerly NRG Yield Operating LLC, the holder of the project assets that are owned by Clearway Energy LLC</w:t>
      </w:r>
    </w:p>
    <w:p>
      <w:pPr>
        <w:spacing w:after="0" w:line="75" w:lineRule="exact"/>
        <w:rPr>
          <w:sz w:val="20"/>
          <w:szCs w:val="20"/>
          <w:color w:val="auto"/>
        </w:rPr>
      </w:pPr>
    </w:p>
    <w:p>
      <w:pPr>
        <w:sectPr>
          <w:pgSz w:w="11900" w:h="16838" w:orient="portrait"/>
          <w:cols w:equalWidth="0" w:num="2">
            <w:col w:w="2400" w:space="560"/>
            <w:col w:w="8400"/>
          </w:cols>
          <w:pgMar w:left="280" w:top="927"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Commercial Operation Date</w:t>
      </w:r>
    </w:p>
    <w:p>
      <w:pPr>
        <w:spacing w:after="0" w:line="211" w:lineRule="exact"/>
        <w:rPr>
          <w:sz w:val="20"/>
          <w:szCs w:val="20"/>
          <w:color w:val="auto"/>
        </w:rPr>
      </w:pPr>
    </w:p>
    <w:p>
      <w:pPr>
        <w:sectPr>
          <w:pgSz w:w="11900" w:h="16838" w:orient="portrait"/>
          <w:cols w:equalWidth="0" w:num="2">
            <w:col w:w="2240" w:space="720"/>
            <w:col w:w="8400"/>
          </w:cols>
          <w:pgMar w:left="280" w:top="927"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80" w:top="927" w:right="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Energy LLC, together with its consolidated subsidiaries</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CVSR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California Valley Solar Ranch</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CVSR Drop Down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Company's acquisition from NRG of the remaining 51.05% interest of CVSR Holdco</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CVSR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CVSR Holdco LLC, the indirect owner of CVSR</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DGCL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DGPV Holdco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DGPV Holdco 1 LLC</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DGPV Holdco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DGPV Holdco 2 LLC</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DGPV Holdco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DGPV Holdco 3 LLC</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Distributed Solar</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Solar power projects, typically less than 20 MW in size, that primarily sell power produced to customers for usage on site, or are interconnected to sell power into the local distribution grid</w:t>
      </w:r>
    </w:p>
    <w:p>
      <w:pPr>
        <w:spacing w:after="0" w:line="2"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Drop Down Assets</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Collectively, assets under common control acquired by the Company from NRG from January 1, 2014 through the period ended August 31, 2018</w:t>
      </w:r>
    </w:p>
    <w:p>
      <w:pPr>
        <w:spacing w:after="0" w:line="2"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Economic Gross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Energy and capacity revenue, less cost of fuels</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Energy Center Pittsburgh LLC, a subsidiary of the Company</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EGU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Electric Utility Generating Unit</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EPA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Engineering, Procurement and Construction</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ERCOT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 systems within Texas</w:t>
      </w:r>
    </w:p>
    <w:p>
      <w:pPr>
        <w:spacing w:after="0" w:line="2"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EWG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Exempt Wholesale Generator</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Federal Energy Regulatory Commission</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FPA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Federal Power Act</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GenConn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GenConn Energy LLC</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GHG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Greenhouse gas</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Global Infrastructure Management, LLC</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GIP</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Collectively, Global Infrastructure Partners III-C Intermediate AIV 3, L.P., Global Infrastructure Partners III-A/B AIV 3, L.P., Global Infrastructure Partners III-C Intermediate AIV 2, L.P., Global Infrastructure Partners III-C2 Intermediate AIV, L.P. and GIP III Zephyr Friends &amp; Family, LLC.</w:t>
      </w:r>
    </w:p>
    <w:p>
      <w:pPr>
        <w:spacing w:after="0" w:line="200"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GIP Transaction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2018, NRG transferred its full ownership interest in the Company to Clearway Energy Group LLC and subsequently sold 100% of its interests in Clearway Energy Group LLC, which includes NRG's renewable energy development and operations platform, to an affiliate of GIP. GIP, NRG and the Company also entered into a consent and indemnity agreement in connection with the purchase and sale agreement, which was signed on February 6, 2018</w:t>
      </w:r>
    </w:p>
    <w:p>
      <w:pPr>
        <w:spacing w:after="0" w:line="22"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Hypothetical Liquidation at Book Value</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Independent System Operator, also referred to as an RTO</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Investment Tax Credit</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KPPH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 Pounds Per Hour</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London Inter-Bank Offered Rate</w:t>
      </w:r>
    </w:p>
    <w:p>
      <w:pPr>
        <w:spacing w:after="0" w:line="74"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March 2017 Drop Down Assets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 Agua Caliente Borrower 2 LLC, which owns a 16% interest (approximately 31% of NRG's 51% interest) in the Agua Caliente solar farm and (ii) NRG's 100% ownership in the Class A equity interests in the Utah Solar Portfolio (defined below), both acquired by Clearway Energy Operating LLC on March 27, 2017</w:t>
      </w:r>
    </w:p>
    <w:p>
      <w:pPr>
        <w:spacing w:after="0" w:line="14" w:lineRule="exact"/>
        <w:rPr>
          <w:sz w:val="20"/>
          <w:szCs w:val="20"/>
          <w:color w:val="auto"/>
        </w:rPr>
      </w:pPr>
    </w:p>
    <w:p>
      <w:pPr>
        <w:sectPr>
          <w:pgSz w:w="11900" w:h="16838" w:orient="portrait"/>
          <w:cols w:equalWidth="0" w:num="2">
            <w:col w:w="2280" w:space="68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MBTA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Migratory Bird Treaty Act</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Million British Thermal Units</w:t>
      </w:r>
    </w:p>
    <w:p>
      <w:pPr>
        <w:spacing w:after="0" w:line="200"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1094"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MW</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Megawatt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MWh</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NERC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Counterparty credit exposure to Clearway Energy LLC, net of collateral</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November 2015 Drop Down Assets</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 of the Class B interests of Wind TE Holdco, which owns a portfolio of 12 wind facilities totaling 814 net MW,</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which was acquired by Clearway Energy Operating LLC from NRG on November 3, 2015</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November 2017 Drop Down Assets</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38 MW portfolio of distributed and small utility-scale solar assets, primarily comprised of assets from NRG's Solar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Partners (SPP) funds, in addition to other projects developed since the acquisition of SPP by NRG, which</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acquired by Clearway Energy Operating LLC from NRG on November 1, 2017</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12"/>
                <w:szCs w:val="12"/>
                <w:color w:val="auto"/>
              </w:rPr>
              <w:t>x</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Nitrogen Oxides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NPNS</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Normal Purchases and Normal Sales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NRG</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NRG Energy, Inc.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NRG Power Marketing</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NRG Power Marketing LLC</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NRG ROFO Agreement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Amended and Restated Right of First Offer Agreement, entered into as of August 31, 2018, by and between</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NRG and the Company</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NRG TSA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Transition Services Agreement entered into as of August 31, 2018 by and between NRG and the Company</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Organization for Economic Co-operation and Development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OCI/OCL</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O&amp;M</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PG&amp;E</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Pacific Gas and Electric Company</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PG&amp;E Bankruptcy</w:t>
            </w:r>
          </w:p>
        </w:tc>
        <w:tc>
          <w:tcPr>
            <w:tcW w:w="8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On January 29, 2019, PG&amp;E Corporation and Pacific Gas and Electric Company filed voluntary petitions for relief</w:t>
            </w:r>
          </w:p>
        </w:tc>
        <w:tc>
          <w:tcPr>
            <w:tcW w:w="0" w:type="dxa"/>
            <w:vAlign w:val="bottom"/>
          </w:tcPr>
          <w:p>
            <w:pPr>
              <w:spacing w:after="0"/>
              <w:rPr>
                <w:sz w:val="1"/>
                <w:szCs w:val="1"/>
                <w:color w:val="auto"/>
              </w:rPr>
            </w:pPr>
          </w:p>
        </w:tc>
      </w:tr>
      <w:tr>
        <w:trPr>
          <w:trHeight w:val="63"/>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the Bankruptcy Code in the U.S. Bankruptcy Court for the Northern District of California</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PJM</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PJM Interconnection,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PPA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Purchase Agreement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PTC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Tax Credit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PUCT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Utility Commission of Texas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PUHCA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Utility Holding Company Act of 2005</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PURPA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Utility Regulatory Policies Act of 1978</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QF</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Qualifying Facility under PURPA</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Energy Certificate</w:t>
            </w:r>
          </w:p>
        </w:tc>
        <w:tc>
          <w:tcPr>
            <w:tcW w:w="0" w:type="dxa"/>
            <w:vAlign w:val="bottom"/>
          </w:tcPr>
          <w:p>
            <w:pPr>
              <w:spacing w:after="0"/>
              <w:rPr>
                <w:sz w:val="1"/>
                <w:szCs w:val="1"/>
                <w:color w:val="auto"/>
              </w:rPr>
            </w:pPr>
          </w:p>
        </w:tc>
      </w:tr>
      <w:tr>
        <w:trPr>
          <w:trHeight w:val="44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ROFO</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First Offer</w:t>
            </w:r>
          </w:p>
        </w:tc>
        <w:tc>
          <w:tcPr>
            <w:tcW w:w="0" w:type="dxa"/>
            <w:vAlign w:val="bottom"/>
          </w:tcPr>
          <w:p>
            <w:pPr>
              <w:spacing w:after="0"/>
              <w:rPr>
                <w:sz w:val="1"/>
                <w:szCs w:val="1"/>
                <w:color w:val="auto"/>
              </w:rPr>
            </w:pPr>
          </w:p>
        </w:tc>
      </w:tr>
      <w:tr>
        <w:trPr>
          <w:trHeight w:val="44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RPS</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Renewable Portfolio Standards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RPV Holdco</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RPV Holdco 1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RTO</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Regional Transmission Organization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SCE</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Collectively, the 2024 Senior Notes, the 2025 Senior Notes and the 2026 Senior Notes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12"/>
                <w:szCs w:val="12"/>
                <w:color w:val="auto"/>
              </w:rPr>
              <w:t>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Sulfur Dioxide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SPP</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Solar Power Partners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Tax Act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Cuts and Jobs Act of 2017</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Agreement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Agreement entered into as of August 31, 2018 by and between NRG Energy, Inc. and the Company to</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terminate the Management Services Agreement between the parties</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Thermal Business</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units</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4"/>
                <w:szCs w:val="24"/>
                <w:color w:val="auto"/>
              </w:rPr>
            </w:pPr>
          </w:p>
        </w:tc>
        <w:tc>
          <w:tcPr>
            <w:tcW w:w="85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1094"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UPMC Thermal Project</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The University of Pittsburgh Medical Center Thermal Project, a 73 MWt district energy system that allows ECP to provide steam, chilled water and 7.5 MW of emergency backup power service to UPMC.</w:t>
      </w:r>
    </w:p>
    <w:p>
      <w:pPr>
        <w:spacing w:after="0" w:line="2" w:lineRule="exact"/>
        <w:rPr>
          <w:sz w:val="20"/>
          <w:szCs w:val="20"/>
          <w:color w:val="auto"/>
        </w:rPr>
      </w:pPr>
    </w:p>
    <w:p>
      <w:pPr>
        <w:sectPr>
          <w:pgSz w:w="11900" w:h="16838" w:orient="portrait"/>
          <w:cols w:equalWidth="0" w:num="2">
            <w:col w:w="2240" w:space="720"/>
            <w:col w:w="8400"/>
          </w:cols>
          <w:pgMar w:left="280" w:top="1094" w:right="2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Department of Energy</w:t>
      </w:r>
    </w:p>
    <w:p>
      <w:pPr>
        <w:spacing w:after="0" w:line="63"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Utah Solar Portfolio</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18"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Utility Scale Solar</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2"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75"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74"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1094"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80" w:top="1094" w:right="2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Clearway Energy LLC (formerly NRG Yield LLC), together with its consolidated subsidiaries, or the Company, is an energy infrastructure investor in and owner of modern, sustainable and long-term contracted assets across North America. On August 31, 2018, NRG Energy, Inc., or NRG, transferred its full ownership interest in the Company to Clearway Energy Group LLC, or CEG, which is also the holder of NRG 's renewable energy development and operations platform, and NRG subsequently sold 100% of its interest in CEG to an affiliate of GIP, such transaction referred to hereinafter as the GIP Transaction. As a result of the GIP Transaction, GIP indirectly acquired a 45.2% economic interest in Clearway Energy LLC (formerly NRG Yield LLC) and a 55.0% voting interest in the Company.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environmentally 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The weighted average remaining contract duration of these offtake agreements, based on CAFD, was approximately </w:t>
      </w:r>
      <w:r>
        <w:rPr>
          <w:rFonts w:ascii="Times New Roman" w:cs="Times New Roman" w:eastAsia="Times New Roman" w:hAnsi="Times New Roman"/>
          <w:sz w:val="18"/>
          <w:szCs w:val="18"/>
          <w:color w:val="231F20"/>
        </w:rPr>
        <w:t>15 years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as of December 31, 2018. The 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complete listing of the Company's interests in facilities, operations and/or projects owned or leased as of December 31, 2018 can be found in Item 2 — </w:t>
      </w:r>
      <w:r>
        <w:rPr>
          <w:rFonts w:ascii="Times New Roman" w:cs="Times New Roman" w:eastAsia="Times New Roman" w:hAnsi="Times New Roman"/>
          <w:sz w:val="18"/>
          <w:szCs w:val="18"/>
          <w:i w:val="1"/>
          <w:iCs w:val="1"/>
          <w:color w:val="auto"/>
        </w:rPr>
        <w:t>Properties.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Pacific Gas and Electric Company Bankruptcy</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January 29, 2019, Pacific Gas and Electric Company, or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power purchase agreements, or PPAs. The Company consolidates three of the solar facilities and Marsh Landing and records its interest in the other solar facilities as equity method investments. As of December 31, 2018, the Company had $1.5 billion of property, plant and equipment, net, $352 million investments in unconsolidated affiliates and $1.4 billion of long - term debt related to these facilities. The related subsidiaries of the Company have entered into financing agreements consisting of non-recourse project level debt and, in certain cases, non-recourse holding company debt. The PG&amp;E Bankruptcy filing has triggered defaults under the PPAs with PG&amp;E and such related financing agreements. The Company is currently negotiating forbearance agreements with the lenders for each respective financing arrangement. The Company continues to assess the potential future impacts of the PG&amp;E Bankruptcy as events occur, however, no impact to the Company’s immediate operating activities has occurred as of December 31, 2018.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History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formed as a Delaware limited liability company on March 5, 2013. The Company is a holding company for the companies that directly and indirectly own and operate Clearway, Inc.'s business. As of December 31, 2018, GIP, through CEG, controls Clearway, Inc., and Clearway, Inc. in turn, as the sole managing member of the Company, controls the Company and its subsidiaries.</w:t>
      </w:r>
    </w:p>
    <w:p>
      <w:pPr>
        <w:spacing w:after="0" w:line="12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2018, GIP, through CEG, owned 42,738,750 of each of the Company's Class B units and Class D units and Clearway, Inc. owned 34,586,250 of the Company's Class A units and 73,187,646 of the Company's Class C units. Clearway, Inc., through its holdings of Class A units and Class C units, has a 55.8% economic interest in the Company. Clearway, Inc. consolidates the results of the Company through its controlling interest as sole managing member. GIP, through CEG's holdings of Class B units and Class D units, has a 44.2% economic interest in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927" w:right="2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The diagram below depicts the Company’s organizational structure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17145</wp:posOffset>
            </wp:positionV>
            <wp:extent cx="5848985" cy="4124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Sponsorship with Global Infrastructure Partners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described above, on August 31, 2018, NRG transferred its full ownership interest in the Company to Clearway Energy Group LLC, or CEG, the holder of NRG's renewable energy development and operations platform and subsequently sold 100% of its interest in CEG to an affiliate of GIP. As a result of the GIP Transaction, GIP indirectly acquired a 45.2% economic interest in the Company and a 55.0% voting interest in Clearway, Inc. as of August 31, 2018.</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GIP Transaction, Clearway, Inc. entered into a Consent and Indemnity Agreement with NRG and GIP setting forth key terms and conditions of Clearway, Inc.'s consent to the GIP Transaction.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Also in connection with the GIP Transaction, Clearway, Inc. entered into the following agreements on August 31, 2018: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CEG Master Services Agreements</w:t>
      </w:r>
    </w:p>
    <w:p>
      <w:pPr>
        <w:spacing w:after="0" w:line="173" w:lineRule="exact"/>
        <w:rPr>
          <w:sz w:val="20"/>
          <w:szCs w:val="20"/>
          <w:color w:val="auto"/>
        </w:rPr>
      </w:pPr>
    </w:p>
    <w:p>
      <w:pPr>
        <w:jc w:val="both"/>
        <w:ind w:left="8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along with Clearway, Inc. and Clearway Energy Operating LLC, entered into Master Services Agreements with CEG, pursuant to which CEG and certain of its affiliates or third party service providers began providing certain services to Clearway, Inc. and certain of its subsidiaries, and Clearway, Inc. and certain of its subsidiaries began providing certain services to CEG, in exchange for the payment of fees in respect of such services. Additional details regarding the Master Services Agreements are found in Item 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13,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to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ROFO Agreements</w:t>
      </w:r>
    </w:p>
    <w:p>
      <w:pPr>
        <w:spacing w:after="0" w:line="2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Clearway, Inc. entered into a ROFO Agreement with CEG, or the CEG ROFO Agreement, and a Third Amended and Restated ROFO Agreement with NRG as further discussed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09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Voting and Governance Agreement</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Clearway, Inc. entered into a Voting and Governance Agreement with CEG relating to certain governance matters of Clearway,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Liability Company Agreement</w:t>
      </w:r>
    </w:p>
    <w:p>
      <w:pPr>
        <w:spacing w:after="0" w:line="2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Clearway, Inc. entered into the Fourth Amended and Restated Limited Liability Company Agreement of the Company with CEG, which sets forth the rights and obligations of Clearway, Inc., as managing member, and CEG, as member,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Clearway, Inc. entered into the NRG TSA, pursuant to which NRG or certain of its affiliates began providing transition services to Clearway, Inc. following the consummation of the GIP Transaction, in exchange for the payment of a fee in respect of such services. The agreement is effective until the earlier of June 30, 2019 or the date that all services are terminated by Clearway, Inc. Clearway, Inc. may extend the term on a month-by-month basis no later than March 31, 2020 for a fixed monthly fee provided for in the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primary business strategy is to focus on the acquisition and ownership of assets with predictable, long-term cash flows in order that it may be able to increase the cash distributions to Clearway, Inc. over time without compromising the ongoing stability of the business. As discussed above, the PG&amp;E Bankruptcy has caused uncertainty around the timing of when certain project-level distributions will be available to the Company and Clearway, Inc. As a result of such timing uncertainty, the Company reduced its quarterly distributions for the first quarter of 2019 to $0.20 per unit, compared to $0.331 per unit in the prior quarter. While the Company views this action as prudent from a financial perspective, it has not changed the Company's long-term business strategy.</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plan for executing its business strategy includes the following key components:</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contracted renewable energy and conventional generation and thermal infrastructure assets. </w:t>
      </w:r>
      <w:r>
        <w:rPr>
          <w:rFonts w:ascii="Times New Roman" w:cs="Times New Roman" w:eastAsia="Times New Roman" w:hAnsi="Times New Roman"/>
          <w:sz w:val="18"/>
          <w:szCs w:val="18"/>
          <w:color w:val="auto"/>
        </w:rPr>
        <w:t>The Company owns and operates utility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scale and distributed renewable energy and 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011" w:right="2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the business through acquisitions of contracted operating assets. </w:t>
      </w:r>
      <w:r>
        <w:rPr>
          <w:rFonts w:ascii="Times New Roman" w:cs="Times New Roman" w:eastAsia="Times New Roman" w:hAnsi="Times New Roman"/>
          <w:sz w:val="18"/>
          <w:szCs w:val="18"/>
          <w:color w:val="auto"/>
        </w:rPr>
        <w:t>The Company believes that its base of operations provides a platform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conventional and renewable 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the CEG ROFO Agreement. Under the CEG ROFO Agreement,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assets listed below represent the Company's currently committed investments and the CEG ROFO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Investments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Capacity (MW)</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COD</w:t>
            </w:r>
          </w:p>
        </w:tc>
      </w:tr>
      <w:tr>
        <w:trPr>
          <w:trHeight w:val="47"/>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64"/>
        </w:trPr>
        <w:tc>
          <w:tcPr>
            <w:tcW w:w="20" w:type="dxa"/>
            <w:vAlign w:val="bottom"/>
          </w:tcPr>
          <w:p>
            <w:pPr>
              <w:spacing w:after="0"/>
              <w:rPr>
                <w:sz w:val="22"/>
                <w:szCs w:val="22"/>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 Solar Phase I</w:t>
            </w:r>
            <w:r>
              <w:rPr>
                <w:rFonts w:ascii="Times New Roman" w:cs="Times New Roman" w:eastAsia="Times New Roman" w:hAnsi="Times New Roman"/>
                <w:sz w:val="21"/>
                <w:szCs w:val="21"/>
                <w:color w:val="auto"/>
                <w:vertAlign w:val="superscript"/>
              </w:rPr>
              <w:t>(a)</w:t>
            </w:r>
          </w:p>
        </w:tc>
        <w:tc>
          <w:tcPr>
            <w:tcW w:w="17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PV</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HI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r>
      <w:tr>
        <w:trPr>
          <w:trHeight w:val="270"/>
        </w:trPr>
        <w:tc>
          <w:tcPr>
            <w:tcW w:w="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$47 MM remaining in distributed and community solar partnerships</w:t>
            </w:r>
            <w:r>
              <w:rPr>
                <w:rFonts w:ascii="Times New Roman" w:cs="Times New Roman" w:eastAsia="Times New Roman" w:hAnsi="Times New Roman"/>
                <w:sz w:val="21"/>
                <w:szCs w:val="21"/>
                <w:color w:val="auto"/>
                <w:vertAlign w:val="superscript"/>
              </w:rPr>
              <w:t>(b)</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PV</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Various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Various</w:t>
            </w:r>
          </w:p>
        </w:tc>
      </w:tr>
      <w:tr>
        <w:trPr>
          <w:trHeight w:val="270"/>
        </w:trPr>
        <w:tc>
          <w:tcPr>
            <w:tcW w:w="20" w:type="dxa"/>
            <w:vAlign w:val="bottom"/>
          </w:tcPr>
          <w:p>
            <w:pPr>
              <w:spacing w:after="0"/>
              <w:rPr>
                <w:sz w:val="23"/>
                <w:szCs w:val="23"/>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Repowering Partnership with CEG </w:t>
            </w:r>
            <w:r>
              <w:rPr>
                <w:rFonts w:ascii="Times New Roman" w:cs="Times New Roman" w:eastAsia="Times New Roman" w:hAnsi="Times New Roman"/>
                <w:sz w:val="21"/>
                <w:szCs w:val="21"/>
                <w:color w:val="auto"/>
                <w:vertAlign w:val="superscript"/>
              </w:rPr>
              <w:t>(c)</w:t>
            </w:r>
          </w:p>
        </w:tc>
        <w:tc>
          <w:tcPr>
            <w:tcW w:w="17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Wind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TX</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r>
      <w:tr>
        <w:trPr>
          <w:trHeight w:val="432"/>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Clearway Energy Group ROFO</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Capacity (MW)</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COD</w:t>
            </w:r>
          </w:p>
        </w:tc>
      </w:tr>
      <w:tr>
        <w:trPr>
          <w:trHeight w:val="47"/>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20" w:type="dxa"/>
            <w:vAlign w:val="bottom"/>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Mililani I</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PV</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HI</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r>
      <w:tr>
        <w:trPr>
          <w:trHeight w:val="237"/>
        </w:trPr>
        <w:tc>
          <w:tcPr>
            <w:tcW w:w="2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Waiawa</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PV</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2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HI</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r>
      <w:tr>
        <w:trPr>
          <w:trHeight w:val="33"/>
        </w:trPr>
        <w:tc>
          <w:tcPr>
            <w:tcW w:w="2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Langford</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Wind</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TX</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r>
      <w:tr>
        <w:trPr>
          <w:trHeight w:val="243"/>
        </w:trPr>
        <w:tc>
          <w:tcPr>
            <w:tcW w:w="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Mesquite Star</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Wind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TX</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r>
      <w:tr>
        <w:trPr>
          <w:trHeight w:val="27"/>
        </w:trPr>
        <w:tc>
          <w:tcPr>
            <w:tcW w:w="2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w:t>
            </w:r>
            <w:r>
              <w:rPr>
                <w:rFonts w:ascii="Times New Roman" w:cs="Times New Roman" w:eastAsia="Times New Roman" w:hAnsi="Times New Roman"/>
                <w:sz w:val="21"/>
                <w:szCs w:val="21"/>
                <w:color w:val="auto"/>
                <w:vertAlign w:val="superscript"/>
              </w:rPr>
              <w:t>(d)</w:t>
            </w:r>
          </w:p>
        </w:tc>
        <w:tc>
          <w:tcPr>
            <w:tcW w:w="17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rPr>
              <w:t>Natural Gas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527</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CA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r>
      <w:tr>
        <w:trPr>
          <w:trHeight w:val="237"/>
        </w:trPr>
        <w:tc>
          <w:tcPr>
            <w:tcW w:w="2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 to $170 MM equity investment in business renewables</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PV</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TBD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Various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4" w:lineRule="exact"/>
        <w:rPr>
          <w:sz w:val="20"/>
          <w:szCs w:val="20"/>
          <w:color w:val="auto"/>
        </w:rPr>
      </w:pPr>
    </w:p>
    <w:p>
      <w:pPr>
        <w:ind w:right="120" w:firstLine="8"/>
        <w:spacing w:after="0" w:line="253" w:lineRule="auto"/>
        <w:tabs>
          <w:tab w:leader="none" w:pos="136"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August 31, 2018, Clearway Energy Operating LLC and Clearway Energy Group executed a purchase agreement pursuant to which the Company will acquire effective equity ownership in 80 MW of utility-scale solar projects (Waipao, Mililani II and Kawailoa Solar) located in Oahu, Hawaii.</w:t>
      </w:r>
    </w:p>
    <w:p>
      <w:pPr>
        <w:ind w:left="140" w:hanging="132"/>
        <w:spacing w:after="0"/>
        <w:tabs>
          <w:tab w:leader="none" w:pos="14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26, 2018, the Company and CEG amended the DGPV Holdco 3 partnership agreement to increase the capital commitment of $50 million to $70 million.</w:t>
      </w:r>
    </w:p>
    <w:p>
      <w:pPr>
        <w:spacing w:after="0" w:line="1"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in the Repowering Partnership with CEG is contingent upon obtaining related construction and tax equity financing.</w:t>
      </w:r>
    </w:p>
    <w:p>
      <w:pPr>
        <w:spacing w:after="0" w:line="1" w:lineRule="exact"/>
        <w:rPr>
          <w:rFonts w:ascii="Times New Roman" w:cs="Times New Roman" w:eastAsia="Times New Roman" w:hAnsi="Times New Roman"/>
          <w:sz w:val="9"/>
          <w:szCs w:val="9"/>
          <w:color w:val="auto"/>
        </w:rPr>
      </w:pPr>
    </w:p>
    <w:p>
      <w:pPr>
        <w:ind w:right="120" w:firstLine="8"/>
        <w:spacing w:after="0" w:line="258" w:lineRule="auto"/>
        <w:tabs>
          <w:tab w:leader="none" w:pos="12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maintains the option to purchase Carlsbad from GIP at any time within 18 months after February 27, 2019 at the same economic terms at which it originally agreed to purchase the asset from NRG. Should the Company not acquire Carlsbad within such 18 months, Carlsbad will become a CEG ROFO Asset.</w:t>
      </w:r>
    </w:p>
    <w:p>
      <w:pPr>
        <w:spacing w:after="0" w:line="1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NRG ROFO Agreement was amended upon the closing of the GIP Transaction to (i) remove the Ivanpah solar facility and (ii) provide the Company and its subsidiaries a right of first offer on any proposed sale or transfer of 100% of the membership interest in Agua Caliente Borrower 1, LLC, which owns a 35% interest in Agua Caliente, a 290 MW utility-scale solar project located in Dateland, Arizona with PG&amp;E as the project’s customer. Pursuant to the terms of the NRG ROFO Agreement, the Company elected to forgo the acquisition. The Company continues to own a 16% interest in the project through Agua Caliente Borrower 2 LLC.</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NRG to purchase the Carlsbad project on February 6, 2018. The Company elected to exercise the Carlsbad backstop facility provided by GIP; as such, GIP purchased 100% of the membership interest in Carlsbad Energy Holdings LLC on February 27, 2019.</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Additionally, the CEG ROFO Agreement was amended on February 14, 2019, to grant to the Company a right of first offer for Hawaii Solar Phase II, which consist of Mililani I and Waiawa solar and storage projects located in Oahu, Hawaii. The projects are expected to reach COD in 2021.</w:t>
      </w:r>
    </w:p>
    <w:p>
      <w:pPr>
        <w:spacing w:after="0" w:line="1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Primary focus on North America. </w:t>
      </w:r>
      <w:r>
        <w:rPr>
          <w:rFonts w:ascii="Times New Roman" w:cs="Times New Roman" w:eastAsia="Times New Roman" w:hAnsi="Times New Roman"/>
          <w:sz w:val="18"/>
          <w:szCs w:val="18"/>
          <w:color w:val="auto"/>
        </w:rPr>
        <w:t>The Company intends to primarily focus its investments in North America (including the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territories of the U.S.). The Company believes that industry 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high quality cash flows. </w:t>
      </w:r>
      <w:r>
        <w:rPr>
          <w:rFonts w:ascii="Times New Roman" w:cs="Times New Roman" w:eastAsia="Times New Roman" w:hAnsi="Times New Roman"/>
          <w:sz w:val="18"/>
          <w:szCs w:val="18"/>
          <w:color w:val="auto"/>
        </w:rPr>
        <w:t>The Company's facilities have a stable, predictable cash flow profile consisting of predominantly long-life electric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generation assets that sell electricity under long-term fixed priced contracts or pursuant to regulated rates with investment grade and certain other credit-worthy counterparties. As discussed above, PG&amp;E, one of the Company's significant customers, filed for bankruptcy on January 29, 2019. Additionally, the Company's facilities have minimal fuel risk. For the Company's conventional assets, fuel is provided by the toll counterparty or the cost thereof is a pass-through cost under the Contract for Differences, or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w:t>
      </w:r>
      <w:r>
        <w:rPr>
          <w:rFonts w:ascii="Times New Roman" w:cs="Times New Roman" w:eastAsia="Times New Roman" w:hAnsi="Times New Roman"/>
          <w:sz w:val="18"/>
          <w:szCs w:val="18"/>
          <w:color w:val="231F20"/>
        </w:rPr>
        <w:t>15 years</w:t>
      </w:r>
      <w:r>
        <w:rPr>
          <w:rFonts w:ascii="Times New Roman" w:cs="Times New Roman" w:eastAsia="Times New Roman" w:hAnsi="Times New Roman"/>
          <w:sz w:val="18"/>
          <w:szCs w:val="18"/>
          <w:color w:val="auto"/>
        </w:rPr>
        <w:t xml:space="preserve"> as of December 31, 2018, providing long-term cash flow stability. The Company's generation offtake agreements with counterparties for whom credit ratings are available have a weighted-average Moody’s rating of Ba1 (post PG&amp;E Bankruptcy) based on rated capacity under contract. All of the Company's assets are in the U.S. and accordingly have no currency or repatriation risks.</w:t>
      </w:r>
    </w:p>
    <w:p>
      <w:pPr>
        <w:spacing w:after="0" w:line="13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quality, long-lived assets with low operating and capital requirements. </w:t>
      </w:r>
      <w:r>
        <w:rPr>
          <w:rFonts w:ascii="Times New Roman" w:cs="Times New Roman" w:eastAsia="Times New Roman" w:hAnsi="Times New Roman"/>
          <w:sz w:val="18"/>
          <w:szCs w:val="18"/>
          <w:color w:val="auto"/>
        </w:rPr>
        <w:t>The Company benefits from a portfolio of relatively younger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scale and diversity. </w:t>
      </w:r>
      <w:r>
        <w:rPr>
          <w:rFonts w:ascii="Times New Roman" w:cs="Times New Roman" w:eastAsia="Times New Roman" w:hAnsi="Times New Roman"/>
          <w:sz w:val="18"/>
          <w:szCs w:val="18"/>
          <w:color w:val="auto"/>
        </w:rPr>
        <w:t>The Company owns and operates a large and diverse portfolio of contracted electric generation and thermal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infrastructure assets. As of December 31, 2018, the Company's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net MW contracted generation portfolio benefits from significant diversification in terms of technology, fuel type, counterparty and geography. The Company's thermal business consists of thirteen operations, seven of which are district energy centers that provide steam and chilled water to approximately 695 customers, and six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927" w:right="2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Relationship with GIP and CEG. </w:t>
      </w:r>
      <w:r>
        <w:rPr>
          <w:rFonts w:ascii="Times New Roman" w:cs="Times New Roman" w:eastAsia="Times New Roman" w:hAnsi="Times New Roman"/>
          <w:sz w:val="18"/>
          <w:szCs w:val="18"/>
          <w:color w:val="auto"/>
        </w:rPr>
        <w:t>The Company believes that its relationship with GIP and CEG provides significant benefits. Global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or GIM, the manager of GIP, is an independent infrastructure fund manager with over $51 billion in assets under management (as of September 30, 2018) that invests in infrastructure assets and businesses in both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Environmentally well-positioned portfolio of assets. </w:t>
      </w:r>
      <w:r>
        <w:rPr>
          <w:rFonts w:ascii="Times New Roman" w:cs="Times New Roman" w:eastAsia="Times New Roman" w:hAnsi="Times New Roman"/>
          <w:sz w:val="18"/>
          <w:szCs w:val="18"/>
          <w:color w:val="auto"/>
        </w:rPr>
        <w:t>The Company's portfolio of electric generation assets consists of 3,327 net MW of renewable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capacity that are non-emitting sources of power generation. The 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infrastructure business has high entry costs. </w:t>
      </w:r>
      <w:r>
        <w:rPr>
          <w:rFonts w:ascii="Times New Roman" w:cs="Times New Roman" w:eastAsia="Times New Roman" w:hAnsi="Times New Roman"/>
          <w:sz w:val="18"/>
          <w:szCs w:val="18"/>
          <w:color w:val="auto"/>
        </w:rPr>
        <w:t>Significant capital has been invested to construct the Company's thermal infrastructure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serving as a barrier to entry in the markets in which such assets operate. As of December 31, 2018, the Company's thermal gross property, plant, and equipment was approximately $583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tables summarize the Company's operating revenues, net income (loss) and assets by segment for the years ended December 31, 2018, 2017 and 2016, as discussed in Item 15 — Note 12,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to the Consolidated Financial Statements. All amounts have been recast to include the effect of the acquisitions of the Drop Down Assets, which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4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8,448</w:t>
            </w:r>
          </w:p>
        </w:tc>
        <w:tc>
          <w:tcPr>
            <w:tcW w:w="0" w:type="dxa"/>
            <w:vAlign w:val="bottom"/>
          </w:tcPr>
          <w:p>
            <w:pPr>
              <w:spacing w:after="0"/>
              <w:rPr>
                <w:sz w:val="1"/>
                <w:szCs w:val="1"/>
                <w:color w:val="auto"/>
              </w:rPr>
            </w:pPr>
          </w:p>
        </w:tc>
      </w:tr>
      <w:tr>
        <w:trPr>
          <w:trHeight w:val="454"/>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6,017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92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2"/>
                <w:szCs w:val="12"/>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Incentives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Policy incentives in the U.S. have the effect of making the development of renewable energy projects more competitive by providing credits and other tax benefits for a portion of the development costs. A loss of or reduction in such incentives could decrease the attractiveness of renewable energy projects to developers, including CEG, which could reduce the Company's future acquisition opportunities. Such a loss or reduction could also reduce the Company's willingness to pursue or develop certain renewable energy projects due to higher operating costs or decreased revenues under its PPAs.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fully depreciated for tax purposes over a five-year period even though the useful life of such projects is generally much longer than five years. The Tax Act also provides the ability for wind and solar projects to claim immediate expensing for property acquired and placed in service after September 27, 2017, and before January 1, 2023.</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30%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The IRS also confirmed that retrofitted wind facilities may re-qualify for PTCs or ITCs pursuant the begin construction requirement, as long as the cost basis of the new investment is at least 80% of the facility’s total fair value.</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Owners of solar projects are eligible to claim a 30% ITC for new solar projects, or could have elected to receive an equivalent cash payment from the U.S. Department of Treasury for the value of the 30% ITC for qualifying solar projects where construction began before the end of 2011 and the projects were placed in service before 2017. Tax credits for qualifying wind and solar projects are subject to the following phase-down schedule.</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color w:val="auto"/>
              </w:rPr>
              <w:t>Year construction of project begins</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2022</w:t>
            </w:r>
          </w:p>
        </w:tc>
      </w:tr>
      <w:tr>
        <w:trPr>
          <w:trHeight w:val="26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PTC</w:t>
            </w:r>
            <w:r>
              <w:rPr>
                <w:rFonts w:ascii="Times New Roman" w:cs="Times New Roman" w:eastAsia="Times New Roman" w:hAnsi="Times New Roman"/>
                <w:sz w:val="7"/>
                <w:szCs w:val="7"/>
                <w:color w:val="auto"/>
              </w:rPr>
              <w:t>(a)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80 %</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w:t>
            </w:r>
          </w:p>
        </w:tc>
      </w:tr>
      <w:tr>
        <w:trPr>
          <w:trHeight w:val="26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Wind ITC</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22"/>
                <w:szCs w:val="22"/>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22"/>
                <w:szCs w:val="22"/>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w:t>
            </w: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Solar ITC</w:t>
            </w:r>
            <w:r>
              <w:rPr>
                <w:rFonts w:ascii="Times New Roman" w:cs="Times New Roman" w:eastAsia="Times New Roman" w:hAnsi="Times New Roman"/>
                <w:sz w:val="7"/>
                <w:szCs w:val="7"/>
                <w:color w:val="auto"/>
              </w:rPr>
              <w:t>(b)</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-164465</wp:posOffset>
            </wp:positionV>
            <wp:extent cx="68262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171450"/>
                    </a:xfrm>
                    <a:prstGeom prst="rect">
                      <a:avLst/>
                    </a:prstGeom>
                    <a:noFill/>
                  </pic:spPr>
                </pic:pic>
              </a:graphicData>
            </a:graphic>
          </wp:anchor>
        </w:drawing>
      </w:r>
    </w:p>
    <w:p>
      <w:pPr>
        <w:ind w:left="200" w:hanging="192"/>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the full PTC available for wind projects that begin construction during the applicable year.</w:t>
      </w:r>
    </w:p>
    <w:p>
      <w:pPr>
        <w:spacing w:after="0" w:line="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ITC is limited to 10% for projects not placed in service before January 1, 2024.</w:t>
      </w:r>
    </w:p>
    <w:p>
      <w:pPr>
        <w:spacing w:after="0" w:line="30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55"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FERC, among other things, regulates the transmission and the wholesale sale of electricity in interstate commerce under the authority of the FPA. The transmission of electric energy occurring wholly within ERCOT is not subject to FERC’s jurisdiction. Under existing regulations, FERC determines whether an entity owning a generation facility is an EWG, as defined in the PUHCA. FERC also determines whether a generation facility meets the applicable criteria of a QF under the PURPA. Each of the Company’s generating facilities qualifies as either an EWG or QF.</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FERC will conduct a review of the market based rates of Company public utilities and potential market power every three years according to a regional schedule established by FERC.</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92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in the future.</w:t>
      </w:r>
    </w:p>
    <w:p>
      <w:pPr>
        <w:spacing w:after="0" w:line="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2015, the EPA finalized the Clean Power Plan, or CPP, addressing GHG emissions from existing EGUs. On February 9, 2016, the U.S. Supreme Court stayed the CPP. The D.C. Circuit heard oral argument on the legal challenges to the CPP in September 2016. At the EPA's request, the D.C. Circuit agreed on April 28, 2017 to hold the case in abeyance. On October 16, 2017, the EPA proposed a rule to repeal the CPP. Accordingly, the Company believes the CPP is not likely to survive. In August 21, 2018, the EPA proposed the Affordable Clean Energy (ACE) rule which would establish emission guidelines for states to develop plans to address greenhouse gas emissions from existing coal-fired power plants. The ACE rule would replace the 2015 Clean Power Plan. A public hearing on the proposed ACE rule was held on October 1, 2018. As currently written, the ACE focuses on reducing emissions from existing coal-fired power plants and therefore, would not be applicable to the Company’s EGUs.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Migratory Bird Treaty Act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2018 California legislative sessions AB 2627 (Kalra), a bill designed to backstop the Migratory Bird Treaty Act, or MBTA, interpretation by the Obama Administration was introduced. AB 2627 provided legislative confirmation of the illegality of take of any MBTA species, unless the entity deployed Best Management Practices that had been approved by the California Department of Fish and Wildlife, or CDFW. The bill was pulled by the author at the end of session. However, on November 30, 2018, CDFW issued a legal advisory declaring that the state can still prohibit the unintentional killing of migratory birds even if the Department of the Interior says the federal government cannot. It is expected a revival of the MBTA bill will occur in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sells its electricity and environmental attributes, including RECs, primarily to local utilities under long-term, fixed-price PPAs. During the year ended December 31, 2018, the Company derived approximately 40% of its consolidated revenue from Southern California Edison, or SCE, and approximately 23% of its consolidated revenue from Pacific Gas and Electric Company, or PG&amp;E. See </w:t>
      </w:r>
      <w:r>
        <w:rPr>
          <w:rFonts w:ascii="Times New Roman" w:cs="Times New Roman" w:eastAsia="Times New Roman" w:hAnsi="Times New Roman"/>
          <w:sz w:val="18"/>
          <w:szCs w:val="18"/>
          <w:i w:val="1"/>
          <w:iCs w:val="1"/>
          <w:color w:val="auto"/>
        </w:rPr>
        <w:t>Pacific Gas and Electric Company Bankruptcy</w:t>
      </w:r>
      <w:r>
        <w:rPr>
          <w:rFonts w:ascii="Times New Roman" w:cs="Times New Roman" w:eastAsia="Times New Roman" w:hAnsi="Times New Roman"/>
          <w:sz w:val="18"/>
          <w:szCs w:val="18"/>
          <w:color w:val="auto"/>
        </w:rPr>
        <w:t xml:space="preserve"> within this Item 1, Business and </w:t>
      </w:r>
      <w:r>
        <w:rPr>
          <w:rFonts w:ascii="Times New Roman" w:cs="Times New Roman" w:eastAsia="Times New Roman" w:hAnsi="Times New Roman"/>
          <w:sz w:val="18"/>
          <w:szCs w:val="18"/>
          <w:i w:val="1"/>
          <w:iCs w:val="1"/>
          <w:color w:val="auto"/>
        </w:rPr>
        <w:t>"Risks Related to the PG&amp;E Bankruptcy</w:t>
      </w:r>
      <w:r>
        <w:rPr>
          <w:rFonts w:ascii="Times New Roman" w:cs="Times New Roman" w:eastAsia="Times New Roman" w:hAnsi="Times New Roman"/>
          <w:sz w:val="18"/>
          <w:szCs w:val="18"/>
          <w:color w:val="auto"/>
        </w:rPr>
        <w:t xml:space="preserve">" found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 this Annual Report on Form 10-K for additional information regarding the PG&amp;E Bankruptcy.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2018, the Company and its consolidated subsidiaries had 269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"Investor Relations" section of Clearway, Inc.'s website, </w:t>
      </w:r>
      <w:r>
        <w:rPr>
          <w:rFonts w:ascii="Times New Roman" w:cs="Times New Roman" w:eastAsia="Times New Roman" w:hAnsi="Times New Roman"/>
          <w:sz w:val="18"/>
          <w:szCs w:val="18"/>
          <w:i w:val="1"/>
          <w:iCs w:val="1"/>
          <w:color w:val="auto"/>
        </w:rPr>
        <w:t>www.clearwayenergy.com</w:t>
      </w:r>
      <w:r>
        <w:rPr>
          <w:rFonts w:ascii="Times New Roman" w:cs="Times New Roman" w:eastAsia="Times New Roman" w:hAnsi="Times New Roman"/>
          <w:sz w:val="18"/>
          <w:szCs w:val="18"/>
          <w:color w:val="auto"/>
        </w:rPr>
        <w:t>, as soon as reasonably practicable after they are electronically filed with, or furnished to, the SEC. The Company also routinely posts press releases, presentations, webcasts, and other information regarding the Company on Clearway Energy, Inc.'s website. The information posted on Clearway Energy, Inc.'s website is not a part of this report.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PG&amp;E Bankruptcy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PG&amp;E bankruptcy could adversely affect the Company’s results of operations, financial condition and cash flows.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PG&amp;E is one of the Company's largest customers, representing approximately 23% of the Company's consolidated operating revenues during the year ended December 31, 2018 and 16% of total accounts receivable as of December 31, 2018, of which all has been collected as of January 31, 2019. Certain subsidiaries of the Company, which hold interests in six solar facilities totaling 480 MW and Marsh Landing with capacity of 720 MW, sell the output of their facilities to PG&amp;E under long-term PPAs. The Company consolidates three of the solar facilities and Marsh Landing, and records its interest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009" w:right="239" w:bottom="1440" w:gutter="0" w:footer="0" w:header="0"/>
        </w:sectPr>
      </w:pPr>
    </w:p>
    <w:bookmarkStart w:id="15" w:name="page16"/>
    <w:bookmarkEnd w:id="15"/>
    <w:p>
      <w:pPr>
        <w:jc w:val="both"/>
        <w:spacing w:after="0" w:line="303" w:lineRule="auto"/>
        <w:rPr>
          <w:sz w:val="20"/>
          <w:szCs w:val="20"/>
          <w:color w:val="auto"/>
        </w:rPr>
      </w:pPr>
      <w:r>
        <w:rPr>
          <w:rFonts w:ascii="Times New Roman" w:cs="Times New Roman" w:eastAsia="Times New Roman" w:hAnsi="Times New Roman"/>
          <w:sz w:val="18"/>
          <w:szCs w:val="18"/>
          <w:color w:val="auto"/>
        </w:rPr>
        <w:t>in the other solar facilities as equity method investments. Most of the PPAs with PG&amp;E have contract prices that are higher than currently estimated market prices. These contracts are subject to review by the bankruptcy court and FERC, pursuant to a January 2019 FERC order, or the FERC Order. PG&amp;E has commenced an adversary proceeding against FERC seeking, among other things, an injunction with respect to the FERC Order. If PG&amp;E does not have the financial means or refuses to pay the amounts owing to the Company under the PPAs, and if the Company cannot recover the amounts owed through other means, the Company may be required to write-off all, or a portion of, any outstanding accounts receivable, and to impair its fixed assets. Any such results would adversely affect the Company's financial results.</w:t>
      </w:r>
    </w:p>
    <w:p>
      <w:pPr>
        <w:spacing w:after="0" w:line="16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PG&amp;E bankruptcy filing has triggered defaults under the PPAs with PG&amp;E and under the related financing agreements for each respective facility, all of which have non-recourse project level debt and in certain cases, non-recourse holding company debt. The Company is currently negotiating forbearance agreements with the lenders for each respective financing arrangement, but the Company can provide no assurance that it will be able to successfully negotiate the forbearance agreements.</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Company continues to assess the potential future impacts of the PG&amp;E Bankruptcy on the Company’s operations. The realization of any of the above risks could significantly and adversely affect the Company's ability to meet its financial expectations, its financial condition, results of operations, and cash flows, its ability to make distributions to its stockholders, the market price of its common stock, and its ability to satisfy its debt service obligations.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the electric power the Company generates is sold under long-term offtake agreements with public utilities or industrial or commercial end-users, with a weighted average remaining duration, based on CAFD, of approximately 15 years. As of December 31, 2018, the largest customers of the Company's power generation assets, including assets in which the Company has less than a 100% membership interest, were SCE and PG&amp;E, which represented 40% and 23%, respectively, of total consolidated revenues generated by the Company during the year ended December 31, 2018. As previously noted, on January 29, 2019, PG&amp;E filed for reorganization under Chapter 11 of the Bankruptcy Code.</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for any reason, any of the purchasers of power under these agreements, including PG&amp;E as a result of the PG&amp;E Bankruptcy,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95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facilities are newly constructed and may not perform as expected.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Clearway Energy, Inc. and CEG.</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could be limited.</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makes to Clearway Energy, Inc. and CEG.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effectively identify or consummate any future acquisitions on favorable terms, or at all.</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Clearway Energy, Inc.'s common stock.</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306" w:right="239" w:bottom="1440" w:gutter="0" w:footer="0" w:header="0"/>
        </w:sectPr>
      </w:pPr>
    </w:p>
    <w:bookmarkStart w:id="17" w:name="page18"/>
    <w:bookmarkEnd w:id="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distributions to Clearway Energy, Inc. and CEG.</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approximately $6,038 million of total consolidated indebtedness, $4,329 million of which was incurred by the Company's non-guarantor subsidiaries. In addition, the Company’s share of its unconsolidated affiliates’ total indebtedness and letters of credit outstanding as of December 31, 2018, totaled approximately $878 million and $80 million, respectively (calculated as the Company’s unconsolidated affiliates’ total indebtedness as of such date multiplied by the Company’s percentage membership interest in such assets). The Company’s substantial debt could have important negative consequences on the Company’s financial condition, including:</w:t>
      </w:r>
    </w:p>
    <w:p>
      <w:pPr>
        <w:spacing w:after="0" w:line="13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Company’s vulnerability to general economic and industry conditions;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the Company’s cash flow from operations to be dedicated to the payment of principal and interest on the Company’s indebtedness, therefore reducing the Company’s ability to pay distributions to Clearway Energy, Inc. and CEG or to use the Company’s cash flow to fund its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enter into long-term power sales or fuel purchases which require credit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fund operations or future acquisitions;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Company’s ability to make certain distributions to Clearway Energy, Inc. and CEG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the Company to the risk of increased interest rates because certain of the Company’s borrowings, which may include borrowings under the Company’s revolving credit facility, are at variable rates of interest;</w:t>
      </w: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Company’s ability to adjust to changing market conditions and placing it at a competitive disadvantage compared to the Company’s competitors who have less debt.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931" w:right="2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on the Company’s business, financial condition, results of operations and cash flows. In addition, failure to comply with such covenants may entitle the related lenders to demand repayment and accelerate all such indebtedness.</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discussed, the PG&amp;E bankruptcy filing has triggered defaults under the PPAs with PG&amp;E and under the related financing agreements for each respective facility, all of which have non-recourse project level debt and in certain cases, holding company debt. 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Clearway, Inc. and CEG.</w:t>
      </w:r>
    </w:p>
    <w:p>
      <w:pPr>
        <w:spacing w:after="0" w:line="1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5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capital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availability from banks and other financial institutions;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the Company, its partners, Clearway, Inc. (as the Company's sole managing member), or GIP, through CEG, as Clearway, Inc.'s principal stockholder (on a combined voting basis) and the regional wholesale power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performance and the financial performance of the Company subsidiaries;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level of indebtedness and compliance with covenants in debt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acceptable project credit ratings or credit quality;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tax and securities laws that may impact raising capital.</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The generation of electric energy from solar and wind energy sources depends heavily on suitable meteorological conditions.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1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927" w:right="2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facilities may operate, wholly or partially, without long-term power sales agreements.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Approximately 451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927" w:right="2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Supplier and/or customer concentration at certain of the Company's facilities may expose the Company to significant financial credit or performance risks.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 For instance, during the year ended December 31, 2018, the Company derived approximately 23% of its consolidated revenue from PG&amp;E, which filed for bankruptcy. For additional risks relating to the PG&amp;E Bankruptcy, see "</w:t>
      </w:r>
      <w:r>
        <w:rPr>
          <w:rFonts w:ascii="Times New Roman" w:cs="Times New Roman" w:eastAsia="Times New Roman" w:hAnsi="Times New Roman"/>
          <w:sz w:val="18"/>
          <w:szCs w:val="18"/>
          <w:i w:val="1"/>
          <w:iCs w:val="1"/>
          <w:color w:val="auto"/>
        </w:rPr>
        <w:t>Risks related to the PG&amp;E Bankruptcy</w:t>
      </w:r>
      <w:r>
        <w:rPr>
          <w:rFonts w:ascii="Times New Roman" w:cs="Times New Roman" w:eastAsia="Times New Roman" w:hAnsi="Times New Roman"/>
          <w:sz w:val="18"/>
          <w:szCs w:val="18"/>
          <w:color w:val="auto"/>
        </w:rPr>
        <w:t>" above.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927" w:right="2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is subject to restrictions resulting from environmental, health and safety laws and regulations.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does not own all of the land on which its power generation or thermal assets are located, which could result in disruption to its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927" w:right="2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927" w:right="2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businesses are subject to physical, market and economic risks relating to potential effects of climate change.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Climate change is producing changes in weather and other environmental conditions, including temperature and precipitation levels, and thus may affect consumer demand for electricity. In addition, the potential physical effects of climate change, such as increased frequency and severity of storms,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GHG regulation could increase the cost of electricity generated by fossil fuels, and such increases could reduce demand for the power the Company's conventional assets generate and market.</w:t>
      </w:r>
    </w:p>
    <w:p>
      <w:pPr>
        <w:spacing w:after="0" w:line="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 of the Company’s businesses is subject to cyber-based security and integrity risk.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927" w:right="239" w:bottom="1440" w:gutter="0" w:footer="0" w:header="0"/>
        </w:sectPr>
      </w:pPr>
    </w:p>
    <w:bookmarkStart w:id="25" w:name="page26"/>
    <w:bookmarkEnd w:id="2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years 2016 through 2019. Wind projects that began construction in 2018 and or begin construction in 2019 are eligible for PTC at 60% and 40% of the statutory rate per kWh, respectively.</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931" w:right="2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105" w:lineRule="exact"/>
        <w:rPr>
          <w:sz w:val="20"/>
          <w:szCs w:val="20"/>
          <w:color w:val="auto"/>
        </w:rPr>
      </w:pPr>
    </w:p>
    <w:p>
      <w:pPr>
        <w:jc w:val="both"/>
        <w:ind w:firstLine="940"/>
        <w:spacing w:after="0" w:line="266" w:lineRule="auto"/>
        <w:rPr>
          <w:sz w:val="20"/>
          <w:szCs w:val="20"/>
          <w:color w:val="auto"/>
        </w:rPr>
      </w:pPr>
      <w:r>
        <w:rPr>
          <w:rFonts w:ascii="Times New Roman" w:cs="Times New Roman" w:eastAsia="Times New Roman" w:hAnsi="Times New Roman"/>
          <w:sz w:val="18"/>
          <w:szCs w:val="18"/>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w:t>
      </w:r>
    </w:p>
    <w:p>
      <w:pPr>
        <w:spacing w:after="0" w:line="122" w:lineRule="exact"/>
        <w:rPr>
          <w:sz w:val="20"/>
          <w:szCs w:val="20"/>
          <w:color w:val="auto"/>
        </w:rPr>
      </w:pPr>
    </w:p>
    <w:p>
      <w:pPr>
        <w:jc w:val="both"/>
        <w:ind w:firstLine="756"/>
        <w:spacing w:after="0" w:line="258" w:lineRule="auto"/>
        <w:rPr>
          <w:sz w:val="20"/>
          <w:szCs w:val="20"/>
          <w:color w:val="auto"/>
        </w:rPr>
      </w:pPr>
      <w:r>
        <w:rPr>
          <w:rFonts w:ascii="Times New Roman" w:cs="Times New Roman" w:eastAsia="Times New Roman" w:hAnsi="Times New Roman"/>
          <w:sz w:val="18"/>
          <w:szCs w:val="18"/>
          <w:color w:val="auto"/>
        </w:rPr>
        <w:t>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depends on key personnel, the loss of any of which could have a material adverse effect on the Company's financial condition and results of operations.</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could have a material adverse effect on the Company’s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Relationships with GIP and CEG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GIP, through its ownership of CEG, exercises substantial influence over the Company through its position as controlling shareholder of Clearway,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highly dependent on GIP.</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GIP, through its ownership of CEG, owns all of the outstanding Class B and Class D common stock of Clearway, Inc. and owns 55.0% of the combined voting power of Clearway, Inc. as of December 31, 2018. As a result of GIP's ownership of Clearway, Inc. and Clearway, Inc.'s position as sole managing member of the Company, GIP has a substantial influence on the Company's affairs and its voting power will constitute a large percentage of any quorum of Clearway, Inc.'s stockholders voting on any matter requiring the approval of its stockholders. Such matters include the approval of mergers or sale of all or substantially all of its assets. This concentration of ownership may also have the effect of delaying or preventing a change in control of Clearway, Inc. or discouraging others from making tender offers for their shares. In addition, GIP has the right to elect all of Clearway, Inc.'s directors. GIP may cause corporate actions to be taken even if their interests conflict with the interests of Clearway, Inc.'s other stockholders (including holders of Clearway, Inc.'s Class A and Class C common stock).</w:t>
      </w:r>
    </w:p>
    <w:p>
      <w:pPr>
        <w:spacing w:after="0" w:line="1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Company depends on certain services provided by or under the direction of CEG under the CEG Master Services Agreement.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depends upon CEG and NRG for the provision of management, administration and certain other services at certain of the Company's facilities. Any failure by CEG or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927" w:right="239" w:bottom="1440" w:gutter="0" w:footer="0" w:header="0"/>
        </w:sectPr>
      </w:pPr>
    </w:p>
    <w:bookmarkStart w:id="27" w:name="page28"/>
    <w:bookmarkEnd w:id="27"/>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GIP Transaction, GIP has agreed to enter into certain agreements with the Company relating to the provision of services and NRG has agreed to enter into certain agreements with the Company relating to transition services and ongoing commercial arrangements. It is uncertain whether, after the transition services end, GIP or its affiliates will continue to provide the same services, or offer the same capabilities and resources, to the Company that the Company currently receives from NRG or whether the Company may have to seek alternative service providers. The Company may not be able to replicate the same level of services, capabilities, experience and familiarity with the Company’s business offered by NRG either through GIP or through alternative service providers or on terms or costs similar to those provided by NRG. The loss of services provided by NRG and the benefits offered to the Company through its relationship with NRG could have an impact on the Company’s business, financial condition, results of operations and cash flows.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GIP and its affiliates control the Company and have the ability to designate a majority of the members of Clearway Energy, Inc.'s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governance agreements entered into among NRG, Clearway Energy, Inc., GIP and its affiliates in connection with the GIP Transaction provide GIP the ability to designate a majority of Clearway Energy, Inc.’s Board to the Company’s Corporate Governance, Conflicts and Nominating Committee for nomination for election by Clearway Energy, Inc.’s stockholders and also require that the Company and GIP use their commercially reasonable efforts to submit to Clearway Energy, Inc.’s stockholders at Clearway Energy, Inc.’s 2019 Annual Meeting of Stockholders a charter amendment to classify Clearway Energy, Inc.’s Board into two classes (with the independent directors and directors designated by GIP allocated across the two classes). Due to such agreements and GIP's approximate 55.0% combined voting power in Clearway Energy, Inc., the ability of other holders of Clearway Energy, Inc.’s Class A and Class C common stock to exercise control over the corporate governance of the Company will be limited. In addition, due to its approximate 55.0% combined voting power in the Company, GIP and its affiliates have a substantial influence on Clearway Energy, Inc.’s affairs and its voting power constitutes a large percentage of any quorum of Clearway Energy, Inc.’s stockholders voting on any matter requiring the approval of Clearway Energy, Inc.’s stockholders, including the classification of Clearway Energy, Inc.'s Board of Directors. GIP and its affiliates may hold certain interests that are different from those of the Company or other holders of Clearway Energy, Inc.'s Class A and Class C common stock and there is no assurance that GIP and its affiliates will exercise its control over the Company in a manner that is consistent with the Company’s interests or those of the holders of Clearway Energy, Inc.'s Class A and Class C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consummate future acquisitions from CEG.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ability to grow through acquisitions depends, in part, on CEG's ability to identify and present the Company with acquisition opportunities. Although CEG has agreed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or unwilling to terminate the CEG Master Services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931" w:right="2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CEG terminates the CEG Master Services Agreement or defaults in the performance of its obligations under the agreement, or if the transition services to be provided by NRG to the Company are inadequate or end, the Company may be unable to contract with a substitute service provider on similar terms, or at all.</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relies on CEG to provide certain services under the CEG Master Services Agreement. The CEG Master Services Agreement provides that CEG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Additionally, the Company relies on transition services provided by NRG under the NRG TSA. If the Company cannot locate a service provider that is able to provide substantially similar services as CEG does under the CEG Master Services Agreement, or the services provided by NRG under the NRG TSA, on similar terms, it could have a material adverse effect on the business, financial condition, results of operation and cash flows.</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27"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the following:</w:t>
      </w:r>
    </w:p>
    <w:p>
      <w:pPr>
        <w:spacing w:after="0" w:line="13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PG&amp;E bankruptcy;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92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descriptions of the Company's interests in facilities, operations and/or projects owned or leased as of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Rated</w:t>
            </w: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w w:val="95"/>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MW</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8"/>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MW</w:t>
            </w:r>
            <w:r>
              <w:rPr>
                <w:rFonts w:ascii="Times New Roman" w:cs="Times New Roman" w:eastAsia="Times New Roman" w:hAnsi="Times New Roman"/>
                <w:sz w:val="10"/>
                <w:szCs w:val="10"/>
                <w:b w:val="1"/>
                <w:bCs w:val="1"/>
                <w:color w:val="auto"/>
              </w:rPr>
              <w:t>(a)</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ship</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Fuel</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COD</w:t>
            </w:r>
          </w:p>
        </w:tc>
        <w:tc>
          <w:tcPr>
            <w:tcW w:w="10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31"/>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El Segundo</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 Segundo,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August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GenConn Devon</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Milford, CT</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Gas/Oil</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2010</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GenConn Middletown</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Middletown, CT</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Gas/Oil</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2011</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Marsh Landing</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Antioch,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May 2013</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Walnut Creek</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City of Industry, CA</w:t>
            </w: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May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45"/>
        </w:trPr>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Agua Caliente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Dateland, AZ</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2014</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Alpine</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Lancaster,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January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Avenal</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Avenal,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August 2011</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Avra Valley</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Pima County, AZ</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2012</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Tucson Electric Power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Blythe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Blythe,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2009</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Borrego</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Borrego Springs,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February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Buckthorn Solar</w:t>
            </w:r>
          </w:p>
        </w:tc>
        <w:tc>
          <w:tcPr>
            <w:tcW w:w="15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City of Georgetown,</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July 2018</w:t>
            </w: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City of Georgetown, TX</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CVSR</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Luis Obispo,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Desert Sunlight 250</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Desert Center,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2014</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Desert Sunlight 300</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Desert Center,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2014</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Four Brothers Solar</w:t>
            </w:r>
          </w:p>
        </w:tc>
        <w:tc>
          <w:tcPr>
            <w:tcW w:w="15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New Castle/Milford,</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July 2016 - August</w:t>
            </w: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Granite Mountain</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Cedar City, UT</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September 2016</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Iron Springs</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Cedar City, UT</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August 2016</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Kansas South</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Lemoore,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Roadrunner</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Santa Teresa, NM</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August 2011</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El Paso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 High Desert</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Lancaster, CA</w:t>
            </w: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2013</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45"/>
        </w:trPr>
        <w:tc>
          <w:tcPr>
            <w:tcW w:w="32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Apple I LLC Projects</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October 2012 -</w:t>
            </w: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2012</w:t>
            </w:r>
          </w:p>
        </w:tc>
        <w:tc>
          <w:tcPr>
            <w:tcW w:w="18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AZ DG Solar Projects</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AZ</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December 2010 -</w:t>
            </w:r>
          </w:p>
        </w:tc>
        <w:tc>
          <w:tcPr>
            <w:tcW w:w="1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2025 - 2033</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January 2013</w:t>
            </w:r>
          </w:p>
        </w:tc>
        <w:tc>
          <w:tcPr>
            <w:tcW w:w="18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SPP Projects</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2008 - June 2012</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DG Projects</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58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October 2012 - October</w:t>
            </w:r>
          </w:p>
        </w:tc>
        <w:tc>
          <w:tcPr>
            <w:tcW w:w="18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2023 - 2039</w:t>
            </w:r>
          </w:p>
        </w:tc>
        <w:tc>
          <w:tcPr>
            <w:tcW w:w="0" w:type="dxa"/>
            <w:vAlign w:val="bottom"/>
          </w:tcPr>
          <w:p>
            <w:pPr>
              <w:spacing w:after="0"/>
              <w:rPr>
                <w:sz w:val="1"/>
                <w:szCs w:val="1"/>
                <w:color w:val="auto"/>
              </w:rPr>
            </w:pPr>
          </w:p>
        </w:tc>
      </w:tr>
      <w:tr>
        <w:trPr>
          <w:trHeight w:val="203"/>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7"/>
                <w:szCs w:val="17"/>
                <w:color w:val="auto"/>
              </w:rPr>
            </w:pPr>
          </w:p>
        </w:tc>
        <w:tc>
          <w:tcPr>
            <w:tcW w:w="18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2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92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Rated</w:t>
            </w: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w w:val="95"/>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MW</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8"/>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MW</w:t>
            </w:r>
            <w:r>
              <w:rPr>
                <w:rFonts w:ascii="Times New Roman" w:cs="Times New Roman" w:eastAsia="Times New Roman" w:hAnsi="Times New Roman"/>
                <w:sz w:val="10"/>
                <w:szCs w:val="10"/>
                <w:b w:val="1"/>
                <w:bCs w:val="1"/>
                <w:color w:val="auto"/>
              </w:rPr>
              <w:t>(a)</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ship</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Fuel</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COD</w:t>
            </w:r>
          </w:p>
        </w:tc>
        <w:tc>
          <w:tcPr>
            <w:tcW w:w="10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4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Alta I</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2010</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Alta II</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2010</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Alta III</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2011</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Alta IV</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2011</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Alta V</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April 2011</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8"/>
                <w:szCs w:val="8"/>
                <w:color w:val="auto"/>
              </w:rPr>
              <w:t>(b)</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February 2014</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8"/>
                <w:szCs w:val="8"/>
                <w:color w:val="auto"/>
              </w:rPr>
              <w:t>(b)</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Tehachapi, CA</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2014</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Buffalo Bear</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Buffalo, OK</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2008</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Western Farmers Electric</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Co-operative</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Crosswinds </w:t>
            </w:r>
            <w:r>
              <w:rPr>
                <w:rFonts w:ascii="Times New Roman" w:cs="Times New Roman" w:eastAsia="Times New Roman" w:hAnsi="Times New Roman"/>
                <w:sz w:val="8"/>
                <w:szCs w:val="8"/>
                <w:color w:val="auto"/>
              </w:rPr>
              <w:t>(b)</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Ayrshire, IA</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June 2007</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Corn Belt Power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Cooperative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Howard County, TX</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2008</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NRG Power Marketing</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LLC</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Elkhorn Ridge </w:t>
            </w:r>
            <w:r>
              <w:rPr>
                <w:rFonts w:ascii="Times New Roman" w:cs="Times New Roman" w:eastAsia="Times New Roman" w:hAnsi="Times New Roman"/>
                <w:sz w:val="8"/>
                <w:szCs w:val="8"/>
                <w:color w:val="auto"/>
              </w:rPr>
              <w:t>(b)</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Bloomfield, NE</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March 2009</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Nebraska Public Power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District</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Forward </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Berlin, PA</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April 2008</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Constellation NewEnergy,</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Goat Wind </w:t>
            </w:r>
            <w:r>
              <w:rPr>
                <w:rFonts w:ascii="Times New Roman" w:cs="Times New Roman" w:eastAsia="Times New Roman" w:hAnsi="Times New Roman"/>
                <w:sz w:val="8"/>
                <w:szCs w:val="8"/>
                <w:color w:val="auto"/>
              </w:rPr>
              <w:t>(b)</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Sterling City, TX</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April 2008/June 2009</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Dow Pipeline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Hardin </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Jefferson, IA</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May 2007</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Interstate Power and Light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Company</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Laredo Ridge</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Petersburg, NE</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February 2011</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Nebraska Public Power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District</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Berlin, PA</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2008</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Southern Maryland Electric</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Cooperative</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Odin </w:t>
            </w:r>
            <w:r>
              <w:rPr>
                <w:rFonts w:ascii="Times New Roman" w:cs="Times New Roman" w:eastAsia="Times New Roman" w:hAnsi="Times New Roman"/>
                <w:sz w:val="8"/>
                <w:szCs w:val="8"/>
                <w:color w:val="auto"/>
              </w:rPr>
              <w:t>(b)</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Odin, MN</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June 2008</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Missouri River Energy</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Services</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Maryland Department of</w:t>
            </w: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Services and</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Pinnacle</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Keyser, WV</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2011</w:t>
            </w:r>
          </w:p>
        </w:tc>
        <w:tc>
          <w:tcPr>
            <w:tcW w:w="18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University System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Maryland</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San Juan Mesa </w:t>
            </w:r>
            <w:r>
              <w:rPr>
                <w:rFonts w:ascii="Times New Roman" w:cs="Times New Roman" w:eastAsia="Times New Roman" w:hAnsi="Times New Roman"/>
                <w:sz w:val="8"/>
                <w:szCs w:val="8"/>
                <w:color w:val="auto"/>
              </w:rPr>
              <w:t>(b)</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Elida, NM</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December 2005</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Southwestern Public</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Service Company</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Sleeping Bear </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Woodward, OK</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2007</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Public Service Company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Oklahoma</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 Trent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Sweetwater, TX</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January 2009</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AEP Energy Partners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Spanish Fork </w:t>
            </w:r>
            <w:r>
              <w:rPr>
                <w:rFonts w:ascii="Times New Roman" w:cs="Times New Roman" w:eastAsia="Times New Roman" w:hAnsi="Times New Roman"/>
                <w:sz w:val="8"/>
                <w:szCs w:val="8"/>
                <w:color w:val="auto"/>
              </w:rPr>
              <w:t>(b)</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Spanish Fork, UT</w:t>
            </w:r>
          </w:p>
        </w:tc>
        <w:tc>
          <w:tcPr>
            <w:tcW w:w="7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July 2008</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PacifiCorp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8"/>
                <w:szCs w:val="8"/>
                <w:color w:val="auto"/>
              </w:rPr>
              <w:t>(b)</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Logan County, CO</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October 2014</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Platte River Power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Authority</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Spring Canyon III</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Logan County, CO</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2014</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Platte River Power</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Authority</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Taloga</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Putnam, OK</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July 2011</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8"/>
                <w:szCs w:val="8"/>
                <w:color w:val="auto"/>
              </w:rPr>
              <w:t>(b)</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Vega, TX</w:t>
            </w:r>
          </w:p>
        </w:tc>
        <w:tc>
          <w:tcPr>
            <w:tcW w:w="7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April 2007</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Southwestern Public</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03"/>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Service Company</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2,263</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Thermal Generation</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1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Rated</w:t>
            </w:r>
          </w:p>
        </w:tc>
        <w:tc>
          <w:tcPr>
            <w:tcW w:w="680" w:type="dxa"/>
            <w:vAlign w:val="bottom"/>
            <w:vMerge w:val="restart"/>
          </w:tcPr>
          <w:p>
            <w:pPr>
              <w:jc w:val="right"/>
              <w:ind w:right="14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w w:val="95"/>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2"/>
                <w:szCs w:val="22"/>
                <w:color w:val="auto"/>
              </w:rPr>
            </w:pP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MW</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9"/>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MW</w:t>
            </w:r>
            <w:r>
              <w:rPr>
                <w:rFonts w:ascii="Times New Roman" w:cs="Times New Roman" w:eastAsia="Times New Roman" w:hAnsi="Times New Roman"/>
                <w:sz w:val="10"/>
                <w:szCs w:val="10"/>
                <w:b w:val="1"/>
                <w:bCs w:val="1"/>
                <w:color w:val="auto"/>
              </w:rPr>
              <w:t>(a)</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ship</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Fuel</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COD</w:t>
            </w:r>
          </w:p>
        </w:tc>
        <w:tc>
          <w:tcPr>
            <w:tcW w:w="10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4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 Fuel Cell</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Tulare, CA</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May 2018</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City of Tulare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58"/>
        </w:trPr>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Dover</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Dover, DE</w:t>
            </w:r>
          </w:p>
        </w:tc>
        <w:tc>
          <w:tcPr>
            <w:tcW w:w="7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2013</w:t>
            </w:r>
          </w:p>
        </w:tc>
        <w:tc>
          <w:tcPr>
            <w:tcW w:w="18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NRG Power Marketing</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98"/>
        </w:trPr>
        <w:tc>
          <w:tcPr>
            <w:tcW w:w="1740" w:type="dxa"/>
            <w:vAlign w:val="bottom"/>
            <w:gridSpan w:val="2"/>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LLC</w:t>
            </w: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Energy Center - Pittsburgh</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Pittsburgh, PA</w:t>
            </w: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January 2019</w:t>
            </w:r>
          </w:p>
        </w:tc>
        <w:tc>
          <w:tcPr>
            <w:tcW w:w="1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University of Pittsburgh</w:t>
            </w:r>
          </w:p>
        </w:tc>
        <w:tc>
          <w:tcPr>
            <w:tcW w:w="1020" w:type="dxa"/>
            <w:vAlign w:val="bottom"/>
            <w:vMerge w:val="restart"/>
          </w:tcPr>
          <w:p>
            <w:pPr>
              <w:jc w:val="right"/>
              <w:ind w:right="646"/>
              <w:spacing w:after="0"/>
              <w:rPr>
                <w:sz w:val="20"/>
                <w:szCs w:val="20"/>
                <w:color w:val="auto"/>
              </w:rPr>
            </w:pPr>
            <w:r>
              <w:rPr>
                <w:rFonts w:ascii="Times New Roman" w:cs="Times New Roman" w:eastAsia="Times New Roman" w:hAnsi="Times New Roman"/>
                <w:sz w:val="14"/>
                <w:szCs w:val="14"/>
                <w:color w:val="auto"/>
                <w:w w:val="99"/>
              </w:rPr>
              <w:t>2038</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Medical Center</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Paxton Creek Cogen</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Harrisburg, PA</w:t>
            </w:r>
          </w:p>
        </w:tc>
        <w:tc>
          <w:tcPr>
            <w:tcW w:w="7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November 1986</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Power sold into PJM markets</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Princeton Hospital</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Princeton, NJ</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January 2012</w:t>
            </w:r>
          </w:p>
        </w:tc>
        <w:tc>
          <w:tcPr>
            <w:tcW w:w="28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Excess power sold to local utility</w:t>
            </w:r>
          </w:p>
        </w:tc>
        <w:tc>
          <w:tcPr>
            <w:tcW w:w="0" w:type="dxa"/>
            <w:vAlign w:val="bottom"/>
          </w:tcPr>
          <w:p>
            <w:pPr>
              <w:spacing w:after="0"/>
              <w:rPr>
                <w:sz w:val="1"/>
                <w:szCs w:val="1"/>
                <w:color w:val="auto"/>
              </w:rPr>
            </w:pPr>
          </w:p>
        </w:tc>
      </w:tr>
      <w:tr>
        <w:trPr>
          <w:trHeight w:val="275"/>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Tucson Convention Center</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Tucson, AZ</w:t>
            </w:r>
          </w:p>
        </w:tc>
        <w:tc>
          <w:tcPr>
            <w:tcW w:w="7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January 2003</w:t>
            </w:r>
          </w:p>
        </w:tc>
        <w:tc>
          <w:tcPr>
            <w:tcW w:w="2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Excess power sold to local utility</w:t>
            </w:r>
          </w:p>
        </w:tc>
        <w:tc>
          <w:tcPr>
            <w:tcW w:w="0" w:type="dxa"/>
            <w:vAlign w:val="bottom"/>
          </w:tcPr>
          <w:p>
            <w:pPr>
              <w:spacing w:after="0"/>
              <w:rPr>
                <w:sz w:val="1"/>
                <w:szCs w:val="1"/>
                <w:color w:val="auto"/>
              </w:rPr>
            </w:pPr>
          </w:p>
        </w:tc>
      </w:tr>
      <w:tr>
        <w:trPr>
          <w:trHeight w:val="265"/>
        </w:trPr>
        <w:tc>
          <w:tcPr>
            <w:tcW w:w="17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University of Bridgeport</w:t>
            </w:r>
          </w:p>
        </w:tc>
        <w:tc>
          <w:tcPr>
            <w:tcW w:w="1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Bridgeport, CT</w:t>
            </w:r>
          </w:p>
        </w:tc>
        <w:tc>
          <w:tcPr>
            <w:tcW w:w="7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April 2015</w:t>
            </w:r>
          </w:p>
        </w:tc>
        <w:tc>
          <w:tcPr>
            <w:tcW w:w="1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University of Bridgeport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55"/>
        </w:trPr>
        <w:tc>
          <w:tcPr>
            <w:tcW w:w="32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Total Thermal Generation</w:t>
            </w:r>
          </w:p>
        </w:tc>
        <w:tc>
          <w:tcPr>
            <w:tcW w:w="7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gridSpan w:val="4"/>
          </w:tcPr>
          <w:p>
            <w:pPr>
              <w:ind w:left="940"/>
              <w:spacing w:after="0" w:line="237" w:lineRule="exact"/>
              <w:rPr>
                <w:sz w:val="20"/>
                <w:szCs w:val="20"/>
                <w:color w:val="auto"/>
              </w:rPr>
            </w:pPr>
            <w:r>
              <w:rPr>
                <w:rFonts w:ascii="Times New Roman" w:cs="Times New Roman" w:eastAsia="Times New Roman" w:hAnsi="Times New Roman"/>
                <w:sz w:val="16"/>
                <w:szCs w:val="16"/>
                <w:b w:val="1"/>
                <w:bCs w:val="1"/>
                <w:color w:val="auto"/>
              </w:rPr>
              <w:t xml:space="preserve">Total Clearway Energy LLC </w:t>
            </w:r>
            <w:r>
              <w:rPr>
                <w:rFonts w:ascii="Times New Roman" w:cs="Times New Roman" w:eastAsia="Times New Roman" w:hAnsi="Times New Roman"/>
                <w:sz w:val="21"/>
                <w:szCs w:val="21"/>
                <w:b w:val="1"/>
                <w:bCs w:val="1"/>
                <w:color w:val="auto"/>
                <w:vertAlign w:val="superscript"/>
              </w:rPr>
              <w:t>(c)</w:t>
            </w:r>
          </w:p>
        </w:tc>
        <w:tc>
          <w:tcPr>
            <w:tcW w:w="7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6,601</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capacity represents the maximum, or rated, generating capacity of the facility multiplied by the Company's percentage ownership in the facility as of December 31, 2018.</w:t>
      </w:r>
    </w:p>
    <w:p>
      <w:pPr>
        <w:spacing w:after="0" w:line="2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Projects are part of tax equity arrangements, as further described in Note 2, </w:t>
      </w:r>
      <w:r>
        <w:rPr>
          <w:rFonts w:ascii="Times New Roman" w:cs="Times New Roman" w:eastAsia="Times New Roman" w:hAnsi="Times New Roman"/>
          <w:sz w:val="14"/>
          <w:szCs w:val="14"/>
          <w:i w:val="1"/>
          <w:iCs w:val="1"/>
          <w:color w:val="auto"/>
        </w:rPr>
        <w:t>Summary of Significant Accounting Policies.</w:t>
      </w:r>
    </w:p>
    <w:p>
      <w:pPr>
        <w:spacing w:after="0" w:line="17" w:lineRule="exact"/>
        <w:rPr>
          <w:rFonts w:ascii="Times New Roman" w:cs="Times New Roman" w:eastAsia="Times New Roman" w:hAnsi="Times New Roman"/>
          <w:sz w:val="9"/>
          <w:szCs w:val="9"/>
          <w:color w:val="auto"/>
        </w:rPr>
      </w:pPr>
    </w:p>
    <w:p>
      <w:pPr>
        <w:ind w:firstLine="8"/>
        <w:spacing w:after="0" w:line="258" w:lineRule="auto"/>
        <w:tabs>
          <w:tab w:leader="none" w:pos="163"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Clearway Energy LLC's total generation capacity is net of 6 MWs for noncontrolling interest for Spring Canyon II and III. Clearway Energy LLC's generation capacity including this noncontrolling interest was 5,411 MWs.</w:t>
      </w:r>
    </w:p>
    <w:p>
      <w:pPr>
        <w:spacing w:after="0" w:line="2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For further discussions, refer to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thermal steam and chilled water facilities as of December 31, 2018:</w:t>
      </w:r>
    </w:p>
    <w:p>
      <w:pPr>
        <w:sectPr>
          <w:pgSz w:w="11900" w:h="16838" w:orient="portrait"/>
          <w:cols w:equalWidth="0" w:num="1">
            <w:col w:w="11420"/>
          </w:cols>
          <w:pgMar w:left="240" w:top="11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Name and Location of Facility</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Energy Center Minneapolis,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MN</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Energy Center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San Francisco,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Thermal Energy Purchaser</w:t>
      </w:r>
    </w:p>
    <w:p>
      <w:pPr>
        <w:spacing w:after="0" w:line="8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Approx. 95 steam and 55 chilled water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Approx. 180 steam customers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Rated Megawatt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Megawatt</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Equivalent</w:t>
            </w:r>
          </w:p>
        </w:tc>
        <w:tc>
          <w:tcPr>
            <w:tcW w:w="24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Generating</w:t>
            </w:r>
          </w:p>
        </w:tc>
        <w:tc>
          <w:tcPr>
            <w:tcW w:w="0" w:type="dxa"/>
            <w:vAlign w:val="bottom"/>
          </w:tcPr>
          <w:p>
            <w:pPr>
              <w:spacing w:after="0"/>
              <w:rPr>
                <w:sz w:val="1"/>
                <w:szCs w:val="1"/>
                <w:color w:val="auto"/>
              </w:rPr>
            </w:pPr>
          </w:p>
        </w:tc>
      </w:tr>
      <w:tr>
        <w:trPr>
          <w:trHeight w:val="212"/>
        </w:trPr>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Owned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Capacity (MWt)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 (MWt)</w:t>
            </w:r>
          </w:p>
        </w:tc>
        <w:tc>
          <w:tcPr>
            <w:tcW w:w="24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0" w:type="dxa"/>
            <w:vAlign w:val="bottom"/>
          </w:tcPr>
          <w:p>
            <w:pPr>
              <w:spacing w:after="0"/>
              <w:rPr>
                <w:sz w:val="1"/>
                <w:szCs w:val="1"/>
                <w:color w:val="auto"/>
              </w:rPr>
            </w:pP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315</w:t>
            </w:r>
          </w:p>
        </w:tc>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Steam: 1,075 MMBtu/hr.</w:t>
            </w:r>
          </w:p>
        </w:tc>
        <w:tc>
          <w:tcPr>
            <w:tcW w:w="0" w:type="dxa"/>
            <w:vAlign w:val="bottom"/>
          </w:tcPr>
          <w:p>
            <w:pPr>
              <w:spacing w:after="0"/>
              <w:rPr>
                <w:sz w:val="1"/>
                <w:szCs w:val="1"/>
                <w:color w:val="auto"/>
              </w:rPr>
            </w:pPr>
          </w:p>
        </w:tc>
      </w:tr>
      <w:tr>
        <w:trPr>
          <w:trHeight w:val="102"/>
        </w:trPr>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8"/>
                <w:szCs w:val="8"/>
                <w:color w:val="auto"/>
              </w:rPr>
            </w:pPr>
          </w:p>
        </w:tc>
        <w:tc>
          <w:tcPr>
            <w:tcW w:w="40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6"/>
                <w:szCs w:val="16"/>
                <w:color w:val="auto"/>
              </w:rPr>
              <w:t>136   Chilled water: 38,700 tons</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4"/>
                <w:szCs w:val="24"/>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4"/>
                <w:szCs w:val="24"/>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133</w:t>
            </w:r>
          </w:p>
        </w:tc>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Steam: 454 MMBtu/hr.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-501650</wp:posOffset>
            </wp:positionV>
            <wp:extent cx="72466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3">
            <w:col w:w="2140" w:space="200"/>
            <w:col w:w="2100" w:space="280"/>
            <w:col w:w="6700"/>
          </w:cols>
          <w:pgMar w:left="240" w:top="111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6"/>
                <w:szCs w:val="16"/>
                <w:color w:val="auto"/>
              </w:rPr>
              <w:t>100</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142</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Steam: 485 MMBtu/hr</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 Center</w:t>
            </w:r>
          </w:p>
        </w:tc>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Approx. 60 steam and 65 chilled</w:t>
            </w:r>
          </w:p>
        </w:tc>
        <w:tc>
          <w:tcPr>
            <w:tcW w:w="1360" w:type="dxa"/>
            <w:vAlign w:val="bottom"/>
            <w:shd w:val="clear" w:color="auto" w:fill="CCEEFF"/>
          </w:tcPr>
          <w:p>
            <w:pPr>
              <w:jc w:val="right"/>
              <w:ind w:right="637"/>
              <w:spacing w:after="0" w:line="202" w:lineRule="exact"/>
              <w:rPr>
                <w:sz w:val="20"/>
                <w:szCs w:val="20"/>
                <w:color w:val="auto"/>
              </w:rPr>
            </w:pPr>
            <w:r>
              <w:rPr>
                <w:rFonts w:ascii="Times New Roman" w:cs="Times New Roman" w:eastAsia="Times New Roman" w:hAnsi="Times New Roman"/>
                <w:sz w:val="23"/>
                <w:szCs w:val="23"/>
                <w:color w:val="auto"/>
                <w:vertAlign w:val="subscript"/>
              </w:rPr>
              <w:t>16</w:t>
            </w:r>
            <w:r>
              <w:rPr>
                <w:rFonts w:ascii="Times New Roman" w:cs="Times New Roman" w:eastAsia="Times New Roman" w:hAnsi="Times New Roman"/>
                <w:sz w:val="9"/>
                <w:szCs w:val="9"/>
                <w:color w:val="auto"/>
              </w:rPr>
              <w:t>(a)</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56</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Steam: 190 MMBtu/hr</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Omaha, NE</w:t>
            </w:r>
          </w:p>
        </w:tc>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water customers</w:t>
            </w:r>
          </w:p>
        </w:tc>
        <w:tc>
          <w:tcPr>
            <w:tcW w:w="136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6"/>
                <w:szCs w:val="16"/>
                <w:color w:val="auto"/>
              </w:rPr>
              <w:t>100</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77</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Chilled water: 22,000 tons</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637"/>
              <w:spacing w:after="0" w:line="243" w:lineRule="exact"/>
              <w:rPr>
                <w:sz w:val="20"/>
                <w:szCs w:val="20"/>
                <w:color w:val="auto"/>
              </w:rPr>
            </w:pP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0"/>
                <w:szCs w:val="10"/>
                <w:color w:val="auto"/>
              </w:rPr>
              <w:t>(a)</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21</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Chilled water: 6,000 tons</w:t>
            </w:r>
          </w:p>
        </w:tc>
        <w:tc>
          <w:tcPr>
            <w:tcW w:w="0" w:type="dxa"/>
            <w:vAlign w:val="bottom"/>
          </w:tcPr>
          <w:p>
            <w:pPr>
              <w:spacing w:after="0"/>
              <w:rPr>
                <w:sz w:val="1"/>
                <w:szCs w:val="1"/>
                <w:color w:val="auto"/>
              </w:rPr>
            </w:pPr>
          </w:p>
        </w:tc>
      </w:tr>
      <w:tr>
        <w:trPr>
          <w:trHeight w:val="216"/>
        </w:trPr>
        <w:tc>
          <w:tcPr>
            <w:tcW w:w="2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Energy Center Harrisburg, PA</w:t>
            </w:r>
          </w:p>
        </w:tc>
        <w:tc>
          <w:tcPr>
            <w:tcW w:w="2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Approx. 125 steam and 5 chilled</w:t>
            </w:r>
          </w:p>
        </w:tc>
        <w:tc>
          <w:tcPr>
            <w:tcW w:w="1360" w:type="dxa"/>
            <w:vAlign w:val="bottom"/>
            <w:vMerge w:val="restart"/>
          </w:tcPr>
          <w:p>
            <w:pPr>
              <w:jc w:val="right"/>
              <w:ind w:right="637"/>
              <w:spacing w:after="0"/>
              <w:rPr>
                <w:sz w:val="20"/>
                <w:szCs w:val="20"/>
                <w:color w:val="auto"/>
              </w:rPr>
            </w:pPr>
            <w:r>
              <w:rPr>
                <w:rFonts w:ascii="Times New Roman" w:cs="Times New Roman" w:eastAsia="Times New Roman" w:hAnsi="Times New Roman"/>
                <w:sz w:val="16"/>
                <w:szCs w:val="16"/>
                <w:color w:val="auto"/>
              </w:rPr>
              <w:t>100</w:t>
            </w:r>
          </w:p>
        </w:tc>
        <w:tc>
          <w:tcPr>
            <w:tcW w:w="16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108</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Steam: 370 MMBtu/hr.</w:t>
            </w:r>
          </w:p>
        </w:tc>
        <w:tc>
          <w:tcPr>
            <w:tcW w:w="0" w:type="dxa"/>
            <w:vAlign w:val="bottom"/>
          </w:tcPr>
          <w:p>
            <w:pPr>
              <w:spacing w:after="0"/>
              <w:rPr>
                <w:sz w:val="1"/>
                <w:szCs w:val="1"/>
                <w:color w:val="auto"/>
              </w:rPr>
            </w:pPr>
          </w:p>
        </w:tc>
      </w:tr>
      <w:tr>
        <w:trPr>
          <w:trHeight w:val="102"/>
        </w:trPr>
        <w:tc>
          <w:tcPr>
            <w:tcW w:w="2160" w:type="dxa"/>
            <w:vAlign w:val="bottom"/>
            <w:vMerge w:val="continue"/>
          </w:tcPr>
          <w:p>
            <w:pPr>
              <w:spacing w:after="0"/>
              <w:rPr>
                <w:sz w:val="8"/>
                <w:szCs w:val="8"/>
                <w:color w:val="auto"/>
              </w:rPr>
            </w:pPr>
          </w:p>
        </w:tc>
        <w:tc>
          <w:tcPr>
            <w:tcW w:w="26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water customers</w:t>
            </w:r>
          </w:p>
        </w:tc>
        <w:tc>
          <w:tcPr>
            <w:tcW w:w="1360" w:type="dxa"/>
            <w:vAlign w:val="bottom"/>
            <w:vMerge w:val="continue"/>
          </w:tcPr>
          <w:p>
            <w:pPr>
              <w:spacing w:after="0"/>
              <w:rPr>
                <w:sz w:val="8"/>
                <w:szCs w:val="8"/>
                <w:color w:val="auto"/>
              </w:rPr>
            </w:pPr>
          </w:p>
        </w:tc>
        <w:tc>
          <w:tcPr>
            <w:tcW w:w="16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auto"/>
              </w:rPr>
              <w:t>13</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4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Chilled water: 3,600 tons</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7"/>
              <w:spacing w:after="0" w:line="216" w:lineRule="exact"/>
              <w:rPr>
                <w:sz w:val="20"/>
                <w:szCs w:val="20"/>
                <w:color w:val="auto"/>
              </w:rPr>
            </w:pPr>
            <w:r>
              <w:rPr>
                <w:rFonts w:ascii="Times New Roman" w:cs="Times New Roman" w:eastAsia="Times New Roman" w:hAnsi="Times New Roman"/>
                <w:sz w:val="25"/>
                <w:szCs w:val="25"/>
                <w:color w:val="auto"/>
                <w:vertAlign w:val="subscript"/>
              </w:rPr>
              <w:t>24</w:t>
            </w:r>
            <w:r>
              <w:rPr>
                <w:rFonts w:ascii="Times New Roman" w:cs="Times New Roman" w:eastAsia="Times New Roman" w:hAnsi="Times New Roman"/>
                <w:sz w:val="10"/>
                <w:szCs w:val="10"/>
                <w:color w:val="auto"/>
              </w:rPr>
              <w:t>(a)</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Steam: 17 MMBtu/hr</w:t>
            </w:r>
          </w:p>
        </w:tc>
        <w:tc>
          <w:tcPr>
            <w:tcW w:w="0" w:type="dxa"/>
            <w:vAlign w:val="bottom"/>
          </w:tcPr>
          <w:p>
            <w:pPr>
              <w:spacing w:after="0"/>
              <w:rPr>
                <w:sz w:val="1"/>
                <w:szCs w:val="1"/>
                <w:color w:val="auto"/>
              </w:rPr>
            </w:pPr>
          </w:p>
        </w:tc>
      </w:tr>
      <w:tr>
        <w:trPr>
          <w:trHeight w:val="203"/>
        </w:trPr>
        <w:tc>
          <w:tcPr>
            <w:tcW w:w="2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 Center Phoenix, AZ</w:t>
            </w:r>
          </w:p>
        </w:tc>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Approx. 40 chilled water</w:t>
            </w:r>
          </w:p>
        </w:tc>
        <w:tc>
          <w:tcPr>
            <w:tcW w:w="136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6"/>
                <w:szCs w:val="16"/>
                <w:color w:val="auto"/>
              </w:rPr>
              <w:t>100</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104</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Chilled water: 29,600 tons</w:t>
            </w:r>
          </w:p>
        </w:tc>
        <w:tc>
          <w:tcPr>
            <w:tcW w:w="0" w:type="dxa"/>
            <w:vAlign w:val="bottom"/>
          </w:tcPr>
          <w:p>
            <w:pPr>
              <w:spacing w:after="0"/>
              <w:rPr>
                <w:sz w:val="1"/>
                <w:szCs w:val="1"/>
                <w:color w:val="auto"/>
              </w:rPr>
            </w:pPr>
          </w:p>
        </w:tc>
      </w:tr>
      <w:tr>
        <w:trPr>
          <w:trHeight w:val="102"/>
        </w:trPr>
        <w:tc>
          <w:tcPr>
            <w:tcW w:w="2160" w:type="dxa"/>
            <w:vAlign w:val="bottom"/>
            <w:vMerge w:val="continue"/>
            <w:shd w:val="clear" w:color="auto" w:fill="CCEEFF"/>
          </w:tcPr>
          <w:p>
            <w:pPr>
              <w:spacing w:after="0"/>
              <w:rPr>
                <w:sz w:val="8"/>
                <w:szCs w:val="8"/>
                <w:color w:val="auto"/>
              </w:rPr>
            </w:pPr>
          </w:p>
        </w:tc>
        <w:tc>
          <w:tcPr>
            <w:tcW w:w="2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customers</w:t>
            </w:r>
          </w:p>
        </w:tc>
        <w:tc>
          <w:tcPr>
            <w:tcW w:w="1360" w:type="dxa"/>
            <w:vAlign w:val="bottom"/>
            <w:vMerge w:val="restart"/>
            <w:shd w:val="clear" w:color="auto" w:fill="CCEEFF"/>
          </w:tcPr>
          <w:p>
            <w:pPr>
              <w:jc w:val="right"/>
              <w:ind w:right="637"/>
              <w:spacing w:after="0" w:line="202" w:lineRule="exact"/>
              <w:rPr>
                <w:sz w:val="20"/>
                <w:szCs w:val="20"/>
                <w:color w:val="auto"/>
              </w:rPr>
            </w:pP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9"/>
                <w:szCs w:val="9"/>
                <w:color w:val="auto"/>
              </w:rPr>
              <w:t>(a)</w:t>
            </w:r>
          </w:p>
        </w:tc>
        <w:tc>
          <w:tcPr>
            <w:tcW w:w="164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14</w:t>
            </w: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Chilled water: 3,920 tons</w:t>
            </w:r>
          </w:p>
        </w:tc>
        <w:tc>
          <w:tcPr>
            <w:tcW w:w="0" w:type="dxa"/>
            <w:vAlign w:val="bottom"/>
          </w:tcPr>
          <w:p>
            <w:pPr>
              <w:spacing w:after="0"/>
              <w:rPr>
                <w:sz w:val="1"/>
                <w:szCs w:val="1"/>
                <w:color w:val="auto"/>
              </w:rPr>
            </w:pPr>
          </w:p>
        </w:tc>
      </w:tr>
      <w:tr>
        <w:trPr>
          <w:trHeight w:val="100"/>
        </w:trPr>
        <w:tc>
          <w:tcPr>
            <w:tcW w:w="2160" w:type="dxa"/>
            <w:vAlign w:val="bottom"/>
            <w:shd w:val="clear" w:color="auto" w:fill="CCEEFF"/>
          </w:tcPr>
          <w:p>
            <w:pPr>
              <w:spacing w:after="0"/>
              <w:rPr>
                <w:sz w:val="8"/>
                <w:szCs w:val="8"/>
                <w:color w:val="auto"/>
              </w:rPr>
            </w:pPr>
          </w:p>
        </w:tc>
        <w:tc>
          <w:tcPr>
            <w:tcW w:w="2680" w:type="dxa"/>
            <w:vAlign w:val="bottom"/>
            <w:vMerge w:val="continue"/>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637"/>
              <w:spacing w:after="0" w:line="243" w:lineRule="exact"/>
              <w:rPr>
                <w:sz w:val="20"/>
                <w:szCs w:val="20"/>
                <w:color w:val="auto"/>
              </w:rPr>
            </w:pP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0"/>
                <w:szCs w:val="10"/>
                <w:color w:val="auto"/>
              </w:rPr>
              <w:t>(a)</w:t>
            </w:r>
          </w:p>
        </w:tc>
        <w:tc>
          <w:tcPr>
            <w:tcW w:w="16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28</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Chilled water: 8,000 tons</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110" w:right="239" w:bottom="1440" w:gutter="0" w:footer="0" w:header="0"/>
          <w:type w:val="continuous"/>
        </w:sectPr>
      </w:pP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Energy Center Pittsburgh, PA</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Energy Center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San Diego, CA</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Energy Center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Dover, DE</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Energy Center Princeton,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98" w:lineRule="auto"/>
        <w:rPr>
          <w:sz w:val="20"/>
          <w:szCs w:val="20"/>
          <w:color w:val="auto"/>
        </w:rPr>
      </w:pPr>
      <w:r>
        <w:rPr>
          <w:rFonts w:ascii="Times New Roman" w:cs="Times New Roman" w:eastAsia="Times New Roman" w:hAnsi="Times New Roman"/>
          <w:sz w:val="16"/>
          <w:szCs w:val="16"/>
          <w:color w:val="auto"/>
        </w:rPr>
        <w:t>Approx. 25 steam and 25 chilled water customers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Approx. 20 chilled water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w:t>
      </w:r>
    </w:p>
    <w:p>
      <w:pPr>
        <w:spacing w:after="0" w:line="6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Kraft Heinz Company; Proctor and Gamble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Princeton HealthCare System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Generating Capacity (MWt)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1"/>
              </w:rPr>
              <w:t>100</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Steam: 452 MMBtu/hr.</w:t>
            </w:r>
          </w:p>
        </w:tc>
        <w:tc>
          <w:tcPr>
            <w:tcW w:w="0" w:type="dxa"/>
            <w:vAlign w:val="bottom"/>
          </w:tcPr>
          <w:p>
            <w:pPr>
              <w:spacing w:after="0"/>
              <w:rPr>
                <w:sz w:val="1"/>
                <w:szCs w:val="1"/>
                <w:color w:val="auto"/>
              </w:rPr>
            </w:pPr>
          </w:p>
        </w:tc>
      </w:tr>
      <w:tr>
        <w:trPr>
          <w:trHeight w:val="102"/>
        </w:trPr>
        <w:tc>
          <w:tcPr>
            <w:tcW w:w="400" w:type="dxa"/>
            <w:vAlign w:val="bottom"/>
            <w:vMerge w:val="continue"/>
          </w:tcPr>
          <w:p>
            <w:pPr>
              <w:spacing w:after="0"/>
              <w:rPr>
                <w:sz w:val="8"/>
                <w:szCs w:val="8"/>
                <w:color w:val="auto"/>
              </w:rPr>
            </w:pPr>
          </w:p>
        </w:tc>
        <w:tc>
          <w:tcPr>
            <w:tcW w:w="1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8"/>
                <w:szCs w:val="8"/>
                <w:color w:val="auto"/>
              </w:rPr>
            </w:pPr>
          </w:p>
        </w:tc>
        <w:tc>
          <w:tcPr>
            <w:tcW w:w="15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Chilled water: 22,224 tons</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1"/>
              </w:rPr>
              <w:t>100</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Chilled water: 8,825 tons</w:t>
            </w:r>
          </w:p>
        </w:tc>
        <w:tc>
          <w:tcPr>
            <w:tcW w:w="0" w:type="dxa"/>
            <w:vAlign w:val="bottom"/>
          </w:tcPr>
          <w:p>
            <w:pPr>
              <w:spacing w:after="0"/>
              <w:rPr>
                <w:sz w:val="1"/>
                <w:szCs w:val="1"/>
                <w:color w:val="auto"/>
              </w:rPr>
            </w:pPr>
          </w:p>
        </w:tc>
      </w:tr>
      <w:tr>
        <w:trPr>
          <w:trHeight w:val="459"/>
        </w:trPr>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1"/>
              </w:rPr>
              <w:t>100</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Steam: 225 MMBtu/hr.</w:t>
            </w:r>
          </w:p>
        </w:tc>
        <w:tc>
          <w:tcPr>
            <w:tcW w:w="0" w:type="dxa"/>
            <w:vAlign w:val="bottom"/>
          </w:tcPr>
          <w:p>
            <w:pPr>
              <w:spacing w:after="0"/>
              <w:rPr>
                <w:sz w:val="1"/>
                <w:szCs w:val="1"/>
                <w:color w:val="auto"/>
              </w:rPr>
            </w:pPr>
          </w:p>
        </w:tc>
      </w:tr>
      <w:tr>
        <w:trPr>
          <w:trHeight w:val="357"/>
        </w:trPr>
        <w:tc>
          <w:tcPr>
            <w:tcW w:w="4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1"/>
              </w:rPr>
              <w:t>100</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Steam: 72 MMBtu/hr.</w:t>
            </w:r>
          </w:p>
        </w:tc>
        <w:tc>
          <w:tcPr>
            <w:tcW w:w="0" w:type="dxa"/>
            <w:vAlign w:val="bottom"/>
          </w:tcPr>
          <w:p>
            <w:pPr>
              <w:spacing w:after="0"/>
              <w:rPr>
                <w:sz w:val="1"/>
                <w:szCs w:val="1"/>
                <w:color w:val="auto"/>
              </w:rPr>
            </w:pPr>
          </w:p>
        </w:tc>
      </w:tr>
      <w:tr>
        <w:trPr>
          <w:trHeight w:val="102"/>
        </w:trPr>
        <w:tc>
          <w:tcPr>
            <w:tcW w:w="400" w:type="dxa"/>
            <w:vAlign w:val="bottom"/>
            <w:vMerge w:val="continue"/>
          </w:tcPr>
          <w:p>
            <w:pPr>
              <w:spacing w:after="0"/>
              <w:rPr>
                <w:sz w:val="8"/>
                <w:szCs w:val="8"/>
                <w:color w:val="auto"/>
              </w:rPr>
            </w:pPr>
          </w:p>
        </w:tc>
        <w:tc>
          <w:tcPr>
            <w:tcW w:w="1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8"/>
                <w:szCs w:val="8"/>
                <w:color w:val="auto"/>
              </w:rPr>
            </w:pPr>
          </w:p>
        </w:tc>
        <w:tc>
          <w:tcPr>
            <w:tcW w:w="15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Chilled water: 4,700 tons</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1,385</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-1071245</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-488315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940" w:space="400"/>
            <w:col w:w="2200" w:space="720"/>
            <w:col w:w="6160"/>
          </w:cols>
          <w:pgMar w:left="240" w:top="1110" w:right="239"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10" w:right="239" w:bottom="1440" w:gutter="0" w:footer="0" w:header="0"/>
          <w:type w:val="continuous"/>
        </w:sectPr>
      </w:pPr>
    </w:p>
    <w:bookmarkStart w:id="33" w:name="page34"/>
    <w:bookmarkEnd w:id="33"/>
    <w:p>
      <w:pPr>
        <w:ind w:left="132" w:hanging="132"/>
        <w:spacing w:after="0"/>
        <w:tabs>
          <w:tab w:leader="none" w:pos="132"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MWt capacity excludes 112 MWt available under the right-to-use provisions contained in agreements between two of the Company's thermal facilities and certain of its customers.</w:t>
      </w:r>
    </w:p>
    <w:p>
      <w:pPr>
        <w:sectPr>
          <w:pgSz w:w="11900" w:h="16838" w:orient="portrait"/>
          <w:cols w:equalWidth="0" w:num="1">
            <w:col w:w="10712"/>
          </w:cols>
          <w:pgMar w:left="248" w:top="914" w:right="939" w:bottom="1440" w:gutter="0" w:footer="0" w:header="0"/>
        </w:sectPr>
      </w:pPr>
    </w:p>
    <w:p>
      <w:pPr>
        <w:spacing w:after="0" w:line="289"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12"/>
          </w:cols>
          <w:pgMar w:left="248" w:top="914" w:right="9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See "Pacific Gas and Electric Company Bankruptcy" found in Item 1, Business, of this Annual Report on Form 10-K and Item 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for discussion of the material legal proceedings to which the Company is a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which any of its properties is subject.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090" w:right="239" w:bottom="1440" w:gutter="0" w:footer="0" w:header="0"/>
        </w:sectPr>
      </w:pPr>
    </w:p>
    <w:bookmarkStart w:id="35" w:name="page36"/>
    <w:bookmarkEnd w:id="35"/>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is no publicly-traded market for the Company's membership units. All of the Company's Class A and Class C units are held by Clearway Energy, Inc. and all of the Company's Class B and Class D units are held by CEG.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Class B, Class C and Class D units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 2018</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2018</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2018</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2016</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Distributions per Class A and Class B unit</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Distributions per Class C and Class D unit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0.331</w:t>
            </w:r>
          </w:p>
        </w:tc>
        <w:tc>
          <w:tcPr>
            <w:tcW w:w="120" w:type="dxa"/>
            <w:vAlign w:val="bottom"/>
          </w:tcPr>
          <w:p>
            <w:pPr>
              <w:spacing w:after="0"/>
              <w:rPr>
                <w:sz w:val="21"/>
                <w:szCs w:val="21"/>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0.309</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0.298</w:t>
            </w:r>
          </w:p>
        </w:tc>
      </w:tr>
    </w:tbl>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12, 2019, the Company declared a quarterly distribution on its Class A, Class B, Class C and Class D units of $0.20 per unit payable on March 15, 2019.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6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 Selected Financial Data</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Company's historical selected financial data, which has been recast to include the Buckthorn Solar Drop Down Asset, as if the transfer had taken place at the beginning of the common control, which was November 9, 2016. The drop down is further described in </w:t>
      </w:r>
      <w:r>
        <w:rPr>
          <w:rFonts w:ascii="Times New Roman" w:cs="Times New Roman" w:eastAsia="Times New Roman" w:hAnsi="Times New Roman"/>
          <w:sz w:val="18"/>
          <w:szCs w:val="18"/>
          <w:color w:val="231F20"/>
        </w:rPr>
        <w:t>Item 15</w:t>
      </w: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Business Acquisitions</w:t>
      </w:r>
      <w:r>
        <w:rPr>
          <w:rFonts w:ascii="Times New Roman" w:cs="Times New Roman" w:eastAsia="Times New Roman" w:hAnsi="Times New Roman"/>
          <w:sz w:val="18"/>
          <w:szCs w:val="18"/>
          <w:color w:val="auto"/>
        </w:rPr>
        <w:t>, to the Consolidated Financial Statements.</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historical data should be read in conjunction with the Consolidated Financial Statements and the related notes thereto in Item 15 and Item 7,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Statement of Income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6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5"/>
        </w:trPr>
        <w:tc>
          <w:tcPr>
            <w:tcW w:w="6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844</w:t>
            </w:r>
          </w:p>
        </w:tc>
      </w:tr>
      <w:tr>
        <w:trPr>
          <w:trHeight w:val="265"/>
        </w:trPr>
        <w:tc>
          <w:tcPr>
            <w:tcW w:w="6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operations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r>
      <w:tr>
        <w:trPr>
          <w:trHeight w:val="265"/>
        </w:trPr>
        <w:tc>
          <w:tcPr>
            <w:tcW w:w="6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w:t>
            </w:r>
          </w:p>
        </w:tc>
      </w:tr>
      <w:tr>
        <w:trPr>
          <w:trHeight w:val="27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losses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7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65"/>
        </w:trPr>
        <w:tc>
          <w:tcPr>
            <w:tcW w:w="6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 costs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62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531</w:t>
            </w:r>
          </w:p>
        </w:tc>
      </w:tr>
      <w:tr>
        <w:trPr>
          <w:trHeight w:val="245"/>
        </w:trPr>
        <w:tc>
          <w:tcPr>
            <w:tcW w:w="6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w:t>
            </w:r>
          </w:p>
        </w:tc>
      </w:tr>
      <w:tr>
        <w:trPr>
          <w:trHeight w:val="275"/>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6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7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65"/>
        </w:trPr>
        <w:tc>
          <w:tcPr>
            <w:tcW w:w="6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7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50"/>
        </w:trPr>
        <w:tc>
          <w:tcPr>
            <w:tcW w:w="62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5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r>
      <w:tr>
        <w:trPr>
          <w:trHeight w:val="250"/>
        </w:trPr>
        <w:tc>
          <w:tcPr>
            <w:tcW w:w="6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r>
      <w:tr>
        <w:trPr>
          <w:trHeight w:val="242"/>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r>
      <w:tr>
        <w:trPr>
          <w:trHeight w:val="275"/>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r>
      <w:tr>
        <w:trPr>
          <w:trHeight w:val="265"/>
        </w:trPr>
        <w:tc>
          <w:tcPr>
            <w:tcW w:w="6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27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767</w:t>
            </w:r>
          </w:p>
        </w:tc>
      </w:tr>
      <w:tr>
        <w:trPr>
          <w:trHeight w:val="265"/>
        </w:trPr>
        <w:tc>
          <w:tcPr>
            <w:tcW w:w="6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Data (at period end):</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5"/>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w:t>
            </w:r>
          </w:p>
        </w:tc>
      </w:tr>
      <w:tr>
        <w:trPr>
          <w:trHeight w:val="265"/>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6,119</w:t>
            </w:r>
          </w:p>
        </w:tc>
      </w:tr>
      <w:tr>
        <w:trPr>
          <w:trHeight w:val="275"/>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8,930</w:t>
            </w:r>
          </w:p>
        </w:tc>
      </w:tr>
      <w:tr>
        <w:trPr>
          <w:trHeight w:val="265"/>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Long-term debt, including current maturities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5,828</w:t>
            </w:r>
          </w:p>
        </w:tc>
      </w:tr>
      <w:tr>
        <w:trPr>
          <w:trHeight w:val="275"/>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6,173</w:t>
            </w:r>
          </w:p>
        </w:tc>
      </w:tr>
      <w:tr>
        <w:trPr>
          <w:trHeight w:val="260"/>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members' equity</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2,757</w:t>
            </w: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92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Management's Discussion and Analysis of Financial Condition and the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analyzes the Company's historical financial condition and results of operations, which have been recast to include the Buckthorn Solar Drop Down Asset, as if the transfer had taken place at the beginning of the common control, which was November 9, 2016. As further discussed in Item 15 —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to the Consolidated Financial Statements, the purchases of these assets were accounted for in accordance with ASC 805-50</w:t>
      </w:r>
      <w:r>
        <w:rPr>
          <w:rFonts w:ascii="Times New Roman" w:cs="Times New Roman" w:eastAsia="Times New Roman" w:hAnsi="Times New Roman"/>
          <w:sz w:val="18"/>
          <w:szCs w:val="18"/>
          <w:i w:val="1"/>
          <w:iCs w:val="1"/>
          <w:color w:val="auto"/>
        </w:rPr>
        <w:t>, Business Combinations - Related Issues</w:t>
      </w:r>
      <w:r>
        <w:rPr>
          <w:rFonts w:ascii="Times New Roman" w:cs="Times New Roman" w:eastAsia="Times New Roman" w:hAnsi="Times New Roman"/>
          <w:sz w:val="18"/>
          <w:szCs w:val="18"/>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to the noncontrolling interest on the Company's consolidated balance sheet. In accordance with GAAP, the Company prepares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you read this discussion and analysis, refer to the Company's Consolidated Statements of Operations to this Form 10-K, which present the results of operations for the years ended December 31, 2018, 2017 and 2016. Also refer to Item 1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and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which include detailed discussions of various items impacting the Company's business, results of operations and financial condition.</w:t>
      </w: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1300" w:right="640" w:hanging="320"/>
        <w:spacing w:after="0" w:line="281" w:lineRule="auto"/>
        <w:tabs>
          <w:tab w:leader="none" w:pos="13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1300" w:right="180" w:hanging="320"/>
        <w:spacing w:after="0" w:line="281" w:lineRule="auto"/>
        <w:tabs>
          <w:tab w:leader="none" w:pos="13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231F20"/>
        </w:rPr>
      </w:pPr>
    </w:p>
    <w:p>
      <w:pPr>
        <w:ind w:left="1300" w:right="460" w:hanging="320"/>
        <w:spacing w:after="0" w:line="281" w:lineRule="auto"/>
        <w:tabs>
          <w:tab w:leader="none" w:pos="13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92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in and owner of modern, sustainable and long-term contracted assets across North America. The Company is sponsored by GIP through GIP's portfolio company, CEG.</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Company’s environmentally-sound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w:t>
      </w:r>
      <w:r>
        <w:rPr>
          <w:rFonts w:ascii="Times New Roman" w:cs="Times New Roman" w:eastAsia="Times New Roman" w:hAnsi="Times New Roman"/>
          <w:sz w:val="18"/>
          <w:szCs w:val="18"/>
          <w:color w:val="231F20"/>
        </w:rPr>
        <w:t>Nearly all</w:t>
      </w:r>
      <w:r>
        <w:rPr>
          <w:rFonts w:ascii="Times New Roman" w:cs="Times New Roman" w:eastAsia="Times New Roman" w:hAnsi="Times New Roman"/>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Times New Roman" w:cs="Times New Roman" w:eastAsia="Times New Roman" w:hAnsi="Times New Roman"/>
          <w:sz w:val="18"/>
          <w:szCs w:val="18"/>
          <w:color w:val="231F20"/>
        </w:rPr>
        <w:t>15 years as of December 31, 2018 based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CAFD. The 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Pacific Gas and Electric Company Bankruptcy</w:t>
      </w:r>
    </w:p>
    <w:p>
      <w:pPr>
        <w:spacing w:after="0" w:line="92" w:lineRule="exact"/>
        <w:rPr>
          <w:sz w:val="20"/>
          <w:szCs w:val="20"/>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2018, the Company had $1.5 billion of property, plant and equipment, net, $352 million investments in unconsolidated affiliates and $1.4 billion of long - term debt related to these facilities. The related subsidiaries of the Company have entered into financing agreements consisting of non-recourse project level debt and, in certain cases, non-recourse holding company debt. The PG&amp;E bankruptcy filing has triggered defaults under the PPAs with PG&amp;E and such related financing agreements. The Company is currently negotiating forbearance agreements with the lenders for each respective financing arrangement. The Company continues to assess the potential future impacts of the PG&amp;E bankruptcy filing as events occur, however, no impact to the Company’s immediate operating activities has occurred as of December 31, 2018.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Reduction</w:t>
      </w:r>
    </w:p>
    <w:p>
      <w:pPr>
        <w:spacing w:after="0" w:line="173" w:lineRule="exact"/>
        <w:rPr>
          <w:sz w:val="20"/>
          <w:szCs w:val="20"/>
          <w:color w:val="auto"/>
        </w:rPr>
      </w:pPr>
    </w:p>
    <w:p>
      <w:pPr>
        <w:jc w:val="both"/>
        <w:ind w:left="66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2019, and as a result of impacts related to the PG&amp;E Bankruptcy, Clearway, Inc.'s Board of Directors declared a quarterly dividend on Class A and Class C common stock of $0.20 per share payable on March 15, 2019, to stockholders of record as of March 1, 2019. This dividend is reduced from the last quarterly dividend paid in December 2018 of $0.331 per share. A similar decrease was made to the Company's distributions to unitholders. The Company will continue to assess the level of the distribution pending developments in the PG&amp;E bankruptcy, including the Company’s ability to receive unrestricted project distributions.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Forgoing Agua Caliente Drop Down</w:t>
      </w:r>
    </w:p>
    <w:p>
      <w:pPr>
        <w:spacing w:after="0" w:line="173"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November 1, 2018, NRG offered the Company the opportunity to acquire Agua Caliente Borrower 1 LLC, which owns a 35% interest in Agua Caliente, a 290 MW utility-scale solar project located in Dateland, Arizona with PG&amp;E as the project’s customer. Pursuant to the terms of the NRG ROFO Agreement, the Company elected to forgo the acquisition. The Company continues to own a 16% interest in the project through Agua Caliente Borrower 2 LLC.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Carlsbad Equity Backstop</w:t>
      </w:r>
    </w:p>
    <w:p>
      <w:pPr>
        <w:spacing w:after="0" w:line="173" w:lineRule="exact"/>
        <w:rPr>
          <w:sz w:val="20"/>
          <w:szCs w:val="20"/>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2018, the Company entered into an agreement with NRG to purchase 100% of the membership interests in Carlsbad Energy Holdings LLC, which indirectly owns the Carlsbad project, a 527 MW natural gas fired project in Carlsbad, CA, pursuant to the NRG ROFO Agreement. Following the COD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and other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the project will become a CEG ROFO Asset.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92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Strategic Sponsorship with GIP</w:t>
      </w:r>
    </w:p>
    <w:p>
      <w:pPr>
        <w:spacing w:after="0" w:line="173"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2018, NRG transferred its full ownership interest in the Company to CEG, the holder of NRG's renewable energy development and operations platform, and subsequently sold 100% of its interest in CEG to an affiliate of GIP. As a result of the GIP Transaction, GIP indirectly acquired a 45.2% economic interest in Clearway Energy LLC and a 55% voting interest in the Company as of August 31, 2018.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Asset Acquisitions</w:t>
      </w:r>
    </w:p>
    <w:p>
      <w:pPr>
        <w:spacing w:after="0" w:line="173"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2018, the Company entered into a binding agreement with CEG to acquire the effective equity interest in 80 MW of utility-scale solar projects located in Kawailoa and Oahu, Hawaii for approximately $28 million in cash consideration, subject to customary working capital and other adjustments, as well as the assumption of non-recourse debt of $169 million. The transaction is expected to close in summer of 2019.</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2018, the Company acquired 100% of NRG’s interests in Buckthorn Renewables, LLC, or Buckthorn Solar, which owned a 154 MW utility-scale solar generation project for cash consideration of $42 million, plus assumed non-recourse debt of approximately $132 million as of September 30, 2018. The Buckthorn Solar project sells power under a 25-year power purchase agreement to the City of Georgetown, Texas. On July 1, 2018, the project achieved commercial operation.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and Equity Activities</w:t>
      </w:r>
    </w:p>
    <w:p>
      <w:pPr>
        <w:spacing w:after="0" w:line="173"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122"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10, 2018, pursuant to the terms of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An aggregate principal amount of $109 million of the 2019 Convertible Notes and $243 million of the 2020 Convertible Notes were tendered on or prior to the expiration date of October 10, 2018 and accepted by the Company for purchase. After the expiration of the tender offer, $220 million aggregate principal amount of the 2019 Convertible Notes and $45 million aggregate principal amount of the 2020 Convertible Notes remained outstanding as of December 31, 2018.</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and January 2019, the Company completed a series of open market repurchases of 2019 Convertible Notes in aggregate principal amount of $66 million. The repurchases were funded through a partial repayment of the intercompany note between Clearway Energy Operating LLC and Clearway Energy, Inc. which was reduced by $66 million. During the first quarter of 2019, the Company paid off the remaining balance of aggregate principal amount of $220 million, which was funded through the payment of the remaining balance of the intercompany note due 2019 between Clearway Energy Operating LLC and Clearway Energy, Inc.</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2018, the Company received a notice of conversion with respect to $395,000 aggregate principal amount of the 2020 Convertible Notes. The Company elected, pursuant to the terms of the 2020 Convertible Notes indenture, to settle the conversion of such 2020 Convertible Notes in Class C common stock, par value $0.01 per share. The conversion of the 2020 Convertible Notes resulted in the issuance by the Company on October 12, 2018 of 14,363 shares of Class C common stock.</w:t>
      </w:r>
    </w:p>
    <w:p>
      <w:pPr>
        <w:spacing w:after="0" w:line="1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2018, Clearway Energy, Inc. issued and sold an additional 3,916,449 shares of Class C common stock for net proceeds of $75 million. The Company utilized the proceeds of the offering to acquire additional 3,916,449 Class C units of Clearway Energy LLC.</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2018, Clearway Energy Operating LLC issued $600 million of senior unsecured notes, or the 2025 Senior Notes. 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year ended December 31, 2018, Clearway Energy, Inc. issued 4,492,473 shares of Class C common stock under the ATM Program for gross proceeds of $79 million and incurred commission fees of $790 thousand, as described in </w:t>
      </w:r>
      <w:r>
        <w:rPr>
          <w:rFonts w:ascii="Times New Roman" w:cs="Times New Roman" w:eastAsia="Times New Roman" w:hAnsi="Times New Roman"/>
          <w:sz w:val="18"/>
          <w:szCs w:val="18"/>
          <w:i w:val="1"/>
          <w:iCs w:val="1"/>
          <w:color w:val="auto"/>
        </w:rPr>
        <w:t>Sources of Liquidity</w:t>
      </w:r>
      <w:r>
        <w:rPr>
          <w:rFonts w:ascii="Times New Roman" w:cs="Times New Roman" w:eastAsia="Times New Roman" w:hAnsi="Times New Roman"/>
          <w:sz w:val="18"/>
          <w:szCs w:val="18"/>
          <w:color w:val="auto"/>
        </w:rPr>
        <w:t xml:space="preserve"> in this Item 7.</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929"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Repowering Partnership</w:t>
      </w:r>
    </w:p>
    <w:p>
      <w:pPr>
        <w:spacing w:after="0" w:line="173"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August 30, 2018, Wind TE Holdco entered into a partnership with CEG in order to facilitate the repowering of the Elbow Creek and Wildorado facilities. As part of the repowering partnership, the Company bought out an existing tax equity partner of Wind TE Holdco for $19 million on January 2,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Activities</w:t>
      </w:r>
    </w:p>
    <w:p>
      <w:pPr>
        <w:spacing w:after="0" w:line="214" w:lineRule="exact"/>
        <w:rPr>
          <w:sz w:val="20"/>
          <w:szCs w:val="20"/>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19, 2018, upon reaching substantial completion, the Company acquired from NRG the UPMC Thermal Project for cash consideration of $84 million, subject to working capital adjustments. The Company had a payable of $4 million to NRG as of December 31,2018, $3 million of which was paid in January 2019 upon final completion of the project pursuant to the EPC agreement. The project adds 73 MWt of thermal equivalent capacity and 7.5 MW of emergency backup electrical capacity to the Company's portfolio. The transaction was accounted for as an asset acquisition and is reflected in the Company's Thermal segment.</w:t>
      </w:r>
    </w:p>
    <w:p>
      <w:pPr>
        <w:spacing w:after="0" w:line="12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further described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on June 19, 2018, Energy Center Minneapolis LLC, a subsidiary of the Company, entered into an amended and restated Thermal note purchase and private shelf agreement under which it authorized the issuance of the Series E Notes, Series F Notes, Series G Notes, and Series H Notes and established a private shelf facility for the further issuance of $40 million in notes.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2018, the Company entered into an Energy Services Agreement with Mylan LLC to supply chilled water, hot water and electricity through a dedicated combined heat and power facility to be constructed at Mylan's Caguas, Puerto Rico facility. The Company anticipates the project to total $11 million in capital expenditures and is expected to commence commercial operations in the second quarter of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Regulatory Matters</w:t>
      </w:r>
    </w:p>
    <w:p>
      <w:pPr>
        <w:spacing w:after="0" w:line="17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Details of environmental matters and regulatory matters are presented in Item 1 — </w:t>
      </w:r>
      <w:r>
        <w:rPr>
          <w:rFonts w:ascii="Times New Roman" w:cs="Times New Roman" w:eastAsia="Times New Roman" w:hAnsi="Times New Roman"/>
          <w:sz w:val="18"/>
          <w:szCs w:val="18"/>
          <w:i w:val="1"/>
          <w:iCs w:val="1"/>
          <w:color w:val="auto"/>
        </w:rPr>
        <w:t>Business, 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Details of some of this information relate to costs that may impact the Company's financial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or Matters Affecting Results of Operations and Future Business Performance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discussed above, the Company continues to assess the potential future impacts of the PG&amp;E bankruptcy filing as events occur. However, no impact to the Company’s immediate operating activities has occurred as of December 31, 2018.</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Wind and Solar Resource Availability</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93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2018 compared to 2017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28"/>
        </w:trPr>
        <w:tc>
          <w:tcPr>
            <w:tcW w:w="7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7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fuels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7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7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5"/>
        </w:trPr>
        <w:tc>
          <w:tcPr>
            <w:tcW w:w="74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26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23"/>
                <w:szCs w:val="23"/>
                <w:color w:val="auto"/>
              </w:rPr>
            </w:pPr>
          </w:p>
        </w:tc>
      </w:tr>
      <w:tr>
        <w:trPr>
          <w:trHeight w:val="269"/>
        </w:trPr>
        <w:tc>
          <w:tcPr>
            <w:tcW w:w="746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6,844</w:t>
            </w:r>
          </w:p>
        </w:tc>
        <w:tc>
          <w:tcPr>
            <w:tcW w:w="20" w:type="dxa"/>
            <w:vAlign w:val="bottom"/>
          </w:tcPr>
          <w:p>
            <w:pPr>
              <w:spacing w:after="0"/>
              <w:rPr>
                <w:sz w:val="23"/>
                <w:szCs w:val="23"/>
                <w:color w:val="auto"/>
              </w:rPr>
            </w:pPr>
          </w:p>
        </w:tc>
      </w:tr>
      <w:tr>
        <w:trPr>
          <w:trHeight w:val="243"/>
        </w:trPr>
        <w:tc>
          <w:tcPr>
            <w:tcW w:w="7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1,926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6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3"/>
                <w:szCs w:val="23"/>
                <w:color w:val="auto"/>
              </w:rPr>
            </w:pPr>
          </w:p>
        </w:tc>
      </w:tr>
      <w:tr>
        <w:trPr>
          <w:trHeight w:val="270"/>
        </w:trPr>
        <w:tc>
          <w:tcPr>
            <w:tcW w:w="746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5"/>
                <w:szCs w:val="25"/>
                <w:color w:val="auto"/>
                <w:vertAlign w:val="superscript"/>
              </w:rPr>
              <w:t>(a)(b)</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tcPr>
          <w:p>
            <w:pPr>
              <w:spacing w:after="0"/>
              <w:rPr>
                <w:sz w:val="23"/>
                <w:szCs w:val="23"/>
                <w:color w:val="auto"/>
              </w:rPr>
            </w:pPr>
          </w:p>
        </w:tc>
      </w:tr>
      <w:tr>
        <w:trPr>
          <w:trHeight w:val="243"/>
        </w:trPr>
        <w:tc>
          <w:tcPr>
            <w:tcW w:w="7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Volumes do not include the MWh generated/sold by the Company's equity method investments.</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Volumes generated are not sold as the Conventional facilities sell capacity rather than energy.</w:t>
      </w:r>
    </w:p>
    <w:p>
      <w:pPr>
        <w:spacing w:after="0" w:line="1" w:lineRule="exact"/>
        <w:rPr>
          <w:rFonts w:ascii="Times New Roman" w:cs="Times New Roman" w:eastAsia="Times New Roman" w:hAnsi="Times New Roman"/>
          <w:sz w:val="9"/>
          <w:szCs w:val="9"/>
          <w:color w:val="auto"/>
        </w:rPr>
      </w:pPr>
    </w:p>
    <w:p>
      <w:pPr>
        <w:ind w:firstLine="8"/>
        <w:spacing w:after="0" w:line="258" w:lineRule="auto"/>
        <w:tabs>
          <w:tab w:leader="none" w:pos="122"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MWh sold do not include 108 and 72 MWh generated by NRG Dover, a subsidiary of the Company, under the PPA with NRG Power Marketing during the years ended December 31, 2018 and December 31, 2017, respectively, as further described in Item 15 — Note 13,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to the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240" w:top="927" w:right="459" w:bottom="1440" w:gutter="0" w:footer="0" w:header="0"/>
        </w:sectPr>
      </w:pPr>
    </w:p>
    <w:bookmarkStart w:id="42" w:name="page43"/>
    <w:bookmarkEnd w:id="42"/>
    <w:p>
      <w:pPr>
        <w:ind w:right="3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years ended December 31, 2018 and 2017 </w:t>
      </w:r>
      <w:r>
        <w:rPr>
          <w:rFonts w:ascii="Times New Roman" w:cs="Times New Roman" w:eastAsia="Times New Roman" w:hAnsi="Times New Roman"/>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years ended December 31,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80" w:type="dxa"/>
            <w:vAlign w:val="bottom"/>
          </w:tcPr>
          <w:p>
            <w:pPr>
              <w:spacing w:after="0"/>
              <w:rPr>
                <w:sz w:val="16"/>
                <w:szCs w:val="16"/>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5"/>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1,049</w:t>
            </w:r>
          </w:p>
        </w:tc>
      </w:tr>
      <w:tr>
        <w:trPr>
          <w:trHeight w:val="257"/>
        </w:trPr>
        <w:tc>
          <w:tcPr>
            <w:tcW w:w="5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1,038</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w:t>
            </w:r>
          </w:p>
        </w:tc>
      </w:tr>
      <w:tr>
        <w:trPr>
          <w:trHeight w:val="23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Gross margin increased by $33 million during the year ended December 31, 2018, compared to the same period in 2017, primarily due to: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Pr>
          <w:p>
            <w:pPr>
              <w:spacing w:after="0"/>
              <w:rPr>
                <w:sz w:val="18"/>
                <w:szCs w:val="18"/>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 increase of $15 million related to higher wind generation, primarily at the Alta Wind projects, and higher insolation, and a</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gridSpan w:val="2"/>
            <w:vMerge w:val="continue"/>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$7 million increase due to the Buckthorn Solar project reaching COD in July 2018</w:t>
            </w:r>
          </w:p>
        </w:tc>
        <w:tc>
          <w:tcPr>
            <w:tcW w:w="0" w:type="dxa"/>
            <w:vAlign w:val="bottom"/>
          </w:tcPr>
          <w:p>
            <w:pPr>
              <w:spacing w:after="0"/>
              <w:rPr>
                <w:sz w:val="1"/>
                <w:szCs w:val="1"/>
                <w:color w:val="auto"/>
              </w:rPr>
            </w:pPr>
          </w:p>
        </w:tc>
      </w:tr>
      <w:tr>
        <w:trPr>
          <w:trHeight w:val="216"/>
        </w:trPr>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million increase due to the acquisition of the UPMC Thermal Project, which was completed in 2018, as well as an</w:t>
            </w:r>
          </w:p>
        </w:tc>
        <w:tc>
          <w:tcPr>
            <w:tcW w:w="0" w:type="dxa"/>
            <w:vAlign w:val="bottom"/>
          </w:tcPr>
          <w:p>
            <w:pPr>
              <w:spacing w:after="0"/>
              <w:rPr>
                <w:sz w:val="1"/>
                <w:szCs w:val="1"/>
                <w:color w:val="auto"/>
              </w:rPr>
            </w:pPr>
          </w:p>
        </w:tc>
      </w:tr>
      <w:tr>
        <w:trPr>
          <w:trHeight w:val="210"/>
        </w:trPr>
        <w:tc>
          <w:tcPr>
            <w:tcW w:w="16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of $5 million due to higher steam and chilled water usage across the portfolio in 2018</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Decrease due to an emission credit reimbursement in 2017</w:t>
            </w: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92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decreased by $8 million during the year ended December 31, 2018, compared to the same period in 2017, primarily due to:</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7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Reason for Increase (Decrease)</w:t>
            </w:r>
          </w:p>
        </w:tc>
      </w:tr>
      <w:tr>
        <w:trPr>
          <w:trHeight w:val="33"/>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r>
      <w:tr>
        <w:trPr>
          <w:trHeight w:val="231"/>
        </w:trPr>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3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Increase primarily driven by the Buckthorn Solar project being placed in service in July 2018</w:t>
            </w:r>
          </w:p>
        </w:tc>
      </w:tr>
      <w:tr>
        <w:trPr>
          <w:trHeight w:val="237"/>
        </w:trPr>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Lower outages in 2018 compared to 2017</w:t>
            </w:r>
          </w:p>
        </w:tc>
      </w:tr>
      <w:tr>
        <w:trPr>
          <w:trHeight w:val="33"/>
        </w:trPr>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r>
      <w:tr>
        <w:trPr>
          <w:trHeight w:val="269"/>
        </w:trPr>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7720" w:type="dxa"/>
            <w:vAlign w:val="bottom"/>
            <w:tcBorders>
              <w:bottom w:val="single" w:sz="8" w:color="CCEEFF"/>
            </w:tcBorders>
            <w:shd w:val="clear" w:color="auto" w:fill="CCEEFF"/>
          </w:tcPr>
          <w:p>
            <w:pPr>
              <w:spacing w:after="0"/>
              <w:rPr>
                <w:sz w:val="22"/>
                <w:szCs w:val="22"/>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recorded impairment losses of $44 million for the years ended December 31, 2017.</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120"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further discussion see Item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to the Consolidated Financial Statements, as well as in Critical Accounting Policies and Estimates in this Item 7.</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Transaction and Integration Costs</w:t>
      </w:r>
    </w:p>
    <w:p>
      <w:pPr>
        <w:spacing w:after="0" w:line="175"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Acquisition-related transaction and integration costs of $20 million during the year ended December 31, 2018, reflect fees paid to advisors and other costs associated with the GIP Transaction, as well as fees paid in connection with the acquisitions that took place in 2018, as further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216"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Company incurred $3 million of development cost expense during the year ended December 31, 2018. A total of $2 million of it was for the business development, personnel and benefits costs related to development projects within the Company's Thermal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Equity in earnings of unconsolidated affiliates increased by $3 million during the year ended December 31, 2018, compared to the same period in 2017, primarily due to income allocated to the Company in DGPV Holdco 3, which was formed in September 2017, partially offset by losses allocated to the company in RPV Holdco and the Utah Solar Portfolio. The HLBV method of accounting generally allocates more losses to the tax equity investors in the first several years after fund formation, and conversely, more income to the Company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92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remained flat during the year ended December 31, 2018, compared to the same period in 2017 due to:</w:t>
      </w:r>
    </w:p>
    <w:p>
      <w:pPr>
        <w:spacing w:after="0" w:line="394"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5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Normal amortization of project-level debt</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2025 Senior Notes, partially offset by lower interest expense for the intercompany notes between Clearway</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LLC and Clearway Energy, Inc., which were partially repaid in connection with the tender offer in October</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2018</w:t>
            </w:r>
          </w:p>
        </w:tc>
        <w:tc>
          <w:tcPr>
            <w:tcW w:w="52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mark-market of interest rate swaps</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Energy Center Minneapolis Series E, F, G, H Notes in June 2018 and additional interest expense for the</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Buckthorn Solar project-level debt</w:t>
            </w:r>
          </w:p>
        </w:tc>
        <w:tc>
          <w:tcPr>
            <w:tcW w:w="520" w:type="dxa"/>
            <w:vAlign w:val="bottom"/>
          </w:tcPr>
          <w:p>
            <w:pPr>
              <w:spacing w:after="0"/>
              <w:rPr>
                <w:sz w:val="18"/>
                <w:szCs w:val="18"/>
                <w:color w:val="auto"/>
              </w:rPr>
            </w:pP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8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the Company had a loss of $1 million attributable to CEG's economic interest in Repowering LLC and a loss of $104 million attributable to noncontrolling interests with respect to its tax equity financing arrangements and the application of the HLBV method.</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the Company had a loss of $75 million attributable to noncontrolling interests with respect to its tax equity financing arrangements and the application of the HLBV method, which was primarily related to the impairment losses described above.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927" w:right="23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2017 compared to 2016</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16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8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fuels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Emissions credit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5"/>
        </w:trPr>
        <w:tc>
          <w:tcPr>
            <w:tcW w:w="778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28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778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7,291</w:t>
            </w: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1,966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778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5"/>
                <w:szCs w:val="25"/>
                <w:color w:val="auto"/>
                <w:vertAlign w:val="superscript"/>
              </w:rPr>
              <w:t>(a)(b)</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1,697</w:t>
            </w:r>
          </w:p>
        </w:tc>
      </w:tr>
      <w:tr>
        <w:trPr>
          <w:trHeight w:val="243"/>
        </w:trPr>
        <w:tc>
          <w:tcPr>
            <w:tcW w:w="77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2"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Volumes do not include the MWh generated/sold by the Company's equity method investments.</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Volumes generated are not sold as the Conventional facilities sell capacity rather than energy.</w:t>
      </w:r>
    </w:p>
    <w:p>
      <w:pPr>
        <w:spacing w:after="0" w:line="1" w:lineRule="exact"/>
        <w:rPr>
          <w:rFonts w:ascii="Times New Roman" w:cs="Times New Roman" w:eastAsia="Times New Roman" w:hAnsi="Times New Roman"/>
          <w:sz w:val="9"/>
          <w:szCs w:val="9"/>
          <w:color w:val="auto"/>
        </w:rPr>
      </w:pPr>
    </w:p>
    <w:p>
      <w:pPr>
        <w:ind w:right="20" w:firstLine="8"/>
        <w:spacing w:after="0" w:line="258" w:lineRule="auto"/>
        <w:tabs>
          <w:tab w:leader="none" w:pos="122"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MWh sold do not include 72 and 204 MWh generated by NRG Dover, a subsidiary of the Company, under the PPA with NRG Power Marketing during the years ended December 31, 2017 and 2016,, respectively, as further described in Item 15 — Note 13,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to the Consolidated Financial Statements</w:t>
      </w:r>
      <w:r>
        <w:rPr>
          <w:rFonts w:ascii="Times New Roman" w:cs="Times New Roman" w:eastAsia="Times New Roman" w:hAnsi="Times New Roman"/>
          <w:sz w:val="14"/>
          <w:szCs w:val="14"/>
          <w:i w:val="1"/>
          <w:iCs w:val="1"/>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927" w:right="239" w:bottom="1440" w:gutter="0" w:footer="0" w:header="0"/>
        </w:sectPr>
      </w:pPr>
    </w:p>
    <w:bookmarkStart w:id="46" w:name="page47"/>
    <w:bookmarkEnd w:id="46"/>
    <w:p>
      <w:pPr>
        <w:ind w:right="3620"/>
        <w:spacing w:after="0" w:line="425"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years ended December 31, 2017 and 2016 </w:t>
      </w:r>
      <w:r>
        <w:rPr>
          <w:rFonts w:ascii="Times New Roman" w:cs="Times New Roman" w:eastAsia="Times New Roman" w:hAnsi="Times New Roman"/>
          <w:sz w:val="18"/>
          <w:szCs w:val="18"/>
          <w:b w:val="1"/>
          <w:bCs w:val="1"/>
          <w:i w:val="1"/>
          <w:iCs w:val="1"/>
          <w:color w:val="auto"/>
        </w:rPr>
        <w:t>Gross Margin</w:t>
      </w: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composition of gross margin, as well as the reconciliation to economic gross margin for the years ended December 31, 2017 and 2016: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5"/>
        </w:trPr>
        <w:tc>
          <w:tcPr>
            <w:tcW w:w="39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2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2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3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2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23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71"/>
        </w:trPr>
        <w:tc>
          <w:tcPr>
            <w:tcW w:w="39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2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Emissions credit amortization</w:t>
            </w:r>
          </w:p>
        </w:tc>
        <w:tc>
          <w:tcPr>
            <w:tcW w:w="2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3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2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Emissions credit amortization</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2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9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8" w:right="239" w:bottom="1440" w:gutter="0" w:footer="0" w:header="0"/>
        </w:sectPr>
      </w:pPr>
    </w:p>
    <w:bookmarkStart w:id="47" w:name="page48"/>
    <w:bookmarkEnd w:id="47"/>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Gross margin decreased by $22 million and economic gross margin decreased by $28 million during the year ended December 31, 2017, compared to the same period in 2016, primarily due to:</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(Decrease)Increase Reason for Increase (Decrease)</w:t>
            </w:r>
          </w:p>
        </w:tc>
        <w:tc>
          <w:tcPr>
            <w:tcW w:w="0" w:type="dxa"/>
            <w:vAlign w:val="bottom"/>
          </w:tcPr>
          <w:p>
            <w:pPr>
              <w:spacing w:after="0"/>
              <w:rPr>
                <w:sz w:val="1"/>
                <w:szCs w:val="1"/>
                <w:color w:val="auto"/>
              </w:rPr>
            </w:pPr>
          </w:p>
        </w:tc>
      </w:tr>
      <w:tr>
        <w:trPr>
          <w:trHeight w:val="33"/>
        </w:trPr>
        <w:tc>
          <w:tcPr>
            <w:tcW w:w="2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5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 7% decrease in volume generated by wind projects, due to lower wind resources at the Alta Wind and</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vMerge w:val="continue"/>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7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Wind TE Holdco projects</w:t>
            </w:r>
          </w:p>
        </w:tc>
        <w:tc>
          <w:tcPr>
            <w:tcW w:w="0" w:type="dxa"/>
            <w:vAlign w:val="bottom"/>
          </w:tcPr>
          <w:p>
            <w:pPr>
              <w:spacing w:after="0"/>
              <w:rPr>
                <w:sz w:val="1"/>
                <w:szCs w:val="1"/>
                <w:color w:val="auto"/>
              </w:rPr>
            </w:pPr>
          </w:p>
        </w:tc>
      </w:tr>
      <w:tr>
        <w:trPr>
          <w:trHeight w:val="216"/>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540" w:type="dxa"/>
            <w:vAlign w:val="bottom"/>
          </w:tcPr>
          <w:p>
            <w:pPr>
              <w:spacing w:after="0"/>
              <w:rPr>
                <w:sz w:val="18"/>
                <w:szCs w:val="18"/>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7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Higher revenues due to 2016 higher peak season forced outages, as well as additional start-up revenue from</w:t>
            </w:r>
          </w:p>
        </w:tc>
        <w:tc>
          <w:tcPr>
            <w:tcW w:w="0" w:type="dxa"/>
            <w:vAlign w:val="bottom"/>
          </w:tcPr>
          <w:p>
            <w:pPr>
              <w:spacing w:after="0"/>
              <w:rPr>
                <w:sz w:val="1"/>
                <w:szCs w:val="1"/>
                <w:color w:val="auto"/>
              </w:rPr>
            </w:pPr>
          </w:p>
        </w:tc>
      </w:tr>
      <w:tr>
        <w:trPr>
          <w:trHeight w:val="216"/>
        </w:trPr>
        <w:tc>
          <w:tcPr>
            <w:tcW w:w="26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Marsh Landing in 2017</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7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Emissions credit amortization of NOx allowances at Walnut Creek and El Segundo in compliance with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amendments to the Regional Clean Air Incentives Market program in 2016</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increased by $21 million during the year ended December 31, 2017, compared to the same period in 2016, due to the forced outages in the Conventional segment. The Company recorded higher operations and maintenance costs in Walnut Creek in connection with the Unit 1 forced outages that took place in April of 2017, including an increase of loss on disposal of assets of $12 million, as well as higher operations and maintenance costs in El Segundo due to the forced outages in Units 5 and Unit 6 that took place in January 2017.</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recorded impairment losses of $44 million and $185 million for the years ended December 31, 2017 and 2016, respectively.</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2016, as the Company updated its estimated cash flows in connection with the preparation and review of the Company's annual budget, it was determined that the cash flows for the Elbow Creek and Goat Wind projects and the Forward project were below the carrying value of the related assets, primarily driven by declining merchant power prices in post-contract periods, and that the assets were considered impaired. The Company recorded impairment losses of $117 million, $60 million and $6 million for Elbow Creek, Goat Wind, and Forward, respectively. The other impairments of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 ending December 31, 2016. For further discussion see Item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to the Consolidated Financial Statements, as well as in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in this Item 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increased by $11 million during the year ended December 31, 2017, compared to the same period in 2016, primarily due to higher earnings from the solar partnerships with NRG, as well as the acquisition of the Utah Solar Portfolio in November 2016, partially offset by lower earnings from the San Juan Mesa investment.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932"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increased by $22 million during the year ended December 31, 2017, compared to the same period in 2016, due to:</w:t>
      </w:r>
    </w:p>
    <w:p>
      <w:pPr>
        <w:spacing w:after="0" w:line="39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97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r>
      <w:tr>
        <w:trPr>
          <w:trHeight w:val="230"/>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Assumption of the Utah Solar Portfolio debt in connection with the March 2017 Drop Down Assets, as well as debt assumed in</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41"/>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connection with the Buckthorn Solar Drop Down Asset on March 30, 2018</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2026 Senior Notes in the third quarter of 2016</w:t>
            </w:r>
          </w:p>
        </w:tc>
        <w:tc>
          <w:tcPr>
            <w:tcW w:w="840" w:type="dxa"/>
            <w:vAlign w:val="bottom"/>
          </w:tcPr>
          <w:p>
            <w:pPr>
              <w:spacing w:after="0"/>
              <w:rPr>
                <w:sz w:val="21"/>
                <w:szCs w:val="21"/>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
        </w:trPr>
        <w:tc>
          <w:tcPr>
            <w:tcW w:w="9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5"/>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new project level debt in the second half of 2016 and 2017 partially offset by the lower principal balances on project level</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41"/>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in 2017</w:t>
            </w: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Higher borrowings in 2016 on the revolving credit facility</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7"/>
        </w:trPr>
        <w:tc>
          <w:tcPr>
            <w:tcW w:w="97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5"/>
        </w:trPr>
        <w:tc>
          <w:tcPr>
            <w:tcW w:w="9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the Company had a loss of $75 million attributable to noncontrolling interests with respect to its tax equity financing arrangements and the application of the HLBV method. For the year ended December 31, 2016, the Company had a loss of $111 million attributable to noncontrolling interests with respect to its tax equity financing arrangements and the application of the HLBV method, which was primarily related to the impairment losses described above.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92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8"/>
          <w:szCs w:val="18"/>
          <w:color w:val="000000"/>
        </w:rPr>
        <w:t>As a normal part of the Company's business, depending on market conditions,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and 2017, the Company's liquidity was approximately $1,037 million and $680 million, respectively, comprised of cash, restricted cash, and availability under the Company's revolving credit facility.</w:t>
      </w:r>
    </w:p>
    <w:p>
      <w:pPr>
        <w:spacing w:after="0" w:line="331"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Borders>
              <w:bottom w:val="single" w:sz="8" w:color="auto"/>
            </w:tcBorders>
          </w:tcPr>
          <w:p>
            <w:pPr>
              <w:spacing w:after="0"/>
              <w:rPr>
                <w:sz w:val="16"/>
                <w:szCs w:val="16"/>
                <w:color w:val="auto"/>
              </w:rPr>
            </w:pPr>
          </w:p>
        </w:tc>
      </w:tr>
      <w:tr>
        <w:trPr>
          <w:trHeight w:val="264"/>
        </w:trPr>
        <w:tc>
          <w:tcPr>
            <w:tcW w:w="78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17"/>
                <w:szCs w:val="17"/>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Clearway Energy LLC, excluding subsidiaries</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7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Subsidiaries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accounts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84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78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r>
      <w:tr>
        <w:trPr>
          <w:trHeight w:val="33"/>
        </w:trPr>
        <w:tc>
          <w:tcPr>
            <w:tcW w:w="78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r>
      <w:tr>
        <w:trPr>
          <w:trHeight w:val="20"/>
        </w:trPr>
        <w:tc>
          <w:tcPr>
            <w:tcW w:w="7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liquidity includes $176 million and $168 million of restricted cash balances as of December 31, 2018 and </w:t>
      </w:r>
      <w:r>
        <w:rPr>
          <w:rFonts w:ascii="Times New Roman" w:cs="Times New Roman" w:eastAsia="Times New Roman" w:hAnsi="Times New Roman"/>
          <w:sz w:val="18"/>
          <w:szCs w:val="18"/>
          <w:color w:val="000000"/>
        </w:rPr>
        <w:t>2017</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December 31, 2018, these restricted funds comprised of $84 million designated to fund operating expenses, approximately $26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designated for current debt service payments, and $32 million restricted for reserves including debt service, performance obligations and other reserves, as well as capital expenditures. The remaining $34 million is held in distribution reserve accounts, of which $31 million related to subsidiaries affected by the PG&amp;E bankruptcy as discussed further below and may not be distributed during the pendency of the bankruptcy.</w:t>
      </w:r>
    </w:p>
    <w:p>
      <w:pPr>
        <w:spacing w:after="0" w:line="1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the Company had no borrowings under the revolving credit facility and $41 million of letters of credit were outstanding under the revolving credit facility.</w:t>
      </w:r>
    </w:p>
    <w:p>
      <w:pPr>
        <w:spacing w:after="0" w:line="10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Subsequent to December 31, 2018, the Clearway Energy, Inc. repaid the remaining $220 million balance of the 2019 Convertible Notes. which was funded through the payment of the remaining balance of the intercompany note due 2019 between Clearway Energy Operating LLC and Clearway Energy, Inc., and acquired the Class A interest in Wind TE Holdco for $19 million, as further described below in Uses of Liquidity.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August 2018 and January 2019, the Company completed a series of open market repurchases of 2019 Convertible Notes in aggregate principal amount of $66 million. The 2019 Convertible Notes matured on February 1, 2019 and the Company paid off the remaining balance of an aggregate principal amount of $170 million </w:t>
      </w:r>
      <w:r>
        <w:rPr>
          <w:rFonts w:ascii="Times New Roman" w:cs="Times New Roman" w:eastAsia="Times New Roman" w:hAnsi="Times New Roman"/>
          <w:sz w:val="18"/>
          <w:szCs w:val="18"/>
          <w:color w:val="231F20"/>
        </w:rPr>
        <w:t>as further described in Item 15</w:t>
      </w:r>
      <w:r>
        <w:rPr>
          <w:rFonts w:ascii="Times New Roman" w:cs="Times New Roman" w:eastAsia="Times New Roman" w:hAnsi="Times New Roman"/>
          <w:sz w:val="18"/>
          <w:szCs w:val="18"/>
          <w:color w:val="auto"/>
        </w:rPr>
        <w:t xml:space="preserve"> — Note 10</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231F20"/>
        </w:rPr>
        <w:t>, to the Consolidated Financial Statements.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is an event of default under the related financing agreements which caused uncertainty around the timing of when certain project-level cash distributions will be available to the Company. As of December 31, 2018, all project level cash balances for these subsidiaries were classified as restricted cash.</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927" w:right="239" w:bottom="1440" w:gutter="0" w:footer="0" w:header="0"/>
        </w:sectPr>
      </w:pPr>
    </w:p>
    <w:bookmarkStart w:id="50" w:name="page51"/>
    <w:bookmarkEnd w:id="50"/>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Clearway Energy Group, LLC.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2018, the Company's 2024 Senior Notes, 2025 Senior Notes and 2026 Senior Notes are rated BB by S&amp;P and Ba2 by Moody's.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S&amp;P and Moody's reaffirmed the ratings outlook as stable on February 25, 2019 and on February 15, 2019,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borrowings under new and existing financing arrangements and the issuance of additional equity and debt securities by Clearway Energy, Inc. or the Company as appropriate given market conditions. As described in </w:t>
      </w:r>
      <w:r>
        <w:rPr>
          <w:rFonts w:ascii="Times New Roman" w:cs="Times New Roman" w:eastAsia="Times New Roman" w:hAnsi="Times New Roman"/>
          <w:sz w:val="18"/>
          <w:szCs w:val="18"/>
          <w:color w:val="000000"/>
        </w:rPr>
        <w:t>Item 15— 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to the Consolidated Financial Statements, and above in </w:t>
      </w:r>
      <w:r>
        <w:rPr>
          <w:rFonts w:ascii="Times New Roman" w:cs="Times New Roman" w:eastAsia="Times New Roman" w:hAnsi="Times New Roman"/>
          <w:sz w:val="18"/>
          <w:szCs w:val="18"/>
          <w:i w:val="1"/>
          <w:iCs w:val="1"/>
          <w:color w:val="000000"/>
        </w:rPr>
        <w:t>Significant Events During the Year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December 31, 2018, </w:t>
      </w:r>
      <w:r>
        <w:rPr>
          <w:rFonts w:ascii="Times New Roman" w:cs="Times New Roman" w:eastAsia="Times New Roman" w:hAnsi="Times New Roman"/>
          <w:sz w:val="18"/>
          <w:szCs w:val="18"/>
          <w:color w:val="231F20"/>
        </w:rPr>
        <w:t>the Company's financing arrangements consist of Clearway Energy, Inc.'s equity offering of Class C common stock on September 27,</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2018, corporate level debt, which includes Senior Notes, intercompany borrowings with Clearway Energy, Inc., and the revolving credit facility; the ATM Program; and project-level financings for its various assets.</w:t>
      </w:r>
    </w:p>
    <w:p>
      <w:pPr>
        <w:spacing w:after="0" w:line="13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2025 Senior Notes </w:t>
      </w:r>
      <w:r>
        <w:rPr>
          <w:rFonts w:ascii="Times New Roman" w:cs="Times New Roman" w:eastAsia="Times New Roman" w:hAnsi="Times New Roman"/>
          <w:sz w:val="18"/>
          <w:szCs w:val="18"/>
          <w:color w:val="auto"/>
        </w:rPr>
        <w:t>— On October 1, 2018, Clearway Energy Operating LLC issued $600 million of senior unsecured notes, or the 2025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2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2018 Equity Offering </w:t>
      </w:r>
      <w:r>
        <w:rPr>
          <w:rFonts w:ascii="Times New Roman" w:cs="Times New Roman" w:eastAsia="Times New Roman" w:hAnsi="Times New Roman"/>
          <w:sz w:val="18"/>
          <w:szCs w:val="18"/>
          <w:color w:val="auto"/>
        </w:rPr>
        <w:t>— On September 27, 2018, Clearway Energy, Inc. issued and sold an additional 3,916,449 shares of Class C common stock for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$75 million. The Company utilized the proceeds of the offering to acquire 3,916,449 Class C units of Clearway Energy LLC.</w:t>
      </w:r>
    </w:p>
    <w:p>
      <w:pPr>
        <w:spacing w:after="0" w:line="104"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 On April 30, 2018, the Company closed on the refinancing of the revolving credit facility, which extended the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facility to April 28, 2023 and decreased the Company's overall cost of borrowing. The facility will continue to be used for general corporate purposes including financing of future acquisitions and posting letters of credit.</w:t>
      </w:r>
    </w:p>
    <w:p>
      <w:pPr>
        <w:spacing w:after="0" w:line="12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ATM Sales </w:t>
      </w:r>
      <w:r>
        <w:rPr>
          <w:rFonts w:ascii="Times New Roman" w:cs="Times New Roman" w:eastAsia="Times New Roman" w:hAnsi="Times New Roman"/>
          <w:sz w:val="18"/>
          <w:szCs w:val="18"/>
          <w:color w:val="auto"/>
        </w:rPr>
        <w:t>— Clearway Energy, Inc. sold a total of 4,492,473 of Class C common stock under the ATM program for gross proceeds of $79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2018. Clearway Energy, Inc. incurred commission fees of $790 thousand during the period ended December 31, 2018. Clearway Energy, Inc. used the net proceeds to acquire 4,492,473 Class C units from Clearway Energy LLC.</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February 28, 2019, approximately $36 million of Class C common stock remains available for issuance under the ATM Program.</w:t>
      </w:r>
    </w:p>
    <w:p>
      <w:pPr>
        <w:spacing w:after="0" w:line="16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Thermal Notes </w:t>
      </w:r>
      <w:r>
        <w:rPr>
          <w:rFonts w:ascii="Times New Roman" w:cs="Times New Roman" w:eastAsia="Times New Roman" w:hAnsi="Times New Roman"/>
          <w:sz w:val="18"/>
          <w:szCs w:val="18"/>
          <w:color w:val="auto"/>
        </w:rPr>
        <w:t>— On June 19, 2018, Energy Center Minneapolis LLC, a subsidiary of the Company, completed the issuances of 4.80% Series 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June 15, 2033, or the Series E Notes, and 4.60% Series F notes due March 15, 2033, or the Series F Notes, for gross proceeds of $80 million. The proceeds of the Series E Notes and Series F Notes were utilized to finance the acquisition of the UPMC Thermal Project. Also, on June 19, 2018, Energy Center Minneapolis LLC issued $83 million of 5.90% Series G notes due June 15, 2035, or the Series G Notes, which were utilized to refinance its $83 million of outstanding Series C notes. Energy Center Minneapolis LLC also issued 4.83% Series H notes due June 15, 2037, or the Series H Notes for proceeds of $40 million and established a private shelf facility for the future issuance of $40 million in additional notes.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932"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Item 15 — 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to the Consolidated Financial Statements; (ii) capital expenditures; (iii) acquisitions and investments; and (iv) distributions.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Debt Service Obligations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payments on debt as of December 31, 2018, are due in the following periods: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There-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after</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 affiliate, due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Long-term debt - affiliate, due 2020</w:t>
            </w:r>
          </w:p>
        </w:tc>
        <w:tc>
          <w:tcPr>
            <w:tcW w:w="1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 Senior Notes, due 2024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 Senior Notes, due 2025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 Senior Notes, due 2026</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r>
      <w:tr>
        <w:trPr>
          <w:trHeight w:val="217"/>
        </w:trPr>
        <w:tc>
          <w:tcPr>
            <w:tcW w:w="4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Corporate-level debt</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1,709</w:t>
            </w:r>
          </w:p>
        </w:tc>
      </w:tr>
      <w:tr>
        <w:trPr>
          <w:trHeight w:val="3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Agua Caliente Borrower 2, due 2038</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Alpine, due 2022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Alta Wind I - V lease financing arrangements, due 2034 and 2035</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CVSR, due 2037</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 Center Minneapolis Series C, D, E, F, G, H Notes, due 2025-2037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Kansas South, due 2030</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Laredo Ridge, due 2028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Marsh Landing, due 2023</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Trent Wind, due 2020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Tapestry, due 2021</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Portfolio, due 2022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Viento, due 2023</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Walnut Creek, due 2023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w:t>
            </w:r>
          </w:p>
        </w:tc>
      </w:tr>
      <w:tr>
        <w:trPr>
          <w:trHeight w:val="237"/>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w:t>
            </w:r>
          </w:p>
        </w:tc>
      </w:tr>
      <w:tr>
        <w:trPr>
          <w:trHeight w:val="3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4,329</w:t>
            </w:r>
          </w:p>
        </w:tc>
      </w:tr>
      <w:tr>
        <w:trPr>
          <w:trHeight w:val="244"/>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6,038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For the years ended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2017, and 2016, the Company used approximately $83 million, $190 million, and $20 million, respectively, to fund capital expenditures, including maintenance </w:t>
      </w:r>
      <w:r>
        <w:rPr>
          <w:rFonts w:ascii="Times New Roman" w:cs="Times New Roman" w:eastAsia="Times New Roman" w:hAnsi="Times New Roman"/>
          <w:sz w:val="18"/>
          <w:szCs w:val="18"/>
          <w:color w:val="000000"/>
        </w:rPr>
        <w:t>capital</w:t>
      </w:r>
      <w:r>
        <w:rPr>
          <w:rFonts w:ascii="Times New Roman" w:cs="Times New Roman" w:eastAsia="Times New Roman" w:hAnsi="Times New Roman"/>
          <w:sz w:val="18"/>
          <w:szCs w:val="18"/>
          <w:color w:val="231F20"/>
        </w:rPr>
        <w:t xml:space="preserve"> expenditures </w:t>
      </w:r>
      <w:r>
        <w:rPr>
          <w:rFonts w:ascii="Times New Roman" w:cs="Times New Roman" w:eastAsia="Times New Roman" w:hAnsi="Times New Roman"/>
          <w:sz w:val="18"/>
          <w:szCs w:val="18"/>
          <w:color w:val="000000"/>
        </w:rPr>
        <w:t>of $36 million, $27 million and $16 million, respectively.</w:t>
      </w:r>
      <w:r>
        <w:rPr>
          <w:rFonts w:ascii="Times New Roman" w:cs="Times New Roman" w:eastAsia="Times New Roman" w:hAnsi="Times New Roman"/>
          <w:sz w:val="18"/>
          <w:szCs w:val="18"/>
          <w:color w:val="231F20"/>
        </w:rPr>
        <w:t xml:space="preserve"> Growth capital expenditures in 2018 include $33 million </w:t>
      </w:r>
      <w:r>
        <w:rPr>
          <w:rFonts w:ascii="Times New Roman" w:cs="Times New Roman" w:eastAsia="Times New Roman" w:hAnsi="Times New Roman"/>
          <w:sz w:val="18"/>
          <w:szCs w:val="18"/>
          <w:color w:val="000000"/>
        </w:rPr>
        <w:t>in the Renewables segment in connection with the construction of Buckthorn Solar Drop Down Asset, of which $10 million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incurred by NRG during the construction of Buckthorn Solar prior to its acquisition by the Company on March 30, 2018, as described below. Growth capital expenditures in 2017 primarily relate to $159 million incurred by NRG during the construction of Buckthorn Solar prior to its acquisition by the Company. Growth capital expenditures in 2016 primarily related to the servicing new customers in district energy centers within the Thermal segment. </w:t>
      </w:r>
      <w:r>
        <w:rPr>
          <w:rFonts w:ascii="Times New Roman" w:cs="Times New Roman" w:eastAsia="Times New Roman" w:hAnsi="Times New Roman"/>
          <w:sz w:val="18"/>
          <w:szCs w:val="18"/>
          <w:color w:val="231F20"/>
        </w:rPr>
        <w:t>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develops annual capital spending plans based on projected requirements for maintenance and growth capital. The Company estimates $30 million of maintenance expenditures for 2019. </w:t>
      </w:r>
      <w:r>
        <w:rPr>
          <w:rFonts w:ascii="Times New Roman" w:cs="Times New Roman" w:eastAsia="Times New Roman" w:hAnsi="Times New Roman"/>
          <w:sz w:val="18"/>
          <w:szCs w:val="18"/>
          <w:color w:val="000000"/>
        </w:rPr>
        <w:t>These estimates are subject to continuing review and adjustment and actual capital expenditures may vary from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estimates.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927"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Acquisitions and Investments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18"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 2019, the Company bought out 100% of Class A membership interest from the TE Investor,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$19 million, as further described in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UPMC Thermal Project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 Thermal Project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consideration of $84 million, subject to working capital adjustments. The Company had a payable of $4 million to NRG as of December 31,2018, $3 million of which was paid in January 2019 upon final completion of the project pursuant to the EPC agreement. The project adds 73 MWt of thermal equivalent capacity and 7.5 MW of emergency backup electrical capacity to the Company's portfolio. The transaction was accounted for as an asset acquisition and is reflected in the Company's Thermal segment.</w:t>
      </w:r>
    </w:p>
    <w:p>
      <w:pPr>
        <w:spacing w:after="0" w:line="126"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Central CA Fuel Cell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 FuelCell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11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 154 MW construction-stage utility-scale solar generation project, located in Texas, or the Buckthorn Solar Drop Down Asset, for cash consideration of approximately $42 million, subject to working capital adjustments. The project sells power under a 25-year PPA to the City of Georgetown, Texas which commenced in July 2018.</w:t>
      </w:r>
    </w:p>
    <w:p>
      <w:pPr>
        <w:spacing w:after="0" w:line="1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Carlsbad Project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6, 2018, the Company entered into an agreement with NRG to purchase 100% of the membership interests in Carlsbad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Holdings LLC, which indirectly owns the Carlsbad project, a 527 MW natural gas fired project in Carlsbad, CA, pursuant to the NRG ROFO Agreement. Following the COD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and other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the project will become a CEG ROFO Asset.</w:t>
      </w:r>
    </w:p>
    <w:p>
      <w:pPr>
        <w:spacing w:after="0" w:line="131"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Hawaii Solar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31, 2018, the Company entered into a binding agreement with CEG to acquire 80 MW of utility-scale solar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Kawailoa and Oahu, Hawaii for cash consideration of $28 million, subject to customary working capital and other adjustments, as well as the assumption of non-recourse debt of $169 million. The transaction is expected to close in summer of 2019.</w:t>
      </w:r>
    </w:p>
    <w:p>
      <w:pPr>
        <w:spacing w:after="0" w:line="11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Mylan Pharmaceuticals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November 1, 2018, the Company entered into an Energy Services Agreement with Mylan LLC to supply chilled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 water and electricity through a dedicated combined heat and power facility to be constructed at Mylan's Caguas, Puerto Rico facility. The Company incurred approximately $7 million in construction work in progress costs and anticipates the project to total $11 million in capital expenditures. The project is expected to commence commercial operations in the second quarter of 2019.</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Investment Partnership with CEG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of January 1, 2018 to December 31, 2018, the Company invested $34 million in distributed generation partnerships with CEG.</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Open Market Repurchases and Tender Offer</w:t>
      </w:r>
    </w:p>
    <w:p>
      <w:pPr>
        <w:spacing w:after="0" w:line="335"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In August 2018, Clearway Energy, Inc. repurchased an aggregate principal amount of $16 million of the 2019 Convertible Notes in open market transactions. The repurchases were funded through a repayment of the intercompany note between Clearway Operating LLC and Clearway Energy, Inc. which was reduced by $16 million.</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September 10, 2018, pursuant to the 2019 Convertible Notes and the 2020 Convertible Notes indentures, Clearway Energy, Inc. delivered to the holders of the Convertible Notes a fundamental change notice and offer to repurchase any and all of the 2019 Convertible Notes and 2020 Convertible Notes for cash at a price equal to 100% of the principal amount of the Convertible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928" w:right="2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Notes plus any accrued and unpaid interest. The tender offer expired on October 9, 2018. An aggregate principal amount of $109 million of the 2019 Convertible Notes and $243 million of the 2020 Convertible Notes were tendered on or prior to the expiration date and accepted by Clearway Energy, Inc. for purchase. After the expiration of the tender offer, $220 million aggregate principal amount of the 2019 Convertible Notes and $45 million aggregate principal amount of the 2020 Convertible Notes remained outstanding as of December 31, 2018.</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Subsequent to December 31, 2018, Clearway Energy, Inc. repaid the remaining balance of the 2019 Convertible Notes, which was funded through the payment of the remaining balance of the intercompany note due 2019 between Clearway Energy Operating LLC and Clearway Energy,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Distributions to Clearway Energy, Inc. and CEG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Distributions on units </w:t>
      </w:r>
      <w:r>
        <w:rPr>
          <w:rFonts w:ascii="Times New Roman" w:cs="Times New Roman" w:eastAsia="Times New Roman" w:hAnsi="Times New Roman"/>
          <w:sz w:val="18"/>
          <w:szCs w:val="18"/>
          <w:color w:val="000000"/>
        </w:rPr>
        <w:t>are subject to available capital, market conditions, and compliance with associated laws, regulations and other contractual obligations.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expects that, based on current circumstances, comparable distributions will continue to be paid in the foreseeable future. The Company will continue to evaluate its capital allocation approach during the pendency of the PG&amp;E Bankruptcy.</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Class B, Class C and Class D units during the year ended December 31, 2018:</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 2018</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2018</w:t>
            </w:r>
          </w:p>
        </w:tc>
        <w:tc>
          <w:tcPr>
            <w:tcW w:w="16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2018</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A and Class B unit</w:t>
            </w: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0.298</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Class C and Class D unit</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0.331</w:t>
            </w:r>
          </w:p>
        </w:tc>
        <w:tc>
          <w:tcPr>
            <w:tcW w:w="10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0.309</w:t>
            </w:r>
          </w:p>
        </w:tc>
        <w:tc>
          <w:tcPr>
            <w:tcW w:w="120" w:type="dxa"/>
            <w:vAlign w:val="bottom"/>
          </w:tcPr>
          <w:p>
            <w:pPr>
              <w:spacing w:after="0"/>
              <w:rPr>
                <w:sz w:val="21"/>
                <w:szCs w:val="21"/>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0.298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February 12, 2019, the Company declared a quarterly distribution on its Class A, Class B, Class C and Class D units of $0.20 per unit payable on March 15, 2019.</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932"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Compared to Year Ended December 31, 2017</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year ended December 31, 2018, compared to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21"/>
                <w:szCs w:val="21"/>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432"/>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operating income adjusted for non-cash items driven in 2018 compared to 2017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103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Decrease in working capital driven primarily by the timing of accounts receivable collections, paying down accounts payable - affiliate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balances to NRG during 2018, as well payments made to reduce certain Alta Wind projects letters of credit</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 distributions from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3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year reflects the Buckthorn Solar Drop Down Asset and UPMC Thermal Project compared to the payment made for the March</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 August 2017, and November 2017 Drop Down Assets in 2017</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Lower net investment in unconsolidated affiliates primarily in the DGPV partnerships with CEG during 2018</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to acquire Central CA Fuel Cell 1, LLC in 2018</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Lower capital expenditures driven by prior year capital expenditures for the Buckthorn Solar project</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the refinancing of the Thermal note purchase and private shelf agreement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5"/>
        </w:trPr>
        <w:tc>
          <w:tcPr>
            <w:tcW w:w="9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proceeds from corporate-level debt driven by the issuance of the 2025 Senior Notes, partially offset by the repayments of the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intercompany notes with Clearway Energy, Inc.</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1034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3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borrowings for the Buckthorn Solar project in 2017, as well as higher project level debt amortization in 2018 compared to</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Net payments of $55 million under the revolving credit facility in 2018 compared to proceeds of $55 million in 2017</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1034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3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net contributions from noncontrolling interests primarily for the tax equity arrangements for the Buckthorn Solar project which</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closed in 2018</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103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Lower net payments of distributions to NRG for the Drop Down Assets relating to the pre-acquisition period in 2018 compared to 2017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92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Higher net proceeds from the Clearway Energy, Inc. common stock offering under the ATM Program in 2018 compared to 2017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the Class C Common stock offering in September 2018</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distributions paid to unit holders</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Compared to Year Ended December 31, 2016</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year ended December 31, 2017, compared to 2016: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operating income adjusted for non-cash items driven by primarily by lower revenues in the Renewables segment in 2017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compared to 2016</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3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Decrease in working capital driven primarily by the timing of accounts receivable collections, and inventory build up in the Renewables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segment in connection with the transition to self operations, as well as higher prepaid expenses in 2017 compared to 2016</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160" w:type="dxa"/>
            <w:vAlign w:val="bottom"/>
            <w:gridSpan w:val="7"/>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38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Higher distributions from unconsolidated affiliates primarily due to the acquisition of the Utah Solar Portfolio, which was acquired by the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 in March 2017 and by NRG in November 2016</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for the acquisition of the March 2017, August 2017, and November 2017 Drop Down Assets in 2017 compared to the CVSR</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Drop Down in 2016</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8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Higher return of investment from unconsolidated affiliates combined with lower investments primarily in the DGPV Holdco entities in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380" w:type="dxa"/>
            <w:vAlign w:val="bottom"/>
            <w:gridSpan w:val="9"/>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380" w:type="dxa"/>
            <w:vAlign w:val="bottom"/>
            <w:tcBorders>
              <w:bottom w:val="single" w:sz="8" w:color="CCEEFF"/>
            </w:tcBorders>
            <w:gridSpan w:val="9"/>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Higher capital expenditures primarily related to maintenance capital expenditures at Walnut Creek as a result of the forced outages in 2017</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8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Capital expenditures incurred by NRG in connection with construction of the Buckthorn Solar Drop Down Asset in 2017, which was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acquired by the Company on March 30, 2018</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gridSpan w:val="6"/>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Higher proceeds in 2017 in the Conventional segment compared to the insurance proceeds received in 2016 in the Renewables segment</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net cash provided by financing activities were driven by: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Lower net payments of distributions to NRG for the Drop Down Assets relating to the pre-acquisition period in 2017 compared to 2016</w:t>
            </w: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Increase in net contributions from noncontrolling interests due to higher production-based payments in 2017 compared to 2016</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gridSpan w:val="6"/>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9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Clearway Energy, Inc. Class C common stock offerings under the ATM Program, net of underwriting discounts and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commissions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 in distributions paid to unit holders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gridSpan w:val="5"/>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repayments of $306 million under the revolving credit facility in 2016 compared to proceeds of $66 million in 2017</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3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Higher borrowing in 2016, primarily related to the 2026 Senior Notes and CVSR Holdco Notes due 2037, as well as higher repayments of</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in 2017, partially offset by borrowings at Buckthorn Solar Drop Down Asset in 2017</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56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6"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4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December 31, 2018, the Company has several investments with an ownership interest percentage of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less in energy and energy-related entities that are accounted for under the equity method. DGPV Holdco 1 LLC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DGPV Holdco 2 LLC, DGPV Holdco 3 LLC, RPV Holdco 1 LLC and GenConn are variable interest entities for which the Company is not the primary beneficiary. The Company's pro-rata share of non-recourse debt held by unconsolidated affiliates was approximately $878 million as of December 31, 2018. This indebtedness may restrict the ability of these subsidiaries to issue dividends or distributions to the Company. See also Item 15 — Note 5,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Consolidated Financial Statements.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10</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and Note 14,</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 to the Consolidated Financial Statements for additional discussion.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By Remaining Maturity at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Cash Obligations</w:t>
            </w:r>
          </w:p>
        </w:tc>
        <w:tc>
          <w:tcPr>
            <w:tcW w:w="26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0" w:type="dxa"/>
            <w:vAlign w:val="bottom"/>
          </w:tcPr>
          <w:p>
            <w:pPr>
              <w:spacing w:after="0"/>
              <w:rPr>
                <w:sz w:val="12"/>
                <w:szCs w:val="12"/>
                <w:color w:val="auto"/>
              </w:rPr>
            </w:pPr>
          </w:p>
        </w:tc>
        <w:tc>
          <w:tcPr>
            <w:tcW w:w="9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32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Over</w:t>
            </w: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0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estimated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Fuel purchase and transportation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86"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Includes water right agreements, service and maintenance agreements, and LTSA commitments.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Item 15 — 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Activity (Losses)/Gains</w:t>
            </w: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December 31, 2017</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December 31, 2018</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7"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2018</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 (Losses)/Gains</w:t>
            </w:r>
          </w:p>
        </w:tc>
        <w:tc>
          <w:tcPr>
            <w:tcW w:w="13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3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Total Fair</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3 Years to 5 Years</w:t>
            </w:r>
          </w:p>
        </w:tc>
        <w:tc>
          <w:tcPr>
            <w:tcW w:w="1380" w:type="dxa"/>
            <w:vAlign w:val="bottom"/>
          </w:tcPr>
          <w:p>
            <w:pPr>
              <w:jc w:val="center"/>
              <w:ind w:right="82"/>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-Commodity Price Risk,</w:t>
      </w:r>
      <w:r>
        <w:rPr>
          <w:rFonts w:ascii="Times New Roman" w:cs="Times New Roman" w:eastAsia="Times New Roman" w:hAnsi="Times New Roman"/>
          <w:sz w:val="18"/>
          <w:szCs w:val="18"/>
          <w:color w:val="231F20"/>
        </w:rPr>
        <w:t xml:space="preserve"> NRG, on behalf of the </w:t>
      </w:r>
      <w:r>
        <w:rPr>
          <w:rFonts w:ascii="Times New Roman" w:cs="Times New Roman" w:eastAsia="Times New Roman" w:hAnsi="Times New Roman"/>
          <w:sz w:val="18"/>
          <w:szCs w:val="18"/>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summarized in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Accounting Policy</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Judgments/Uncertainties Affecting Application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9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 Lived Assets</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Recoverability of investments through future operations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and political environments and requirements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useful lives of assets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Operational limitations and environmental obligations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Estimates of future cash flows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Estimates of fair value</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about triggering events</w:t>
            </w:r>
          </w:p>
        </w:tc>
      </w:tr>
    </w:tbl>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Assets for Impairment and Other-Than-Temporary Decline in Value</w:t>
      </w:r>
    </w:p>
    <w:p>
      <w:pPr>
        <w:spacing w:after="0" w:line="173"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or ASC 360, property, plant and equipment and certain intangible assets are evaluated for impairment whenever indicators of impairment exist. Examples of such indicators or events are:</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decrease in the market price of a long-lived asset;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change in the manner an asset is being used or its physical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climate;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55" w:right="239" w:bottom="1440" w:gutter="0" w:footer="0" w:header="0"/>
        </w:sectPr>
      </w:pPr>
    </w:p>
    <w:bookmarkStart w:id="58" w:name="page59"/>
    <w:bookmarkEnd w:id="58"/>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Accumulation of costs significantly in excess of the amount originally expected for the construction or acquisition of an asset;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Current-period loss combined with a history of losses or the projection of future losses;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3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106"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recorded certain long-lived asset impairments in 2017 and 2016, as described in Item 15 —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to the Consolidated Financial Statements, with respect to several wind projects.</w:t>
      </w:r>
    </w:p>
    <w:p>
      <w:pPr>
        <w:spacing w:after="0" w:line="1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2017, as the Company updated its estimated cash flows in connection with the preparation and review of the Company's annual budget, the Company determined that the cash flows for the Elbow Creek and Forward facilities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8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Company is also required to evaluate its equity method investments to determine whether or not they are impaired. ASC 323,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and Joint Ventures</w:t>
      </w:r>
      <w:r>
        <w:rPr>
          <w:rFonts w:ascii="Times New Roman" w:cs="Times New Roman" w:eastAsia="Times New Roman" w:hAnsi="Times New Roman"/>
          <w:sz w:val="18"/>
          <w:szCs w:val="18"/>
          <w:color w:val="auto"/>
        </w:rPr>
        <w:t>, or ASC 323, provides the accounting requirements for these investments. The standard for determining whether an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has determined that it has no impairment of the long-lived assets or equity method investments associated with these subsidiaries. Assumptions utilized to test these assets for impairment may change based on future events related to the PG&amp;E bankruptcy, which could result in an impairment loss if the PPAs are rejected or amended, or if the Company is not able to collect its revenues from PG&amp;E in a timely manner.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932" w:right="239" w:bottom="1440" w:gutter="0" w:footer="0" w:header="0"/>
        </w:sectPr>
      </w:pPr>
    </w:p>
    <w:bookmarkStart w:id="59" w:name="page60"/>
    <w:bookmarkEnd w:id="59"/>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See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927"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Accounting for Derivative Instruments and Hedging Activities</w:t>
      </w:r>
      <w:r>
        <w:rPr>
          <w:rFonts w:ascii="Times New Roman" w:cs="Times New Roman" w:eastAsia="Times New Roman" w:hAnsi="Times New Roman"/>
          <w:sz w:val="18"/>
          <w:szCs w:val="18"/>
          <w:color w:val="231F20"/>
        </w:rPr>
        <w:t>, to the Consolidated Financial Statements for more information.</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Times New Roman" w:cs="Times New Roman" w:eastAsia="Times New Roman" w:hAnsi="Times New Roman"/>
          <w:sz w:val="18"/>
          <w:szCs w:val="18"/>
          <w:color w:val="000000"/>
        </w:rPr>
        <w:t>$1 million</w:t>
      </w:r>
      <w:r>
        <w:rPr>
          <w:rFonts w:ascii="Times New Roman" w:cs="Times New Roman" w:eastAsia="Times New Roman" w:hAnsi="Times New Roman"/>
          <w:sz w:val="18"/>
          <w:szCs w:val="18"/>
          <w:color w:val="231F20"/>
        </w:rPr>
        <w:t xml:space="preserve"> in the net value of derivatives 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Accounting for Derivative Instruments and Hedging Activities</w:t>
      </w:r>
      <w:r>
        <w:rPr>
          <w:rFonts w:ascii="Times New Roman" w:cs="Times New Roman" w:eastAsia="Times New Roman" w:hAnsi="Times New Roman"/>
          <w:sz w:val="18"/>
          <w:szCs w:val="18"/>
          <w:color w:val="231F20"/>
        </w:rPr>
        <w:t>, to the Consolidated Financial Statements for more information.</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 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to the Consolidated Financial Statements for more information about interest rate swaps of the Company's project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above swaps had been discontinued on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the Company would have owed the counterparties $4 million.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r>
        <w:rPr>
          <w:rFonts w:ascii="Times New Roman" w:cs="Times New Roman" w:eastAsia="Times New Roman" w:hAnsi="Times New Roman"/>
          <w:sz w:val="18"/>
          <w:szCs w:val="18"/>
          <w:color w:val="231F20"/>
        </w:rPr>
        <w:t>, a 1% change in interest rates would result in an approximately $3 million change in market interest expense on a rolling twelve-month basis.</w:t>
      </w:r>
    </w:p>
    <w:p>
      <w:pPr>
        <w:spacing w:after="0" w:line="15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the fair value of the Company's debt was $5,938 million and the carrying value was $6,038 million. The Company estimates that a 1% decrease in market interest rates would have increased the fair value of its long-term debt by $304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8"/>
          <w:szCs w:val="18"/>
          <w:color w:val="000000"/>
        </w:rPr>
        <w:t>Note 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Nature of Business</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928" w:right="239" w:bottom="1440" w:gutter="0" w:footer="0" w:header="0"/>
        </w:sectPr>
      </w:pPr>
    </w:p>
    <w:bookmarkStart w:id="61" w:name="page62"/>
    <w:bookmarkEnd w:id="61"/>
    <w:p>
      <w:pPr>
        <w:jc w:val="both"/>
        <w:ind w:firstLine="392"/>
        <w:spacing w:after="0" w:line="258" w:lineRule="auto"/>
        <w:rPr>
          <w:sz w:val="20"/>
          <w:szCs w:val="20"/>
          <w:color w:val="auto"/>
        </w:rPr>
      </w:pPr>
      <w:r>
        <w:rPr>
          <w:rFonts w:ascii="Times New Roman" w:cs="Times New Roman" w:eastAsia="Times New Roman" w:hAnsi="Times New Roman"/>
          <w:sz w:val="18"/>
          <w:szCs w:val="18"/>
          <w:color w:val="231F20"/>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had $17 million in accounts receivable for its consolidated projects as of December 31, 2018. All of these amounts were collected in January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statements and schedules are listed in Part IV, Item 15 of this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932"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 and Internal Control Over Financial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GIP Transaction, the Company entered into a TSA pursuant to which NRG Energy, Inc. provided information technology, systems, applications, and business processes to the Company. Under the TSA with NRG Energy, Inc., the Company continued to review, document and evaluate the internal controls over financial reporting through year-end 2018. There were no other changes in the Company’s internal control over financial reporting (as such term is defined in Rule 13a-15(f) under the Exchange Act) during the quarter ended December 31, 2018, that materially affected, or are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68" w:lineRule="exact"/>
        <w:rPr>
          <w:sz w:val="20"/>
          <w:szCs w:val="20"/>
          <w:color w:val="auto"/>
        </w:rPr>
      </w:pPr>
    </w:p>
    <w:p>
      <w:pPr>
        <w:ind w:left="600" w:hanging="187"/>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27" w:lineRule="exact"/>
        <w:rPr>
          <w:rFonts w:ascii="Times New Roman" w:cs="Times New Roman" w:eastAsia="Times New Roman" w:hAnsi="Times New Roman"/>
          <w:sz w:val="18"/>
          <w:szCs w:val="18"/>
          <w:color w:val="auto"/>
        </w:rPr>
      </w:pPr>
    </w:p>
    <w:p>
      <w:pPr>
        <w:ind w:right="20" w:firstLine="413"/>
        <w:spacing w:after="0" w:line="250" w:lineRule="auto"/>
        <w:tabs>
          <w:tab w:leader="none" w:pos="5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ind w:firstLine="413"/>
        <w:spacing w:after="0" w:line="261"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the Company's management concluded that its internal control over financial reporting was effective as of December 31, 2018.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927"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10 has been omitted from this report pursuant to the reduced disclosure format permitted by General Instruction I to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11 has been omitted from this report pursuant to the reduced disclosure format permitted by General Instruction I to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Item 12 has been omitted from this report pursuant to the reduced disclosure format permitted by General Instruction I to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13 has been omitted from this report pursuant to the reduced disclosure format permitted by General Instruction I to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Accounting Fees and Services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KPMG LLP, the Company's principal independent registered public accounting firm, for the years ended December 31, 2018 and December 31, 2017.</w:t>
      </w:r>
    </w:p>
    <w:p>
      <w:pPr>
        <w:spacing w:after="0" w:line="320"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6" w:lineRule="exact"/>
        <w:rPr>
          <w:sz w:val="20"/>
          <w:szCs w:val="20"/>
          <w:color w:val="auto"/>
        </w:rPr>
      </w:pPr>
    </w:p>
    <w:tbl>
      <w:tblPr>
        <w:tblLayout w:type="fixed"/>
        <w:tblInd w:w="1880" w:type="dxa"/>
        <w:tblCellMar>
          <w:top w:w="0" w:type="dxa"/>
          <w:left w:w="0" w:type="dxa"/>
          <w:bottom w:w="0" w:type="dxa"/>
          <w:right w:w="0" w:type="dxa"/>
        </w:tblCellMar>
      </w:tblPr>
      <w:tr>
        <w:trPr>
          <w:trHeight w:val="264"/>
        </w:trPr>
        <w:tc>
          <w:tcPr>
            <w:tcW w:w="42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 Fees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1,916,700</w:t>
            </w: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1,929,400</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2018 and 2017 audit services, KPMG LLP billed the Company approximately $1,682,000 and $1,916,700,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audit-related fees billed to the Company by KPMG LLP for 2018 or 2017.</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were approximately $14,800 in tax fees billed to the Company by KPMG LLP for 2018, relating mainly to compliance work. There were approximately $12,700 in tax fees billed to the Company by KPMG LLP for 2017.</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other fees billed to the Company by KPMG LLP for 2018 or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360" w:right="23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Audit Committee of Clearway Energy, Inc. is responsible for appointing, setting compensation for, and overseeing the work of the independent registered public accounting firm of the Company. The Audit Committee of Clearway Energy, Inc. has established a policy regarding pre-approval of all audit and permissible nonaudit services provided by the independent registered public accounting firm of the Company.</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Audit Committee of Clearway Energy, Inc. will annually review and pre-approve services that are expected to be provided by the independent registered public accounting firm. The term of the pre-approval will be 12 months from the date of the pre-approval, unless the Audit Committee of Clearway Energy, Inc. approves a shorter time period. The Audit Committee may periodically amend and/or supplement the pre-approved services based on subsequent determinations.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Unless the Audit Committee of Clearway Energy, Inc. has pre-approved Audit Services or a specified category of nonaudit services, any engagement to provide such services must be pre-approved by the Audit Committee of Clearway Energy, Inc. if it is to be provided by the independent registered public accounting firm. The Audit Committee of Clearway Energy, Inc. must also pre-approve any proposed services exceeding the pre-approved budgeted fee levels for a specified type of service.</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Audit Committee of Clearway Energy, Inc. has authorized its Chair to pre-approve services in amounts up to $100,000 per engagement. Engagements exceeding $100,000 must be approved by the full Audit Committee of Clearway Energy, Inc. Engagements pre-approved by the Chair are reported to the Audit Committee of Clearway Energy, Inc.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928" w:right="239" w:bottom="1440" w:gutter="0" w:footer="0" w:header="0"/>
        </w:sectPr>
      </w:pPr>
    </w:p>
    <w:bookmarkStart w:id="65" w:name="page66"/>
    <w:bookmarkEnd w:id="6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71" w:lineRule="exact"/>
        <w:rPr>
          <w:sz w:val="20"/>
          <w:szCs w:val="20"/>
          <w:color w:val="auto"/>
        </w:rPr>
      </w:pPr>
    </w:p>
    <w:p>
      <w:pPr>
        <w:ind w:left="980" w:hanging="242"/>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Clearway Energy LLC and related notes thereto, together with the reports thereon of KPMG LLP, are included herein:</w:t>
      </w:r>
    </w:p>
    <w:p>
      <w:pPr>
        <w:spacing w:after="0" w:line="108" w:lineRule="exact"/>
        <w:rPr>
          <w:sz w:val="20"/>
          <w:szCs w:val="20"/>
          <w:color w:val="auto"/>
        </w:rPr>
      </w:pPr>
    </w:p>
    <w:p>
      <w:pPr>
        <w:ind w:left="740" w:right="2840"/>
        <w:spacing w:after="0" w:line="438" w:lineRule="auto"/>
        <w:rPr>
          <w:sz w:val="20"/>
          <w:szCs w:val="20"/>
          <w:color w:val="auto"/>
        </w:rPr>
      </w:pPr>
      <w:r>
        <w:rPr>
          <w:rFonts w:ascii="Times New Roman" w:cs="Times New Roman" w:eastAsia="Times New Roman" w:hAnsi="Times New Roman"/>
          <w:sz w:val="18"/>
          <w:szCs w:val="18"/>
          <w:color w:val="auto"/>
        </w:rPr>
        <w:t>Consolidated Statements of Operations — Years ended December 31, 2018, 2017 and 2016 Consolidated Statements of Comprehensive Income — Years ended December 31, 2018, 2017 and 2016 Consolidated Balance Sheets — As of December 31, 2018 and 2017</w:t>
      </w:r>
    </w:p>
    <w:p>
      <w:pPr>
        <w:spacing w:after="0" w:line="1" w:lineRule="exact"/>
        <w:rPr>
          <w:sz w:val="20"/>
          <w:szCs w:val="20"/>
          <w:color w:val="auto"/>
        </w:rPr>
      </w:pPr>
    </w:p>
    <w:p>
      <w:pPr>
        <w:ind w:left="740" w:right="3320"/>
        <w:spacing w:after="0" w:line="438" w:lineRule="auto"/>
        <w:rPr>
          <w:sz w:val="20"/>
          <w:szCs w:val="20"/>
          <w:color w:val="auto"/>
        </w:rPr>
      </w:pPr>
      <w:r>
        <w:rPr>
          <w:rFonts w:ascii="Times New Roman" w:cs="Times New Roman" w:eastAsia="Times New Roman" w:hAnsi="Times New Roman"/>
          <w:sz w:val="18"/>
          <w:szCs w:val="18"/>
          <w:color w:val="auto"/>
        </w:rPr>
        <w:t>Consolidated Statements of Cash Flows — Years ended December 31, 2018, 2017 and 2016 Consolidated Statements of Members' Equity — Years ended December 31, 2018, 2017 and 2016 Notes to Consolidated Financial Statements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Not applicable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submitted as a separate section of this report</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240" w:top="927" w:right="57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jc w:val="both"/>
        <w:ind w:right="20"/>
        <w:spacing w:after="0" w:line="224"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Clearway Energy, LLC (and subsidiaries) (the Company) as of December 31, 2018 and 2017, the related consolidated statements of operations, comprehensive income, stockholders’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2018, in conformity with U.S. generally accepted accounting principles.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effective January 1, 2018, the Company adopted the guidance in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related amendments.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(signed)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44"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2"/>
                <w:szCs w:val="22"/>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8"/>
                <w:szCs w:val="8"/>
                <w:b w:val="1"/>
                <w:bCs w:val="1"/>
                <w:color w:val="auto"/>
              </w:rPr>
              <w:t>(a)</w:t>
            </w:r>
          </w:p>
        </w:tc>
        <w:tc>
          <w:tcPr>
            <w:tcW w:w="220" w:type="dxa"/>
            <w:vAlign w:val="bottom"/>
          </w:tcPr>
          <w:p>
            <w:pPr>
              <w:spacing w:after="0"/>
              <w:rPr>
                <w:sz w:val="22"/>
                <w:szCs w:val="22"/>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(a)</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(a) </w:t>
      </w:r>
      <w:r>
        <w:rPr>
          <w:rFonts w:ascii="Times New Roman" w:cs="Times New Roman" w:eastAsia="Times New Roman" w:hAnsi="Times New Roman"/>
          <w:sz w:val="14"/>
          <w:szCs w:val="14"/>
          <w:color w:val="auto"/>
        </w:rPr>
        <w:t>Retrospectively adjusted as discussed in Note 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928"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2"/>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8"/>
                <w:szCs w:val="8"/>
                <w:b w:val="1"/>
                <w:bCs w:val="1"/>
                <w:color w:val="auto"/>
              </w:rPr>
              <w:t>(a)</w:t>
            </w:r>
          </w:p>
        </w:tc>
        <w:tc>
          <w:tcPr>
            <w:tcW w:w="22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(a)</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8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LLC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(a) </w:t>
      </w:r>
      <w:r>
        <w:rPr>
          <w:rFonts w:ascii="Times New Roman" w:cs="Times New Roman" w:eastAsia="Times New Roman" w:hAnsi="Times New Roman"/>
          <w:sz w:val="14"/>
          <w:szCs w:val="14"/>
          <w:color w:val="auto"/>
        </w:rPr>
        <w:t>Retrospectively adjusted as discussed in Note 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928" w:right="239" w:bottom="1440" w:gutter="0" w:footer="0" w:header="0"/>
        </w:sectPr>
      </w:pPr>
    </w:p>
    <w:bookmarkStart w:id="69" w:name="page70"/>
    <w:bookmarkEnd w:id="69"/>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1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06" w:lineRule="exact"/>
        <w:rPr>
          <w:sz w:val="20"/>
          <w:szCs w:val="20"/>
          <w:color w:val="auto"/>
        </w:rPr>
      </w:pPr>
    </w:p>
    <w:tbl>
      <w:tblPr>
        <w:tblLayout w:type="fixed"/>
        <w:tblInd w:w="72" w:type="dxa"/>
        <w:tblCellMar>
          <w:top w:w="0" w:type="dxa"/>
          <w:left w:w="0" w:type="dxa"/>
          <w:bottom w:w="0" w:type="dxa"/>
          <w:right w:w="0" w:type="dxa"/>
        </w:tblCellMar>
      </w:tblPr>
      <w:tr>
        <w:trPr>
          <w:trHeight w:val="194"/>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xml:space="preserve">December 31, 2017 </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252"/>
        </w:trPr>
        <w:tc>
          <w:tcPr>
            <w:tcW w:w="7580" w:type="dxa"/>
            <w:vAlign w:val="bottom"/>
            <w:tcBorders>
              <w:bottom w:val="single" w:sz="8" w:color="CCEEFF"/>
            </w:tcBorders>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receivable — current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7"/>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2,469</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3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 — external</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5,049</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 — affiliate</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5,792</w:t>
            </w:r>
          </w:p>
        </w:tc>
        <w:tc>
          <w:tcPr>
            <w:tcW w:w="0" w:type="dxa"/>
            <w:vAlign w:val="bottom"/>
          </w:tcPr>
          <w:p>
            <w:pPr>
              <w:spacing w:after="0"/>
              <w:rPr>
                <w:sz w:val="1"/>
                <w:szCs w:val="1"/>
                <w:color w:val="auto"/>
              </w:rPr>
            </w:pPr>
          </w:p>
        </w:tc>
      </w:tr>
      <w:tr>
        <w:trPr>
          <w:trHeight w:val="21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6,331</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Contributed capital</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37"/>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4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0" w:lineRule="exact"/>
        <w:rPr>
          <w:sz w:val="20"/>
          <w:szCs w:val="20"/>
          <w:color w:val="auto"/>
        </w:rPr>
      </w:pPr>
    </w:p>
    <w:p>
      <w:pPr>
        <w:ind w:left="132" w:hanging="132"/>
        <w:spacing w:after="0"/>
        <w:tabs>
          <w:tab w:leader="none" w:pos="132"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22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52"/>
          </w:cols>
          <w:pgMar w:left="248" w:top="927" w:right="299" w:bottom="833"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8"/>
                <w:szCs w:val="8"/>
                <w:b w:val="1"/>
                <w:bCs w:val="1"/>
                <w:color w:val="auto"/>
              </w:rPr>
              <w:t>(a)</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(a)</w:t>
            </w:r>
          </w:p>
        </w:tc>
      </w:tr>
      <w:tr>
        <w:trPr>
          <w:trHeight w:val="250"/>
        </w:trPr>
        <w:tc>
          <w:tcPr>
            <w:tcW w:w="8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intangibles and out-of-market contracts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losses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disposal of asset components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provided by (used in) changes in other 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prepaid and accrued capacity payments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217"/>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of business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1"/>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distributions and return of capital to NRG prior to the acquisition of Drop Down Assets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the issuance of class C units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distributions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 — external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740</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long-term debt — external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37"/>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 long-term debt — affiliate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7"/>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r>
      <w:tr>
        <w:trPr>
          <w:trHeight w:val="284"/>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497</w:t>
            </w:r>
          </w:p>
        </w:tc>
      </w:tr>
      <w:tr>
        <w:trPr>
          <w:trHeight w:val="149"/>
        </w:trPr>
        <w:tc>
          <w:tcPr>
            <w:tcW w:w="8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paid, net of amount capitalized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(Reductions) Additions to fixed assets for accrued capital expenditures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r>
      <w:tr>
        <w:trPr>
          <w:trHeight w:val="260"/>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contributions from CEG, NRG, net of distributions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4"/>
                <w:szCs w:val="14"/>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379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(a) </w:t>
      </w:r>
      <w:r>
        <w:rPr>
          <w:rFonts w:ascii="Times New Roman" w:cs="Times New Roman" w:eastAsia="Times New Roman" w:hAnsi="Times New Roman"/>
          <w:sz w:val="14"/>
          <w:szCs w:val="14"/>
          <w:color w:val="auto"/>
        </w:rPr>
        <w:t>Retrospectively adjusted as discussed in Note 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Nature of Business.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928" w:right="239" w:bottom="63" w:gutter="0" w:footer="0" w:header="0"/>
        </w:sectPr>
      </w:pPr>
    </w:p>
    <w:bookmarkStart w:id="71" w:name="page72"/>
    <w:bookmarkEnd w:id="7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4"/>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6"/>
                <w:szCs w:val="16"/>
                <w:color w:val="auto"/>
              </w:rPr>
            </w:pPr>
          </w:p>
        </w:tc>
        <w:tc>
          <w:tcPr>
            <w:tcW w:w="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2,364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2,705</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 for CVSR Drop Down Asset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Distributions and returns of capital to NRG, net of contributions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Capital contributions from NRG, net of distributions, non-cash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contributions from tax equity investors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NRG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to Clearway Energy, Inc., non-cash</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2,204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2,389</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for the March 2017, August 2017 and November 2017 Drop</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02"/>
        </w:trPr>
        <w:tc>
          <w:tcPr>
            <w:tcW w:w="4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Down Assets</w:t>
            </w: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9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2017 Drop Down Assets contingent consideration</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contributions from tax equity investors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Distributions paid to NRG, net of contributions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Distributions paid to NRG, net of contributions, non-cash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Class C Common Stock</w:t>
            </w: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NRG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47"/>
        </w:trPr>
        <w:tc>
          <w:tcPr>
            <w:tcW w:w="49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 for the Buckthorn Solar Drop Down Asset and UPMC</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contributions from tax equity investors, net of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Class C units</w:t>
            </w: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NRG, net of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 CEG, NRG, net of distributions, non-cash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NRG/CEG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to Clearway Energy, Inc.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47"/>
        </w:trPr>
        <w:tc>
          <w:tcPr>
            <w:tcW w:w="49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633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79" w:lineRule="exact"/>
        <w:rPr>
          <w:sz w:val="20"/>
          <w:szCs w:val="20"/>
          <w:color w:val="auto"/>
        </w:rPr>
      </w:pPr>
    </w:p>
    <w:p>
      <w:pPr>
        <w:ind w:left="140" w:hanging="132"/>
        <w:spacing w:after="0"/>
        <w:tabs>
          <w:tab w:leader="none" w:pos="14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240" w:top="928" w:right="4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Clearway Energy LLC (formerly 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On August 31, 2018, NRG Energy, Inc., or NRG, transferred its full ownership interest in Clearway Energy, Inc. (formerly NRG Yield, Inc.) to Clearway Energy Group LLC, or CEG, the holder of NRG's renewable energy development and operations platform, and subsequently sold 100% of its interest in CEG to Global Infrastructure Partners III, or GIP, referred to hereinafter as the GIP Transaction. As a result of the GIP Transaction, GIP indirectly acquired a 45.2% economic interest in the Company and a 55% voting interest in the Clearway Energy, Inc. GIP is an independent fund manager that invests in infrastructure assets in energy and transport sectors. The Company is sponsored by GIP through GIP's portfolio company, Clearway Energy Group.</w:t>
      </w:r>
    </w:p>
    <w:p>
      <w:pPr>
        <w:spacing w:after="0" w:line="212"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 xml:space="preserve">The Company’s environmentally-sound asset portfolio includes over </w:t>
      </w:r>
      <w:r>
        <w:rPr>
          <w:rFonts w:ascii="Times New Roman" w:cs="Times New Roman" w:eastAsia="Times New Roman" w:hAnsi="Times New Roman"/>
          <w:sz w:val="18"/>
          <w:szCs w:val="18"/>
          <w:color w:val="231F20"/>
        </w:rPr>
        <w:t>5,272</w:t>
      </w:r>
      <w:r>
        <w:rPr>
          <w:rFonts w:ascii="Times New Roman" w:cs="Times New Roman" w:eastAsia="Times New Roman" w:hAnsi="Times New Roman"/>
          <w:sz w:val="18"/>
          <w:szCs w:val="18"/>
          <w:color w:val="auto"/>
        </w:rPr>
        <w:t xml:space="preserve"> MW of wind, solar and natural gas-fired power generation facilities, as well as district energy systems. </w:t>
      </w:r>
      <w:r>
        <w:rPr>
          <w:rFonts w:ascii="Times New Roman" w:cs="Times New Roman" w:eastAsia="Times New Roman" w:hAnsi="Times New Roman"/>
          <w:sz w:val="18"/>
          <w:szCs w:val="18"/>
          <w:color w:val="231F20"/>
        </w:rPr>
        <w:t>Nearly all</w:t>
      </w:r>
      <w:r>
        <w:rPr>
          <w:rFonts w:ascii="Times New Roman" w:cs="Times New Roman" w:eastAsia="Times New Roman" w:hAnsi="Times New Roman"/>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Times New Roman" w:cs="Times New Roman" w:eastAsia="Times New Roman" w:hAnsi="Times New Roman"/>
          <w:sz w:val="18"/>
          <w:szCs w:val="18"/>
          <w:color w:val="231F20"/>
        </w:rPr>
        <w:t>15 years as of December 31, 2018 based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CAFD. The 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5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Company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w:t>
      </w:r>
    </w:p>
    <w:p>
      <w:pPr>
        <w:spacing w:after="0" w:line="122"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As a result of the Clearway Energy, Inc. Class C common stock issuances during the year ended December 31, 2018, Clearway Energy, Inc. currently owns 55.8% of the economic interests of the Company, with CEG retaining 44.2% of the economic interests of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927" w:right="23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17145</wp:posOffset>
            </wp:positionV>
            <wp:extent cx="5848985" cy="4124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On January 29, 2019, Pacific Gas and Electric, or PG&amp;E, filed voluntary petitions for relief under Chapter 11 of the United States Bankruptcy Code. Certain subsidiaries of the Company</w:t>
      </w:r>
      <w:r>
        <w:rPr>
          <w:rFonts w:ascii="Times New Roman" w:cs="Times New Roman" w:eastAsia="Times New Roman" w:hAnsi="Times New Roman"/>
          <w:sz w:val="18"/>
          <w:szCs w:val="18"/>
          <w:color w:val="000000"/>
        </w:rPr>
        <w:t>, holding interests in 6 solar facilities totaling 480 MW and Marsh Landing with capacity of 720 MW,</w:t>
      </w:r>
      <w:r>
        <w:rPr>
          <w:rFonts w:ascii="Times New Roman" w:cs="Times New Roman" w:eastAsia="Times New Roman" w:hAnsi="Times New Roman"/>
          <w:sz w:val="18"/>
          <w:szCs w:val="18"/>
          <w:color w:val="231F20"/>
        </w:rPr>
        <w:t xml:space="preserve"> sell the output of their facilities to PG&amp;E, under long-term PPAs. The Company consolidates three of the solar facilities and Marsh Landing and records its interest in the other solar facilities as equity method investments. The related subsidiaries of the Company have entered into financing agreements consisting of non-recourse project level debt and in certain cases, non-recourse holding company debt. The effect of the bankruptcy filing on the Company's operations is further described in Note 2, </w:t>
      </w:r>
      <w:r>
        <w:rPr>
          <w:rFonts w:ascii="Times New Roman" w:cs="Times New Roman" w:eastAsia="Times New Roman" w:hAnsi="Times New Roman"/>
          <w:sz w:val="18"/>
          <w:szCs w:val="18"/>
          <w:i w:val="1"/>
          <w:iCs w:val="1"/>
          <w:color w:val="231F20"/>
        </w:rPr>
        <w:t>Summary of Significant Accounting Policies</w:t>
      </w:r>
      <w:r>
        <w:rPr>
          <w:rFonts w:ascii="Times New Roman" w:cs="Times New Roman" w:eastAsia="Times New Roman" w:hAnsi="Times New Roman"/>
          <w:sz w:val="18"/>
          <w:szCs w:val="18"/>
          <w:color w:val="231F20"/>
        </w:rPr>
        <w:t xml:space="preserve">, Note 5, </w:t>
      </w:r>
      <w:r>
        <w:rPr>
          <w:rFonts w:ascii="Times New Roman" w:cs="Times New Roman" w:eastAsia="Times New Roman" w:hAnsi="Times New Roman"/>
          <w:sz w:val="18"/>
          <w:szCs w:val="18"/>
          <w:i w:val="1"/>
          <w:iCs w:val="1"/>
          <w:color w:val="000000"/>
        </w:rPr>
        <w:t>Investments Accounted for by the Equity Method and Variable Interest Entities</w:t>
      </w:r>
      <w:r>
        <w:rPr>
          <w:rFonts w:ascii="Times New Roman" w:cs="Times New Roman" w:eastAsia="Times New Roman" w:hAnsi="Times New Roman"/>
          <w:sz w:val="18"/>
          <w:szCs w:val="18"/>
          <w:color w:val="231F20"/>
        </w:rPr>
        <w:t xml:space="preserve">, and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the Consolidated Financial Statements.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 For the complete listing of the company's generation assets, refer to Item 2 -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xml:space="preserve"> to this Form 10-K.</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Recast of the Historical Financial Statements</w:t>
      </w:r>
    </w:p>
    <w:p>
      <w:pPr>
        <w:spacing w:after="0" w:line="173"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 xml:space="preserve">Prior to the GIP Transaction on August 31, 2018, the Company completed several acquisitions of Drop Down Assets from NRG, which were accounted for as transfer of entities under common control, and are further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The accounting guidance for transfers of entities under common control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931" w:right="23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173" w:lineRule="exact"/>
        <w:rPr>
          <w:sz w:val="20"/>
          <w:szCs w:val="20"/>
          <w:color w:val="auto"/>
        </w:rPr>
      </w:pPr>
    </w:p>
    <w:p>
      <w:pPr>
        <w:jc w:val="both"/>
        <w:ind w:left="80"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 Expenses related to the NRG TSA are recorded in general and administrative expenses in the consolidated statements of operations.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to determine when an entity that is insufficiently capitalized or not controlled through its voting interests, referred to as a variable interest entity, or VIE, should be consolidated.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$109 million and $124 million as of December 31, 2018 and 2017, respectively.</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4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6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statement of cash flows</w:t>
            </w:r>
          </w:p>
        </w:tc>
        <w:tc>
          <w:tcPr>
            <w:tcW w:w="8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December 31, 2018, these restricted funds comprised of $84 million designated to fund operating expenses, approximately $26 million designated for current debt service payments, and $32 million restricted for reserves including debt service, performance obligations and other reserves, as well as capital expenditures. The remaining $34 million is held in distribution reserve accounts, of which $31 million related to subsidiaries affected by the PG&amp;E Bankruptcy as discussed further below and may not be distributed during the pendency of the bankruptcy.</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On January 29, 2019, PG&amp;E filed for reorganization under Chapter 11 of the U.S. Bankruptcy Code. The Company has non-recourse project-level debt related to each of its subsidiaries that sell their output to PG&amp;E under long-term PPAs. The PG&amp;E bankruptcy filing is an event of default under the related financing agreements. As of December 31, 2018, all project level cash balances for these subsidiaries were classified as restricted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Allowance for Doubtful Accounts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2018 and 2017.</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930"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Consolidated Financial Statements.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Development costs include project development costs, which are expensed in the preliminary stages of a project and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to the Consolidated Financial Statements.</w:t>
      </w:r>
    </w:p>
    <w:p>
      <w:pPr>
        <w:spacing w:after="0" w:line="13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Investments accounted for by the equity method are reviewed for impairment in accordance with ASC 323, </w:t>
      </w:r>
      <w:r>
        <w:rPr>
          <w:rFonts w:ascii="Times New Roman" w:cs="Times New Roman" w:eastAsia="Times New Roman" w:hAnsi="Times New Roman"/>
          <w:sz w:val="18"/>
          <w:szCs w:val="18"/>
          <w:i w:val="1"/>
          <w:iCs w:val="1"/>
          <w:color w:val="auto"/>
        </w:rPr>
        <w:t>Investments-Equity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w:t>
      </w:r>
      <w:r>
        <w:rPr>
          <w:rFonts w:ascii="Times New Roman" w:cs="Times New Roman" w:eastAsia="Times New Roman" w:hAnsi="Times New Roman"/>
          <w:sz w:val="18"/>
          <w:szCs w:val="18"/>
          <w:color w:val="auto"/>
        </w:rPr>
        <w:t>, which requires that a loss in value of an investment that is an other-than-temporary decline should be recognized. The Company identifies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losses in the value of equity method investments based upon a comparison of fair value to carrying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to the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92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87"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2018, 2017 and 2016 was $583 million, $559 million and $583 million, respectively. These balances include intercompany revenue for Elbow Creek of $6 million for the eight months ended August 31, 2018 and $8 million for each of the years ended December 31, 2017 and 2016, as further discussed in Note 13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9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927" w:right="239" w:bottom="1440" w:gutter="0" w:footer="0" w:header="0"/>
        </w:sectPr>
      </w:pPr>
    </w:p>
    <w:bookmarkStart w:id="77" w:name="page78"/>
    <w:bookmarkEnd w:id="77"/>
    <w:p>
      <w:pPr>
        <w:ind w:left="420"/>
        <w:spacing w:after="0"/>
        <w:rPr>
          <w:sz w:val="20"/>
          <w:szCs w:val="20"/>
          <w:color w:val="auto"/>
        </w:rPr>
      </w:pPr>
      <w:r>
        <w:rPr>
          <w:rFonts w:ascii="Times New Roman" w:cs="Times New Roman" w:eastAsia="Times New Roman" w:hAnsi="Times New Roman"/>
          <w:sz w:val="18"/>
          <w:szCs w:val="18"/>
          <w:i w:val="1"/>
          <w:iCs w:val="1"/>
          <w:color w:val="auto"/>
        </w:rPr>
        <w:t>Sale of Emission Allowances</w:t>
      </w:r>
    </w:p>
    <w:p>
      <w:pPr>
        <w:spacing w:after="0" w:line="187"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year ended December 31, 2018, along with the reportable segment for each category: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3"/>
                <w:szCs w:val="13"/>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3"/>
                <w:szCs w:val="13"/>
                <w:color w:val="auto"/>
              </w:rPr>
            </w:pPr>
          </w:p>
        </w:tc>
        <w:tc>
          <w:tcPr>
            <w:tcW w:w="1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8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1"/>
                <w:szCs w:val="21"/>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24"/>
                <w:szCs w:val="24"/>
                <w:color w:val="auto"/>
              </w:rPr>
            </w:pP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amortization</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Lease revenue</w:t>
            </w: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Contract amortization</w:t>
            </w:r>
          </w:p>
        </w:tc>
        <w:tc>
          <w:tcPr>
            <w:tcW w:w="180" w:type="dxa"/>
            <w:vAlign w:val="bottom"/>
          </w:tcPr>
          <w:p>
            <w:pPr>
              <w:spacing w:after="0"/>
              <w:rPr>
                <w:sz w:val="24"/>
                <w:szCs w:val="24"/>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61" w:lineRule="exact"/>
        <w:rPr>
          <w:sz w:val="20"/>
          <w:szCs w:val="20"/>
          <w:color w:val="auto"/>
        </w:rPr>
      </w:pPr>
    </w:p>
    <w:p>
      <w:pPr>
        <w:ind w:left="420" w:hanging="169"/>
        <w:spacing w:after="0"/>
        <w:tabs>
          <w:tab w:leader="none" w:pos="42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840:</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Conventional Generation</w:t>
            </w:r>
          </w:p>
        </w:tc>
        <w:tc>
          <w:tcPr>
            <w:tcW w:w="4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541</w:t>
            </w:r>
          </w:p>
        </w:tc>
      </w:tr>
      <w:tr>
        <w:trPr>
          <w:trHeight w:val="237"/>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Capacity Revenue</w:t>
            </w:r>
          </w:p>
        </w:tc>
        <w:tc>
          <w:tcPr>
            <w:tcW w:w="28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1"/>
        </w:trPr>
        <w:tc>
          <w:tcPr>
            <w:tcW w:w="2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878</w:t>
            </w:r>
          </w:p>
        </w:tc>
      </w:tr>
      <w:tr>
        <w:trPr>
          <w:trHeight w:val="33"/>
        </w:trPr>
        <w:tc>
          <w:tcPr>
            <w:tcW w:w="2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balance sheet as of December 31, 2018:</w:t>
      </w:r>
    </w:p>
    <w:p>
      <w:pPr>
        <w:spacing w:after="0" w:line="35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receivable, net - Contracts with customers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 Leases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r>
      <w:tr>
        <w:trPr>
          <w:trHeight w:val="257"/>
        </w:trPr>
        <w:tc>
          <w:tcPr>
            <w:tcW w:w="20" w:type="dxa"/>
            <w:vAlign w:val="bottom"/>
          </w:tcPr>
          <w:p>
            <w:pPr>
              <w:spacing w:after="0"/>
              <w:rPr>
                <w:sz w:val="22"/>
                <w:szCs w:val="22"/>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w:t>
            </w:r>
          </w:p>
        </w:tc>
        <w:tc>
          <w:tcPr>
            <w:tcW w:w="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3"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derivative financial instruments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22" w:lineRule="exact"/>
        <w:rPr>
          <w:sz w:val="20"/>
          <w:szCs w:val="20"/>
          <w:color w:val="auto"/>
        </w:rPr>
      </w:pPr>
    </w:p>
    <w:p>
      <w:pPr>
        <w:ind w:left="5620" w:right="1240" w:hanging="5288"/>
        <w:spacing w:after="0" w:line="626"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in earnings as an offset to the changes in the fair value of the related hedged assets, liabilities and firm commitments; or 78</w:t>
      </w:r>
    </w:p>
    <w:p>
      <w:pPr>
        <w:sectPr>
          <w:pgSz w:w="11900" w:h="16838" w:orient="portrait"/>
          <w:cols w:equalWidth="0" w:num="1">
            <w:col w:w="11420"/>
          </w:cols>
          <w:pgMar w:left="240" w:top="983" w:right="239" w:bottom="1440" w:gutter="0" w:footer="0" w:header="0"/>
        </w:sectPr>
      </w:pPr>
    </w:p>
    <w:bookmarkStart w:id="78" w:name="page79"/>
    <w:bookmarkEnd w:id="78"/>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fuels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analyses to measure the statistical correlation between the derivative and the associated hedged item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3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Times New Roman" w:cs="Times New Roman" w:eastAsia="Times New Roman" w:hAnsi="Times New Roman"/>
          <w:sz w:val="18"/>
          <w:szCs w:val="18"/>
          <w:i w:val="1"/>
          <w:iCs w:val="1"/>
          <w:color w:val="auto"/>
        </w:rPr>
        <w:t>Risks related to the PG&amp;E Bankruptcy</w:t>
      </w:r>
      <w:r>
        <w:rPr>
          <w:rFonts w:ascii="Times New Roman" w:cs="Times New Roman" w:eastAsia="Times New Roman" w:hAnsi="Times New Roman"/>
          <w:sz w:val="18"/>
          <w:szCs w:val="18"/>
          <w:color w:val="auto"/>
        </w:rPr>
        <w:t xml:space="preserve"> for a discussion on the Company’s dependence on major customers</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See Note 6,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a further discussion of derivative concentrations and Note 12,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concentration of counterparties.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a further discussion of fair value of financial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Asset retirement obligations, or AROs, are accounted for in accordance with ASC 410-20,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2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the balance of ARO obligations as of December 31, 2018 and 2017, along with the additions and accretion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ARO obligations for the year ended 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5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 in estimates for current obligations/Additions</w:t>
            </w:r>
          </w:p>
        </w:tc>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 expense</w:t>
            </w:r>
          </w:p>
        </w:tc>
        <w:tc>
          <w:tcPr>
            <w:tcW w:w="48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48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82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Accounted for by the Equity Method</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investments in various energy projects accounted for by the equity method, several of which are VIEs, where the Company is not a primary beneficiary, as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Arrangements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is party to sale-leaseback arrangements that provide for the sale of certain assets to a third party and simultaneous leaseback to the Company. In accordance with ASC 840-40, </w:t>
      </w:r>
      <w:r>
        <w:rPr>
          <w:rFonts w:ascii="Times New Roman" w:cs="Times New Roman" w:eastAsia="Times New Roman" w:hAnsi="Times New Roman"/>
          <w:sz w:val="18"/>
          <w:szCs w:val="18"/>
          <w:i w:val="1"/>
          <w:iCs w:val="1"/>
          <w:color w:val="auto"/>
        </w:rPr>
        <w:t>Sale-Leaseback Transactions</w:t>
      </w:r>
      <w:r>
        <w:rPr>
          <w:rFonts w:ascii="Times New Roman" w:cs="Times New Roman" w:eastAsia="Times New Roman" w:hAnsi="Times New Roman"/>
          <w:sz w:val="18"/>
          <w:szCs w:val="18"/>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contributed capital. Transaction costs are expensed as incurred.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92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recording transactions and balances resulting from business operations, the Company uses estimates based on the best information available. Estimates are used for such items as plant depreciable lives,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Equity Arrangements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 - Adopted in 2019</w:t>
      </w:r>
    </w:p>
    <w:p>
      <w:pPr>
        <w:spacing w:after="0" w:line="146" w:lineRule="exact"/>
        <w:rPr>
          <w:sz w:val="20"/>
          <w:szCs w:val="20"/>
          <w:color w:val="auto"/>
        </w:rPr>
      </w:pPr>
    </w:p>
    <w:p>
      <w:pPr>
        <w:jc w:val="both"/>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2016-02 </w:t>
      </w:r>
      <w:r>
        <w:rPr>
          <w:rFonts w:ascii="Times New Roman" w:cs="Times New Roman" w:eastAsia="Times New Roman" w:hAnsi="Times New Roman"/>
          <w:sz w:val="18"/>
          <w:szCs w:val="18"/>
          <w:color w:val="auto"/>
        </w:rPr>
        <w:t>— In February 2016, the FASB issued ASU No. 2016-02,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(Topic 842), or Topic 842, as amended, with the objective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w:t>
      </w:r>
    </w:p>
    <w:p>
      <w:pPr>
        <w:spacing w:after="0" w:line="12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 adopted the standard effective January 1, 2019 using the modified retrospective transition method and will not restate prior periods for the impact of Topic 842. In addition, the Company elected certain of the permitted practical expedients, including the expedient that permits the Company to retain its existing lease assessment and classification. The company will not record a right-of-use asset and related lease liability for leases with an initial term of 12 months or less and will account for lease and non-lease components for specific asset classes as a single lease component.</w:t>
      </w:r>
    </w:p>
    <w:p>
      <w:pPr>
        <w:spacing w:after="0" w:line="12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Company's leases consist mainly of land leases for many operating asset locations, as well as leases of office space and office equipment. The Company estimates it will record lease liabilities of approximately $160 million to $170 million and right-of-use assets of approximately $155 million to $165 million, as of January 1, 2019, with an immaterial impact estimated to retained earnings. The actual amounts recorded may vary from this estimate as the Company completes its adoption of the guidance. Other than disclosed, the Company does not expect that there will be a material impact to the consolidated statements of operations, comprehensive income or consolidated cash flows as a result of adoption of this new guidance.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927"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3 — Business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Acquisitions</w:t>
      </w:r>
    </w:p>
    <w:p>
      <w:pPr>
        <w:spacing w:after="0" w:line="21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Asset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Thermal Project for cash consideration of $84 million, subject to working capital adjustments. The Company had a payable of $4 million to NRG as of December 31,2018, $3 million of which was paid in January 2019 upon final completion of the project pursuant to the EPC agreement. The project adds 73 MWt of thermal equivalent capacity and 7.5 MW of emergency backup electrical capacity to the Company's portfolio. The transaction is reflected in the Company's Thermal segment. The acquisition was funded with the proceeds from the sale of the Series E Notes and Series F Notes,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 contributed capital. The acquisition was determined to be an asset acquisition and not a business combination, therefore no recast of the historical financial information was deemed necessary.</w:t>
      </w:r>
    </w:p>
    <w:p>
      <w:pPr>
        <w:spacing w:after="0" w:line="128"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CA Fuel Cell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 FuelCell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owns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historical value of the entities' equity was recorded as a distribution to NRG and decreased the balance of contributed capital.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project sells power under a 25-year PPA to the City of Georgetown, Texas, which commenced in July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927" w:right="239"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color w:val="auto"/>
        </w:rPr>
        <w:t>The following is a summary of net assets transferred in connection with the acquisition of the Buckthorn Solar Drop Down Asset as of March 31, 2018: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9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9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Debt (Current and non-current) </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9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9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7"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Net of $7 million of net debt issuance costs.</w:t>
      </w:r>
    </w:p>
    <w:p>
      <w:pPr>
        <w:spacing w:after="0" w:line="15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historical information for the year ended December 31, 2017, which combines the financial information for the Buckthorn Solar Drop Down Asset transferred in connection with the acquisition.</w:t>
      </w:r>
    </w:p>
    <w:p>
      <w:pPr>
        <w:spacing w:after="0" w:line="28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8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Buckthorn Solar Drop</w:t>
            </w: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As Currently</w:t>
            </w:r>
          </w:p>
        </w:tc>
      </w:tr>
      <w:tr>
        <w:trPr>
          <w:trHeight w:val="194"/>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60" w:type="dxa"/>
            <w:vAlign w:val="bottom"/>
          </w:tcPr>
          <w:p>
            <w:pPr>
              <w:spacing w:after="0"/>
              <w:rPr>
                <w:sz w:val="16"/>
                <w:szCs w:val="16"/>
                <w:color w:val="auto"/>
              </w:rPr>
            </w:pPr>
          </w:p>
        </w:tc>
        <w:tc>
          <w:tcPr>
            <w:tcW w:w="15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Down Asset</w:t>
            </w:r>
          </w:p>
        </w:tc>
        <w:tc>
          <w:tcPr>
            <w:tcW w:w="12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Reported</w:t>
            </w: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Clearway Energy LLC</w:t>
            </w:r>
          </w:p>
        </w:tc>
        <w:tc>
          <w:tcPr>
            <w:tcW w:w="22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w:t>
            </w: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Buckthorn Solar Drop Down Asset had no impact on the Company's consolidated statements of operations for the year end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Acquisitions</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November 2017 Drop Down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November 1, 2017, the Company acquired a 38 MW solar portfolio primarily comprised of assets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NRG's Solar Power Partners (SPP) funds and other projects developed by NRG, for cash consideration of $74 million, including working capital adjustments, plus assumed non-recourse debt of $26 million.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difference between the cash paid and historical value of the entities' equity was recorded as a contribution from NRG and increased the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capital. Since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26"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August 2017 Drop Down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1, 2017, the Company acquired the remaining 25% interest in Wind TE Holdco, a portfolio of 12 wind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projects, from NRG for total cash consideration of $44 million, including 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1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originally acquired 75% of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 - Related Issues.</w:t>
      </w:r>
      <w:r>
        <w:rPr>
          <w:rFonts w:ascii="Times New Roman" w:cs="Times New Roman" w:eastAsia="Times New Roman" w:hAnsi="Times New Roman"/>
          <w:sz w:val="18"/>
          <w:szCs w:val="18"/>
          <w:color w:val="auto"/>
        </w:rPr>
        <w:t xml:space="preserve"> As the Company had reflected NRG's 25% ownership of Wind TE Holdco in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931" w:right="2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March 2017 Drop Down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27, 2017, the Company acquired the following interests from NRG: (i) Agua Caliente Borrower 2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The Company paid cash consideration of $128 million, which includes $3 million of final net working capital adjustment received by the Company from NRG.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w:t>
      </w:r>
    </w:p>
    <w:p>
      <w:pPr>
        <w:spacing w:after="0" w:line="133"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 xml:space="preserve">The assets and liabilities transferred to the Company relate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 - Related Issues.</w:t>
      </w:r>
      <w:r>
        <w:rPr>
          <w:rFonts w:ascii="Times New Roman" w:cs="Times New Roman" w:eastAsia="Times New Roman" w:hAnsi="Times New Roman"/>
          <w:sz w:val="18"/>
          <w:szCs w:val="18"/>
          <w:color w:val="auto"/>
        </w:rPr>
        <w:t xml:space="preserve"> The difference between the cash paid and the historical value of the entities' equity of $8 million was recorded as an adjustment to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Acquisitions</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CVSR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September 1, 2016, the Company had a 48.95% interest in CVSR, which was accounted for as an equity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On September 1, 2016, the Company acquired from NRG the remaining 51.05% interest of CVSR Holdco LLC, which indirectly owns the CVSR solar facility, or the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of the closing date.</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historical value of the CVSR Drop Down of $112 million, as well as $6 million of AOCL, was recorded as a distribution to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931"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major classes of property, plant, and equipment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 Lives</w:t>
            </w: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4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2 - 45 Years</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Construction in progress </w:t>
            </w:r>
            <w:r>
              <w:rPr>
                <w:rFonts w:ascii="Times New Roman" w:cs="Times New Roman" w:eastAsia="Times New Roman" w:hAnsi="Times New Roman"/>
                <w:sz w:val="25"/>
                <w:szCs w:val="25"/>
                <w:color w:val="auto"/>
                <w:vertAlign w:val="superscript"/>
              </w:rPr>
              <w:t>(a)</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5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firstLine="8"/>
        <w:spacing w:after="0" w:line="251" w:lineRule="auto"/>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December 31, 2018 and 2017, construction in progress includes $6 million and $24 million of capital expenditures that relate to prepaid long-term service agreements in the Conventional segment, respectively.</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Company recorded long-lived asset impairments during the year ended December 31, 2017, as further described in Note 9, </w:t>
      </w:r>
      <w:r>
        <w:rPr>
          <w:rFonts w:ascii="Times New Roman" w:cs="Times New Roman" w:eastAsia="Times New Roman" w:hAnsi="Times New Roman"/>
          <w:sz w:val="18"/>
          <w:szCs w:val="18"/>
          <w:i w:val="1"/>
          <w:iCs w:val="1"/>
          <w:color w:val="auto"/>
        </w:rPr>
        <w:t>Asset Impairments.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Investments Accounted for by the Equity Method and Variable Interest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equity method investments as of December 31, 2018:</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6040" w:type="dxa"/>
            <w:vAlign w:val="bottom"/>
            <w:gridSpan w:val="2"/>
          </w:tcPr>
          <w:p>
            <w:pPr>
              <w:ind w:left="27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Balance</w:t>
            </w:r>
          </w:p>
        </w:tc>
      </w:tr>
      <w:tr>
        <w:trPr>
          <w:trHeight w:val="33"/>
        </w:trPr>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1"/>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Utah Solar Portfolio </w:t>
            </w:r>
            <w:r>
              <w:rPr>
                <w:rFonts w:ascii="Times New Roman" w:cs="Times New Roman" w:eastAsia="Times New Roman" w:hAnsi="Times New Roman"/>
                <w:sz w:val="21"/>
                <w:szCs w:val="21"/>
                <w:color w:val="auto"/>
                <w:vertAlign w:val="superscript"/>
              </w:rPr>
              <w:t>(a)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$317</w:t>
            </w:r>
          </w:p>
        </w:tc>
      </w:tr>
      <w:tr>
        <w:trPr>
          <w:trHeight w:val="27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Desert Sunlight</w:t>
            </w:r>
            <w:r>
              <w:rPr>
                <w:rFonts w:ascii="Times New Roman" w:cs="Times New Roman" w:eastAsia="Times New Roman" w:hAnsi="Times New Roman"/>
                <w:sz w:val="21"/>
                <w:szCs w:val="21"/>
                <w:color w:val="auto"/>
                <w:vertAlign w:val="superscript"/>
              </w:rPr>
              <w:t>(e)</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264</w:t>
            </w:r>
          </w:p>
        </w:tc>
      </w:tr>
      <w:tr>
        <w:trPr>
          <w:trHeight w:val="2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GenConn</w:t>
            </w:r>
            <w:r>
              <w:rPr>
                <w:rFonts w:ascii="Times New Roman" w:cs="Times New Roman" w:eastAsia="Times New Roman" w:hAnsi="Times New Roman"/>
                <w:sz w:val="21"/>
                <w:szCs w:val="21"/>
                <w:color w:val="auto"/>
                <w:vertAlign w:val="superscript"/>
              </w:rPr>
              <w:t>(b)</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98</w:t>
            </w:r>
          </w:p>
        </w:tc>
      </w:tr>
      <w:tr>
        <w:trPr>
          <w:trHeight w:val="27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Agua Caliente Solar</w:t>
            </w:r>
            <w:r>
              <w:rPr>
                <w:rFonts w:ascii="Times New Roman" w:cs="Times New Roman" w:eastAsia="Times New Roman" w:hAnsi="Times New Roman"/>
                <w:sz w:val="21"/>
                <w:szCs w:val="21"/>
                <w:color w:val="auto"/>
                <w:vertAlign w:val="superscript"/>
              </w:rPr>
              <w:t>(e)</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w:t>
            </w:r>
          </w:p>
        </w:tc>
      </w:tr>
      <w:tr>
        <w:trPr>
          <w:trHeight w:val="2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Elkhorn Ridge</w:t>
            </w:r>
            <w:r>
              <w:rPr>
                <w:rFonts w:ascii="Times New Roman" w:cs="Times New Roman" w:eastAsia="Times New Roman" w:hAnsi="Times New Roman"/>
                <w:sz w:val="21"/>
                <w:szCs w:val="21"/>
                <w:color w:val="auto"/>
                <w:vertAlign w:val="superscript"/>
              </w:rPr>
              <w:t>(c)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r>
      <w:tr>
        <w:trPr>
          <w:trHeight w:val="27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San Juan Mesa</w:t>
            </w:r>
            <w:r>
              <w:rPr>
                <w:rFonts w:ascii="Times New Roman" w:cs="Times New Roman" w:eastAsia="Times New Roman" w:hAnsi="Times New Roman"/>
                <w:sz w:val="21"/>
                <w:szCs w:val="21"/>
                <w:color w:val="auto"/>
                <w:vertAlign w:val="superscript"/>
              </w:rPr>
              <w:t>(c)</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2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DGPV Holdco 1 LLC </w:t>
            </w:r>
            <w:r>
              <w:rPr>
                <w:rFonts w:ascii="Times New Roman" w:cs="Times New Roman" w:eastAsia="Times New Roman" w:hAnsi="Times New Roman"/>
                <w:sz w:val="21"/>
                <w:szCs w:val="21"/>
                <w:color w:val="auto"/>
                <w:vertAlign w:val="superscript"/>
              </w:rPr>
              <w:t>(d)</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27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DGPV Holdco 2 LLC </w:t>
            </w:r>
            <w:r>
              <w:rPr>
                <w:rFonts w:ascii="Times New Roman" w:cs="Times New Roman" w:eastAsia="Times New Roman" w:hAnsi="Times New Roman"/>
                <w:sz w:val="21"/>
                <w:szCs w:val="21"/>
                <w:color w:val="auto"/>
                <w:vertAlign w:val="superscript"/>
              </w:rPr>
              <w:t>(d)</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2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DGPV Holdco 3 LLC </w:t>
            </w:r>
            <w:r>
              <w:rPr>
                <w:rFonts w:ascii="Times New Roman" w:cs="Times New Roman" w:eastAsia="Times New Roman" w:hAnsi="Times New Roman"/>
                <w:sz w:val="21"/>
                <w:szCs w:val="21"/>
                <w:color w:val="auto"/>
                <w:vertAlign w:val="superscript"/>
              </w:rPr>
              <w:t>(d)</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w:t>
            </w:r>
          </w:p>
        </w:tc>
      </w:tr>
      <w:tr>
        <w:trPr>
          <w:trHeight w:val="27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RPV Holdco 1 LLC</w:t>
            </w:r>
            <w:r>
              <w:rPr>
                <w:rFonts w:ascii="Times New Roman" w:cs="Times New Roman" w:eastAsia="Times New Roman" w:hAnsi="Times New Roman"/>
                <w:sz w:val="21"/>
                <w:szCs w:val="21"/>
                <w:color w:val="auto"/>
                <w:vertAlign w:val="superscript"/>
              </w:rPr>
              <w:t>(d)</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2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Avenal</w:t>
            </w:r>
            <w:r>
              <w:rPr>
                <w:rFonts w:ascii="Times New Roman" w:cs="Times New Roman" w:eastAsia="Times New Roman" w:hAnsi="Times New Roman"/>
                <w:sz w:val="21"/>
                <w:szCs w:val="21"/>
                <w:color w:val="auto"/>
                <w:vertAlign w:val="superscript"/>
              </w:rPr>
              <w:t>(e)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w:t>
            </w:r>
          </w:p>
        </w:tc>
      </w:tr>
      <w:tr>
        <w:trPr>
          <w:trHeight w:val="217"/>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$1,172</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68" w:lineRule="exact"/>
        <w:rPr>
          <w:sz w:val="20"/>
          <w:szCs w:val="20"/>
          <w:color w:val="auto"/>
        </w:rPr>
      </w:pPr>
    </w:p>
    <w:p>
      <w:pPr>
        <w:ind w:left="180" w:hanging="10"/>
        <w:spacing w:after="0" w:line="241" w:lineRule="auto"/>
        <w:tabs>
          <w:tab w:leader="none" w:pos="315"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Economic interest based on cash to be distributed. Four Brothers Solar, LLC, Granite Mountain Holdings, LLC and Iron Springs Holdings, LLC are tax equity structures and VIEs. The related allocations are described below.</w:t>
      </w:r>
    </w:p>
    <w:p>
      <w:pPr>
        <w:ind w:left="320" w:hanging="150"/>
        <w:spacing w:after="0"/>
        <w:tabs>
          <w:tab w:leader="none" w:pos="32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GenConn is a variable interest entity.</w:t>
      </w:r>
    </w:p>
    <w:p>
      <w:pPr>
        <w:spacing w:after="0" w:line="28" w:lineRule="exact"/>
        <w:rPr>
          <w:rFonts w:ascii="Times New Roman" w:cs="Times New Roman" w:eastAsia="Times New Roman" w:hAnsi="Times New Roman"/>
          <w:sz w:val="9"/>
          <w:szCs w:val="9"/>
          <w:color w:val="auto"/>
        </w:rPr>
      </w:pPr>
    </w:p>
    <w:p>
      <w:pPr>
        <w:ind w:left="180" w:right="340" w:hanging="10"/>
        <w:spacing w:after="0" w:line="241" w:lineRule="auto"/>
        <w:tabs>
          <w:tab w:leader="none" w:pos="315"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 Juan Mesa and Elkhorn Ridge are part of the Wind TE Holdco tax equity structure, as described below. San Juan Mesa and Elkhorn Ridge are owned 75% and 66.7%, respectively, by Wind TE Holdco. The Company owns 100% of the Class B interests in Wind TE Holdco.</w:t>
      </w:r>
    </w:p>
    <w:p>
      <w:pPr>
        <w:ind w:left="180" w:right="100" w:hanging="10"/>
        <w:spacing w:after="0" w:line="241" w:lineRule="auto"/>
        <w:tabs>
          <w:tab w:leader="none" w:pos="307"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Economic interest based on cash to be distributed. DGPV Holdco 1 LLC, DGPV Holdco 2 LLC, DGPV Holdco 3 LLC and RPV Holdco 1 LLC are tax equity structures and VIEs. The related allocations are described below.</w:t>
      </w:r>
    </w:p>
    <w:p>
      <w:pPr>
        <w:jc w:val="both"/>
        <w:ind w:left="180" w:hanging="10"/>
        <w:spacing w:after="0" w:line="217" w:lineRule="auto"/>
        <w:tabs>
          <w:tab w:leader="none" w:pos="315" w:val="left"/>
        </w:tabs>
        <w:numPr>
          <w:ilvl w:val="0"/>
          <w:numId w:val="35"/>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Entities that have PPAs with PG&amp;E. On January 29, 2019, PG&amp;E filed for bankruptcy under Chapter 11 of the U.S. Bankruptcy Code. The Company has non-recourse project-level debt, and in some cases holding company debt, related to each of its subsidiaries that sell their output to PG&amp;E under long-term PPAs. The PG&amp;E bankruptcy filing is an event of default under the related financing agreements, and as a result, the respective lenders under these arrangements may accelerate the repayment of these debt balances. In addition, the event of default may have an impact on the Company’s ability to distribute cash from the project-level cash accounts to the parent entities. The Company continues to operate the projects in the normal course of business and is currently in the process of negotiating forbearance agreements with the related lenders.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927" w:right="239" w:bottom="1440" w:gutter="0" w:footer="0" w:header="0"/>
        </w:sectPr>
      </w:pPr>
    </w:p>
    <w:bookmarkStart w:id="85" w:name="page86"/>
    <w:bookmarkEnd w:id="85"/>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Company had $87 million and $57 million, respectively, of undistributed earnings from its equity method investments.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(losses) over the related useful life of the underlying assets acquired.</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Non-recourse project-level debt of unconsolidated affiliates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pro-rata share of non-recourse debt held by unconsolidated affiliates was $878 million as of December 31, 2018. This included $432 million attributable to Desert Sunlight, Agua Caliente Solar, and Avenal, the unconsolidated affiliates that sell output to PG&amp;E under long-term PPAs.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931" w:right="239" w:bottom="1440" w:gutter="0" w:footer="0" w:header="0"/>
        </w:sectPr>
      </w:pPr>
    </w:p>
    <w:bookmarkStart w:id="86" w:name="page87"/>
    <w:bookmarkEnd w:id="86"/>
    <w:p>
      <w:pPr>
        <w:ind w:left="120"/>
        <w:spacing w:after="0"/>
        <w:rPr>
          <w:sz w:val="20"/>
          <w:szCs w:val="20"/>
          <w:color w:val="auto"/>
        </w:rPr>
      </w:pPr>
      <w:r>
        <w:rPr>
          <w:rFonts w:ascii="Times New Roman" w:cs="Times New Roman" w:eastAsia="Times New Roman" w:hAnsi="Times New Roman"/>
          <w:sz w:val="18"/>
          <w:szCs w:val="18"/>
          <w:color w:val="auto"/>
        </w:rPr>
        <w:t>The following tables present summarized financial information for the Company's significant equity method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28"/>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Income Statement Data:</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GenConn</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revenues</w:t>
            </w:r>
          </w:p>
        </w:tc>
        <w:tc>
          <w:tcPr>
            <w:tcW w:w="106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71</w:t>
            </w:r>
          </w:p>
        </w:tc>
        <w:tc>
          <w:tcPr>
            <w:tcW w:w="52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26</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Desert Sunlight</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revenues</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207</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127</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80</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b w:val="1"/>
                <w:bCs w:val="1"/>
                <w:color w:val="auto"/>
              </w:rPr>
              <w:t xml:space="preserve">DGPV entities </w:t>
            </w:r>
            <w:r>
              <w:rPr>
                <w:rFonts w:ascii="Times New Roman" w:cs="Times New Roman" w:eastAsia="Times New Roman" w:hAnsi="Times New Roman"/>
                <w:sz w:val="28"/>
                <w:szCs w:val="28"/>
                <w:b w:val="1"/>
                <w:bCs w:val="1"/>
                <w:color w:val="auto"/>
                <w:vertAlign w:val="superscript"/>
              </w:rPr>
              <w:t>(a)</w:t>
            </w:r>
          </w:p>
        </w:tc>
        <w:tc>
          <w:tcPr>
            <w:tcW w:w="1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revenues</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37</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income (loss)</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RPV Holdco</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revenues</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1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1060" w:type="dxa"/>
            <w:vAlign w:val="bottom"/>
          </w:tcPr>
          <w:p>
            <w:pPr>
              <w:spacing w:after="0"/>
              <w:rPr>
                <w:sz w:val="21"/>
                <w:szCs w:val="21"/>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247</w:t>
            </w:r>
          </w:p>
        </w:tc>
        <w:tc>
          <w:tcPr>
            <w:tcW w:w="5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89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857"/>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rPr>
              <w:t>75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56</w:t>
            </w:r>
          </w:p>
        </w:tc>
        <w:tc>
          <w:tcPr>
            <w:tcW w:w="520" w:type="dxa"/>
            <w:vAlign w:val="bottom"/>
          </w:tcPr>
          <w:p>
            <w:pPr>
              <w:jc w:val="right"/>
              <w:ind w:right="317"/>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3"/>
          </w:tcPr>
          <w:p>
            <w:pPr>
              <w:jc w:val="right"/>
              <w:ind w:right="77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2018</w:t>
            </w:r>
          </w:p>
        </w:tc>
        <w:tc>
          <w:tcPr>
            <w:tcW w:w="520" w:type="dxa"/>
            <w:vAlign w:val="bottom"/>
          </w:tcPr>
          <w:p>
            <w:pPr>
              <w:spacing w:after="0"/>
              <w:rPr>
                <w:sz w:val="20"/>
                <w:szCs w:val="20"/>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2017</w:t>
            </w:r>
          </w:p>
        </w:tc>
        <w:tc>
          <w:tcPr>
            <w:tcW w:w="0" w:type="dxa"/>
            <w:vAlign w:val="bottom"/>
          </w:tcPr>
          <w:p>
            <w:pPr>
              <w:spacing w:after="0"/>
              <w:rPr>
                <w:sz w:val="1"/>
                <w:szCs w:val="1"/>
                <w:color w:val="auto"/>
              </w:rPr>
            </w:pPr>
          </w:p>
        </w:tc>
      </w:tr>
      <w:tr>
        <w:trPr>
          <w:trHeight w:val="29"/>
        </w:trPr>
        <w:tc>
          <w:tcPr>
            <w:tcW w:w="6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0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GenConn</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43</w:t>
            </w:r>
          </w:p>
        </w:tc>
        <w:tc>
          <w:tcPr>
            <w:tcW w:w="52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358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22</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182</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Desert Sunlight</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Non-current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1,298</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Non-current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962</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7"/>
                <w:szCs w:val="17"/>
                <w:b w:val="1"/>
                <w:bCs w:val="1"/>
                <w:color w:val="auto"/>
              </w:rPr>
              <w:t xml:space="preserve">DGPV entities </w:t>
            </w:r>
            <w:r>
              <w:rPr>
                <w:rFonts w:ascii="Times New Roman" w:cs="Times New Roman" w:eastAsia="Times New Roman" w:hAnsi="Times New Roman"/>
                <w:sz w:val="28"/>
                <w:szCs w:val="28"/>
                <w:b w:val="1"/>
                <w:bCs w:val="1"/>
                <w:color w:val="auto"/>
                <w:vertAlign w:val="superscript"/>
              </w:rPr>
              <w:t>(a)</w:t>
            </w:r>
          </w:p>
        </w:tc>
        <w:tc>
          <w:tcPr>
            <w:tcW w:w="1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79</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784</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671</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84</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314</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RPV Holdco</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173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41"/>
        </w:trPr>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26</w:t>
            </w:r>
          </w:p>
        </w:tc>
        <w:tc>
          <w:tcPr>
            <w:tcW w:w="5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9"/>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1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148</w:t>
            </w:r>
          </w:p>
        </w:tc>
        <w:tc>
          <w:tcPr>
            <w:tcW w:w="5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2,511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6"/>
                <w:szCs w:val="16"/>
                <w:color w:val="auto"/>
              </w:rPr>
              <w:t>58</w:t>
            </w:r>
          </w:p>
        </w:tc>
        <w:tc>
          <w:tcPr>
            <w:tcW w:w="5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889</w:t>
            </w:r>
          </w:p>
        </w:tc>
        <w:tc>
          <w:tcPr>
            <w:tcW w:w="5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40" w:hanging="127"/>
        <w:spacing w:after="0"/>
        <w:tabs>
          <w:tab w:leader="none" w:pos="24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DGPV Holdco 1, DGPV Holdco 2 and DGPV Holdco 3</w:t>
      </w:r>
    </w:p>
    <w:p>
      <w:pPr>
        <w:ind w:left="240" w:hanging="127"/>
        <w:spacing w:after="0"/>
        <w:tabs>
          <w:tab w:leader="none" w:pos="24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Agua Caliente, Utah Solar Portfolio, Avenal, Elkhorn Ridge and San Juan Mesa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-182880</wp:posOffset>
            </wp:positionV>
            <wp:extent cx="13633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ectPr>
          <w:pgSz w:w="11900" w:h="16838" w:orient="portrait"/>
          <w:cols w:equalWidth="0" w:num="1">
            <w:col w:w="10820"/>
          </w:cols>
          <w:pgMar w:left="540" w:top="932" w:right="539"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9019"/>
          </w:cols>
          <w:pgMar w:left="1440" w:top="36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Variable Interest Entities, or VIEs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facilities and are further described below.</w:t>
      </w:r>
    </w:p>
    <w:p>
      <w:pPr>
        <w:spacing w:after="0" w:line="11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Renewables,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on March 30, 2018, the Company acquired 100% of NRG’s interest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to determine the net income or loss allocated to the tax equity investor noncontrolling interest. The Company recorded $55 million of loss attributable to noncontrolling interest in Buckthorn Renewables, LLC during the period ended December 31, 2018.</w:t>
      </w:r>
    </w:p>
    <w:p>
      <w:pPr>
        <w:spacing w:after="0" w:line="12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Wind TE Holdco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2018, Wind TE Holdco was a VIE and the Company, as the holder of Class B shares and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beneficiary through its position as managing member consolidated Wind TE Holdco. The Class A shares of Wind TE Holdco were owned by a tax equity investor, who received 99% of allocations of taxable income and other items. On January 2, the Company bought out 100% of the Class A membership interests from the TE Investor, for cash consideration of $19 million.</w:t>
      </w:r>
    </w:p>
    <w:p>
      <w:pPr>
        <w:spacing w:after="0" w:line="1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August 30, 2018, Wind TE Holdco, entered into a partnership with Clearway Renew LLC, an indirect subsidiary of CEG, in order to facilitate the repowering of wind facilities of the two of its indirect subsidiaries, Elbow Creek Wind Project LLC and Wildorado Wind LLC. Wind TE Holdco contributed its interests in the two facilities and Clearway Renew LLC contributed a turbine supply agreement, including title to certain components that qualify for production tax credits. Clearway Renew LLC paid a total of $35 million to the service provider, which was recorded to other non current assets on the Company's consolidated balance sheets as of December 31, 2018. Wind TE Holdco is the managing member of Repowering Partnership LLC and consolidates the entity, which is a VIE. Clearway Renew LLC is entitled to allocations of 21% of income, which is reflected in Wind TE Holdco’s noncontrolling interests.</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Alta TE Holdco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30, 2015, the Company sold an economic interest in Alta TE Holdco to a financial institution in order to monetize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Spring Canyon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holds 90.1% of the Class B interests in Spring Canyon II, a 32 MW wind facility, and Spring Canyon III, a 28 MW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927" w:right="239" w:bottom="1440" w:gutter="0" w:footer="0" w:header="0"/>
        </w:sectPr>
      </w:pPr>
    </w:p>
    <w:bookmarkStart w:id="89" w:name="page90"/>
    <w:bookmarkEnd w:id="89"/>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December 31, 2018:</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Wind TE Holdco</w:t>
            </w:r>
          </w:p>
        </w:tc>
        <w:tc>
          <w:tcPr>
            <w:tcW w:w="14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Alta TE Holdco</w:t>
            </w:r>
          </w:p>
        </w:tc>
        <w:tc>
          <w:tcPr>
            <w:tcW w:w="1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Spring Canyon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Buckthorn Renewables,</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LLC</w:t>
            </w:r>
          </w:p>
        </w:tc>
        <w:tc>
          <w:tcPr>
            <w:tcW w:w="0" w:type="dxa"/>
            <w:vAlign w:val="bottom"/>
          </w:tcPr>
          <w:p>
            <w:pPr>
              <w:spacing w:after="0"/>
              <w:rPr>
                <w:sz w:val="1"/>
                <w:szCs w:val="1"/>
                <w:color w:val="auto"/>
              </w:rPr>
            </w:pPr>
          </w:p>
        </w:tc>
      </w:tr>
      <w:tr>
        <w:trPr>
          <w:trHeight w:val="24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7"/>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but for which it is not considered the primary beneficiary. The Company accounts for its interests in these entities under the equity method of accounting.</w:t>
      </w:r>
    </w:p>
    <w:p>
      <w:pPr>
        <w:spacing w:after="0" w:line="10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Utah Solar Portfolio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as part of the March 2017 Drop Down Assets acquisition,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on the last day of the calendar month on which the Class B member does not have an agreed upon adjusted capital account deficit, but not prior to the 10th day after the five year anniversary of the last project to achieve its placed in service date,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2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CEG are parties to the DGPV Holdco 1 LLC partnership, or DGPV Holdco 1, the purpose of which is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or purchase solar power generation projects and other ancillary related assets from Clearway Energy Group LLC or its subsidiaries via intermediate funds. The Company owns approximately 52 MW of distributed solar capacity, based on cash to be distributed, with a weighted average contract life of 17 years. Under this partnership, the Company committed to fund up to $100 million of capital.</w:t>
      </w:r>
    </w:p>
    <w:p>
      <w:pPr>
        <w:spacing w:after="0" w:line="123"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2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CEG are parties to the DGPV Holdco 2 LLC partnership, or DGPV Holdco 2, the purpose of which is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or hold solar power generation projects as well as other ancillary related assets from Clearway Energy Group LLC or its subsidiaries. The Company owns approximately 113 MW of distributed solar capacity, based on cash to be distributed, with a weighted average contract life of 20 years. Under this partnership, the Company committed to fund up to $60 million of capital.</w:t>
      </w:r>
    </w:p>
    <w:p>
      <w:pPr>
        <w:spacing w:after="0" w:line="12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3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CEG are parties to the DGPV Holdco 3 LLC partnership, or DGPV Holdco 3, in which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invest up to $50 million in an operating portfolio of distributed solar assets, primarily comprised of community solar projects, developed by CEG. The Company owns approximately 59 MW of distributed solar capacity, based on cash to be distributed, with a weighted average contract life of approximately 21 years as of December 31, 2018. In December 2018, the Company and CEG amended the DGPV Holdco 3 partnership agreement to increase the capital commitment of $50 million to $70 million. The Company had a $9 million payable due to DGPV Holdco 3 LLC as of December 31, 2018.</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is limited to its equity investment in DGPV Holdco 1, DGPV Holdco 2 and DGPV Holdco 3, which was $260 million on a combined basis.</w:t>
      </w:r>
    </w:p>
    <w:p>
      <w:pPr>
        <w:spacing w:after="0" w:line="10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RPV Holdco 1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CEG are parties to the RPV Holdco 1 LLC partnership, or RPV Holdco, the purpose of which is to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portfolios of residential solar assets developed by NRG's residential solar business, including: (i) an existing, unlevered portfolio of over 2,200 leases across nine states representing approximately 14 MW, based on cash to be distributed, with a weighted average remaining lease term of approximately 14 years that was acquired outside of the partnership; and (ii) a tax equity-financed portfolio of approximately 5,400 leases representing approximately 30 MW, based on cash to be distributed, with a weighted average remaining lease term for the existing and new leases of approximately 17 years. The Company has fully funded the partnership as of December 31, 2017.</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931" w:right="239" w:bottom="1440" w:gutter="0" w:footer="0" w:header="0"/>
        </w:sectPr>
      </w:pPr>
    </w:p>
    <w:bookmarkStart w:id="90" w:name="page91"/>
    <w:bookmarkEnd w:id="90"/>
    <w:p>
      <w:pPr>
        <w:ind w:left="420"/>
        <w:spacing w:after="0"/>
        <w:rPr>
          <w:sz w:val="20"/>
          <w:szCs w:val="20"/>
          <w:color w:val="auto"/>
        </w:rPr>
      </w:pPr>
      <w:r>
        <w:rPr>
          <w:rFonts w:ascii="Times New Roman" w:cs="Times New Roman" w:eastAsia="Times New Roman" w:hAnsi="Times New Roman"/>
          <w:sz w:val="18"/>
          <w:szCs w:val="18"/>
          <w:color w:val="auto"/>
        </w:rPr>
        <w:t>The Company's maximum exposure to loss is limited to its equity investment, which was $29 million as of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of Financial Instruments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r>
      <w:tr>
        <w:trPr>
          <w:trHeight w:val="264"/>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including current portion</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 — affiliate</w:t>
            </w:r>
          </w:p>
        </w:tc>
        <w:tc>
          <w:tcPr>
            <w:tcW w:w="3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 — external</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5,779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5,450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5,466</w:t>
            </w:r>
          </w:p>
        </w:tc>
      </w:tr>
      <w:tr>
        <w:trPr>
          <w:trHeight w:val="27"/>
        </w:trPr>
        <w:tc>
          <w:tcPr>
            <w:tcW w:w="6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right="20" w:hanging="240"/>
        <w:spacing w:after="0" w:line="281"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right="20" w:hanging="240"/>
        <w:spacing w:after="0" w:line="281"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hanging="240"/>
        <w:spacing w:after="0" w:line="282"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affiliate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2018 and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1,358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870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5,214</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91" w:name="page92"/>
    <w:bookmarkEnd w:id="9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80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r>
      <w:tr>
        <w:trPr>
          <w:trHeight w:val="264"/>
        </w:trPr>
        <w:tc>
          <w:tcPr>
            <w:tcW w:w="5520" w:type="dxa"/>
            <w:vAlign w:val="bottom"/>
          </w:tcPr>
          <w:p>
            <w:pPr>
              <w:spacing w:after="0"/>
              <w:rPr>
                <w:sz w:val="22"/>
                <w:szCs w:val="22"/>
                <w:color w:val="auto"/>
              </w:rPr>
            </w:pPr>
          </w:p>
        </w:tc>
        <w:tc>
          <w:tcPr>
            <w:tcW w:w="1800" w:type="dxa"/>
            <w:vAlign w:val="bottom"/>
            <w:tcBorders>
              <w:bottom w:val="single" w:sz="8" w:color="auto"/>
            </w:tcBorders>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r>
      <w:tr>
        <w:trPr>
          <w:trHeight w:val="25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552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5"/>
                <w:szCs w:val="25"/>
                <w:color w:val="auto"/>
                <w:vertAlign w:val="superscript"/>
              </w:rPr>
              <w:t>(b)</w:t>
            </w:r>
          </w:p>
        </w:tc>
        <w:tc>
          <w:tcPr>
            <w:tcW w:w="1800" w:type="dxa"/>
            <w:vAlign w:val="bottom"/>
          </w:tcPr>
          <w:p>
            <w:pPr>
              <w:jc w:val="right"/>
              <w:ind w:right="159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contracts</w:t>
            </w:r>
          </w:p>
        </w:tc>
        <w:tc>
          <w:tcPr>
            <w:tcW w:w="1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55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0" w:type="dxa"/>
            <w:vAlign w:val="bottom"/>
            <w:tcBorders>
              <w:top w:val="single" w:sz="8" w:color="auto"/>
              <w:bottom w:val="single" w:sz="8" w:color="auto"/>
            </w:tcBorders>
          </w:tcPr>
          <w:p>
            <w:pPr>
              <w:jc w:val="right"/>
              <w:ind w:right="15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70"/>
        </w:trPr>
        <w:tc>
          <w:tcPr>
            <w:tcW w:w="552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5"/>
                <w:szCs w:val="25"/>
                <w:color w:val="auto"/>
                <w:vertAlign w:val="superscript"/>
              </w:rPr>
              <w:t>(b)</w:t>
            </w:r>
          </w:p>
        </w:tc>
        <w:tc>
          <w:tcPr>
            <w:tcW w:w="1800" w:type="dxa"/>
            <w:vAlign w:val="bottom"/>
          </w:tcPr>
          <w:p>
            <w:pPr>
              <w:jc w:val="right"/>
              <w:ind w:right="159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contracts</w:t>
            </w:r>
          </w:p>
        </w:tc>
        <w:tc>
          <w:tcPr>
            <w:tcW w:w="1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5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0" w:type="dxa"/>
            <w:vAlign w:val="bottom"/>
            <w:tcBorders>
              <w:top w:val="single" w:sz="8" w:color="auto"/>
              <w:bottom w:val="single" w:sz="8" w:color="auto"/>
            </w:tcBorders>
          </w:tcPr>
          <w:p>
            <w:pPr>
              <w:jc w:val="right"/>
              <w:ind w:right="15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no derivative assets or liabilities classified as Level 1 or 3 as of December 31, 2018 and 2017.</w:t>
      </w:r>
    </w:p>
    <w:p>
      <w:pPr>
        <w:spacing w:after="0" w:line="55"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fair value of commodities was not material as of December 31, 2018.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the Company's net exposure under a specific master agreement is an asset, the Company uses the counterparty's default swap rate. If the exposure under a specific master agreement is a liability, the Company uses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2018, the credit reserve was not material. It is possible that future market prices could vary from those used in recording assets and liabilities and such variations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w:t>
      </w:r>
    </w:p>
    <w:p>
      <w:pPr>
        <w:spacing w:after="0" w:line="1" w:lineRule="exact"/>
        <w:rPr>
          <w:sz w:val="20"/>
          <w:szCs w:val="20"/>
          <w:color w:val="auto"/>
        </w:rPr>
      </w:pPr>
    </w:p>
    <w:p>
      <w:pPr>
        <w:jc w:val="both"/>
        <w:ind w:firstLine="8"/>
        <w:spacing w:after="0" w:line="253" w:lineRule="auto"/>
        <w:tabs>
          <w:tab w:leader="none" w:pos="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2018, credit risk exposure to these counterparties attributable to the Company's ownership interests was approximately $2.3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928" w:right="239" w:bottom="1440" w:gutter="0" w:footer="0" w:header="0"/>
        </w:sectPr>
      </w:pPr>
    </w:p>
    <w:bookmarkStart w:id="92" w:name="page93"/>
    <w:bookmarkEnd w:id="92"/>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$17 million in accounts receivable for its consolidated projects as of December 31, 2018. All of these amounts were collected in January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2018, the Company had forward contracts for the purchase of fuel commodities relating to the forecasted usage of the Company’s district energy centers extending through 2020 and electricity contracts to supply retail power to the Company's district energy centers extending through 2020. At December 31, 2018, these contracts were not designated as cash flow or fair value hedges.</w:t>
      </w:r>
    </w:p>
    <w:p>
      <w:pPr>
        <w:spacing w:after="0" w:line="13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Also, as of December 31, 2018, the Company had other energy-related contracts that did not meet the definition of a derivative instrument or qualified for the NPNS exception and were therefore exempt from fair value accounting treatment as follows:</w:t>
      </w:r>
    </w:p>
    <w:p>
      <w:pPr>
        <w:spacing w:after="0" w:line="10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purchase agreements through 2043,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transportation contracts through 2028.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through the issuance of variable rate debt. In order to manage interest rate risk, it enters into interest rate swap agreements.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interest rate derivative instruments on non-recourse debt extending through 2041, a portion of which are designated as cash flow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MMBtu</w:t>
            </w:r>
          </w:p>
        </w:tc>
        <w:tc>
          <w:tcPr>
            <w:tcW w:w="3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w:t>
            </w:r>
          </w:p>
        </w:tc>
        <w:tc>
          <w:tcPr>
            <w:tcW w:w="4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1,862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2,050</w:t>
            </w:r>
          </w:p>
        </w:tc>
      </w:tr>
      <w:tr>
        <w:trPr>
          <w:trHeight w:val="648"/>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 xml:space="preserve">Derivative Assets </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1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Commodity contracts current </w:t>
            </w:r>
            <w:r>
              <w:rPr>
                <w:rFonts w:ascii="Times New Roman" w:cs="Times New Roman" w:eastAsia="Times New Roman" w:hAnsi="Times New Roman"/>
                <w:sz w:val="25"/>
                <w:szCs w:val="25"/>
                <w:color w:val="auto"/>
                <w:vertAlign w:val="superscript"/>
              </w:rPr>
              <w:t>(b)</w:t>
            </w: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1" w:lineRule="exact"/>
        <w:rPr>
          <w:sz w:val="20"/>
          <w:szCs w:val="20"/>
          <w:color w:val="auto"/>
        </w:rPr>
      </w:pPr>
    </w:p>
    <w:p>
      <w:pPr>
        <w:ind w:left="140" w:hanging="132"/>
        <w:spacing w:after="0"/>
        <w:tabs>
          <w:tab w:leader="none" w:pos="14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Asset balances classified as current are included within the prepayments and other current assets line item of the Consolidated Balance Sheet.</w:t>
      </w:r>
    </w:p>
    <w:p>
      <w:pPr>
        <w:spacing w:after="0" w:line="55"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fair value of commodities was not material as of December 31, 2018</w:t>
      </w:r>
    </w:p>
    <w:p>
      <w:pPr>
        <w:spacing w:after="0" w:line="3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December 31, 2018 and 2017, there was no outstanding collateral paid or received. As of December 31, 2018, the commodity balances were not material. The following tables summarize the offsetting of derivatives by counterparty master agreement level:</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8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040" w:type="dxa"/>
            <w:vAlign w:val="bottom"/>
            <w:tcBorders>
              <w:bottom w:val="single" w:sz="8" w:color="CCEEFF"/>
            </w:tcBorders>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8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040" w:type="dxa"/>
            <w:vAlign w:val="bottom"/>
            <w:tcBorders>
              <w:bottom w:val="single" w:sz="8" w:color="CCEEFF"/>
            </w:tcBorders>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1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8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20" w:type="dxa"/>
            <w:vAlign w:val="bottom"/>
          </w:tcPr>
          <w:p>
            <w:pPr>
              <w:spacing w:after="0"/>
              <w:rPr>
                <w:sz w:val="24"/>
                <w:szCs w:val="24"/>
                <w:color w:val="auto"/>
              </w:rPr>
            </w:pPr>
          </w:p>
        </w:tc>
        <w:tc>
          <w:tcPr>
            <w:tcW w:w="2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93</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7"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7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 deferred</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w:t>
            </w:r>
          </w:p>
        </w:tc>
        <w:tc>
          <w:tcPr>
            <w:tcW w:w="9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OCL ending balance</w:t>
            </w:r>
          </w:p>
        </w:tc>
        <w:tc>
          <w:tcPr>
            <w:tcW w:w="9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Clearway Energy LLC</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expected to be realized from OCL during the next 12 months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OCL into income are recorded to interest expense.</w:t>
      </w:r>
    </w:p>
    <w:p>
      <w:pPr>
        <w:spacing w:after="0" w:line="22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interest rate derivative instruments that are not designated as cash flow hedges. The effect of interest rate hedges is recorded to interest expense. For the years ended December 31, 2018, 2017 and 2016 the impact to the consolidated statements of income was a gain of $15 million, gain of $6 million and a loss of $2 million, respectively.</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The Company's intangible assets as of December 31, 2018 and 2017 primarily reflect intangible assets established from its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are comprised of the following:</w:t>
      </w:r>
    </w:p>
    <w:p>
      <w:pPr>
        <w:spacing w:after="0" w:line="104" w:lineRule="exact"/>
        <w:rPr>
          <w:sz w:val="20"/>
          <w:szCs w:val="20"/>
          <w:color w:val="auto"/>
        </w:rPr>
      </w:pPr>
    </w:p>
    <w:p>
      <w:pPr>
        <w:ind w:left="660" w:hanging="328"/>
        <w:spacing w:after="0" w:line="284"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PPAs </w:t>
      </w:r>
      <w:r>
        <w:rPr>
          <w:rFonts w:ascii="Times New Roman" w:cs="Times New Roman" w:eastAsia="Times New Roman" w:hAnsi="Times New Roman"/>
          <w:sz w:val="18"/>
          <w:szCs w:val="18"/>
          <w:color w:val="auto"/>
        </w:rPr>
        <w:t>— Established predominantly with the acquisitions of the Alta Wind Portfolio, Walnut Creek, Tapestry and Laredo Ridge, these represent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PPAs acquired. These are amortized, generally on a straight-line basis, over the term of the PPA.</w:t>
      </w:r>
    </w:p>
    <w:p>
      <w:pPr>
        <w:spacing w:after="0" w:line="50"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Leasehold Rights </w:t>
      </w:r>
      <w:r>
        <w:rPr>
          <w:rFonts w:ascii="Times New Roman" w:cs="Times New Roman" w:eastAsia="Times New Roman" w:hAnsi="Times New Roman"/>
          <w:sz w:val="18"/>
          <w:szCs w:val="18"/>
          <w:color w:val="auto"/>
        </w:rPr>
        <w:t>— Established with the acquisition of the Alta Wind Portfolio, this represents the fair value of contractual rights to receive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equal to a percentage of PPA revenue from certain projects. These are amortized on a straight-line basis.</w:t>
      </w:r>
    </w:p>
    <w:p>
      <w:pPr>
        <w:spacing w:after="0" w:line="50" w:lineRule="exact"/>
        <w:rPr>
          <w:rFonts w:ascii="Times New Roman" w:cs="Times New Roman" w:eastAsia="Times New Roman" w:hAnsi="Times New Roman"/>
          <w:sz w:val="18"/>
          <w:szCs w:val="18"/>
          <w:i w:val="1"/>
          <w:iCs w:val="1"/>
          <w:color w:val="auto"/>
        </w:rPr>
      </w:pPr>
    </w:p>
    <w:p>
      <w:pPr>
        <w:ind w:left="660" w:right="80" w:hanging="328"/>
        <w:spacing w:after="0" w:line="26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relationships </w:t>
      </w:r>
      <w:r>
        <w:rPr>
          <w:rFonts w:ascii="Times New Roman" w:cs="Times New Roman" w:eastAsia="Times New Roman" w:hAnsi="Times New Roman"/>
          <w:sz w:val="18"/>
          <w:szCs w:val="18"/>
          <w:color w:val="auto"/>
        </w:rPr>
        <w:t>— Established with the acquisition of Energy Center Phoenix and Energy Center Omaha, these intangibles represent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at the acquisition date of the businesses' customer base. The customer relationships are amortized to depreciation and amortization expense based on the expected discounted future net cash flows by year.</w:t>
      </w:r>
    </w:p>
    <w:p>
      <w:pPr>
        <w:spacing w:after="0" w:line="65" w:lineRule="exact"/>
        <w:rPr>
          <w:rFonts w:ascii="Times New Roman" w:cs="Times New Roman" w:eastAsia="Times New Roman" w:hAnsi="Times New Roman"/>
          <w:sz w:val="18"/>
          <w:szCs w:val="18"/>
          <w:color w:val="auto"/>
        </w:rPr>
      </w:pPr>
    </w:p>
    <w:p>
      <w:pPr>
        <w:ind w:left="660" w:right="60" w:hanging="328"/>
        <w:spacing w:after="0" w:line="259"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contracts </w:t>
      </w:r>
      <w:r>
        <w:rPr>
          <w:rFonts w:ascii="Times New Roman" w:cs="Times New Roman" w:eastAsia="Times New Roman" w:hAnsi="Times New Roman"/>
          <w:sz w:val="18"/>
          <w:szCs w:val="18"/>
          <w:color w:val="auto"/>
        </w:rPr>
        <w:t>— Established with the acquisition of Energy Center Phoenix, these intangibles represent the fair value at the acquisition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that primarily provide chilled water, steam and electricity to its customers. These contracts are amortized to revenues based on expected volumes.</w:t>
      </w:r>
    </w:p>
    <w:p>
      <w:pPr>
        <w:ind w:left="660" w:right="20" w:hanging="328"/>
        <w:spacing w:after="0" w:line="305"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Emission Allowances </w:t>
      </w:r>
      <w:r>
        <w:rPr>
          <w:rFonts w:ascii="Times New Roman" w:cs="Times New Roman" w:eastAsia="Times New Roman" w:hAnsi="Times New Roman"/>
          <w:sz w:val="18"/>
          <w:szCs w:val="18"/>
          <w:color w:val="auto"/>
        </w:rPr>
        <w:t>— These intangibles primarily consist of SO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w:t>
      </w:r>
      <w:r>
        <w:rPr>
          <w:rFonts w:ascii="Times New Roman" w:cs="Times New Roman" w:eastAsia="Times New Roman" w:hAnsi="Times New Roman"/>
          <w:sz w:val="14"/>
          <w:szCs w:val="14"/>
          <w:color w:val="auto"/>
        </w:rPr>
        <w: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 allowances established with the El Segundo and Walnut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Creek acquisitions. These emission allowances are held-for-use and are amortized to cost of</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928" w:right="239" w:bottom="1440" w:gutter="0" w:footer="0" w:header="0"/>
        </w:sectPr>
      </w:pPr>
    </w:p>
    <w:bookmarkStart w:id="95" w:name="page96"/>
    <w:bookmarkEnd w:id="95"/>
    <w:p>
      <w:pPr>
        <w:ind w:left="660" w:right="20"/>
        <w:spacing w:after="0" w:line="300" w:lineRule="auto"/>
        <w:rPr>
          <w:sz w:val="20"/>
          <w:szCs w:val="20"/>
          <w:color w:val="auto"/>
        </w:rPr>
      </w:pPr>
      <w:r>
        <w:rPr>
          <w:rFonts w:ascii="Times New Roman" w:cs="Times New Roman" w:eastAsia="Times New Roman" w:hAnsi="Times New Roman"/>
          <w:sz w:val="22"/>
          <w:szCs w:val="22"/>
          <w:color w:val="auto"/>
        </w:rPr>
        <w:t>operations, with NO</w:t>
      </w:r>
      <w:r>
        <w:rPr>
          <w:rFonts w:ascii="Times New Roman" w:cs="Times New Roman" w:eastAsia="Times New Roman" w:hAnsi="Times New Roman"/>
          <w:sz w:val="14"/>
          <w:szCs w:val="14"/>
          <w:color w:val="auto"/>
        </w:rPr>
        <w:t>x</w:t>
      </w:r>
      <w:r>
        <w:rPr>
          <w:rFonts w:ascii="Times New Roman" w:cs="Times New Roman" w:eastAsia="Times New Roman" w:hAnsi="Times New Roman"/>
          <w:sz w:val="22"/>
          <w:szCs w:val="22"/>
          <w:color w:val="auto"/>
        </w:rPr>
        <w:t xml:space="preserve"> allowances amortized on a straight-line basis and SO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2"/>
          <w:szCs w:val="22"/>
          <w:color w:val="auto"/>
        </w:rPr>
        <w:t xml:space="preserve"> allowances amortized based on units of production.</w:t>
      </w:r>
    </w:p>
    <w:p>
      <w:pPr>
        <w:spacing w:after="0" w:line="6" w:lineRule="exact"/>
        <w:rPr>
          <w:sz w:val="20"/>
          <w:szCs w:val="20"/>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b) development rights related to certain solar businesses acquired in 2010 and 2011.</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components of intangible assets subject to amortization: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6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PPAs</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Emission</w:t>
            </w:r>
          </w:p>
        </w:tc>
        <w:tc>
          <w:tcPr>
            <w:tcW w:w="200" w:type="dxa"/>
            <w:vAlign w:val="bottom"/>
          </w:tcPr>
          <w:p>
            <w:pPr>
              <w:spacing w:after="0"/>
              <w:rPr>
                <w:sz w:val="13"/>
                <w:szCs w:val="13"/>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5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160" w:type="dxa"/>
            <w:vAlign w:val="bottom"/>
          </w:tcPr>
          <w:p>
            <w:pPr>
              <w:spacing w:after="0"/>
              <w:rPr>
                <w:sz w:val="13"/>
                <w:szCs w:val="13"/>
                <w:color w:val="auto"/>
              </w:rPr>
            </w:pPr>
          </w:p>
        </w:tc>
        <w:tc>
          <w:tcPr>
            <w:tcW w:w="9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354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57"/>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260" w:type="dxa"/>
            <w:vAlign w:val="bottom"/>
          </w:tcPr>
          <w:p>
            <w:pPr>
              <w:spacing w:after="0"/>
              <w:rPr>
                <w:sz w:val="23"/>
                <w:szCs w:val="23"/>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PPAs</w:t>
            </w:r>
          </w:p>
        </w:tc>
        <w:tc>
          <w:tcPr>
            <w:tcW w:w="160" w:type="dxa"/>
            <w:vAlign w:val="bottom"/>
          </w:tcPr>
          <w:p>
            <w:pPr>
              <w:spacing w:after="0"/>
              <w:rPr>
                <w:sz w:val="23"/>
                <w:szCs w:val="2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8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23"/>
                <w:szCs w:val="2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Emission</w:t>
            </w:r>
          </w:p>
        </w:tc>
        <w:tc>
          <w:tcPr>
            <w:tcW w:w="200" w:type="dxa"/>
            <w:vAlign w:val="bottom"/>
          </w:tcPr>
          <w:p>
            <w:pPr>
              <w:spacing w:after="0"/>
              <w:rPr>
                <w:sz w:val="23"/>
                <w:szCs w:val="23"/>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3"/>
                <w:szCs w:val="23"/>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5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160" w:type="dxa"/>
            <w:vAlign w:val="bottom"/>
          </w:tcPr>
          <w:p>
            <w:pPr>
              <w:spacing w:after="0"/>
              <w:rPr>
                <w:sz w:val="13"/>
                <w:szCs w:val="13"/>
                <w:color w:val="auto"/>
              </w:rPr>
            </w:pPr>
          </w:p>
        </w:tc>
        <w:tc>
          <w:tcPr>
            <w:tcW w:w="9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354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January 1, 2017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Impairments </w:t>
            </w:r>
            <w:r>
              <w:rPr>
                <w:rFonts w:ascii="Times New Roman" w:cs="Times New Roman" w:eastAsia="Times New Roman" w:hAnsi="Times New Roman"/>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2017</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57"/>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$6 million of asset impairments relate to one of the November 2017 Drop Down Assets that was recorded by NRG during the quarter ended September 30, 2017, as further described in Note 9, </w:t>
      </w:r>
      <w:r>
        <w:rPr>
          <w:rFonts w:ascii="Times New Roman" w:cs="Times New Roman" w:eastAsia="Times New Roman" w:hAnsi="Times New Roman"/>
          <w:sz w:val="13"/>
          <w:szCs w:val="13"/>
          <w:i w:val="1"/>
          <w:iCs w:val="1"/>
          <w:color w:val="auto"/>
        </w:rPr>
        <w:t>Asset Impairments.</w:t>
      </w:r>
    </w:p>
    <w:p>
      <w:pPr>
        <w:spacing w:after="0" w:line="200" w:lineRule="exact"/>
        <w:rPr>
          <w:sz w:val="20"/>
          <w:szCs w:val="20"/>
          <w:color w:val="auto"/>
        </w:rPr>
      </w:pPr>
    </w:p>
    <w:p>
      <w:pPr>
        <w:spacing w:after="0" w:line="2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of $71 million during the years ended December 31, 2018, 2017 and 2016. Of these amounts, $70 million for the years ended December 31, 2018, 2017 and 2016 were recorded to contract amortization expense and reduced operating revenues in the consolidated statements of operations. The Company estimates the future amortization expense for its intangibles to be $71 million for the next five years through 2023.</w:t>
      </w:r>
    </w:p>
    <w:p>
      <w:pPr>
        <w:spacing w:after="0" w:line="12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Out-of-market contracts </w:t>
      </w:r>
      <w:r>
        <w:rPr>
          <w:rFonts w:ascii="Times New Roman" w:cs="Times New Roman" w:eastAsia="Times New Roman" w:hAnsi="Times New Roman"/>
          <w:sz w:val="18"/>
          <w:szCs w:val="18"/>
          <w:color w:val="auto"/>
        </w:rPr>
        <w:t>— The out-of-market contract liability represents the out-of-market value of the PPAs for the Blythe solar project and Spring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Canyon wind projects and the out-of-market value of the land lease for Alta Wind XI, LLC, as of their respective acquisition dates. The Blythe solar project's liability of $7 million was recorded to other non-current liabilities on the consolidated balance sheet and is amortized to revenue in the consolidated statements of income on a units-of-production basis over the twenty-year term of the agreement. Spring Canyon's liability of $3 million was recorded to other non-current liabilities and is amortized to revenue on a straight-line basis over the twenty-five year term of the agreement. The Alta Wind XI, LLC's liability of $5 million was recorded to other non-current liabilities and is amortized as a reduction to cost of operations on a straight-line basis over the thirty-four year term of the land lease. At December 31, 2018, accumulated amortization of out-of-market contracts was $4 million and amortization expense was $1 million for each of the years ended December 31, 2018 and 2017.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Asset Impairments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3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accordance with the guidance for transfer of assets under common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89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control, the impairment is reflected in the Company's consolidated statements of operations for the period ended December 31, 2018.</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2016, as the Company updated its estimated cash flows in connection with the preparation and review of the Company's annual budget, the Company determined that the cash flows for the Elbow Creek and Goat Wind projects and the Forward project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as part of the Renewables segment of the Company. The projects were recorded at historical cost at acquisition date as they were related to interests under 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Impairments — During the fourth quarter of 2016, NRG recorded impairment losses of approximately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periods ending December 31,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931"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borrowings, including short term and long term portions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Interest rate % </w:t>
            </w:r>
            <w:r>
              <w:rPr>
                <w:rFonts w:ascii="Times New Roman" w:cs="Times New Roman" w:eastAsia="Times New Roman" w:hAnsi="Times New Roman"/>
                <w:sz w:val="8"/>
                <w:szCs w:val="8"/>
                <w:b w:val="1"/>
                <w:bCs w:val="1"/>
                <w:color w:val="auto"/>
              </w:rPr>
              <w:t>(a)</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 affiliate, due 2019</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 - affiliate, due 2020</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2024 Senior Notes</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2025 Senior Notes</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2026 Senior Notes</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Clearway Energy LLC and Clearway Energy Operating LLC Revolving Credit Facility, due</w:t>
            </w:r>
          </w:p>
        </w:tc>
        <w:tc>
          <w:tcPr>
            <w:tcW w:w="46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360" w:type="dxa"/>
            <w:vAlign w:val="bottom"/>
          </w:tcPr>
          <w:p>
            <w:pPr>
              <w:spacing w:after="0"/>
              <w:rPr>
                <w:sz w:val="13"/>
                <w:szCs w:val="13"/>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L+1.75</w:t>
            </w:r>
          </w:p>
        </w:tc>
        <w:tc>
          <w:tcPr>
            <w:tcW w:w="14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3"/>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2019 </w:t>
            </w:r>
            <w:r>
              <w:rPr>
                <w:rFonts w:ascii="Times New Roman" w:cs="Times New Roman" w:eastAsia="Times New Roman" w:hAnsi="Times New Roman"/>
                <w:sz w:val="8"/>
                <w:szCs w:val="8"/>
                <w:color w:val="auto"/>
              </w:rPr>
              <w:t>(b)</w:t>
            </w:r>
          </w:p>
        </w:tc>
        <w:tc>
          <w:tcPr>
            <w:tcW w:w="4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Project-level debt: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Agua Caliente Borrower 2, due 2038 </w:t>
            </w:r>
            <w:r>
              <w:rPr>
                <w:rFonts w:ascii="Times New Roman" w:cs="Times New Roman" w:eastAsia="Times New Roman" w:hAnsi="Times New Roman"/>
                <w:sz w:val="8"/>
                <w:szCs w:val="8"/>
                <w:color w:val="auto"/>
              </w:rPr>
              <w:t>(c)</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1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Alpine, due 2022 </w:t>
            </w:r>
            <w:r>
              <w:rPr>
                <w:rFonts w:ascii="Times New Roman" w:cs="Times New Roman" w:eastAsia="Times New Roman" w:hAnsi="Times New Roman"/>
                <w:sz w:val="8"/>
                <w:szCs w:val="8"/>
                <w:color w:val="auto"/>
              </w:rPr>
              <w:t>(c)</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L+1.750</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Alta Wind I - V lease financing arrangements, due 2034 and 2035</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926</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5.696 - 7.015</w:t>
            </w:r>
          </w:p>
        </w:tc>
        <w:tc>
          <w:tcPr>
            <w:tcW w:w="1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Buckthorn Solar, due 2025</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L+1.750</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CVSR, due 2037 </w:t>
            </w:r>
            <w:r>
              <w:rPr>
                <w:rFonts w:ascii="Times New Roman" w:cs="Times New Roman" w:eastAsia="Times New Roman" w:hAnsi="Times New Roman"/>
                <w:sz w:val="8"/>
                <w:szCs w:val="8"/>
                <w:color w:val="auto"/>
              </w:rPr>
              <w:t>(c)</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746</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2.339 - 3.775</w:t>
            </w:r>
          </w:p>
        </w:tc>
        <w:tc>
          <w:tcPr>
            <w:tcW w:w="1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CVSR Holdco Notes, due 2037 </w:t>
            </w:r>
            <w:r>
              <w:rPr>
                <w:rFonts w:ascii="Times New Roman" w:cs="Times New Roman" w:eastAsia="Times New Roman" w:hAnsi="Times New Roman"/>
                <w:sz w:val="8"/>
                <w:szCs w:val="8"/>
                <w:color w:val="auto"/>
              </w:rPr>
              <w:t>(c)</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 Segundo Energy Center, due 2023</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36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L+1.75 - L+2.375</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Energy Center Minneapolis Series C, D, E, F, G, H Notes, due 2025-2037</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various</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Laredo Ridge, due 2028</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L+1.875</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Kansas South, due 2030 </w:t>
            </w:r>
            <w:r>
              <w:rPr>
                <w:rFonts w:ascii="Times New Roman" w:cs="Times New Roman" w:eastAsia="Times New Roman" w:hAnsi="Times New Roman"/>
                <w:sz w:val="8"/>
                <w:szCs w:val="8"/>
                <w:color w:val="auto"/>
              </w:rPr>
              <w:t>(c)</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L+2.00</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Marsh Landing, due 2023 </w:t>
            </w:r>
            <w:r>
              <w:rPr>
                <w:rFonts w:ascii="Times New Roman" w:cs="Times New Roman" w:eastAsia="Times New Roman" w:hAnsi="Times New Roman"/>
                <w:sz w:val="8"/>
                <w:szCs w:val="8"/>
                <w:color w:val="auto"/>
              </w:rPr>
              <w:t>(c)</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w:t>
            </w:r>
          </w:p>
        </w:tc>
        <w:tc>
          <w:tcPr>
            <w:tcW w:w="36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L+2.125</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 Trent Wind, due 2020</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L+1.625</w:t>
            </w: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Tapestry, due 2021</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36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L+1.625</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Utah Solar Portfolio, due 2022</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various</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Viento, due 2023</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c>
          <w:tcPr>
            <w:tcW w:w="360" w:type="dxa"/>
            <w:vAlign w:val="bottom"/>
          </w:tcPr>
          <w:p>
            <w:pPr>
              <w:spacing w:after="0"/>
              <w:rPr>
                <w:sz w:val="23"/>
                <w:szCs w:val="2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L+2.00</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Walnut Creek, due 2023</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L+1.75</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65"/>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361</w:t>
            </w:r>
          </w:p>
        </w:tc>
        <w:tc>
          <w:tcPr>
            <w:tcW w:w="36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4"/>
                <w:szCs w:val="14"/>
                <w:color w:val="auto"/>
              </w:rPr>
              <w:t>various</w:t>
            </w:r>
          </w:p>
        </w:tc>
        <w:tc>
          <w:tcPr>
            <w:tcW w:w="14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Subtotal project-level debt</w:t>
            </w: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4,329</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4,545</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6,068</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current maturities</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net debt issuance costs</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6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debt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97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68" w:lineRule="exact"/>
        <w:rPr>
          <w:sz w:val="20"/>
          <w:szCs w:val="20"/>
          <w:color w:val="auto"/>
        </w:rPr>
      </w:pPr>
    </w:p>
    <w:p>
      <w:pPr>
        <w:ind w:left="180" w:right="20" w:hanging="172"/>
        <w:spacing w:after="0" w:line="241" w:lineRule="auto"/>
        <w:tabs>
          <w:tab w:leader="none" w:pos="153"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2018, L+ equals 3 month LIBOR plus x%, except for Viento, due 2023 and Kansas South, due 2030, where L + equals 6 month LIBOR plus 2.00% and Utah Solar Portfolio, where L+equals 1 month LIBOR plus x%.</w:t>
      </w:r>
    </w:p>
    <w:p>
      <w:pPr>
        <w:ind w:left="140" w:hanging="132"/>
        <w:spacing w:after="0"/>
        <w:tabs>
          <w:tab w:leader="none" w:pos="14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Applicable rate is determined by the borrower leverage ratio, as defined in the credit agreement.</w:t>
      </w:r>
    </w:p>
    <w:p>
      <w:pPr>
        <w:spacing w:after="0" w:line="36" w:lineRule="exact"/>
        <w:rPr>
          <w:rFonts w:ascii="Times New Roman" w:cs="Times New Roman" w:eastAsia="Times New Roman" w:hAnsi="Times New Roman"/>
          <w:sz w:val="9"/>
          <w:szCs w:val="9"/>
          <w:color w:val="auto"/>
        </w:rPr>
      </w:pPr>
    </w:p>
    <w:p>
      <w:pPr>
        <w:jc w:val="both"/>
        <w:ind w:left="180" w:hanging="172"/>
        <w:spacing w:after="0" w:line="227" w:lineRule="auto"/>
        <w:tabs>
          <w:tab w:leader="none" w:pos="167"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231F20"/>
        </w:rPr>
        <w:t>On January 29, 2019, PG&amp;E filed for bankruptcy under Chapter 11 of the U.S. Bankruptcy Code. The Company has non-recourse project-level debt, and in some cases holding company debt, related to each of its subsidiaries that sell their output to PG&amp;E under long-term PPAs. The PG&amp;E bankruptcy filing is an event of default under the related financing agreements, and as a result, the respective lenders under these arrangements may accelerate the repayment of these debt balances. In addition, the event of default may have an impact on the Company’s ability to distribute cash from the project-level cash accounts to the parent entities. The Company continues to operate the projects in the normal course of business and is currently in the process of negotiating forbearance agreements with the related lenders.</w:t>
      </w:r>
    </w:p>
    <w:p>
      <w:pPr>
        <w:spacing w:after="0" w:line="27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December 31, 2018, the Company was in compliance with all of the required covenants.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spacing w:after="0" w:line="17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 borrowed $55 million from the revolving credit facility during the </w:t>
      </w:r>
      <w:r>
        <w:rPr>
          <w:rFonts w:ascii="Times New Roman" w:cs="Times New Roman" w:eastAsia="Times New Roman" w:hAnsi="Times New Roman"/>
          <w:sz w:val="18"/>
          <w:szCs w:val="18"/>
          <w:color w:val="000000"/>
        </w:rPr>
        <w:t>year ended</w:t>
      </w:r>
      <w:r>
        <w:rPr>
          <w:rFonts w:ascii="Times New Roman" w:cs="Times New Roman" w:eastAsia="Times New Roman" w:hAnsi="Times New Roman"/>
          <w:sz w:val="18"/>
          <w:szCs w:val="18"/>
          <w:color w:val="231F20"/>
        </w:rPr>
        <w:t xml:space="preserve"> December 31, 2017 for general corporate needs as well as to fund dividend payments.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927" w:right="239" w:bottom="1440" w:gutter="0" w:footer="0" w:header="0"/>
        </w:sectPr>
      </w:pPr>
    </w:p>
    <w:bookmarkStart w:id="98" w:name="page99"/>
    <w:bookmarkEnd w:id="98"/>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April 30, 2018, the Company closed on the refinancing of the revolving credit facility, which extended the maturity of the facility to April 28, 2023, and decreased the Company's overall cost of borrowing from L+2.50% to L+1.75%. The applicable rate is determined by the borrower leverage ratio, as defined in the credit agreement, and was L+1.75% as of December 31, 2018. The facility will continue to be used for general corporate purposes including financing of future acquisitions and posting letters of credit.</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On October 9, 2018, the Company terminated certain letters of credit relating to certain project PPAs in exchange for a one-time payment, which reduced the outstanding letters of credit under the revolving credit facility. 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there were no outstanding borrowings under the revolving credit facility and the Company had $41 million of letters of credit outstanding.</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Bridge Credit Agreement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31, 2018, the Company entered into a senior unsecured 364-day bridge credit agreement, or the Bridge Credit Agreement, which provided total borrowings of up to a maximum amount of $1.5 billion at a rate per annum equal to LIBOR or a base rate plus an applicable margin equal to 3.00% in the case of LIBOR loans and 2.00% in the case of base rate loans.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October 2018, the Company reduced the lenders' commitments under the bridge agreement from $1.5 billion to $867.5 million following the offering of the 2025 Senior Notes and the convertible notes tender offer results, each described below. On October 31, 2018, the Company terminated the Bridge Credit Agreement.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October 1, 2018, Clearway Energy Operating LLC issued $600 million of senior unsecured notes, or the 2025 Senior Notes. The 2025 Senior Notes bear interest at 5.750% and mature on October 15, 2025. Interest on the 2025 Senior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 The proceeds from the 2025 Senior Notes were partially used to repay the 2019 Convertible Notes.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2019 Convertible Notes Open Market Repurchases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August 2018, the Company repurchased an aggregate principal amount of $16 million of the 2019 Convertible Notes in open market transactions. The repurchases were funded through a partial repayment of the intercompany note between Clearway Energy Operating LLC and Clearway Energy, Inc., which was reduced by $16 million.</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January 2019, the Company repurchased an additional aggregate principal amount of $50 million of the 2019 Convertible Notes in open market transactions. The repurchase was funded through a partial repayment of the intercompany note between Clearway Energy Operating LLC and Clearway Energy, Inc., which was reduced by $50 million.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2019 Convertible Notes and 2020 Convertible Notes Tender Offer</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September 10, 2018, pursuant to the 2019 Convertible Notes and the 2020 Convertible Notes indentures, Clearway Energy, Inc. delivered to the holders of the 2019 Convertible Notes and the 2020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$216 million aggregate principal amount of the intercompany note due 2019 remained outstanding and $44 million aggregate principal amount of the intercompany note due 2020 remained outstanding as of December 31, 2018. The 2019 Convertible Notes matured on February 1, 2019 and Clearway Energy, Inc. paid off the remaining balance of an aggregate principal amount of $170 million, which was funded through the payment of the remaining balance of the intercompany note due 2019 between Clearway Energy Operating LLC and Clearway Energy, Inc..</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931"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auto"/>
        </w:rPr>
        <w:t>Project - level Debt</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Energy Center Minneapolis Series E, F, G, H Notes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19, 2018,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6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7"/>
        </w:trPr>
        <w:tc>
          <w:tcPr>
            <w:tcW w:w="5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 Center Minneapolis Series E Notes, due 2033</w:t>
            </w:r>
          </w:p>
        </w:tc>
        <w:tc>
          <w:tcPr>
            <w:tcW w:w="2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 Center Minneapolis Series F Notes, due 2033</w:t>
            </w:r>
          </w:p>
        </w:tc>
        <w:tc>
          <w:tcPr>
            <w:tcW w:w="2260" w:type="dxa"/>
            <w:vAlign w:val="bottom"/>
          </w:tcPr>
          <w:p>
            <w:pPr>
              <w:spacing w:after="0"/>
              <w:rPr>
                <w:sz w:val="21"/>
                <w:szCs w:val="21"/>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5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 Center Minneapolis Series G Notes, due 2035</w:t>
            </w:r>
          </w:p>
        </w:tc>
        <w:tc>
          <w:tcPr>
            <w:tcW w:w="2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 Center Minneapolis Series H Notes, due 2037</w:t>
            </w:r>
          </w:p>
        </w:tc>
        <w:tc>
          <w:tcPr>
            <w:tcW w:w="2260" w:type="dxa"/>
            <w:vAlign w:val="bottom"/>
          </w:tcPr>
          <w:p>
            <w:pPr>
              <w:spacing w:after="0"/>
              <w:rPr>
                <w:sz w:val="21"/>
                <w:szCs w:val="21"/>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8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proceeds</w:t>
            </w: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203</w:t>
            </w:r>
          </w:p>
        </w:tc>
        <w:tc>
          <w:tcPr>
            <w:tcW w:w="18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43"/>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Energy Center Minneapolis Series C Notes, due 2025</w:t>
            </w: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78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borrowings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w:t>
            </w:r>
          </w:p>
        </w:tc>
        <w:tc>
          <w:tcPr>
            <w:tcW w:w="1880" w:type="dxa"/>
            <w:vAlign w:val="bottom"/>
            <w:tcBorders>
              <w:bottom w:val="single" w:sz="8" w:color="CCEEFF"/>
            </w:tcBorders>
            <w:shd w:val="clear" w:color="auto" w:fill="CCEEFF"/>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proceeds from the sale of the Series E Notes and the Series F Notes were utilized to finance the acquisition of the UPMC Thermal Project as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The Series G Notes were used to refinance the Series C Notes as noted above in the table. The Series H Notes were used to make a dividend to Clearway Energy Operating LLC.</w:t>
      </w:r>
    </w:p>
    <w:p>
      <w:pPr>
        <w:spacing w:after="0" w:line="12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amended and restated Thermal note purchase and private shelf agreement also established a private shelf facility for the future issuance of notes in the amount of $40 million.</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Buckthorn Solar Drop Down Asset Debt</w:t>
      </w:r>
    </w:p>
    <w:p>
      <w:pPr>
        <w:spacing w:after="0" w:line="173"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color w:val="auto"/>
        </w:rPr>
        <w:t xml:space="preserve">As part of the Buckthorn Solar Drop Down Asset acquisition, as further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contribution from the Class A member in the amount of $80 million upon the project reaching substantial completion in May 2018.</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November 2017 Drop Down Assets Debt</w:t>
      </w:r>
    </w:p>
    <w:p>
      <w:pPr>
        <w:spacing w:after="0" w:line="17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As part of the November 2017 Drop Down acquisition, the Company assumed non-recourse debt of $26 million relating to certain SPP funds. The assumed debt consisted of the following: a) a term loan under a credit agreement with a bank, with a maturity date of December 31, 2038 and interest rate of 4.69%. The credit agreement includes a letter of credit supporting debt service requirements and a letter of credit in support of the PPA; b) and financing obligation in connection with a sale-leaseback transaction with a bank for a period through March 31, 2032. The company will accrete the financing obligation over the lease term based on the lease's implicit interest rate of 8%.</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923" w:right="239" w:bottom="1440" w:gutter="0" w:footer="0" w:header="0"/>
        </w:sectPr>
      </w:pPr>
    </w:p>
    <w:bookmarkStart w:id="100" w:name="page101"/>
    <w:bookmarkEnd w:id="100"/>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Agua Caliente Borrower 2, due 2038</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held $39 million of the Agua Caliente Holdco debt as of December 31, 2018.</w:t>
      </w:r>
    </w:p>
    <w:p>
      <w:pPr>
        <w:spacing w:after="0" w:line="13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debt is joint and several with respect to Agua Caliente Borrower 1 LLC and Agua Caliente Borrower 2 LLC and is secured by the equity interests of each borrower in the Agua Caliente solar facility.</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Utah Solar Portfolio, due 2022</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held $267 million of the Utah Solar Portfolio debt as of December 31,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Project Financings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swaps, some of which are forward starting as indicated, related to the Company's project level debt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Notional Amount at</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Floating Interest Rate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2018 (In</w:t>
            </w:r>
          </w:p>
        </w:tc>
        <w:tc>
          <w:tcPr>
            <w:tcW w:w="100" w:type="dxa"/>
            <w:vAlign w:val="bottom"/>
          </w:tcPr>
          <w:p>
            <w:pPr>
              <w:spacing w:after="0"/>
              <w:rPr>
                <w:sz w:val="12"/>
                <w:szCs w:val="12"/>
                <w:color w:val="auto"/>
              </w:rPr>
            </w:pPr>
          </w:p>
        </w:tc>
        <w:tc>
          <w:tcPr>
            <w:tcW w:w="16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0" w:type="dxa"/>
            <w:vAlign w:val="bottom"/>
            <w:vMerge w:val="restart"/>
          </w:tcPr>
          <w:p>
            <w:pPr>
              <w:spacing w:after="0"/>
              <w:rPr>
                <w:sz w:val="12"/>
                <w:szCs w:val="12"/>
                <w:color w:val="auto"/>
              </w:rPr>
            </w:pPr>
          </w:p>
        </w:tc>
        <w:tc>
          <w:tcPr>
            <w:tcW w:w="16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Alpine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Avra Valley</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November 30, 2012</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November 30, 2030</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AWAM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May 22, 2013</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May 15, 2031</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Blythe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25, 2010</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25, 2028</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Borrego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April 3, 2013</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2020</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Buckthorn Solar</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23"/>
                <w:szCs w:val="2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28, 2018</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31, 2041</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El Segundo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Kansas South</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28, 2013</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31, 2030</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Laredo Ridge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2011</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2026</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Marsh Landing</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28, 2013</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30, 2023</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Roadrunner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September 30, 2011</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2029</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South Trent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June 15, 2010</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14, 2020</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 Trent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2020</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14, 2028</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Tapestry</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30, 2011</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21, 2021</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Tapestry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21, 2021</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21, 2029</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Utah Solar Portfolio</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September 30, 2036</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Viento Funding II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0" w:type="dxa"/>
            <w:vAlign w:val="bottom"/>
          </w:tcPr>
          <w:p>
            <w:pPr>
              <w:spacing w:after="0"/>
              <w:rPr>
                <w:sz w:val="1"/>
                <w:szCs w:val="1"/>
                <w:color w:val="auto"/>
              </w:rPr>
            </w:pPr>
          </w:p>
        </w:tc>
      </w:tr>
      <w:tr>
        <w:trPr>
          <w:trHeight w:val="26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Viento Funding II</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w:t>
            </w:r>
          </w:p>
        </w:tc>
        <w:tc>
          <w:tcPr>
            <w:tcW w:w="120" w:type="dxa"/>
            <w:vAlign w:val="bottom"/>
          </w:tcPr>
          <w:p>
            <w:pPr>
              <w:spacing w:after="0"/>
              <w:rPr>
                <w:sz w:val="23"/>
                <w:szCs w:val="23"/>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6-Month LIBOR</w:t>
            </w:r>
          </w:p>
        </w:tc>
        <w:tc>
          <w:tcPr>
            <w:tcW w:w="10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July 11, 2023</w:t>
            </w:r>
          </w:p>
        </w:tc>
        <w:tc>
          <w:tcPr>
            <w:tcW w:w="1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30, 2028</w:t>
            </w:r>
          </w:p>
        </w:tc>
        <w:tc>
          <w:tcPr>
            <w:tcW w:w="0" w:type="dxa"/>
            <w:vAlign w:val="bottom"/>
          </w:tcPr>
          <w:p>
            <w:pPr>
              <w:spacing w:after="0"/>
              <w:rPr>
                <w:sz w:val="1"/>
                <w:szCs w:val="1"/>
                <w:color w:val="auto"/>
              </w:rPr>
            </w:pPr>
          </w:p>
        </w:tc>
      </w:tr>
      <w:tr>
        <w:trPr>
          <w:trHeight w:val="275"/>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Walnut Creek Energy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28, 2013</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May 31, 2023</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WCEP Holdings</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4.003%</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3-Month LIBOR</w:t>
            </w: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June 28, 2013</w:t>
            </w:r>
          </w:p>
        </w:tc>
        <w:tc>
          <w:tcPr>
            <w:tcW w:w="1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May 31, 2023</w:t>
            </w:r>
          </w:p>
        </w:tc>
        <w:tc>
          <w:tcPr>
            <w:tcW w:w="0" w:type="dxa"/>
            <w:vAlign w:val="bottom"/>
          </w:tcPr>
          <w:p>
            <w:pPr>
              <w:spacing w:after="0"/>
              <w:rPr>
                <w:sz w:val="1"/>
                <w:szCs w:val="1"/>
                <w:color w:val="auto"/>
              </w:rPr>
            </w:pPr>
          </w:p>
        </w:tc>
      </w:tr>
      <w:tr>
        <w:trPr>
          <w:trHeight w:val="242"/>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927"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Maturities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Annual payments based on the maturities of the Company's debt, for the years ending after December 31, 2018, are as follows:</w:t>
            </w:r>
          </w:p>
        </w:tc>
        <w:tc>
          <w:tcPr>
            <w:tcW w:w="1560" w:type="dxa"/>
            <w:vAlign w:val="bottom"/>
          </w:tcPr>
          <w:p>
            <w:pPr>
              <w:spacing w:after="0"/>
              <w:rPr>
                <w:sz w:val="20"/>
                <w:szCs w:val="20"/>
                <w:color w:val="auto"/>
              </w:rPr>
            </w:pPr>
          </w:p>
        </w:tc>
      </w:tr>
      <w:tr>
        <w:trPr>
          <w:trHeight w:val="522"/>
        </w:trPr>
        <w:tc>
          <w:tcPr>
            <w:tcW w:w="92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9"/>
        </w:trPr>
        <w:tc>
          <w:tcPr>
            <w:tcW w:w="9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r>
      <w:tr>
        <w:trPr>
          <w:trHeight w:val="243"/>
        </w:trPr>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9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447</w:t>
            </w:r>
          </w:p>
        </w:tc>
      </w:tr>
      <w:tr>
        <w:trPr>
          <w:trHeight w:val="243"/>
        </w:trPr>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9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3,622</w:t>
            </w:r>
          </w:p>
        </w:tc>
      </w:tr>
      <w:tr>
        <w:trPr>
          <w:trHeight w:val="27"/>
        </w:trPr>
        <w:tc>
          <w:tcPr>
            <w:tcW w:w="9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6,038</w:t>
            </w:r>
          </w:p>
        </w:tc>
      </w:tr>
      <w:tr>
        <w:trPr>
          <w:trHeight w:val="20"/>
        </w:trPr>
        <w:tc>
          <w:tcPr>
            <w:tcW w:w="9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00"/>
          </w:cols>
          <w:pgMar w:left="240" w:top="928"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Members' Equity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Class B, Class C and Class D units during the year ended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 2018</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2018</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2018</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2018</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Distributions per Class A and Class B units</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Distributions per Class C and Class D units</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0.331</w:t>
            </w:r>
          </w:p>
        </w:tc>
        <w:tc>
          <w:tcPr>
            <w:tcW w:w="120" w:type="dxa"/>
            <w:vAlign w:val="bottom"/>
          </w:tcPr>
          <w:p>
            <w:pPr>
              <w:spacing w:after="0"/>
              <w:rPr>
                <w:sz w:val="21"/>
                <w:szCs w:val="21"/>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0.309</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0.298</w:t>
            </w:r>
          </w:p>
        </w:tc>
      </w:tr>
    </w:tbl>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February 12, 2019, the Company declared a quarterly distribution on its Class A, Class B, Class C and Class D units of $0.20 per share payable on March 15, 2019.</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During 2018, 2017, and 2016, the Company acquired the Drop Down Assets from NRG, as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The difference between the cash paid and historical value of the acquired Drop Down Assets was recorded as a distribution to/contribution from NRG with the offset to contributed capital. Prior to the date of acquisition, certain of the projects made distributions to NRG and NRG made contributions into certain projects. These amounts are reflected within the Company’s statement of members’ equity as changes in the contributed capital balance.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927" w:right="239" w:bottom="1440" w:gutter="0" w:footer="0" w:header="0"/>
        </w:sectPr>
      </w:pPr>
    </w:p>
    <w:bookmarkStart w:id="103" w:name="page104"/>
    <w:bookmarkEnd w:id="103"/>
    <w:p>
      <w:pPr>
        <w:ind w:left="420"/>
        <w:spacing w:after="0"/>
        <w:rPr>
          <w:sz w:val="20"/>
          <w:szCs w:val="20"/>
          <w:color w:val="auto"/>
        </w:rPr>
      </w:pPr>
      <w:r>
        <w:rPr>
          <w:rFonts w:ascii="Times New Roman" w:cs="Times New Roman" w:eastAsia="Times New Roman" w:hAnsi="Times New Roman"/>
          <w:sz w:val="18"/>
          <w:szCs w:val="18"/>
          <w:color w:val="auto"/>
        </w:rPr>
        <w:t>The Company generated more than 10% of its revenues from the following customers for the years ended December 31, 2018, 2017 and 2016: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Conventional (%)</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 (%)</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Conventional (%)</w:t>
            </w:r>
          </w:p>
        </w:tc>
        <w:tc>
          <w:tcPr>
            <w:tcW w:w="12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Renewables (%)</w:t>
            </w:r>
          </w:p>
        </w:tc>
        <w:tc>
          <w:tcPr>
            <w:tcW w:w="14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Conventional (%)</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SCE</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PG&amp;E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419"/>
              <w:spacing w:after="0"/>
              <w:rPr>
                <w:sz w:val="20"/>
                <w:szCs w:val="20"/>
                <w:color w:val="auto"/>
              </w:rPr>
            </w:pPr>
            <w:r>
              <w:rPr>
                <w:rFonts w:ascii="Times New Roman" w:cs="Times New Roman" w:eastAsia="Times New Roman" w:hAnsi="Times New Roman"/>
                <w:sz w:val="16"/>
                <w:szCs w:val="16"/>
                <w:color w:val="auto"/>
                <w:w w:val="95"/>
              </w:rPr>
              <w:t>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5"/>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2"/>
                <w:szCs w:val="12"/>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Operating revenues </w:t>
            </w:r>
            <w:r>
              <w:rPr>
                <w:rFonts w:ascii="Times New Roman" w:cs="Times New Roman" w:eastAsia="Times New Roman" w:hAnsi="Times New Roman"/>
                <w:sz w:val="21"/>
                <w:szCs w:val="21"/>
                <w:color w:val="auto"/>
                <w:vertAlign w:val="superscript"/>
              </w:rPr>
              <w:t>(a)</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Cost of operations </w:t>
            </w:r>
            <w:r>
              <w:rPr>
                <w:rFonts w:ascii="Times New Roman" w:cs="Times New Roman" w:eastAsia="Times New Roman" w:hAnsi="Times New Roman"/>
                <w:sz w:val="21"/>
                <w:szCs w:val="21"/>
                <w:color w:val="auto"/>
                <w:vertAlign w:val="superscript"/>
              </w:rPr>
              <w:t>(a)</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780" w:type="dxa"/>
            <w:vAlign w:val="bottom"/>
            <w:gridSpan w:val="4"/>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gridSpan w:val="4"/>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4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LLC</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 in affiliates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(a)</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516</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89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81" w:lineRule="exact"/>
        <w:rPr>
          <w:sz w:val="20"/>
          <w:szCs w:val="20"/>
          <w:color w:val="auto"/>
        </w:rPr>
      </w:pPr>
    </w:p>
    <w:p>
      <w:pPr>
        <w:ind w:left="140" w:hanging="132"/>
        <w:spacing w:after="0"/>
        <w:tabs>
          <w:tab w:leader="none" w:pos="14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Inter-segment revenues and cost of operations include operations and maintenance fee revenue and related costs recorded in the Renewables segment.</w:t>
      </w:r>
    </w:p>
    <w:p>
      <w:pPr>
        <w:spacing w:after="0" w:line="1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accruals.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2"/>
                <w:szCs w:val="12"/>
                <w:color w:val="auto"/>
              </w:rPr>
            </w:pPr>
          </w:p>
        </w:tc>
        <w:tc>
          <w:tcPr>
            <w:tcW w:w="10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losses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84"/>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LLC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6,017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89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931" w:right="239" w:bottom="1157"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(a) </w:t>
            </w:r>
            <w:r>
              <w:rPr>
                <w:rFonts w:ascii="Times New Roman" w:cs="Times New Roman" w:eastAsia="Times New Roman" w:hAnsi="Times New Roman"/>
                <w:sz w:val="14"/>
                <w:szCs w:val="14"/>
                <w:color w:val="auto"/>
              </w:rPr>
              <w:t>Includes accruals.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2"/>
                <w:szCs w:val="12"/>
                <w:color w:val="auto"/>
              </w:rPr>
            </w:pPr>
          </w:p>
        </w:tc>
        <w:tc>
          <w:tcPr>
            <w:tcW w:w="10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losses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Attributable to Clearway Energy LLC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914"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Clearway Renewable Operation &amp; Maintenance LLC (formerly NRG Renew Operation &amp; Maintenance LLC)</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O&amp;M, services to these subsidiaries. The Company incurred total expenses for these services of $30 million, $23 million and $13 million for the years ended December 31, 2018, 2017 and 2016, respectively. There was a balance of $6 million and $5 million due to RENOM as of December 31, 2018 and 2017, respectively.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270"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NRG entities prior to the GIP Transaction</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(PPAs) between the Company and NRG Power Marketing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Elbow Creek and Dover are parties to PPAs with NRG Power Marketing and generate revenue under the PPAs, which are recorded to operating revenues in the Company's consolidated statements of operations. For the eight months ended August 31, 2018, Elbow Creek and Dover, collectively, generated revenues of $8 million. For the years ended December 31, 2017 and 2016, Elbow Creek and Dover, collectively, generated revenues of $12 million and $13 million,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Thermal entities and NRG Power Marketing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Energy Center Dover LLC, Energy Center Minneapolis, Energy Center Phoenix LLC, and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eight months ended August 31, 2018, the Thermal entities purchased $7 million of natural gas from NRG Power Marketing. The Thermal entities purchased a total of $9 million of natural gas during each of the years ended December 31, 2017 and 2016.</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 (O&amp;M) Services Agreements by and between Company's subsidiaries and NRG</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was $27 million for the eight months ended August 31, 2018. The fees incurred under this agreement were $39 million and $36 million for the years ended December 31, 2017 and 2016, respectively.</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GenConn and NRG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GenConn incurs fees under two O&amp;M agreements with wholly-owned subsidiaries of NRG. For the eight months ended August 31, 2018, the aggregate fees incurred under the agreements were $4 million. The fees incurred under the agreements were $5 million during each of the years ended December 31, 2017 and 2016.</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927" w:right="239" w:bottom="1440" w:gutter="0" w:footer="0" w:header="0"/>
        </w:sectPr>
      </w:pPr>
    </w:p>
    <w:bookmarkStart w:id="106" w:name="page107"/>
    <w:bookmarkEnd w:id="10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Marsh Landing is a party to an administrative services agreement with NRG West Coast LLC, a wholly owned subsidiary of NRG. The Company reimbursed costs under this agreement of $11 million for the eight months ended August 31, 2018. The Company reimbursed costs under this agreement of approximately $15 million and $14 million for the years ended December 31, 2017 and 2016, respectively.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Project Administrative Services Agreement by and between ESEC and NRG West Coast LLC</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$11 million for the eight months ended August 31, 2018.</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were $7 million for the eight months ended August 31, 2018. Costs incurred under this agreement were approximately $10 million during each of the years ended December 31, 2017 and 2016, respectively. The costs incurred under the Management Services Agreement included certain direct expenses incurred by NRG on behalf of the Company in addition to the base management fee.</w:t>
      </w:r>
    </w:p>
    <w:p>
      <w:pPr>
        <w:spacing w:after="0" w:line="2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Subsequent to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Expenses related to the NRG TSA are recorded in acquisition-related transaction and integration costs in the consolidated statements of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EPC Agreement by and between ECP and NRG</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NRG Business Services LLC, a subsidiary of NRG, and Energy Center Pittsburgh LLC, or ECP, a wholly owned subsidiary of the Company, entered into an EPC agreement for the construction of a 73 MWt district energy system for ECP to provide 150 kpph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$18 million, $17 million and $15 million for the years ended December 31, 2018, 2017 and 2016, respectively.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928"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9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Future minimum lease commitments under operating leases for the years ending after December 31, 2018 are as follows: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0"/>
        </w:trPr>
        <w:tc>
          <w:tcPr>
            <w:tcW w:w="9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and Transportation Commitments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entered into contractual arrangements to procure power, fuel and associated transportation services. For the years ended December 31, 2018, 2017 and 2016, the Company purchased $39 million, $34 million and $32 million, respectively, under such arrangements. As further described in Note 13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these purchases include intercompany transactions through August 31, 2018 between certain Thermal entities and NRG Power Marketing under the Energy Marketing Services Agreements in the amount of $7 million for the eight months ended August 31, 2018 and $9 million during each of the years ended December 31, 2017 and 2016.</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2018, the Company's commitments under such outstanding agreements are estimated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3"/>
                <w:szCs w:val="13"/>
                <w:color w:val="auto"/>
              </w:rPr>
            </w:pP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Nebraska Public Power District Litigation</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January 11, 2019, Nebraska Public Power District, or NPPD, sent written notice to certain of the Company’s subsidiaries which own the Laredo Ridge and Elkhorn Ridge wind projects alleging an event of default under each of the power purchase agreements between NPPD and the projects. NPPD alleges that Company moved forward with certain transactions without obtaining the consent of NPPD. NPPD threatened to terminate the applicable power purchase agreements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932" w:right="2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18"/>
          <w:szCs w:val="18"/>
          <w:color w:val="auto"/>
        </w:rPr>
        <w:t>of Knox County, Nebraska for the Elkhorn Ridge project, to enjoin NPPD from taking any actions related to the power purchase agreements.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The Company believes the allegations of NPPD are meritless and the Company is vigorously defending its rights under the power 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931"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15 — Unaudited Quarterly Data</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Below is summarized unaudited quarterly financial data for the periods ending December 31, 2018 and 2017. The Company's historical financial results for the four quarters of 2017 were recast to include the results of the Buckthorn Solar Drop Down Asset acquisition, which took place on March 30, 2018, and is further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The Company originally recast its historical quarterly financial statements to include the result of the Buckthorn Drop Down Asset acquisition in its Form 10-Q for the period ended September 30, 2018. Additionally, the quarterly results for the period ended December 31, 2017, as presented below in the table, were recast to include the quarterly operating results of the Buckthorn Solar Drop Down Asset for the period ending 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center"/>
              <w:ind w:left="7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66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225</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gridSpan w:val="2"/>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5"/>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9"/>
                <w:szCs w:val="9"/>
                <w:color w:val="auto"/>
              </w:rPr>
              <w:t>(a)</w:t>
            </w:r>
          </w:p>
        </w:tc>
        <w:tc>
          <w:tcPr>
            <w:tcW w:w="1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4" w:lineRule="exact"/>
        <w:rPr>
          <w:sz w:val="20"/>
          <w:szCs w:val="20"/>
          <w:color w:val="auto"/>
        </w:rPr>
      </w:pPr>
    </w:p>
    <w:p>
      <w:pPr>
        <w:jc w:val="both"/>
        <w:ind w:right="20" w:firstLine="8"/>
        <w:spacing w:after="0" w:line="228" w:lineRule="auto"/>
        <w:tabs>
          <w:tab w:leader="none" w:pos="198"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The Company reported Net loss of $38 million for the quarter ending December 31, 2017, as previously reported in the Note 17 , </w:t>
      </w:r>
      <w:r>
        <w:rPr>
          <w:rFonts w:ascii="Times New Roman" w:cs="Times New Roman" w:eastAsia="Times New Roman" w:hAnsi="Times New Roman"/>
          <w:sz w:val="18"/>
          <w:szCs w:val="18"/>
          <w:i w:val="1"/>
          <w:iCs w:val="1"/>
          <w:color w:val="auto"/>
        </w:rPr>
        <w:t>Unaudited 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Data </w:t>
      </w:r>
      <w:r>
        <w:rPr>
          <w:rFonts w:ascii="Times New Roman" w:cs="Times New Roman" w:eastAsia="Times New Roman" w:hAnsi="Times New Roman"/>
          <w:sz w:val="18"/>
          <w:szCs w:val="18"/>
          <w:color w:val="auto"/>
        </w:rPr>
        <w:t>of its Form 2017 10-K. The recast results in the table above include $1 million of Net Income attributable to the Buckthorn Solar Drop Down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acquisition.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927"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Note 16 — Condensed Consolidating Financial Information</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2018, Clearway Energy Operating LLC had outstanding $500 million of the 2024 Senior Notes, $600 million of the 2025 Senior Notes and $350 million of the 2026 Senior Notes, collectively Senior Notes, as described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the ones that are subject to project financing.</w:t>
      </w:r>
    </w:p>
    <w:p>
      <w:pPr>
        <w:spacing w:after="0" w:line="12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Unless otherwise noted below, each of the following guarantor subsidiaries fully and unconditionally guaranteed the Senior Notes as of December 31, 2018:</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RPV Holding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January 29, 2019, PG&amp;E filed for bankruptcy under Chapter 11 of the U.S. Bankruptcy Code. PG&amp;E is one of the Company's largest customers, representing approximately 23% of the Company's consolidated operating revenues during the year ended December 31, 2018 and 16% of total accounts receivable as of December 31, 2018, of which all has been collected as of January 31, 2019. The PG&amp;E bankruptcy filing is an event of default under the related financing agreements which caused uncertainty around the timing of when certain project-level cash distributions will be available to the Company. As of December 31, 2018, all project level cash balances for these subsidiaries were classified as restricted cash. </w:t>
      </w:r>
      <w:r>
        <w:rPr>
          <w:rFonts w:ascii="Times New Roman" w:cs="Times New Roman" w:eastAsia="Times New Roman" w:hAnsi="Times New Roman"/>
          <w:sz w:val="18"/>
          <w:szCs w:val="18"/>
          <w:color w:val="231F20"/>
        </w:rPr>
        <w:t>None of the subsidiaries affected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PG&amp;E bankruptcy are guarantors of the Senior Notes as of December 31, 2018.</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2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927" w:right="239" w:bottom="1440" w:gutter="0" w:footer="0" w:header="0"/>
        </w:sectPr>
      </w:pPr>
    </w:p>
    <w:bookmarkStart w:id="111" w:name="page112"/>
    <w:bookmarkEnd w:id="111"/>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the Company completed the acquisition of the Buckthorn Solar Drop Down Asset on March 30, 2018.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12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also completed the UPMC Thermal Project Asset Acquisition on June 19, 2018, which was an asset acquisition.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capital. The acquisition was determined to be an asset acquisition and not a business combination, therefore no recast of the historical financial information was deemed necessary.</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2018, the Company added certain subsidiaries to the list of guarantors under the Senior Notes indentures, and as a result, the Company recast the historical financial statements to allow for the comparability between the reported periods as required by GAAP.</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condensed parent company financial statements are provided in accordance with Rule 12-04, Schedule I of Regulation S-X, as the restricted net assets of Clearway Energy LLC’s subsidiaries exceed 25 percent of the consolidated net assets of Clearway Energy LLC. These statements should be read in conjunction with the consolidated statements and notes thereto of Clearway Energy LLC. For a discussion of Clearway Energy LLC's long-term debt,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a discussion of Clearway Energy LLC's commitments and contingencies, see Note 14,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Clearway Energy LLC's distributions to Clearway Energy, Inc., NRG Energy, (and subsequent to August 31, 2018, CEG), see Note 11, </w:t>
      </w:r>
      <w:r>
        <w:rPr>
          <w:rFonts w:ascii="Times New Roman" w:cs="Times New Roman" w:eastAsia="Times New Roman" w:hAnsi="Times New Roman"/>
          <w:sz w:val="18"/>
          <w:szCs w:val="18"/>
          <w:i w:val="1"/>
          <w:iCs w:val="1"/>
          <w:color w:val="auto"/>
        </w:rPr>
        <w:t>Members' Equity</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addition, Clearway Energy LLC’s cash and cash equivalents represents corporate cash held in overnight investment accounts and is used for general corporate purposes for Clearway LLC and Clearway Operating LLC.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929" w:right="2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(b)</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LLC</w:t>
            </w:r>
            <w:r>
              <w:rPr>
                <w:rFonts w:ascii="Times New Roman" w:cs="Times New Roman" w:eastAsia="Times New Roman" w:hAnsi="Times New Roman"/>
                <w:sz w:val="8"/>
                <w:szCs w:val="8"/>
                <w:b w:val="1"/>
                <w:bCs w:val="1"/>
                <w:color w:val="auto"/>
              </w:rPr>
              <w:t xml:space="preserve"> (a)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(Senior Notes Issuer)</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costs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consolidated affiliates</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1"/>
        </w:trPr>
        <w:tc>
          <w:tcPr>
            <w:tcW w:w="35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Less: Net loss attributable to noncontrolling</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Clearway Energy</w:t>
            </w: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LLC</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200" w:hanging="138"/>
        <w:spacing w:after="0"/>
        <w:tabs>
          <w:tab w:leader="none" w:pos="200" w:val="left"/>
        </w:tabs>
        <w:numPr>
          <w:ilvl w:val="1"/>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927" w:right="239" w:bottom="1440" w:gutter="0" w:footer="0" w:header="0"/>
        </w:sectPr>
      </w:pPr>
    </w:p>
    <w:bookmarkStart w:id="113" w:name="page114"/>
    <w:bookmarkEnd w:id="113"/>
    <w:p>
      <w:pPr>
        <w:jc w:val="center"/>
        <w:ind w:left="260" w:right="2340"/>
        <w:spacing w:after="0" w:line="394" w:lineRule="auto"/>
        <w:rPr>
          <w:sz w:val="20"/>
          <w:szCs w:val="20"/>
          <w:color w:val="auto"/>
        </w:rPr>
      </w:pPr>
      <w:r>
        <w:rPr>
          <w:rFonts w:ascii="Times New Roman" w:cs="Times New Roman" w:eastAsia="Times New Roman" w:hAnsi="Times New Roman"/>
          <w:sz w:val="18"/>
          <w:szCs w:val="18"/>
          <w:b w:val="1"/>
          <w:bCs w:val="1"/>
          <w:color w:val="auto"/>
        </w:rPr>
        <w:t>CLEARWAY ENERGY LLC AND SUBSIDIARIES CONDENSED CONSOLIDATING STATEMENTS OF COMPREHENSIVE INCOME For the Year Ended December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(b)</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LLC </w:t>
            </w:r>
            <w:r>
              <w:rPr>
                <w:rFonts w:ascii="Times New Roman" w:cs="Times New Roman" w:eastAsia="Times New Roman" w:hAnsi="Times New Roman"/>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1"/>
        </w:trPr>
        <w:tc>
          <w:tcPr>
            <w:tcW w:w="34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Clearway Energy LLC</w:t>
            </w:r>
          </w:p>
        </w:tc>
        <w:tc>
          <w:tcPr>
            <w:tcW w:w="12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80" w:hanging="118"/>
        <w:spacing w:after="0"/>
        <w:tabs>
          <w:tab w:leader="none" w:pos="180" w:val="left"/>
        </w:tabs>
        <w:numPr>
          <w:ilvl w:val="1"/>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927" w:right="2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LLC </w:t>
            </w:r>
            <w:r>
              <w:rPr>
                <w:rFonts w:ascii="Times New Roman" w:cs="Times New Roman" w:eastAsia="Times New Roman" w:hAnsi="Times New Roman"/>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(Senior Notes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7"/>
        </w:trPr>
        <w:tc>
          <w:tcPr>
            <w:tcW w:w="3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5,245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consolidated subsidiaries</w:t>
            </w:r>
          </w:p>
        </w:tc>
        <w:tc>
          <w:tcPr>
            <w:tcW w:w="1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37"/>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2,442</w:t>
            </w:r>
          </w:p>
        </w:tc>
        <w:tc>
          <w:tcPr>
            <w:tcW w:w="0" w:type="dxa"/>
            <w:vAlign w:val="bottom"/>
          </w:tcPr>
          <w:p>
            <w:pPr>
              <w:spacing w:after="0"/>
              <w:rPr>
                <w:sz w:val="1"/>
                <w:szCs w:val="1"/>
                <w:color w:val="auto"/>
              </w:rPr>
            </w:pPr>
          </w:p>
        </w:tc>
      </w:tr>
      <w:tr>
        <w:trPr>
          <w:trHeight w:val="244"/>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1,982</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7,413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8,448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2" w:lineRule="exact"/>
        <w:rPr>
          <w:sz w:val="20"/>
          <w:szCs w:val="20"/>
          <w:color w:val="auto"/>
        </w:rPr>
      </w:pPr>
    </w:p>
    <w:p>
      <w:pPr>
        <w:ind w:left="180" w:hanging="118"/>
        <w:spacing w:after="0"/>
        <w:tabs>
          <w:tab w:leader="none" w:pos="18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80" w:hanging="118"/>
        <w:spacing w:after="0"/>
        <w:tabs>
          <w:tab w:leader="none" w:pos="18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1090" w:right="239" w:bottom="1440" w:gutter="0" w:footer="0" w:header="0"/>
        </w:sectPr>
      </w:pPr>
    </w:p>
    <w:bookmarkStart w:id="115" w:name="page116"/>
    <w:bookmarkEnd w:id="115"/>
    <w:p>
      <w:pPr>
        <w:ind w:left="3720"/>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Energy LLC </w:t>
            </w:r>
            <w:r>
              <w:rPr>
                <w:rFonts w:ascii="Times New Roman" w:cs="Times New Roman" w:eastAsia="Times New Roman" w:hAnsi="Times New Roman"/>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(Senior Notes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5,404</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 affiliate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5,567</w:t>
            </w:r>
          </w:p>
        </w:tc>
        <w:tc>
          <w:tcPr>
            <w:tcW w:w="0" w:type="dxa"/>
            <w:vAlign w:val="bottom"/>
          </w:tcPr>
          <w:p>
            <w:pPr>
              <w:spacing w:after="0"/>
              <w:rPr>
                <w:sz w:val="1"/>
                <w:szCs w:val="1"/>
                <w:color w:val="auto"/>
              </w:rPr>
            </w:pPr>
          </w:p>
        </w:tc>
      </w:tr>
      <w:tr>
        <w:trPr>
          <w:trHeight w:val="21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4,526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6,266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Contributed capital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7,413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197485</wp:posOffset>
            </wp:positionV>
            <wp:extent cx="1406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2" w:lineRule="exact"/>
        <w:rPr>
          <w:sz w:val="20"/>
          <w:szCs w:val="20"/>
          <w:color w:val="auto"/>
        </w:rPr>
      </w:pPr>
    </w:p>
    <w:p>
      <w:pPr>
        <w:ind w:left="140" w:hanging="132"/>
        <w:spacing w:after="0"/>
        <w:tabs>
          <w:tab w:leader="none" w:pos="14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1144" w:right="2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C2C2C"/>
              </w:rPr>
              <w:t>Clearway Energy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C2C2C"/>
              </w:rPr>
              <w:t>Operating LLC</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LLC </w:t>
            </w:r>
            <w:r>
              <w:rPr>
                <w:rFonts w:ascii="Times New Roman" w:cs="Times New Roman" w:eastAsia="Times New Roman" w:hAnsi="Times New Roman"/>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C2C2C"/>
              </w:rPr>
              <w:t>(Note 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investments in consolidated subsidiaries</w:t>
            </w: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of funds under intercompany cash management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arrangement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Class C units</w:t>
            </w: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proceeds from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long-term debt — external</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 — affiliate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2" w:lineRule="exact"/>
        <w:rPr>
          <w:sz w:val="20"/>
          <w:szCs w:val="20"/>
          <w:color w:val="auto"/>
        </w:rPr>
      </w:pPr>
    </w:p>
    <w:p>
      <w:pPr>
        <w:ind w:left="180" w:hanging="118"/>
        <w:spacing w:after="0"/>
        <w:tabs>
          <w:tab w:leader="none" w:pos="18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927" w:right="2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27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Clearway</w:t>
      </w: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auto"/>
              </w:rPr>
              <w:t>Operating</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Other Guarantor</w:t>
            </w:r>
          </w:p>
        </w:tc>
        <w:tc>
          <w:tcPr>
            <w:tcW w:w="1240" w:type="dxa"/>
            <w:vAlign w:val="bottom"/>
            <w:gridSpan w:val="3"/>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80"/>
              <w:spacing w:after="0" w:line="201" w:lineRule="exact"/>
              <w:rPr>
                <w:sz w:val="20"/>
                <w:szCs w:val="20"/>
                <w:color w:val="auto"/>
              </w:rPr>
            </w:pPr>
            <w:r>
              <w:rPr>
                <w:rFonts w:ascii="Times New Roman" w:cs="Times New Roman" w:eastAsia="Times New Roman" w:hAnsi="Times New Roman"/>
                <w:sz w:val="14"/>
                <w:szCs w:val="14"/>
                <w:b w:val="1"/>
                <w:bCs w:val="1"/>
                <w:color w:val="auto"/>
                <w:w w:val="92"/>
              </w:rPr>
              <w:t xml:space="preserve">Energy </w:t>
            </w:r>
            <w:r>
              <w:rPr>
                <w:rFonts w:ascii="Times New Roman" w:cs="Times New Roman" w:eastAsia="Times New Roman" w:hAnsi="Times New Roman"/>
                <w:sz w:val="13"/>
                <w:szCs w:val="13"/>
                <w:b w:val="1"/>
                <w:bCs w:val="1"/>
                <w:color w:val="auto"/>
                <w:w w:val="92"/>
              </w:rPr>
              <w:t>LLC</w:t>
            </w: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22"/>
                <w:szCs w:val="22"/>
                <w:b w:val="1"/>
                <w:bCs w:val="1"/>
                <w:color w:val="auto"/>
                <w:w w:val="92"/>
                <w:vertAlign w:val="superscript"/>
              </w:rPr>
              <w:t>(a) (c)</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Subsidiaries </w:t>
            </w:r>
            <w:r>
              <w:rPr>
                <w:rFonts w:ascii="Times New Roman" w:cs="Times New Roman" w:eastAsia="Times New Roman" w:hAnsi="Times New Roman"/>
                <w:sz w:val="22"/>
                <w:szCs w:val="22"/>
                <w:b w:val="1"/>
                <w:bCs w:val="1"/>
                <w:color w:val="auto"/>
                <w:vertAlign w:val="superscript"/>
              </w:rPr>
              <w:t>(c)</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80"/>
              <w:spacing w:after="0" w:line="201" w:lineRule="exact"/>
              <w:rPr>
                <w:sz w:val="20"/>
                <w:szCs w:val="20"/>
                <w:color w:val="auto"/>
              </w:rPr>
            </w:pPr>
            <w:r>
              <w:rPr>
                <w:rFonts w:ascii="Times New Roman" w:cs="Times New Roman" w:eastAsia="Times New Roman" w:hAnsi="Times New Roman"/>
                <w:sz w:val="14"/>
                <w:szCs w:val="14"/>
                <w:b w:val="1"/>
                <w:bCs w:val="1"/>
                <w:color w:val="auto"/>
                <w:w w:val="92"/>
              </w:rPr>
              <w:t xml:space="preserve">(Note Issuer) </w:t>
            </w:r>
            <w:r>
              <w:rPr>
                <w:rFonts w:ascii="Times New Roman" w:cs="Times New Roman" w:eastAsia="Times New Roman" w:hAnsi="Times New Roman"/>
                <w:sz w:val="22"/>
                <w:szCs w:val="22"/>
                <w:b w:val="1"/>
                <w:bCs w:val="1"/>
                <w:color w:val="auto"/>
                <w:w w:val="92"/>
                <w:vertAlign w:val="superscript"/>
              </w:rPr>
              <w:t>(c)</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22"/>
                <w:szCs w:val="22"/>
                <w:b w:val="1"/>
                <w:bCs w:val="1"/>
                <w:color w:val="auto"/>
                <w:vertAlign w:val="superscript"/>
              </w:rPr>
              <w:t>(b) (c)</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 costs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earnings (losses) of</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 affiliates</w:t>
            </w:r>
          </w:p>
        </w:tc>
        <w:tc>
          <w:tcPr>
            <w:tcW w:w="16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earnings of unconsolidated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1"/>
        </w:trPr>
        <w:tc>
          <w:tcPr>
            <w:tcW w:w="33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Clearway Energy LLC</w:t>
            </w:r>
          </w:p>
        </w:tc>
        <w:tc>
          <w:tcPr>
            <w:tcW w:w="16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80" w:hanging="118"/>
        <w:spacing w:after="0"/>
        <w:tabs>
          <w:tab w:leader="none" w:pos="180" w:val="left"/>
        </w:tabs>
        <w:numPr>
          <w:ilvl w:val="1"/>
          <w:numId w:val="5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line="221" w:lineRule="auto"/>
        <w:tabs>
          <w:tab w:leader="none" w:pos="1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ind w:left="140" w:hanging="132"/>
        <w:spacing w:after="0"/>
        <w:tabs>
          <w:tab w:leader="none" w:pos="1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927" w:right="239" w:bottom="1440" w:gutter="0" w:footer="0" w:header="0"/>
        </w:sectPr>
      </w:pPr>
    </w:p>
    <w:bookmarkStart w:id="118" w:name="page119"/>
    <w:bookmarkEnd w:id="118"/>
    <w:p>
      <w:pPr>
        <w:jc w:val="center"/>
        <w:ind w:left="260" w:right="2340"/>
        <w:spacing w:after="0" w:line="394" w:lineRule="auto"/>
        <w:rPr>
          <w:sz w:val="20"/>
          <w:szCs w:val="20"/>
          <w:color w:val="auto"/>
        </w:rPr>
      </w:pPr>
      <w:r>
        <w:rPr>
          <w:rFonts w:ascii="Times New Roman" w:cs="Times New Roman" w:eastAsia="Times New Roman" w:hAnsi="Times New Roman"/>
          <w:sz w:val="18"/>
          <w:szCs w:val="18"/>
          <w:b w:val="1"/>
          <w:bCs w:val="1"/>
          <w:color w:val="auto"/>
        </w:rPr>
        <w:t>CLEARWAY ENERGY LLC AND SUBSIDIARIES CONDENSED CONSOLIDATING STATEMENTS OF COMPREHENSIVE INCOME For the Year Ended December 31, 2017</w:t>
      </w:r>
    </w:p>
    <w:p>
      <w:pPr>
        <w:spacing w:after="0" w:line="200" w:lineRule="exact"/>
        <w:rPr>
          <w:sz w:val="20"/>
          <w:szCs w:val="20"/>
          <w:color w:val="auto"/>
        </w:rPr>
      </w:pPr>
    </w:p>
    <w:p>
      <w:pPr>
        <w:spacing w:after="0" w:line="237"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Clearway</w:t>
      </w:r>
    </w:p>
    <w:p>
      <w:pPr>
        <w:spacing w:after="0" w:line="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auto"/>
        </w:rPr>
        <w:t>Operating</w:t>
      </w:r>
    </w:p>
    <w:tbl>
      <w:tblPr>
        <w:tblLayout w:type="fixed"/>
        <w:tblInd w:w="0" w:type="dxa"/>
        <w:tblCellMar>
          <w:top w:w="0" w:type="dxa"/>
          <w:left w:w="0" w:type="dxa"/>
          <w:bottom w:w="0" w:type="dxa"/>
          <w:right w:w="0" w:type="dxa"/>
        </w:tblCellMar>
      </w:tblPr>
      <w:tr>
        <w:trPr>
          <w:trHeight w:val="147"/>
        </w:trPr>
        <w:tc>
          <w:tcPr>
            <w:tcW w:w="3300" w:type="dxa"/>
            <w:vAlign w:val="bottom"/>
          </w:tcPr>
          <w:p>
            <w:pPr>
              <w:spacing w:after="0"/>
              <w:rPr>
                <w:sz w:val="12"/>
                <w:szCs w:val="12"/>
                <w:color w:val="auto"/>
              </w:rPr>
            </w:pPr>
          </w:p>
        </w:tc>
        <w:tc>
          <w:tcPr>
            <w:tcW w:w="158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Clearway Energy </w:t>
            </w:r>
            <w:r>
              <w:rPr>
                <w:rFonts w:ascii="Times New Roman" w:cs="Times New Roman" w:eastAsia="Times New Roman" w:hAnsi="Times New Roman"/>
                <w:sz w:val="13"/>
                <w:szCs w:val="13"/>
                <w:b w:val="1"/>
                <w:bCs w:val="1"/>
                <w:color w:val="auto"/>
              </w:rPr>
              <w:t>LLC</w:t>
            </w:r>
          </w:p>
        </w:tc>
        <w:tc>
          <w:tcPr>
            <w:tcW w:w="124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Other Guarantor</w:t>
            </w:r>
          </w:p>
        </w:tc>
        <w:tc>
          <w:tcPr>
            <w:tcW w:w="124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16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22"/>
                <w:szCs w:val="22"/>
                <w:b w:val="1"/>
                <w:bCs w:val="1"/>
                <w:color w:val="auto"/>
                <w:vertAlign w:val="superscript"/>
              </w:rPr>
              <w:t>(b) (c)</w:t>
            </w:r>
          </w:p>
        </w:tc>
        <w:tc>
          <w:tcPr>
            <w:tcW w:w="160" w:type="dxa"/>
            <w:vAlign w:val="bottom"/>
          </w:tcPr>
          <w:p>
            <w:pPr>
              <w:spacing w:after="0"/>
              <w:rPr>
                <w:sz w:val="12"/>
                <w:szCs w:val="12"/>
                <w:color w:val="auto"/>
              </w:rPr>
            </w:pPr>
          </w:p>
        </w:tc>
        <w:tc>
          <w:tcPr>
            <w:tcW w:w="9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 (c)</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Subsidiaries </w:t>
            </w:r>
            <w:r>
              <w:rPr>
                <w:rFonts w:ascii="Times New Roman" w:cs="Times New Roman" w:eastAsia="Times New Roman" w:hAnsi="Times New Roman"/>
                <w:sz w:val="20"/>
                <w:szCs w:val="20"/>
                <w:b w:val="1"/>
                <w:bCs w:val="1"/>
                <w:color w:val="auto"/>
                <w:vertAlign w:val="superscript"/>
              </w:rPr>
              <w:t>(c)</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(Note Issuer) </w:t>
            </w:r>
            <w:r>
              <w:rPr>
                <w:rFonts w:ascii="Times New Roman" w:cs="Times New Roman" w:eastAsia="Times New Roman" w:hAnsi="Times New Roman"/>
                <w:sz w:val="20"/>
                <w:szCs w:val="20"/>
                <w:b w:val="1"/>
                <w:bCs w:val="1"/>
                <w:color w:val="auto"/>
                <w:vertAlign w:val="superscript"/>
              </w:rPr>
              <w:t>(c)</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1"/>
        </w:trPr>
        <w:tc>
          <w:tcPr>
            <w:tcW w:w="33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50"/>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Attributable to Clearway Energy LLC</w:t>
            </w:r>
          </w:p>
        </w:tc>
        <w:tc>
          <w:tcPr>
            <w:tcW w:w="3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80" w:hanging="118"/>
        <w:spacing w:after="0"/>
        <w:tabs>
          <w:tab w:leader="none" w:pos="180" w:val="left"/>
        </w:tabs>
        <w:numPr>
          <w:ilvl w:val="1"/>
          <w:numId w:val="5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line="221" w:lineRule="auto"/>
        <w:tabs>
          <w:tab w:leader="none" w:pos="14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ind w:left="140" w:hanging="132"/>
        <w:spacing w:after="0"/>
        <w:tabs>
          <w:tab w:leader="none" w:pos="14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927" w:right="2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Clearway Energy</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Energy LLC </w:t>
            </w:r>
            <w:r>
              <w:rPr>
                <w:rFonts w:ascii="Times New Roman" w:cs="Times New Roman" w:eastAsia="Times New Roman" w:hAnsi="Times New Roman"/>
                <w:sz w:val="8"/>
                <w:szCs w:val="8"/>
                <w:b w:val="1"/>
                <w:bCs w:val="1"/>
                <w:color w:val="auto"/>
              </w:rPr>
              <w:t>(a)</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60" w:type="dxa"/>
            <w:vAlign w:val="bottom"/>
          </w:tcPr>
          <w:p>
            <w:pPr>
              <w:spacing w:after="0"/>
              <w:rPr>
                <w:sz w:val="12"/>
                <w:szCs w:val="12"/>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(b)(c)</w:t>
            </w:r>
          </w:p>
        </w:tc>
        <w:tc>
          <w:tcPr>
            <w:tcW w:w="140" w:type="dxa"/>
            <w:vAlign w:val="bottom"/>
          </w:tcPr>
          <w:p>
            <w:pPr>
              <w:spacing w:after="0"/>
              <w:rPr>
                <w:sz w:val="12"/>
                <w:szCs w:val="12"/>
                <w:color w:val="auto"/>
              </w:rPr>
            </w:pPr>
          </w:p>
        </w:tc>
        <w:tc>
          <w:tcPr>
            <w:tcW w:w="9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Subsidiaries </w:t>
            </w:r>
            <w:r>
              <w:rPr>
                <w:rFonts w:ascii="Times New Roman" w:cs="Times New Roman" w:eastAsia="Times New Roman" w:hAnsi="Times New Roman"/>
                <w:sz w:val="8"/>
                <w:szCs w:val="8"/>
                <w:b w:val="1"/>
                <w:bCs w:val="1"/>
                <w:color w:val="auto"/>
              </w:rPr>
              <w:t>(c)</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(Note Issuer) </w:t>
            </w:r>
            <w:r>
              <w:rPr>
                <w:rFonts w:ascii="Times New Roman" w:cs="Times New Roman" w:eastAsia="Times New Roman" w:hAnsi="Times New Roman"/>
                <w:sz w:val="8"/>
                <w:szCs w:val="8"/>
                <w:b w:val="1"/>
                <w:bCs w:val="1"/>
                <w:color w:val="auto"/>
              </w:rPr>
              <w:t>(c)</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4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 — current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consolidated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2,469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2" w:lineRule="exact"/>
        <w:rPr>
          <w:sz w:val="20"/>
          <w:szCs w:val="20"/>
          <w:color w:val="auto"/>
        </w:rPr>
      </w:pPr>
    </w:p>
    <w:p>
      <w:pPr>
        <w:ind w:left="180" w:hanging="118"/>
        <w:spacing w:after="0"/>
        <w:tabs>
          <w:tab w:leader="none" w:pos="180" w:val="left"/>
        </w:tabs>
        <w:numPr>
          <w:ilvl w:val="1"/>
          <w:numId w:val="5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line="221" w:lineRule="auto"/>
        <w:tabs>
          <w:tab w:leader="none" w:pos="140" w:val="left"/>
        </w:tabs>
        <w:numPr>
          <w:ilvl w:val="0"/>
          <w:numId w:val="6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ind w:left="140" w:hanging="132"/>
        <w:spacing w:after="0"/>
        <w:tabs>
          <w:tab w:leader="none" w:pos="140" w:val="left"/>
        </w:tabs>
        <w:numPr>
          <w:ilvl w:val="0"/>
          <w:numId w:val="6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928" w:right="239" w:bottom="1440" w:gutter="0" w:footer="0" w:header="0"/>
        </w:sectPr>
      </w:pPr>
    </w:p>
    <w:bookmarkStart w:id="120" w:name="page121"/>
    <w:bookmarkEnd w:id="120"/>
    <w:p>
      <w:pPr>
        <w:ind w:left="3720"/>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auto"/>
              </w:rPr>
              <w:t>Operating</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auto"/>
              </w:rPr>
              <w:t>LLC</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140" w:type="dxa"/>
            <w:vAlign w:val="bottom"/>
          </w:tcPr>
          <w:p>
            <w:pPr>
              <w:spacing w:after="0"/>
              <w:rPr>
                <w:sz w:val="12"/>
                <w:szCs w:val="12"/>
                <w:color w:val="auto"/>
              </w:rPr>
            </w:pPr>
          </w:p>
        </w:tc>
        <w:tc>
          <w:tcPr>
            <w:tcW w:w="1120" w:type="dxa"/>
            <w:vAlign w:val="bottom"/>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Non-Guarantor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LLC</w:t>
            </w:r>
          </w:p>
        </w:tc>
        <w:tc>
          <w:tcPr>
            <w:tcW w:w="14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Eliminations </w:t>
            </w:r>
            <w:r>
              <w:rPr>
                <w:rFonts w:ascii="Times New Roman" w:cs="Times New Roman" w:eastAsia="Times New Roman" w:hAnsi="Times New Roman"/>
                <w:sz w:val="22"/>
                <w:szCs w:val="22"/>
                <w:b w:val="1"/>
                <w:bCs w:val="1"/>
                <w:color w:val="auto"/>
                <w:vertAlign w:val="superscript"/>
              </w:rPr>
              <w:t>(b) (c)</w:t>
            </w:r>
          </w:p>
        </w:tc>
        <w:tc>
          <w:tcPr>
            <w:tcW w:w="140" w:type="dxa"/>
            <w:vAlign w:val="bottom"/>
          </w:tcPr>
          <w:p>
            <w:pPr>
              <w:spacing w:after="0"/>
              <w:rPr>
                <w:sz w:val="12"/>
                <w:szCs w:val="12"/>
                <w:color w:val="auto"/>
              </w:rPr>
            </w:pPr>
          </w:p>
        </w:tc>
        <w:tc>
          <w:tcPr>
            <w:tcW w:w="9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 (c)</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0"/>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Subsidiaries </w:t>
            </w:r>
            <w:r>
              <w:rPr>
                <w:rFonts w:ascii="Times New Roman" w:cs="Times New Roman" w:eastAsia="Times New Roman" w:hAnsi="Times New Roman"/>
                <w:sz w:val="20"/>
                <w:szCs w:val="20"/>
                <w:b w:val="1"/>
                <w:bCs w:val="1"/>
                <w:color w:val="auto"/>
                <w:vertAlign w:val="superscript"/>
              </w:rPr>
              <w:t>(c)</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40"/>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(Note Issuer) </w:t>
            </w:r>
            <w:r>
              <w:rPr>
                <w:rFonts w:ascii="Times New Roman" w:cs="Times New Roman" w:eastAsia="Times New Roman" w:hAnsi="Times New Roman"/>
                <w:sz w:val="20"/>
                <w:szCs w:val="20"/>
                <w:b w:val="1"/>
                <w:bCs w:val="1"/>
                <w:color w:val="auto"/>
                <w:vertAlign w:val="superscript"/>
              </w:rPr>
              <w:t>(c)</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 external</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5,792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6,331</w:t>
            </w:r>
          </w:p>
        </w:tc>
        <w:tc>
          <w:tcPr>
            <w:tcW w:w="0" w:type="dxa"/>
            <w:vAlign w:val="bottom"/>
          </w:tcPr>
          <w:p>
            <w:pPr>
              <w:spacing w:after="0"/>
              <w:rPr>
                <w:sz w:val="1"/>
                <w:szCs w:val="1"/>
                <w:color w:val="auto"/>
              </w:rPr>
            </w:pPr>
          </w:p>
        </w:tc>
      </w:tr>
      <w:tr>
        <w:trPr>
          <w:trHeight w:val="231"/>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Contributed capital</w:t>
            </w: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7,662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35" w:lineRule="exact"/>
        <w:rPr>
          <w:sz w:val="20"/>
          <w:szCs w:val="20"/>
          <w:color w:val="auto"/>
        </w:rPr>
      </w:pPr>
    </w:p>
    <w:p>
      <w:pPr>
        <w:ind w:left="140" w:hanging="132"/>
        <w:spacing w:after="0"/>
        <w:tabs>
          <w:tab w:leader="none" w:pos="140" w:val="left"/>
        </w:tabs>
        <w:numPr>
          <w:ilvl w:val="0"/>
          <w:numId w:val="6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17" w:lineRule="exact"/>
        <w:rPr>
          <w:rFonts w:ascii="Times New Roman" w:cs="Times New Roman" w:eastAsia="Times New Roman" w:hAnsi="Times New Roman"/>
          <w:sz w:val="9"/>
          <w:szCs w:val="9"/>
          <w:color w:val="auto"/>
        </w:rPr>
      </w:pPr>
    </w:p>
    <w:p>
      <w:pPr>
        <w:ind w:left="140" w:hanging="132"/>
        <w:spacing w:after="0" w:line="221" w:lineRule="auto"/>
        <w:tabs>
          <w:tab w:leader="none" w:pos="140" w:val="left"/>
        </w:tabs>
        <w:numPr>
          <w:ilvl w:val="0"/>
          <w:numId w:val="6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ind w:left="140" w:hanging="132"/>
        <w:spacing w:after="0"/>
        <w:tabs>
          <w:tab w:leader="none" w:pos="140" w:val="left"/>
        </w:tabs>
        <w:numPr>
          <w:ilvl w:val="0"/>
          <w:numId w:val="6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1076" w:right="239" w:bottom="1440" w:gutter="0" w:footer="0" w:header="0"/>
        </w:sectPr>
      </w:pPr>
    </w:p>
    <w:bookmarkStart w:id="121" w:name="page122"/>
    <w:bookmarkEnd w:id="1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Other Guarantor</w:t>
            </w:r>
          </w:p>
        </w:tc>
        <w:tc>
          <w:tcPr>
            <w:tcW w:w="12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2C2C2C"/>
              </w:rPr>
              <w:t>Operating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8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4"/>
                <w:szCs w:val="14"/>
                <w:b w:val="1"/>
                <w:bCs w:val="1"/>
                <w:color w:val="auto"/>
                <w:w w:val="97"/>
              </w:rPr>
              <w:t xml:space="preserve">Energy </w:t>
            </w:r>
            <w:r>
              <w:rPr>
                <w:rFonts w:ascii="Times New Roman" w:cs="Times New Roman" w:eastAsia="Times New Roman" w:hAnsi="Times New Roman"/>
                <w:sz w:val="13"/>
                <w:szCs w:val="13"/>
                <w:b w:val="1"/>
                <w:bCs w:val="1"/>
                <w:color w:val="auto"/>
                <w:w w:val="97"/>
              </w:rPr>
              <w:t>LLC</w:t>
            </w:r>
            <w:r>
              <w:rPr>
                <w:rFonts w:ascii="Times New Roman" w:cs="Times New Roman" w:eastAsia="Times New Roman" w:hAnsi="Times New Roman"/>
                <w:sz w:val="14"/>
                <w:szCs w:val="14"/>
                <w:b w:val="1"/>
                <w:bCs w:val="1"/>
                <w:color w:val="auto"/>
                <w:w w:val="97"/>
              </w:rPr>
              <w:t xml:space="preserve"> </w:t>
            </w:r>
            <w:r>
              <w:rPr>
                <w:rFonts w:ascii="Times New Roman" w:cs="Times New Roman" w:eastAsia="Times New Roman" w:hAnsi="Times New Roman"/>
                <w:sz w:val="22"/>
                <w:szCs w:val="22"/>
                <w:b w:val="1"/>
                <w:bCs w:val="1"/>
                <w:color w:val="auto"/>
                <w:w w:val="97"/>
                <w:vertAlign w:val="superscript"/>
              </w:rPr>
              <w:t>(a)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Subsidiaries </w:t>
            </w:r>
            <w:r>
              <w:rPr>
                <w:rFonts w:ascii="Times New Roman" w:cs="Times New Roman" w:eastAsia="Times New Roman" w:hAnsi="Times New Roman"/>
                <w:sz w:val="22"/>
                <w:szCs w:val="22"/>
                <w:b w:val="1"/>
                <w:bCs w:val="1"/>
                <w:color w:val="auto"/>
                <w:vertAlign w:val="superscript"/>
              </w:rPr>
              <w:t>(b)</w:t>
            </w: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2C2C2C"/>
                <w:w w:val="96"/>
              </w:rPr>
              <w:t>LLC (Note Issuer)</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77"/>
        </w:trPr>
        <w:tc>
          <w:tcPr>
            <w:tcW w:w="4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20"/>
                <w:szCs w:val="20"/>
                <w:color w:val="auto"/>
              </w:rPr>
            </w:pP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investments in consolidated subsidiaries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31"/>
        </w:trPr>
        <w:tc>
          <w:tcPr>
            <w:tcW w:w="4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of funds under intercompany cash management arrangement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distributions and return of capital to NRG prior to the acquisition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Drop Down Assets</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Class C units</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proceeds from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 — external</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7"/>
        </w:trPr>
        <w:tc>
          <w:tcPr>
            <w:tcW w:w="4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33"/>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46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22" w:lineRule="exact"/>
        <w:rPr>
          <w:sz w:val="20"/>
          <w:szCs w:val="20"/>
          <w:color w:val="auto"/>
        </w:rPr>
      </w:pPr>
    </w:p>
    <w:p>
      <w:pPr>
        <w:ind w:left="180" w:hanging="118"/>
        <w:spacing w:after="0"/>
        <w:tabs>
          <w:tab w:leader="none" w:pos="180" w:val="left"/>
        </w:tabs>
        <w:numPr>
          <w:ilvl w:val="1"/>
          <w:numId w:val="6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Retrospectively adjusted as discussed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20"/>
          </w:cols>
          <w:pgMar w:left="240" w:top="92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Non-Guarantor</w:t>
            </w: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auto"/>
              </w:rPr>
              <w:t>Operating</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4"/>
                <w:szCs w:val="14"/>
                <w:b w:val="1"/>
                <w:bCs w:val="1"/>
                <w:color w:val="auto"/>
                <w:w w:val="95"/>
              </w:rPr>
              <w:t xml:space="preserve">Energy </w:t>
            </w:r>
            <w:r>
              <w:rPr>
                <w:rFonts w:ascii="Times New Roman" w:cs="Times New Roman" w:eastAsia="Times New Roman" w:hAnsi="Times New Roman"/>
                <w:sz w:val="13"/>
                <w:szCs w:val="13"/>
                <w:b w:val="1"/>
                <w:bCs w:val="1"/>
                <w:color w:val="auto"/>
                <w:w w:val="95"/>
              </w:rPr>
              <w:t>LLC</w:t>
            </w:r>
            <w:r>
              <w:rPr>
                <w:rFonts w:ascii="Times New Roman" w:cs="Times New Roman" w:eastAsia="Times New Roman" w:hAnsi="Times New Roman"/>
                <w:sz w:val="14"/>
                <w:szCs w:val="14"/>
                <w:b w:val="1"/>
                <w:bCs w:val="1"/>
                <w:color w:val="auto"/>
                <w:w w:val="95"/>
              </w:rPr>
              <w:t xml:space="preserve"> </w:t>
            </w:r>
            <w:r>
              <w:rPr>
                <w:rFonts w:ascii="Times New Roman" w:cs="Times New Roman" w:eastAsia="Times New Roman" w:hAnsi="Times New Roman"/>
                <w:sz w:val="22"/>
                <w:szCs w:val="22"/>
                <w:b w:val="1"/>
                <w:bCs w:val="1"/>
                <w:color w:val="auto"/>
                <w:w w:val="95"/>
                <w:vertAlign w:val="superscript"/>
              </w:rPr>
              <w:t>(a)</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LLC (Note Issuer)</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22"/>
                <w:szCs w:val="22"/>
                <w:b w:val="1"/>
                <w:bCs w:val="1"/>
                <w:color w:val="auto"/>
                <w:vertAlign w:val="superscript"/>
              </w:rPr>
              <w:t>(b)</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consolidated affiliates</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(losses) earnings of unconsolidated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5"/>
        </w:trPr>
        <w:tc>
          <w:tcPr>
            <w:tcW w:w="3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Clearway Energy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LLC</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80" w:hanging="118"/>
        <w:spacing w:after="0"/>
        <w:tabs>
          <w:tab w:leader="none" w:pos="180" w:val="left"/>
        </w:tabs>
        <w:numPr>
          <w:ilvl w:val="1"/>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927" w:right="239" w:bottom="1440" w:gutter="0" w:footer="0" w:header="0"/>
        </w:sectPr>
      </w:pPr>
    </w:p>
    <w:bookmarkStart w:id="123" w:name="page124"/>
    <w:bookmarkEnd w:id="123"/>
    <w:p>
      <w:pPr>
        <w:jc w:val="center"/>
        <w:ind w:left="260" w:right="2340"/>
        <w:spacing w:after="0" w:line="394" w:lineRule="auto"/>
        <w:rPr>
          <w:sz w:val="20"/>
          <w:szCs w:val="20"/>
          <w:color w:val="auto"/>
        </w:rPr>
      </w:pPr>
      <w:r>
        <w:rPr>
          <w:rFonts w:ascii="Times New Roman" w:cs="Times New Roman" w:eastAsia="Times New Roman" w:hAnsi="Times New Roman"/>
          <w:sz w:val="18"/>
          <w:szCs w:val="18"/>
          <w:b w:val="1"/>
          <w:bCs w:val="1"/>
          <w:color w:val="auto"/>
        </w:rPr>
        <w:t>CLEARWAY ENERGY LLC AND SUBSIDIARIES CONDENSED CONSOLIDATING STATEMENTS OF COMPREHENSIVE INCOME For the Year Ended December 31, 2016</w:t>
      </w:r>
    </w:p>
    <w:p>
      <w:pPr>
        <w:spacing w:after="0" w:line="200" w:lineRule="exact"/>
        <w:rPr>
          <w:sz w:val="20"/>
          <w:szCs w:val="20"/>
          <w:color w:val="auto"/>
        </w:rPr>
      </w:pPr>
    </w:p>
    <w:p>
      <w:pPr>
        <w:spacing w:after="0" w:line="23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Clearway</w:t>
      </w:r>
    </w:p>
    <w:tbl>
      <w:tblPr>
        <w:tblLayout w:type="fixed"/>
        <w:tblInd w:w="0" w:type="dxa"/>
        <w:tblCellMar>
          <w:top w:w="0" w:type="dxa"/>
          <w:left w:w="0" w:type="dxa"/>
          <w:bottom w:w="0" w:type="dxa"/>
          <w:right w:w="0" w:type="dxa"/>
        </w:tblCellMar>
      </w:tblPr>
      <w:tr>
        <w:trPr>
          <w:trHeight w:val="144"/>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auto"/>
              </w:rPr>
              <w:t>Operating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Non-Guarantor</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(Senior Notes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1140" w:type="dxa"/>
            <w:vAlign w:val="bottom"/>
            <w:tcBorders>
              <w:bottom w:val="single" w:sz="8" w:color="auto"/>
            </w:tcBorders>
            <w:gridSpan w:val="3"/>
          </w:tcPr>
          <w:p>
            <w:pPr>
              <w:jc w:val="center"/>
              <w:ind w:right="100"/>
              <w:spacing w:after="0" w:line="201" w:lineRule="exact"/>
              <w:rPr>
                <w:sz w:val="20"/>
                <w:szCs w:val="20"/>
                <w:color w:val="auto"/>
              </w:rPr>
            </w:pPr>
            <w:r>
              <w:rPr>
                <w:rFonts w:ascii="Times New Roman" w:cs="Times New Roman" w:eastAsia="Times New Roman" w:hAnsi="Times New Roman"/>
                <w:sz w:val="14"/>
                <w:szCs w:val="14"/>
                <w:b w:val="1"/>
                <w:bCs w:val="1"/>
                <w:color w:val="auto"/>
                <w:w w:val="97"/>
              </w:rPr>
              <w:t xml:space="preserve">Energy </w:t>
            </w:r>
            <w:r>
              <w:rPr>
                <w:rFonts w:ascii="Times New Roman" w:cs="Times New Roman" w:eastAsia="Times New Roman" w:hAnsi="Times New Roman"/>
                <w:sz w:val="13"/>
                <w:szCs w:val="13"/>
                <w:b w:val="1"/>
                <w:bCs w:val="1"/>
                <w:color w:val="auto"/>
                <w:w w:val="97"/>
              </w:rPr>
              <w:t>LLC</w:t>
            </w:r>
            <w:r>
              <w:rPr>
                <w:rFonts w:ascii="Times New Roman" w:cs="Times New Roman" w:eastAsia="Times New Roman" w:hAnsi="Times New Roman"/>
                <w:sz w:val="14"/>
                <w:szCs w:val="14"/>
                <w:b w:val="1"/>
                <w:bCs w:val="1"/>
                <w:color w:val="auto"/>
                <w:w w:val="97"/>
              </w:rPr>
              <w:t xml:space="preserve"> </w:t>
            </w:r>
            <w:r>
              <w:rPr>
                <w:rFonts w:ascii="Times New Roman" w:cs="Times New Roman" w:eastAsia="Times New Roman" w:hAnsi="Times New Roman"/>
                <w:sz w:val="22"/>
                <w:szCs w:val="22"/>
                <w:b w:val="1"/>
                <w:bCs w:val="1"/>
                <w:color w:val="auto"/>
                <w:w w:val="97"/>
                <w:vertAlign w:val="superscript"/>
              </w:rPr>
              <w:t>(a)</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Issuer)</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Eliminations </w:t>
            </w:r>
            <w:r>
              <w:rPr>
                <w:rFonts w:ascii="Times New Roman" w:cs="Times New Roman" w:eastAsia="Times New Roman" w:hAnsi="Times New Roman"/>
                <w:sz w:val="22"/>
                <w:szCs w:val="22"/>
                <w:b w:val="1"/>
                <w:bCs w:val="1"/>
                <w:color w:val="auto"/>
                <w:vertAlign w:val="superscript"/>
              </w:rPr>
              <w:t>(b)</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1"/>
        </w:trPr>
        <w:tc>
          <w:tcPr>
            <w:tcW w:w="35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0"/>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Clearway Energy LLC</w:t>
            </w:r>
          </w:p>
        </w:tc>
        <w:tc>
          <w:tcPr>
            <w:tcW w:w="16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68" w:lineRule="exact"/>
        <w:rPr>
          <w:sz w:val="20"/>
          <w:szCs w:val="20"/>
          <w:color w:val="auto"/>
        </w:rPr>
      </w:pPr>
    </w:p>
    <w:p>
      <w:pPr>
        <w:ind w:left="180" w:hanging="118"/>
        <w:spacing w:after="0"/>
        <w:tabs>
          <w:tab w:leader="none" w:pos="180" w:val="left"/>
        </w:tabs>
        <w:numPr>
          <w:ilvl w:val="1"/>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6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927" w:right="2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Clearway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4"/>
        </w:trPr>
        <w:tc>
          <w:tcPr>
            <w:tcW w:w="4920" w:type="dxa"/>
            <w:vAlign w:val="bottom"/>
          </w:tcPr>
          <w:p>
            <w:pPr>
              <w:spacing w:after="0"/>
              <w:rPr>
                <w:sz w:val="13"/>
                <w:szCs w:val="13"/>
                <w:color w:val="auto"/>
              </w:rPr>
            </w:pPr>
          </w:p>
        </w:tc>
        <w:tc>
          <w:tcPr>
            <w:tcW w:w="128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5"/>
              </w:rPr>
              <w:t>Clearway Energy</w:t>
            </w:r>
          </w:p>
        </w:tc>
        <w:tc>
          <w:tcPr>
            <w:tcW w:w="128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6"/>
              </w:rPr>
              <w:t>Other Guarantor</w:t>
            </w:r>
          </w:p>
        </w:tc>
        <w:tc>
          <w:tcPr>
            <w:tcW w:w="18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5"/>
              </w:rPr>
              <w:t>Non-Guarantor</w:t>
            </w:r>
          </w:p>
        </w:tc>
        <w:tc>
          <w:tcPr>
            <w:tcW w:w="1360" w:type="dxa"/>
            <w:vAlign w:val="bottom"/>
            <w:gridSpan w:val="3"/>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 xml:space="preserve">Energy </w:t>
            </w:r>
            <w:r>
              <w:rPr>
                <w:rFonts w:ascii="Times New Roman" w:cs="Times New Roman" w:eastAsia="Times New Roman" w:hAnsi="Times New Roman"/>
                <w:sz w:val="13"/>
                <w:szCs w:val="13"/>
                <w:b w:val="1"/>
                <w:bCs w:val="1"/>
                <w:color w:val="2C2C2C"/>
              </w:rPr>
              <w:t>Operating</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60"/>
              <w:spacing w:after="0" w:line="196" w:lineRule="exact"/>
              <w:rPr>
                <w:sz w:val="20"/>
                <w:szCs w:val="20"/>
                <w:color w:val="auto"/>
              </w:rPr>
            </w:pPr>
            <w:r>
              <w:rPr>
                <w:rFonts w:ascii="Times New Roman" w:cs="Times New Roman" w:eastAsia="Times New Roman" w:hAnsi="Times New Roman"/>
                <w:sz w:val="22"/>
                <w:szCs w:val="22"/>
                <w:b w:val="1"/>
                <w:bCs w:val="1"/>
                <w:color w:val="auto"/>
                <w:w w:val="99"/>
                <w:vertAlign w:val="subscript"/>
              </w:rPr>
              <w:t>LLC</w:t>
            </w:r>
            <w:r>
              <w:rPr>
                <w:rFonts w:ascii="Times New Roman" w:cs="Times New Roman" w:eastAsia="Times New Roman" w:hAnsi="Times New Roman"/>
                <w:sz w:val="10"/>
                <w:szCs w:val="10"/>
                <w:b w:val="1"/>
                <w:bCs w:val="1"/>
                <w:color w:val="auto"/>
                <w:w w:val="99"/>
              </w:rPr>
              <w:t xml:space="preserve"> (a)</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2C2C2C"/>
                <w:w w:val="96"/>
              </w:rPr>
              <w:t>LLC (Note 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r>
      <w:tr>
        <w:trPr>
          <w:trHeight w:val="250"/>
        </w:trPr>
        <w:tc>
          <w:tcPr>
            <w:tcW w:w="4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20"/>
                <w:szCs w:val="20"/>
                <w:color w:val="auto"/>
              </w:rPr>
            </w:pP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investments in consolidated subsidiaries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of funds under intercompany cash management arrangement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distributions and return of capital to NRG prior to the acquisition of</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Drop Down Assets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proceeds from distributions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740</w:t>
            </w: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long-term debt — external</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2" w:lineRule="exact"/>
        <w:rPr>
          <w:sz w:val="20"/>
          <w:szCs w:val="20"/>
          <w:color w:val="auto"/>
        </w:rPr>
      </w:pPr>
    </w:p>
    <w:p>
      <w:pPr>
        <w:ind w:left="180" w:hanging="118"/>
        <w:spacing w:after="0"/>
        <w:tabs>
          <w:tab w:leader="none" w:pos="180" w:val="left"/>
        </w:tabs>
        <w:numPr>
          <w:ilvl w:val="0"/>
          <w:numId w:val="6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Shown separately from the other guarantors in lieu of preparing Schedule I pursuant to the requirements of Rule 5-04(c) of Regulation S-X.</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927"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4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4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53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Purchase and Sale Agreement, dated as of May 5, 2014, by and between NRG Gas</w:t>
              </w:r>
            </w:hyperlink>
          </w:p>
        </w:tc>
        <w:tc>
          <w:tcPr>
            <w:tcW w:w="480" w:type="dxa"/>
            <w:vAlign w:val="bottom"/>
            <w:gridSpan w:val="6"/>
          </w:tcPr>
          <w:p>
            <w:pPr>
              <w:spacing w:after="0"/>
              <w:rPr>
                <w:sz w:val="19"/>
                <w:szCs w:val="19"/>
                <w:color w:val="auto"/>
              </w:rPr>
            </w:pPr>
          </w:p>
        </w:tc>
      </w:tr>
      <w:tr>
        <w:trPr>
          <w:trHeight w:val="183"/>
        </w:trPr>
        <w:tc>
          <w:tcPr>
            <w:tcW w:w="1040" w:type="dxa"/>
            <w:vAlign w:val="bottom"/>
          </w:tcPr>
          <w:p>
            <w:pPr>
              <w:spacing w:after="0"/>
              <w:rPr>
                <w:sz w:val="15"/>
                <w:szCs w:val="15"/>
                <w:color w:val="auto"/>
              </w:rPr>
            </w:pPr>
          </w:p>
        </w:tc>
        <w:tc>
          <w:tcPr>
            <w:tcW w:w="404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Development Company, LLC and NRG Yield Operating LLC.</w:t>
              </w:r>
            </w:hyperlink>
          </w:p>
        </w:tc>
        <w:tc>
          <w:tcPr>
            <w:tcW w:w="1800" w:type="dxa"/>
            <w:vAlign w:val="bottom"/>
            <w:gridSpan w:val="8"/>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57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Purchase and Sale Agreement, dated as of May 5, 2014, by and between NRG Solar PV</w:t>
              </w:r>
            </w:hyperlink>
          </w:p>
        </w:tc>
        <w:tc>
          <w:tcPr>
            <w:tcW w:w="14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57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Purchase and Sale Agreement, dated as of May 5, 2014, by and between NRG Solar PV</w:t>
              </w:r>
            </w:hyperlink>
          </w:p>
        </w:tc>
        <w:tc>
          <w:tcPr>
            <w:tcW w:w="14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57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Purchase and Sale Agreement, dated June 3, 2014, by and among NRG Yield, Inc., NRG</w:t>
              </w:r>
            </w:hyperlink>
          </w:p>
        </w:tc>
        <w:tc>
          <w:tcPr>
            <w:tcW w:w="8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Yield Operating LLC, Terra-Gen Finance Company, LLC, NTD AWAM Holdings, LLC,</w:t>
              </w:r>
            </w:hyperlink>
          </w:p>
        </w:tc>
      </w:tr>
      <w:tr>
        <w:trPr>
          <w:trHeight w:val="183"/>
        </w:trPr>
        <w:tc>
          <w:tcPr>
            <w:tcW w:w="104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CHIPS Alta Wind X Holding Company, LLC and CHIPS Alta Wind XI Holding</w:t>
              </w:r>
            </w:hyperlink>
          </w:p>
        </w:tc>
        <w:tc>
          <w:tcPr>
            <w:tcW w:w="520" w:type="dxa"/>
            <w:vAlign w:val="bottom"/>
            <w:tcBorders>
              <w:top w:val="single" w:sz="8" w:color="0000FF"/>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Company,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58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Purchase and Sale Agreement, dated as of November 4, 2014, by and between NRG Wind</w:t>
              </w:r>
            </w:hyperlink>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2.6</w:t>
            </w:r>
          </w:p>
        </w:tc>
        <w:tc>
          <w:tcPr>
            <w:tcW w:w="5840" w:type="dxa"/>
            <w:vAlign w:val="bottom"/>
            <w:gridSpan w:val="13"/>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Purchase and Sale Agreement, dated as of November 4, 2014, by and between NRG</w:t>
              </w:r>
            </w:hyperlink>
          </w:p>
        </w:tc>
      </w:tr>
      <w:tr>
        <w:trPr>
          <w:trHeight w:val="183"/>
        </w:trPr>
        <w:tc>
          <w:tcPr>
            <w:tcW w:w="1040" w:type="dxa"/>
            <w:vAlign w:val="bottom"/>
          </w:tcPr>
          <w:p>
            <w:pPr>
              <w:spacing w:after="0"/>
              <w:rPr>
                <w:sz w:val="15"/>
                <w:szCs w:val="15"/>
                <w:color w:val="auto"/>
              </w:rPr>
            </w:pPr>
          </w:p>
        </w:tc>
        <w:tc>
          <w:tcPr>
            <w:tcW w:w="5440" w:type="dxa"/>
            <w:vAlign w:val="bottom"/>
            <w:tcBorders>
              <w:top w:val="single" w:sz="8" w:color="0000FF"/>
            </w:tcBorders>
            <w:gridSpan w:val="8"/>
          </w:tcPr>
          <w:p>
            <w:pPr>
              <w:spacing w:after="0" w:line="183"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Arroyo Nogales LLC and NRG Yield Operating LLC.</w:t>
              </w:r>
            </w:hyperlink>
          </w:p>
        </w:tc>
        <w:tc>
          <w:tcPr>
            <w:tcW w:w="40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2.7*^</w:t>
            </w:r>
          </w:p>
        </w:tc>
        <w:tc>
          <w:tcPr>
            <w:tcW w:w="5840" w:type="dxa"/>
            <w:vAlign w:val="bottom"/>
            <w:gridSpan w:val="13"/>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Purchase and Sale Agreement, dated as of June 17, 2015, by and between EFS Desert</w:t>
              </w:r>
            </w:hyperlink>
          </w:p>
        </w:tc>
      </w:tr>
      <w:tr>
        <w:trPr>
          <w:trHeight w:val="183"/>
        </w:trPr>
        <w:tc>
          <w:tcPr>
            <w:tcW w:w="104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Sun, LLC and NRG Yield Operating LLC.</w:t>
              </w:r>
            </w:hyperlink>
          </w:p>
        </w:tc>
        <w:tc>
          <w:tcPr>
            <w:tcW w:w="2780" w:type="dxa"/>
            <w:vAlign w:val="bottom"/>
            <w:tcBorders>
              <w:top w:val="single" w:sz="8" w:color="0000FF"/>
            </w:tcBorders>
            <w:gridSpan w:val="6"/>
          </w:tcPr>
          <w:p>
            <w:pPr>
              <w:spacing w:after="0"/>
              <w:rPr>
                <w:sz w:val="15"/>
                <w:szCs w:val="15"/>
                <w:color w:val="auto"/>
              </w:rPr>
            </w:pPr>
          </w:p>
        </w:tc>
        <w:tc>
          <w:tcPr>
            <w:tcW w:w="300" w:type="dxa"/>
            <w:vAlign w:val="bottom"/>
            <w:gridSpan w:val="4"/>
          </w:tcPr>
          <w:p>
            <w:pPr>
              <w:spacing w:after="0"/>
              <w:rPr>
                <w:sz w:val="15"/>
                <w:szCs w:val="15"/>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89"/>
              </w:rPr>
              <w:t>2.8</w:t>
            </w:r>
          </w:p>
        </w:tc>
        <w:tc>
          <w:tcPr>
            <w:tcW w:w="5540" w:type="dxa"/>
            <w:vAlign w:val="bottom"/>
            <w:gridSpan w:val="3"/>
            <w:vMerge w:val="restart"/>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Purchase and Sale Agreement, dated as of September 17, 2015, by and between NRG</w:t>
              </w:r>
            </w:hyperlink>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40" w:type="dxa"/>
            <w:vAlign w:val="bottom"/>
            <w:tcBorders>
              <w:bottom w:val="single" w:sz="8" w:color="0000FF"/>
            </w:tcBorders>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gridSpan w:val="4"/>
          </w:tcPr>
          <w:p>
            <w:pPr>
              <w:spacing w:after="0" w:line="183"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Energy Gas &amp; Wind Holdings, Inc. and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759"/>
              <w:spacing w:after="0"/>
              <w:rPr>
                <w:sz w:val="20"/>
                <w:szCs w:val="20"/>
                <w:color w:val="auto"/>
              </w:rPr>
            </w:pPr>
            <w:r>
              <w:rPr>
                <w:rFonts w:ascii="Times New Roman" w:cs="Times New Roman" w:eastAsia="Times New Roman" w:hAnsi="Times New Roman"/>
                <w:sz w:val="16"/>
                <w:szCs w:val="16"/>
                <w:color w:val="auto"/>
                <w:w w:val="89"/>
              </w:rPr>
              <w:t>2.9</w:t>
            </w:r>
          </w:p>
        </w:tc>
        <w:tc>
          <w:tcPr>
            <w:tcW w:w="3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600" w:type="dxa"/>
            <w:vAlign w:val="bottom"/>
            <w:gridSpan w:val="4"/>
            <w:vMerge w:val="restart"/>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Purchase and Sale Agreement, dated as of August 8, 2016, between NRG Solar CVSR</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00" w:type="dxa"/>
            <w:vAlign w:val="bottom"/>
            <w:tcBorders>
              <w:bottom w:val="single" w:sz="8" w:color="0000FF"/>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gridSpan w:val="4"/>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Holdings 2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7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2.1 to Clearway Energy, Inc.’s Current Report on Form 8-K filed on May 9, 2014.</w:t>
      </w:r>
    </w:p>
    <w:p>
      <w:pPr>
        <w:spacing w:after="0" w:line="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2.2 to Clearway Energy, Inc.’s Current Report on Form 8-K filed on May 9, 2014.</w:t>
      </w:r>
    </w:p>
    <w:p>
      <w:pPr>
        <w:spacing w:after="0" w:line="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2.3 to Clearway Energy, Inc.’s Current Report on Form 8-K filed on May 9, 2014.</w:t>
      </w:r>
    </w:p>
    <w:p>
      <w:pPr>
        <w:spacing w:after="0" w:line="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Current Report on Form 8-K filed on June 9, 2014.</w:t>
      </w:r>
    </w:p>
    <w:p>
      <w:pPr>
        <w:spacing w:after="0" w:line="200" w:lineRule="exact"/>
        <w:rPr>
          <w:sz w:val="20"/>
          <w:szCs w:val="20"/>
          <w:color w:val="auto"/>
        </w:rPr>
      </w:pPr>
    </w:p>
    <w:p>
      <w:pPr>
        <w:spacing w:after="0" w:line="20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2.1 to Clearway Energy, Inc.’s Current Report on Form 8-K filed on November 7, 2014.</w:t>
      </w:r>
    </w:p>
    <w:p>
      <w:pPr>
        <w:spacing w:after="0" w:line="1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2.2 to Clearway Energy, Inc.’s Current Report on Form 8-K filed on November 7, 2014.</w:t>
      </w:r>
    </w:p>
    <w:p>
      <w:pPr>
        <w:spacing w:after="0" w:line="1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2.1 to Clearway Energy, Inc.’s Quarterly Report on Form 10-Q filed on August 4, 2015.</w:t>
      </w:r>
    </w:p>
    <w:p>
      <w:pPr>
        <w:spacing w:after="0" w:line="1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2.1 to Clearway Energy, Inc.’s Current Report on Form 8-K filed on September 21, 2015.</w:t>
      </w:r>
    </w:p>
    <w:p>
      <w:pPr>
        <w:spacing w:after="0" w:line="25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2.1 to Clearway Energy, Inc.'s Current Report on Form 8-K, filed on August 9, 2016.</w:t>
      </w:r>
    </w:p>
    <w:p>
      <w:pPr>
        <w:spacing w:after="0" w:line="88" w:lineRule="exact"/>
        <w:rPr>
          <w:sz w:val="20"/>
          <w:szCs w:val="20"/>
          <w:color w:val="auto"/>
        </w:rPr>
      </w:pPr>
    </w:p>
    <w:p>
      <w:pPr>
        <w:sectPr>
          <w:pgSz w:w="11900" w:h="16838" w:orient="portrait"/>
          <w:cols w:equalWidth="0" w:num="2">
            <w:col w:w="6880" w:space="200"/>
            <w:col w:w="4260"/>
          </w:cols>
          <w:pgMar w:left="280" w:top="927" w:right="279" w:bottom="1440" w:gutter="0" w:footer="0" w:header="0"/>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4"/>
              </w:rPr>
              <w:t>2.10*</w:t>
            </w:r>
          </w:p>
        </w:tc>
        <w:tc>
          <w:tcPr>
            <w:tcW w:w="564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Purchase and Sale Agreement, dated as of February 6, 2018, by and between NRG Gas</w:t>
              </w:r>
            </w:hyperlink>
          </w:p>
        </w:tc>
      </w:tr>
      <w:tr>
        <w:trPr>
          <w:trHeight w:val="183"/>
        </w:trPr>
        <w:tc>
          <w:tcPr>
            <w:tcW w:w="1040" w:type="dxa"/>
            <w:vAlign w:val="bottom"/>
          </w:tcPr>
          <w:p>
            <w:pPr>
              <w:spacing w:after="0"/>
              <w:rPr>
                <w:sz w:val="15"/>
                <w:szCs w:val="15"/>
                <w:color w:val="auto"/>
              </w:rPr>
            </w:pPr>
          </w:p>
        </w:tc>
        <w:tc>
          <w:tcPr>
            <w:tcW w:w="404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Development Company, LLC and NRG Yield Operating LLC.</w:t>
              </w:r>
            </w:hyperlink>
          </w:p>
        </w:tc>
        <w:tc>
          <w:tcPr>
            <w:tcW w:w="16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2.10 to Clearway Energy, Inc.'s Annual Report on Form 10-K, filed on March 1, 2018.</w:t>
      </w:r>
    </w:p>
    <w:p>
      <w:pPr>
        <w:spacing w:after="0" w:line="88" w:lineRule="exact"/>
        <w:rPr>
          <w:sz w:val="20"/>
          <w:szCs w:val="20"/>
          <w:color w:val="auto"/>
        </w:rPr>
      </w:pPr>
    </w:p>
    <w:p>
      <w:pPr>
        <w:sectPr>
          <w:pgSz w:w="11900" w:h="16838" w:orient="portrait"/>
          <w:cols w:equalWidth="0" w:num="2">
            <w:col w:w="6680" w:space="400"/>
            <w:col w:w="4260"/>
          </w:cols>
          <w:pgMar w:left="280" w:top="927" w:right="27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89"/>
              </w:rPr>
              <w:t>3.1</w:t>
            </w:r>
          </w:p>
        </w:tc>
        <w:tc>
          <w:tcPr>
            <w:tcW w:w="5520" w:type="dxa"/>
            <w:vAlign w:val="bottom"/>
            <w:gridSpan w:val="2"/>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Certificate of Formation of NRG Yield Operating LLC.</w:t>
              </w:r>
            </w:hyperlink>
          </w:p>
        </w:tc>
        <w:tc>
          <w:tcPr>
            <w:tcW w:w="4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Incorporated herein by reference to Exhibit 3.01(a) to the</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3600" w:type="dxa"/>
            <w:vAlign w:val="bottom"/>
            <w:tcBorders>
              <w:top w:val="single" w:sz="8" w:color="0000FF"/>
            </w:tcBorders>
          </w:tcPr>
          <w:p>
            <w:pPr>
              <w:spacing w:after="0"/>
              <w:rPr>
                <w:sz w:val="18"/>
                <w:szCs w:val="18"/>
                <w:color w:val="auto"/>
              </w:rPr>
            </w:pPr>
          </w:p>
        </w:tc>
        <w:tc>
          <w:tcPr>
            <w:tcW w:w="19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Company's Registration Statement on Form S-4 filed on April 13,</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57"/>
        </w:trPr>
        <w:tc>
          <w:tcPr>
            <w:tcW w:w="10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89"/>
              </w:rPr>
              <w:t>3.2</w:t>
            </w:r>
          </w:p>
        </w:tc>
        <w:tc>
          <w:tcPr>
            <w:tcW w:w="5520" w:type="dxa"/>
            <w:vAlign w:val="bottom"/>
            <w:gridSpan w:val="2"/>
            <w:vMerge w:val="restart"/>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Certificate of Amendment of Certificate of Formation of NRG Yield Operating LLC.</w:t>
              </w:r>
            </w:hyperlink>
          </w:p>
        </w:tc>
        <w:tc>
          <w:tcPr>
            <w:tcW w:w="47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Incorporated herein by reference to Exhibit 3.01(b) to the</w:t>
            </w: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20" w:type="dxa"/>
            <w:vAlign w:val="bottom"/>
            <w:tcBorders>
              <w:bottom w:val="single" w:sz="8" w:color="0000FF"/>
            </w:tcBorders>
            <w:gridSpan w:val="2"/>
            <w:vMerge w:val="continue"/>
          </w:tcPr>
          <w:p>
            <w:pPr>
              <w:spacing w:after="0"/>
              <w:rPr>
                <w:sz w:val="4"/>
                <w:szCs w:val="4"/>
                <w:color w:val="auto"/>
              </w:rPr>
            </w:pPr>
          </w:p>
        </w:tc>
        <w:tc>
          <w:tcPr>
            <w:tcW w:w="4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color w:val="auto"/>
        </w:rPr>
        <w:t>Company's Registration Statement on Form S-4 filed on April 13,</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color w:val="auto"/>
        </w:rPr>
        <w:t>2015.</w:t>
      </w:r>
    </w:p>
    <w:p>
      <w:pPr>
        <w:sectPr>
          <w:pgSz w:w="11900" w:h="16838" w:orient="portrait"/>
          <w:cols w:equalWidth="0" w:num="1">
            <w:col w:w="11340"/>
          </w:cols>
          <w:pgMar w:left="280" w:top="927" w:right="27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89"/>
              </w:rPr>
              <w:t>3.3</w:t>
            </w:r>
          </w:p>
        </w:tc>
        <w:tc>
          <w:tcPr>
            <w:tcW w:w="582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w:anchor="page136">
              <w:r>
                <w:rPr>
                  <w:rFonts w:ascii="Times New Roman" w:cs="Times New Roman" w:eastAsia="Times New Roman" w:hAnsi="Times New Roman"/>
                  <w:sz w:val="16"/>
                  <w:szCs w:val="16"/>
                  <w:color w:val="0000FF"/>
                </w:rPr>
                <w:t>Third Amended and Restated Limited Liability Company Agreement of Clearway Energy</w:t>
              </w:r>
            </w:hyperlink>
          </w:p>
        </w:tc>
      </w:tr>
      <w:tr>
        <w:trPr>
          <w:trHeight w:val="183"/>
        </w:trPr>
        <w:tc>
          <w:tcPr>
            <w:tcW w:w="1040" w:type="dxa"/>
            <w:vAlign w:val="bottom"/>
          </w:tcPr>
          <w:p>
            <w:pPr>
              <w:spacing w:after="0"/>
              <w:rPr>
                <w:sz w:val="15"/>
                <w:szCs w:val="15"/>
                <w:color w:val="auto"/>
              </w:rPr>
            </w:pPr>
          </w:p>
        </w:tc>
        <w:tc>
          <w:tcPr>
            <w:tcW w:w="104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9"/>
              </w:rPr>
            </w:pPr>
            <w:hyperlink w:anchor="page136">
              <w:r>
                <w:rPr>
                  <w:rFonts w:ascii="Times New Roman" w:cs="Times New Roman" w:eastAsia="Times New Roman" w:hAnsi="Times New Roman"/>
                  <w:sz w:val="16"/>
                  <w:szCs w:val="16"/>
                  <w:color w:val="0000FF"/>
                  <w:w w:val="99"/>
                </w:rPr>
                <w:t>Operating LLC.</w:t>
              </w:r>
            </w:hyperlink>
          </w:p>
        </w:tc>
        <w:tc>
          <w:tcPr>
            <w:tcW w:w="4780" w:type="dxa"/>
            <w:vAlign w:val="bottom"/>
            <w:gridSpan w:val="2"/>
          </w:tcPr>
          <w:p>
            <w:pPr>
              <w:spacing w:after="0"/>
              <w:rPr>
                <w:sz w:val="15"/>
                <w:szCs w:val="15"/>
                <w:color w:val="auto"/>
              </w:rPr>
            </w:pPr>
          </w:p>
        </w:tc>
      </w:tr>
      <w:tr>
        <w:trPr>
          <w:trHeight w:val="237"/>
        </w:trPr>
        <w:tc>
          <w:tcPr>
            <w:tcW w:w="10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89"/>
              </w:rPr>
              <w:t>3.4</w:t>
            </w:r>
          </w:p>
        </w:tc>
        <w:tc>
          <w:tcPr>
            <w:tcW w:w="5820" w:type="dxa"/>
            <w:vAlign w:val="bottom"/>
            <w:gridSpan w:val="3"/>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Certificate of Formation of NRG Yield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3.03(a) to the Company's Registration Statement on Form S-4 filed on April 13, 2015.</w:t>
      </w:r>
    </w:p>
    <w:p>
      <w:pPr>
        <w:spacing w:after="0" w:line="97" w:lineRule="exact"/>
        <w:rPr>
          <w:sz w:val="20"/>
          <w:szCs w:val="20"/>
          <w:color w:val="auto"/>
        </w:rPr>
      </w:pPr>
    </w:p>
    <w:p>
      <w:pPr>
        <w:sectPr>
          <w:pgSz w:w="11900" w:h="16838" w:orient="portrait"/>
          <w:cols w:equalWidth="0" w:num="2">
            <w:col w:w="6860" w:space="220"/>
            <w:col w:w="4260"/>
          </w:cols>
          <w:pgMar w:left="280" w:top="927"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6"/>
          <w:szCs w:val="16"/>
          <w:u w:val="single" w:color="auto"/>
          <w:color w:val="0000FF"/>
        </w:rPr>
      </w:pPr>
      <w:hyperlink r:id="rId68">
        <w:r>
          <w:rPr>
            <w:rFonts w:ascii="Times New Roman" w:cs="Times New Roman" w:eastAsia="Times New Roman" w:hAnsi="Times New Roman"/>
            <w:sz w:val="16"/>
            <w:szCs w:val="16"/>
            <w:u w:val="single" w:color="auto"/>
            <w:color w:val="0000FF"/>
          </w:rPr>
          <w:t>Certificate of Amendment of Certificate of Formation of NRG Yield LLC.</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1" w:lineRule="auto"/>
        <w:rPr>
          <w:rFonts w:ascii="Times New Roman" w:cs="Times New Roman" w:eastAsia="Times New Roman" w:hAnsi="Times New Roman"/>
          <w:sz w:val="16"/>
          <w:szCs w:val="16"/>
          <w:u w:val="single" w:color="auto"/>
          <w:color w:val="0000FF"/>
        </w:rPr>
      </w:pPr>
      <w:hyperlink r:id="rId69">
        <w:r>
          <w:rPr>
            <w:rFonts w:ascii="Times New Roman" w:cs="Times New Roman" w:eastAsia="Times New Roman" w:hAnsi="Times New Roman"/>
            <w:sz w:val="16"/>
            <w:szCs w:val="16"/>
            <w:u w:val="single" w:color="auto"/>
            <w:color w:val="0000FF"/>
          </w:rPr>
          <w:t>Fourth Amended and Restated Limited Liability Company Agreement of NRG Yield</w:t>
        </w:r>
      </w:hyperlink>
      <w:r>
        <w:rPr>
          <w:rFonts w:ascii="Times New Roman" w:cs="Times New Roman" w:eastAsia="Times New Roman" w:hAnsi="Times New Roman"/>
          <w:sz w:val="16"/>
          <w:szCs w:val="16"/>
          <w:u w:val="single" w:color="auto"/>
          <w:color w:val="0000FF"/>
        </w:rPr>
        <w:t xml:space="preserve"> </w:t>
      </w:r>
      <w:hyperlink r:id="rId69">
        <w:r>
          <w:rPr>
            <w:rFonts w:ascii="Times New Roman" w:cs="Times New Roman" w:eastAsia="Times New Roman" w:hAnsi="Times New Roman"/>
            <w:sz w:val="16"/>
            <w:szCs w:val="16"/>
            <w:u w:val="single" w:color="auto"/>
            <w:color w:val="0000FF"/>
          </w:rPr>
          <w:t>LLC, dated as of August 31, 2018, by and between NRG Yield, Inc. and Zephyr</w:t>
        </w:r>
      </w:hyperlink>
      <w:r>
        <w:rPr>
          <w:rFonts w:ascii="Times New Roman" w:cs="Times New Roman" w:eastAsia="Times New Roman" w:hAnsi="Times New Roman"/>
          <w:sz w:val="16"/>
          <w:szCs w:val="16"/>
          <w:u w:val="single" w:color="auto"/>
          <w:color w:val="0000FF"/>
        </w:rPr>
        <w:t xml:space="preserve"> </w:t>
      </w:r>
      <w:hyperlink r:id="rId69">
        <w:r>
          <w:rPr>
            <w:rFonts w:ascii="Times New Roman" w:cs="Times New Roman" w:eastAsia="Times New Roman" w:hAnsi="Times New Roman"/>
            <w:sz w:val="16"/>
            <w:szCs w:val="16"/>
            <w:u w:val="single" w:color="auto"/>
            <w:color w:val="0000FF"/>
          </w:rPr>
          <w:t>Renewables LLC.</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61" w:lineRule="exact"/>
        <w:rPr>
          <w:rFonts w:ascii="Times New Roman" w:cs="Times New Roman" w:eastAsia="Times New Roman" w:hAnsi="Times New Roman"/>
          <w:sz w:val="16"/>
          <w:szCs w:val="16"/>
          <w:u w:val="single" w:color="auto"/>
          <w:color w:val="0000FF"/>
        </w:rPr>
      </w:pPr>
    </w:p>
    <w:p>
      <w:pPr>
        <w:ind w:right="80"/>
        <w:spacing w:after="0" w:line="298" w:lineRule="auto"/>
        <w:rPr>
          <w:rFonts w:ascii="Times New Roman" w:cs="Times New Roman" w:eastAsia="Times New Roman" w:hAnsi="Times New Roman"/>
          <w:sz w:val="16"/>
          <w:szCs w:val="16"/>
          <w:u w:val="single" w:color="auto"/>
          <w:color w:val="0000FF"/>
        </w:rPr>
      </w:pPr>
      <w:hyperlink r:id="rId70">
        <w:r>
          <w:rPr>
            <w:rFonts w:ascii="Times New Roman" w:cs="Times New Roman" w:eastAsia="Times New Roman" w:hAnsi="Times New Roman"/>
            <w:sz w:val="16"/>
            <w:szCs w:val="16"/>
            <w:u w:val="single" w:color="auto"/>
            <w:color w:val="0000FF"/>
          </w:rPr>
          <w:t>Indenture, dated August 5, 2014, among NRG Yield Operating LLC, the guarantors</w:t>
        </w:r>
      </w:hyperlink>
      <w:r>
        <w:rPr>
          <w:rFonts w:ascii="Times New Roman" w:cs="Times New Roman" w:eastAsia="Times New Roman" w:hAnsi="Times New Roman"/>
          <w:sz w:val="16"/>
          <w:szCs w:val="16"/>
          <w:u w:val="single" w:color="auto"/>
          <w:color w:val="0000FF"/>
        </w:rPr>
        <w:t xml:space="preserve"> </w:t>
      </w:r>
      <w:hyperlink r:id="rId70">
        <w:r>
          <w:rPr>
            <w:rFonts w:ascii="Times New Roman" w:cs="Times New Roman" w:eastAsia="Times New Roman" w:hAnsi="Times New Roman"/>
            <w:sz w:val="16"/>
            <w:szCs w:val="16"/>
            <w:u w:val="single" w:color="auto"/>
            <w:color w:val="0000FF"/>
          </w:rPr>
          <w:t>named therein and Law Debenture Trust Company of New York.</w:t>
        </w:r>
      </w:hyperlink>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3.03(b) to the Company's Registration Statement on Form S-4 filed on April 13, 2015.</w:t>
      </w:r>
    </w:p>
    <w:p>
      <w:pPr>
        <w:spacing w:after="0" w:line="1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10.6 to Clearway Energy, Inc.'s Current Report on Form 8-K filed on September 5, 2018.</w:t>
      </w:r>
    </w:p>
    <w:p>
      <w:pPr>
        <w:spacing w:after="0" w:line="200" w:lineRule="exact"/>
        <w:rPr>
          <w:sz w:val="20"/>
          <w:szCs w:val="20"/>
          <w:color w:val="auto"/>
        </w:rPr>
      </w:pPr>
    </w:p>
    <w:p>
      <w:pPr>
        <w:spacing w:after="0" w:line="26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4.1 to Clearway Energy, Inc.'s Current Report on Form 8-K filed on August 5, 2014.</w:t>
      </w:r>
    </w:p>
    <w:p>
      <w:pPr>
        <w:sectPr>
          <w:pgSz w:w="11900" w:h="16838" w:orient="portrait"/>
          <w:cols w:equalWidth="0" w:num="3">
            <w:col w:w="320" w:space="720"/>
            <w:col w:w="5500" w:space="540"/>
            <w:col w:w="4260"/>
          </w:cols>
          <w:pgMar w:left="280" w:top="927" w:right="27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4.2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6"/>
          <w:szCs w:val="16"/>
          <w:u w:val="single" w:color="auto"/>
          <w:color w:val="0000FF"/>
        </w:rPr>
      </w:pPr>
      <w:hyperlink r:id="rId70">
        <w:r>
          <w:rPr>
            <w:rFonts w:ascii="Times New Roman" w:cs="Times New Roman" w:eastAsia="Times New Roman" w:hAnsi="Times New Roman"/>
            <w:sz w:val="16"/>
            <w:szCs w:val="16"/>
            <w:u w:val="single" w:color="auto"/>
            <w:color w:val="0000FF"/>
          </w:rPr>
          <w:t>Form of 5.375% Senior Note due 2024.</w:t>
        </w:r>
      </w:hyperlink>
    </w:p>
    <w:p>
      <w:pPr>
        <w:spacing w:after="0" w:line="200" w:lineRule="exact"/>
        <w:rPr>
          <w:sz w:val="20"/>
          <w:szCs w:val="20"/>
          <w:color w:val="auto"/>
        </w:rPr>
      </w:pPr>
    </w:p>
    <w:p>
      <w:pPr>
        <w:spacing w:after="0" w:line="359" w:lineRule="exact"/>
        <w:rPr>
          <w:sz w:val="20"/>
          <w:szCs w:val="20"/>
          <w:color w:val="auto"/>
        </w:rPr>
      </w:pPr>
    </w:p>
    <w:p>
      <w:pPr>
        <w:jc w:val="both"/>
        <w:ind w:right="280"/>
        <w:spacing w:after="0" w:line="281" w:lineRule="auto"/>
        <w:rPr>
          <w:rFonts w:ascii="Times New Roman" w:cs="Times New Roman" w:eastAsia="Times New Roman" w:hAnsi="Times New Roman"/>
          <w:sz w:val="16"/>
          <w:szCs w:val="16"/>
          <w:u w:val="single" w:color="auto"/>
          <w:color w:val="0000FF"/>
        </w:rPr>
      </w:pPr>
      <w:hyperlink r:id="rId71">
        <w:r>
          <w:rPr>
            <w:rFonts w:ascii="Times New Roman" w:cs="Times New Roman" w:eastAsia="Times New Roman" w:hAnsi="Times New Roman"/>
            <w:sz w:val="16"/>
            <w:szCs w:val="16"/>
            <w:u w:val="single" w:color="auto"/>
            <w:color w:val="0000FF"/>
          </w:rPr>
          <w:t>Registration Rights Agreement, dated October 1, 2018, among Clearway Energy</w:t>
        </w:r>
      </w:hyperlink>
      <w:r>
        <w:rPr>
          <w:rFonts w:ascii="Times New Roman" w:cs="Times New Roman" w:eastAsia="Times New Roman" w:hAnsi="Times New Roman"/>
          <w:sz w:val="16"/>
          <w:szCs w:val="16"/>
          <w:u w:val="single" w:color="auto"/>
          <w:color w:val="0000FF"/>
        </w:rPr>
        <w:t xml:space="preserve"> </w:t>
      </w:r>
      <w:hyperlink r:id="rId71">
        <w:r>
          <w:rPr>
            <w:rFonts w:ascii="Times New Roman" w:cs="Times New Roman" w:eastAsia="Times New Roman" w:hAnsi="Times New Roman"/>
            <w:sz w:val="16"/>
            <w:szCs w:val="16"/>
            <w:u w:val="single" w:color="auto"/>
            <w:color w:val="0000FF"/>
          </w:rPr>
          <w:t>Operating LLC, the guarantors named therein and RBC Capital Markets, LLC, as</w:t>
        </w:r>
      </w:hyperlink>
      <w:r>
        <w:rPr>
          <w:rFonts w:ascii="Times New Roman" w:cs="Times New Roman" w:eastAsia="Times New Roman" w:hAnsi="Times New Roman"/>
          <w:sz w:val="16"/>
          <w:szCs w:val="16"/>
          <w:u w:val="single" w:color="auto"/>
          <w:color w:val="0000FF"/>
        </w:rPr>
        <w:t xml:space="preserve"> </w:t>
      </w:r>
      <w:hyperlink r:id="rId71">
        <w:r>
          <w:rPr>
            <w:rFonts w:ascii="Times New Roman" w:cs="Times New Roman" w:eastAsia="Times New Roman" w:hAnsi="Times New Roman"/>
            <w:sz w:val="16"/>
            <w:szCs w:val="16"/>
            <w:u w:val="single" w:color="auto"/>
            <w:color w:val="0000FF"/>
          </w:rPr>
          <w:t>representative of the initial purchasers.</w:t>
        </w:r>
      </w:hyperlink>
    </w:p>
    <w:p>
      <w:pPr>
        <w:spacing w:after="0" w:line="299" w:lineRule="exact"/>
        <w:rPr>
          <w:rFonts w:ascii="Times New Roman" w:cs="Times New Roman" w:eastAsia="Times New Roman" w:hAnsi="Times New Roman"/>
          <w:sz w:val="16"/>
          <w:szCs w:val="16"/>
          <w:u w:val="single" w:color="auto"/>
          <w:color w:val="0000FF"/>
        </w:rPr>
      </w:pPr>
    </w:p>
    <w:p>
      <w:pPr>
        <w:jc w:val="both"/>
        <w:spacing w:after="0" w:line="298" w:lineRule="auto"/>
        <w:rPr>
          <w:rFonts w:ascii="Times New Roman" w:cs="Times New Roman" w:eastAsia="Times New Roman" w:hAnsi="Times New Roman"/>
          <w:sz w:val="16"/>
          <w:szCs w:val="16"/>
          <w:u w:val="single" w:color="auto"/>
          <w:color w:val="0000FF"/>
        </w:rPr>
      </w:pPr>
      <w:hyperlink r:id="rId72">
        <w:r>
          <w:rPr>
            <w:rFonts w:ascii="Times New Roman" w:cs="Times New Roman" w:eastAsia="Times New Roman" w:hAnsi="Times New Roman"/>
            <w:sz w:val="16"/>
            <w:szCs w:val="16"/>
            <w:u w:val="single" w:color="auto"/>
            <w:color w:val="0000FF"/>
          </w:rPr>
          <w:t>Supplemental Indenture, dated as of November 7, 2014, among NRG Yield Operating</w:t>
        </w:r>
      </w:hyperlink>
      <w:r>
        <w:rPr>
          <w:rFonts w:ascii="Times New Roman" w:cs="Times New Roman" w:eastAsia="Times New Roman" w:hAnsi="Times New Roman"/>
          <w:sz w:val="16"/>
          <w:szCs w:val="16"/>
          <w:u w:val="single" w:color="auto"/>
          <w:color w:val="0000FF"/>
        </w:rPr>
        <w:t xml:space="preserve"> </w:t>
      </w:r>
      <w:hyperlink r:id="rId72">
        <w:r>
          <w:rPr>
            <w:rFonts w:ascii="Times New Roman" w:cs="Times New Roman" w:eastAsia="Times New Roman" w:hAnsi="Times New Roman"/>
            <w:sz w:val="16"/>
            <w:szCs w:val="16"/>
            <w:u w:val="single" w:color="auto"/>
            <w:color w:val="0000FF"/>
          </w:rPr>
          <w:t>LLC, the guarantors named therein and Law Debenture Trust Company of New York.</w:t>
        </w:r>
      </w:hyperlink>
    </w:p>
    <w:p>
      <w:pPr>
        <w:spacing w:after="0" w:line="205" w:lineRule="exact"/>
        <w:rPr>
          <w:sz w:val="20"/>
          <w:szCs w:val="20"/>
          <w:color w:val="auto"/>
        </w:rPr>
      </w:pPr>
    </w:p>
    <w:p>
      <w:pPr>
        <w:jc w:val="both"/>
        <w:spacing w:after="0" w:line="298" w:lineRule="auto"/>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Supplemental Indenture, dated as of February 25, 2015, among NRG Yield Operating</w:t>
        </w:r>
      </w:hyperlink>
      <w:r>
        <w:rPr>
          <w:rFonts w:ascii="Times New Roman" w:cs="Times New Roman" w:eastAsia="Times New Roman" w:hAnsi="Times New Roman"/>
          <w:sz w:val="16"/>
          <w:szCs w:val="16"/>
          <w:u w:val="single" w:color="auto"/>
          <w:color w:val="0000FF"/>
        </w:rPr>
        <w:t xml:space="preserve"> </w:t>
      </w:r>
      <w:hyperlink r:id="rId73">
        <w:r>
          <w:rPr>
            <w:rFonts w:ascii="Times New Roman" w:cs="Times New Roman" w:eastAsia="Times New Roman" w:hAnsi="Times New Roman"/>
            <w:sz w:val="16"/>
            <w:szCs w:val="16"/>
            <w:u w:val="single" w:color="auto"/>
            <w:color w:val="0000FF"/>
          </w:rPr>
          <w:t>LLC, the guarantors named therein and Law Debenture Trust Company of New York.</w:t>
        </w:r>
      </w:hyperlink>
    </w:p>
    <w:p>
      <w:pPr>
        <w:spacing w:after="0" w:line="20" w:lineRule="exact"/>
        <w:rPr>
          <w:sz w:val="20"/>
          <w:szCs w:val="20"/>
          <w:color w:val="auto"/>
        </w:rPr>
      </w:pPr>
      <w:r>
        <w:rPr>
          <w:sz w:val="20"/>
          <w:szCs w:val="20"/>
          <w:color w:val="auto"/>
        </w:rPr>
        <w:br w:type="column"/>
      </w:r>
    </w:p>
    <w:p>
      <w:pPr>
        <w:ind w:right="28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4.2 to Clearway Energy, Inc.'s Current Report on Form 8-K filed on August 5, 2014.</w:t>
      </w:r>
    </w:p>
    <w:p>
      <w:pPr>
        <w:spacing w:after="0" w:line="9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October 2, 2018.</w:t>
      </w:r>
    </w:p>
    <w:p>
      <w:pPr>
        <w:spacing w:after="0" w:line="200" w:lineRule="exact"/>
        <w:rPr>
          <w:sz w:val="20"/>
          <w:szCs w:val="20"/>
          <w:color w:val="auto"/>
        </w:rPr>
      </w:pPr>
    </w:p>
    <w:p>
      <w:pPr>
        <w:spacing w:after="0" w:line="28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4.1 to Clearway Energy, Inc.'s Current Report on Form 8-K filed on November 13, 2014.</w:t>
      </w:r>
    </w:p>
    <w:p>
      <w:pPr>
        <w:spacing w:after="0" w:line="9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4.1 to Clearway Energy, Inc.'s Current Report on Form 8-K filed on February 27, 2015.</w:t>
      </w:r>
    </w:p>
    <w:p>
      <w:pPr>
        <w:spacing w:after="0" w:line="97" w:lineRule="exact"/>
        <w:rPr>
          <w:sz w:val="20"/>
          <w:szCs w:val="20"/>
          <w:color w:val="auto"/>
        </w:rPr>
      </w:pPr>
    </w:p>
    <w:p>
      <w:pPr>
        <w:sectPr>
          <w:pgSz w:w="11900" w:h="16838" w:orient="portrait"/>
          <w:cols w:equalWidth="0" w:num="3">
            <w:col w:w="320" w:space="720"/>
            <w:col w:w="5560" w:space="480"/>
            <w:col w:w="4260"/>
          </w:cols>
          <w:pgMar w:left="280" w:top="1098" w:right="279" w:bottom="0" w:gutter="0" w:footer="0" w:header="0"/>
        </w:sectPr>
      </w:pPr>
    </w:p>
    <w:p>
      <w:pPr>
        <w:spacing w:after="0"/>
        <w:rPr>
          <w:sz w:val="20"/>
          <w:szCs w:val="20"/>
          <w:color w:val="auto"/>
        </w:rPr>
      </w:pPr>
      <w:r>
        <w:rPr>
          <w:rFonts w:ascii="Times New Roman" w:cs="Times New Roman" w:eastAsia="Times New Roman" w:hAnsi="Times New Roman"/>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81" w:lineRule="auto"/>
        <w:rPr>
          <w:rFonts w:ascii="Times New Roman" w:cs="Times New Roman" w:eastAsia="Times New Roman" w:hAnsi="Times New Roman"/>
          <w:sz w:val="16"/>
          <w:szCs w:val="16"/>
          <w:u w:val="single" w:color="auto"/>
          <w:color w:val="0000FF"/>
        </w:rPr>
      </w:pPr>
      <w:hyperlink r:id="rId74">
        <w:r>
          <w:rPr>
            <w:rFonts w:ascii="Times New Roman" w:cs="Times New Roman" w:eastAsia="Times New Roman" w:hAnsi="Times New Roman"/>
            <w:sz w:val="16"/>
            <w:szCs w:val="16"/>
            <w:u w:val="single" w:color="auto"/>
            <w:color w:val="0000FF"/>
          </w:rPr>
          <w:t>Third Supplemental Indenture, dated as of April 10, 2015, among NRG Yield Operating</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LLC, NRG Yield LLC, the other guarantors named therein and Law Debenture Trust</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Company of New York.</w:t>
        </w:r>
      </w:hyperlink>
    </w:p>
    <w:p>
      <w:pPr>
        <w:spacing w:after="0" w:line="178" w:lineRule="exact"/>
        <w:rPr>
          <w:rFonts w:ascii="Times New Roman" w:cs="Times New Roman" w:eastAsia="Times New Roman" w:hAnsi="Times New Roman"/>
          <w:sz w:val="16"/>
          <w:szCs w:val="16"/>
          <w:u w:val="single" w:color="auto"/>
          <w:color w:val="0000FF"/>
        </w:rPr>
      </w:pPr>
    </w:p>
    <w:p>
      <w:pPr>
        <w:ind w:right="120"/>
        <w:spacing w:after="0" w:line="298" w:lineRule="auto"/>
        <w:rPr>
          <w:rFonts w:ascii="Times New Roman" w:cs="Times New Roman" w:eastAsia="Times New Roman" w:hAnsi="Times New Roman"/>
          <w:sz w:val="16"/>
          <w:szCs w:val="16"/>
          <w:u w:val="single" w:color="auto"/>
          <w:color w:val="0000FF"/>
        </w:rPr>
      </w:pPr>
      <w:hyperlink r:id="rId75">
        <w:r>
          <w:rPr>
            <w:rFonts w:ascii="Times New Roman" w:cs="Times New Roman" w:eastAsia="Times New Roman" w:hAnsi="Times New Roman"/>
            <w:sz w:val="16"/>
            <w:szCs w:val="16"/>
            <w:u w:val="single" w:color="auto"/>
            <w:color w:val="0000FF"/>
          </w:rPr>
          <w:t>Fourth Supplemental Indenture, dated as of May 8, 2015, among NRG Yield Operating</w:t>
        </w:r>
      </w:hyperlink>
      <w:r>
        <w:rPr>
          <w:rFonts w:ascii="Times New Roman" w:cs="Times New Roman" w:eastAsia="Times New Roman" w:hAnsi="Times New Roman"/>
          <w:sz w:val="16"/>
          <w:szCs w:val="16"/>
          <w:u w:val="single" w:color="auto"/>
          <w:color w:val="0000FF"/>
        </w:rPr>
        <w:t xml:space="preserve"> </w:t>
      </w:r>
      <w:hyperlink r:id="rId75">
        <w:r>
          <w:rPr>
            <w:rFonts w:ascii="Times New Roman" w:cs="Times New Roman" w:eastAsia="Times New Roman" w:hAnsi="Times New Roman"/>
            <w:sz w:val="16"/>
            <w:szCs w:val="16"/>
            <w:u w:val="single" w:color="auto"/>
            <w:color w:val="0000FF"/>
          </w:rPr>
          <w:t>LLC, the guarantors named therein and Law Debenture Trust Company of New York.</w:t>
        </w:r>
      </w:hyperlink>
    </w:p>
    <w:p>
      <w:pPr>
        <w:spacing w:after="0" w:line="164" w:lineRule="exact"/>
        <w:rPr>
          <w:sz w:val="20"/>
          <w:szCs w:val="20"/>
          <w:color w:val="auto"/>
        </w:rPr>
      </w:pPr>
    </w:p>
    <w:p>
      <w:pPr>
        <w:jc w:val="both"/>
        <w:spacing w:after="0" w:line="298" w:lineRule="auto"/>
        <w:rPr>
          <w:rFonts w:ascii="Times New Roman" w:cs="Times New Roman" w:eastAsia="Times New Roman" w:hAnsi="Times New Roman"/>
          <w:sz w:val="16"/>
          <w:szCs w:val="16"/>
          <w:u w:val="single" w:color="auto"/>
          <w:color w:val="0000FF"/>
        </w:rPr>
      </w:pPr>
      <w:hyperlink r:id="rId76">
        <w:r>
          <w:rPr>
            <w:rFonts w:ascii="Times New Roman" w:cs="Times New Roman" w:eastAsia="Times New Roman" w:hAnsi="Times New Roman"/>
            <w:sz w:val="16"/>
            <w:szCs w:val="16"/>
            <w:u w:val="single" w:color="auto"/>
            <w:color w:val="0000FF"/>
          </w:rPr>
          <w:t>Indenture, dated June 29, 2015, among NRG Yield, Inc., NRG Yield Operating LLC and</w:t>
        </w:r>
      </w:hyperlink>
      <w:r>
        <w:rPr>
          <w:rFonts w:ascii="Times New Roman" w:cs="Times New Roman" w:eastAsia="Times New Roman" w:hAnsi="Times New Roman"/>
          <w:sz w:val="16"/>
          <w:szCs w:val="16"/>
          <w:u w:val="single" w:color="auto"/>
          <w:color w:val="0000FF"/>
        </w:rPr>
        <w:t xml:space="preserve"> </w:t>
      </w:r>
      <w:hyperlink r:id="rId76">
        <w:r>
          <w:rPr>
            <w:rFonts w:ascii="Times New Roman" w:cs="Times New Roman" w:eastAsia="Times New Roman" w:hAnsi="Times New Roman"/>
            <w:sz w:val="16"/>
            <w:szCs w:val="16"/>
            <w:u w:val="single" w:color="auto"/>
            <w:color w:val="0000FF"/>
          </w:rPr>
          <w:t>NRG Yield LLC, as Guarantors, and Wilmington Trust, National Association, as Trustee.</w:t>
        </w:r>
      </w:hyperlink>
    </w:p>
    <w:p>
      <w:pPr>
        <w:spacing w:after="0" w:line="367"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76">
        <w:r>
          <w:rPr>
            <w:rFonts w:ascii="Times New Roman" w:cs="Times New Roman" w:eastAsia="Times New Roman" w:hAnsi="Times New Roman"/>
            <w:sz w:val="16"/>
            <w:szCs w:val="16"/>
            <w:u w:val="single" w:color="auto"/>
            <w:color w:val="0000FF"/>
          </w:rPr>
          <w:t>Form of 3.25% Convertible Senior Note due 2020.</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Incorporated herein by reference to Exhibit 4.07 to the Company's Registration Statement on Form S-4 filed on April 13, 2015.</w:t>
      </w:r>
    </w:p>
    <w:p>
      <w:pPr>
        <w:spacing w:after="0" w:line="37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4.1 to Clearway Energy, Inc.'s Current Report on Form 8-K filed on May 8, 2015.</w:t>
      </w:r>
    </w:p>
    <w:p>
      <w:pPr>
        <w:spacing w:after="0" w:line="164"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4.1 to Clearway Energy, Inc.'s Current Report on Form 8-K filed on June 29, 2015.</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to Exhibit 4.2 to Clearway Energy, Inc.'s Current Report on Form 8-K filed on June 29, 2015.</w:t>
      </w:r>
    </w:p>
    <w:p>
      <w:pPr>
        <w:spacing w:after="0" w:line="100" w:lineRule="exact"/>
        <w:rPr>
          <w:sz w:val="20"/>
          <w:szCs w:val="20"/>
          <w:color w:val="auto"/>
        </w:rPr>
      </w:pPr>
    </w:p>
    <w:p>
      <w:pPr>
        <w:sectPr>
          <w:pgSz w:w="11900" w:h="16838" w:orient="portrait"/>
          <w:cols w:equalWidth="0" w:num="3">
            <w:col w:w="320" w:space="720"/>
            <w:col w:w="5780" w:space="260"/>
            <w:col w:w="4260"/>
          </w:cols>
          <w:pgMar w:left="280" w:top="1098" w:right="27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4.10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4.18</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Indenture, dated August 18, 2016, among NRG Yield Operating LLC, the guarantors</w:t>
              </w:r>
            </w:hyperlink>
          </w:p>
        </w:tc>
        <w:tc>
          <w:tcPr>
            <w:tcW w:w="440" w:type="dxa"/>
            <w:vAlign w:val="bottom"/>
            <w:gridSpan w:val="9"/>
          </w:tcPr>
          <w:p>
            <w:pPr>
              <w:spacing w:after="0"/>
              <w:rPr>
                <w:sz w:val="16"/>
                <w:szCs w:val="16"/>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4.1 to the Registrant's</w:t>
            </w: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named therein and Law Debenture Trust Company of New York.</w:t>
              </w:r>
            </w:hyperlink>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on August 18, 2016.</w:t>
            </w:r>
          </w:p>
        </w:tc>
      </w:tr>
      <w:tr>
        <w:trPr>
          <w:trHeight w:val="399"/>
        </w:trPr>
        <w:tc>
          <w:tcPr>
            <w:tcW w:w="420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Form of 5.000% Senior Note due 2026.</w:t>
              </w:r>
            </w:hyperlink>
          </w:p>
        </w:tc>
        <w:tc>
          <w:tcPr>
            <w:tcW w:w="1740" w:type="dxa"/>
            <w:vAlign w:val="bottom"/>
            <w:gridSpan w:val="10"/>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4.2 to the Registrant's</w:t>
            </w:r>
          </w:p>
        </w:tc>
      </w:tr>
      <w:tr>
        <w:trPr>
          <w:trHeight w:val="217"/>
        </w:trPr>
        <w:tc>
          <w:tcPr>
            <w:tcW w:w="138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Report on Form 8-K, filed on August 18, 2016.</w:t>
            </w:r>
          </w:p>
        </w:tc>
      </w:tr>
      <w:tr>
        <w:trPr>
          <w:trHeight w:val="384"/>
        </w:trPr>
        <w:tc>
          <w:tcPr>
            <w:tcW w:w="5940" w:type="dxa"/>
            <w:vAlign w:val="bottom"/>
            <w:gridSpan w:val="15"/>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Registration Rights Agreement, dated August 18, 2016, among NRG Yield Operating</w:t>
              </w:r>
            </w:hyperlink>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4.3 to the Registrant's</w:t>
            </w:r>
          </w:p>
        </w:tc>
      </w:tr>
      <w:tr>
        <w:trPr>
          <w:trHeight w:val="20"/>
        </w:trPr>
        <w:tc>
          <w:tcPr>
            <w:tcW w:w="13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72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LLC, the guarantors named therein and J.P. Morgan Securities LLC, as representative of</w:t>
              </w:r>
            </w:hyperlink>
          </w:p>
        </w:tc>
        <w:tc>
          <w:tcPr>
            <w:tcW w:w="220" w:type="dxa"/>
            <w:vAlign w:val="bottom"/>
            <w:gridSpan w:val="5"/>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on August 18, 2016.</w:t>
            </w: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the initial purchasers.</w:t>
              </w:r>
            </w:hyperlink>
          </w:p>
        </w:tc>
        <w:tc>
          <w:tcPr>
            <w:tcW w:w="4340" w:type="dxa"/>
            <w:vAlign w:val="bottom"/>
          </w:tcPr>
          <w:p>
            <w:pPr>
              <w:spacing w:after="0"/>
              <w:rPr>
                <w:sz w:val="15"/>
                <w:szCs w:val="15"/>
                <w:color w:val="auto"/>
              </w:rPr>
            </w:pPr>
          </w:p>
        </w:tc>
      </w:tr>
      <w:tr>
        <w:trPr>
          <w:trHeight w:val="20"/>
        </w:trPr>
        <w:tc>
          <w:tcPr>
            <w:tcW w:w="13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940" w:type="dxa"/>
            <w:vAlign w:val="bottom"/>
            <w:gridSpan w:val="15"/>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Fifth Supplemental Indenture, dated as of January 29, 2018, among NRG Yield Operating</w:t>
              </w:r>
            </w:hyperlink>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4.1 to the Registrant's</w:t>
            </w: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on January 31, 2018.</w:t>
            </w:r>
          </w:p>
        </w:tc>
      </w:tr>
      <w:tr>
        <w:trPr>
          <w:trHeight w:val="183"/>
        </w:trPr>
        <w:tc>
          <w:tcPr>
            <w:tcW w:w="5820" w:type="dxa"/>
            <w:vAlign w:val="bottom"/>
            <w:tcBorders>
              <w:top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6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Sixth Supplemental Indenture, dated as of June 12, 2018, among NRG Yield Operating</w:t>
              </w:r>
            </w:hyperlink>
          </w:p>
        </w:tc>
        <w:tc>
          <w:tcPr>
            <w:tcW w:w="280" w:type="dxa"/>
            <w:vAlign w:val="bottom"/>
            <w:gridSpan w:val="6"/>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4.1 to the Company's</w:t>
            </w: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on June 12, 2018.</w:t>
            </w:r>
          </w:p>
        </w:tc>
      </w:tr>
      <w:tr>
        <w:trPr>
          <w:trHeight w:val="183"/>
        </w:trPr>
        <w:tc>
          <w:tcPr>
            <w:tcW w:w="5820" w:type="dxa"/>
            <w:vAlign w:val="bottom"/>
            <w:tcBorders>
              <w:top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8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Supplemental Indenture, dated as of January 29, 2018, among NRG Yield Operating LLC,</w:t>
              </w:r>
            </w:hyperlink>
          </w:p>
        </w:tc>
        <w:tc>
          <w:tcPr>
            <w:tcW w:w="80" w:type="dxa"/>
            <w:vAlign w:val="bottom"/>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4.2 to the Registrant's</w:t>
            </w: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the guarantors named therein and the Delaware Trust Company (as successor in interest to</w:t>
              </w:r>
            </w:hyperlink>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on January 31, 2018.</w:t>
            </w:r>
          </w:p>
        </w:tc>
      </w:tr>
      <w:tr>
        <w:trPr>
          <w:trHeight w:val="183"/>
        </w:trPr>
        <w:tc>
          <w:tcPr>
            <w:tcW w:w="302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81">
              <w:r>
                <w:rPr>
                  <w:rFonts w:ascii="Times New Roman" w:cs="Times New Roman" w:eastAsia="Times New Roman" w:hAnsi="Times New Roman"/>
                  <w:sz w:val="16"/>
                  <w:szCs w:val="16"/>
                  <w:color w:val="0000FF"/>
                  <w:w w:val="99"/>
                </w:rPr>
                <w:t>Law Debenture Trust Company of New York).</w:t>
              </w:r>
            </w:hyperlink>
          </w:p>
        </w:tc>
        <w:tc>
          <w:tcPr>
            <w:tcW w:w="2820" w:type="dxa"/>
            <w:vAlign w:val="bottom"/>
            <w:tcBorders>
              <w:top w:val="single" w:sz="8" w:color="0000FF"/>
            </w:tcBorders>
            <w:gridSpan w:val="10"/>
          </w:tcPr>
          <w:p>
            <w:pPr>
              <w:spacing w:after="0"/>
              <w:rPr>
                <w:sz w:val="15"/>
                <w:szCs w:val="15"/>
                <w:color w:val="auto"/>
              </w:rPr>
            </w:pPr>
          </w:p>
        </w:tc>
        <w:tc>
          <w:tcPr>
            <w:tcW w:w="100" w:type="dxa"/>
            <w:vAlign w:val="bottom"/>
            <w:gridSpan w:val="2"/>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7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Second Supplemental Indenture, dated as of June 12, 2018, among NRG Yield Operating</w:t>
              </w:r>
            </w:hyperlink>
          </w:p>
        </w:tc>
        <w:tc>
          <w:tcPr>
            <w:tcW w:w="160" w:type="dxa"/>
            <w:vAlign w:val="bottom"/>
            <w:gridSpan w:val="4"/>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4.2 to the Company's</w:t>
            </w: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Current Report on Form 8-K filed on June 12, 2018.</w:t>
            </w:r>
          </w:p>
        </w:tc>
      </w:tr>
      <w:tr>
        <w:trPr>
          <w:trHeight w:val="183"/>
        </w:trPr>
        <w:tc>
          <w:tcPr>
            <w:tcW w:w="5820" w:type="dxa"/>
            <w:vAlign w:val="bottom"/>
            <w:tcBorders>
              <w:top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180" w:type="dxa"/>
            <w:vAlign w:val="bottom"/>
            <w:gridSpan w:val="4"/>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Seventh Supplemental Indenture, dated as of July 17, 2018, among NRG Yield Operating</w:t>
            </w:r>
          </w:p>
        </w:tc>
        <w:tc>
          <w:tcPr>
            <w:tcW w:w="120" w:type="dxa"/>
            <w:vAlign w:val="bottom"/>
            <w:gridSpan w:val="3"/>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4.3 to the Company's</w:t>
            </w:r>
          </w:p>
        </w:tc>
      </w:tr>
      <w:tr>
        <w:trPr>
          <w:trHeight w:val="183"/>
        </w:trPr>
        <w:tc>
          <w:tcPr>
            <w:tcW w:w="594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LLC, the guarantors named therein and Delaware Trust Company (as successor in interest</w:t>
            </w:r>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Quarterly Report on Form 10-Q filed on August 2, 2018.</w:t>
            </w:r>
          </w:p>
        </w:tc>
      </w:tr>
      <w:tr>
        <w:trPr>
          <w:trHeight w:val="183"/>
        </w:trPr>
        <w:tc>
          <w:tcPr>
            <w:tcW w:w="5820" w:type="dxa"/>
            <w:vAlign w:val="bottom"/>
            <w:tcBorders>
              <w:top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to Law Debenture Trust Company of New York).</w:t>
            </w:r>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180" w:type="dxa"/>
            <w:vAlign w:val="bottom"/>
            <w:gridSpan w:val="4"/>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64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Third Supplemental Indenture, dated as of July 17, 2018, among NRG Yield Operating</w:t>
              </w:r>
            </w:hyperlink>
          </w:p>
        </w:tc>
        <w:tc>
          <w:tcPr>
            <w:tcW w:w="300" w:type="dxa"/>
            <w:vAlign w:val="bottom"/>
            <w:gridSpan w:val="7"/>
          </w:tcPr>
          <w:p>
            <w:pPr>
              <w:spacing w:after="0"/>
              <w:rPr>
                <w:sz w:val="24"/>
                <w:szCs w:val="24"/>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Incorporated herein by reference to Exhibit 4.4 to the Company's</w:t>
            </w:r>
          </w:p>
        </w:tc>
      </w:tr>
      <w:tr>
        <w:trPr>
          <w:trHeight w:val="183"/>
        </w:trPr>
        <w:tc>
          <w:tcPr>
            <w:tcW w:w="5940" w:type="dxa"/>
            <w:vAlign w:val="bottom"/>
            <w:gridSpan w:val="15"/>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Quarterly Report on Form 10-Q filed on August 2, 2018.</w:t>
            </w:r>
          </w:p>
        </w:tc>
      </w:tr>
      <w:tr>
        <w:trPr>
          <w:trHeight w:val="183"/>
        </w:trPr>
        <w:tc>
          <w:tcPr>
            <w:tcW w:w="5820" w:type="dxa"/>
            <w:vAlign w:val="bottom"/>
            <w:tcBorders>
              <w:top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2">
            <w:col w:w="320" w:space="720"/>
            <w:col w:w="10300"/>
          </w:cols>
          <w:pgMar w:left="280" w:top="1098" w:right="279" w:bottom="0" w:gutter="0" w:footer="0" w:header="0"/>
          <w:type w:val="continuous"/>
        </w:sectPr>
      </w:pPr>
    </w:p>
    <w:bookmarkStart w:id="127" w:name="page128"/>
    <w:bookmarkEnd w:id="127"/>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10.6.2</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0"/>
        <w:spacing w:after="0" w:line="281" w:lineRule="auto"/>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Eighth Supplemental Indenture, dated as of August 30, 2018, among NRG Yield</w:t>
        </w:r>
      </w:hyperlink>
      <w:r>
        <w:rPr>
          <w:rFonts w:ascii="Times New Roman" w:cs="Times New Roman" w:eastAsia="Times New Roman" w:hAnsi="Times New Roman"/>
          <w:sz w:val="16"/>
          <w:szCs w:val="16"/>
          <w:u w:val="single" w:color="auto"/>
          <w:color w:val="0000FF"/>
        </w:rPr>
        <w:t xml:space="preserve"> </w:t>
      </w:r>
      <w:hyperlink r:id="rId84">
        <w:r>
          <w:rPr>
            <w:rFonts w:ascii="Times New Roman" w:cs="Times New Roman" w:eastAsia="Times New Roman" w:hAnsi="Times New Roman"/>
            <w:sz w:val="16"/>
            <w:szCs w:val="16"/>
            <w:u w:val="single" w:color="auto"/>
            <w:color w:val="0000FF"/>
          </w:rPr>
          <w:t>Operating LLC, the guarantors named therein and Delaware Trust Company (as successor</w:t>
        </w:r>
      </w:hyperlink>
      <w:r>
        <w:rPr>
          <w:rFonts w:ascii="Times New Roman" w:cs="Times New Roman" w:eastAsia="Times New Roman" w:hAnsi="Times New Roman"/>
          <w:sz w:val="16"/>
          <w:szCs w:val="16"/>
          <w:u w:val="single" w:color="auto"/>
          <w:color w:val="0000FF"/>
        </w:rPr>
        <w:t xml:space="preserve"> </w:t>
      </w:r>
      <w:hyperlink r:id="rId84">
        <w:r>
          <w:rPr>
            <w:rFonts w:ascii="Times New Roman" w:cs="Times New Roman" w:eastAsia="Times New Roman" w:hAnsi="Times New Roman"/>
            <w:sz w:val="16"/>
            <w:szCs w:val="16"/>
            <w:u w:val="single" w:color="auto"/>
            <w:color w:val="0000FF"/>
          </w:rPr>
          <w:t>in interest to Law Debenture Trust Company of New York).</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342" w:lineRule="exact"/>
        <w:rPr>
          <w:rFonts w:ascii="Times New Roman" w:cs="Times New Roman" w:eastAsia="Times New Roman" w:hAnsi="Times New Roman"/>
          <w:sz w:val="16"/>
          <w:szCs w:val="16"/>
          <w:u w:val="single" w:color="auto"/>
          <w:color w:val="0000FF"/>
        </w:rPr>
      </w:pPr>
    </w:p>
    <w:p>
      <w:pPr>
        <w:ind w:right="20"/>
        <w:spacing w:after="0" w:line="281" w:lineRule="auto"/>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Fourth Supplemental Indenture, dated as of August 30, 2018, among NRG Yield</w:t>
        </w:r>
      </w:hyperlink>
      <w:r>
        <w:rPr>
          <w:rFonts w:ascii="Times New Roman" w:cs="Times New Roman" w:eastAsia="Times New Roman" w:hAnsi="Times New Roman"/>
          <w:sz w:val="16"/>
          <w:szCs w:val="16"/>
          <w:u w:val="single" w:color="auto"/>
          <w:color w:val="0000FF"/>
        </w:rPr>
        <w:t xml:space="preserve"> </w:t>
      </w:r>
      <w:hyperlink r:id="rId85">
        <w:r>
          <w:rPr>
            <w:rFonts w:ascii="Times New Roman" w:cs="Times New Roman" w:eastAsia="Times New Roman" w:hAnsi="Times New Roman"/>
            <w:sz w:val="16"/>
            <w:szCs w:val="16"/>
            <w:u w:val="single" w:color="auto"/>
            <w:color w:val="0000FF"/>
          </w:rPr>
          <w:t>Operating LLC, the guarantors named therein and Delaware Trust Company (as successor</w:t>
        </w:r>
      </w:hyperlink>
      <w:r>
        <w:rPr>
          <w:rFonts w:ascii="Times New Roman" w:cs="Times New Roman" w:eastAsia="Times New Roman" w:hAnsi="Times New Roman"/>
          <w:sz w:val="16"/>
          <w:szCs w:val="16"/>
          <w:u w:val="single" w:color="auto"/>
          <w:color w:val="0000FF"/>
        </w:rPr>
        <w:t xml:space="preserve"> </w:t>
      </w:r>
      <w:hyperlink r:id="rId85">
        <w:r>
          <w:rPr>
            <w:rFonts w:ascii="Times New Roman" w:cs="Times New Roman" w:eastAsia="Times New Roman" w:hAnsi="Times New Roman"/>
            <w:sz w:val="16"/>
            <w:szCs w:val="16"/>
            <w:u w:val="single" w:color="auto"/>
            <w:color w:val="0000FF"/>
          </w:rPr>
          <w:t>in interest to Law Debenture Trust Company of New York).</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342" w:lineRule="exact"/>
        <w:rPr>
          <w:rFonts w:ascii="Times New Roman" w:cs="Times New Roman" w:eastAsia="Times New Roman" w:hAnsi="Times New Roman"/>
          <w:sz w:val="16"/>
          <w:szCs w:val="16"/>
          <w:u w:val="single" w:color="auto"/>
          <w:color w:val="0000FF"/>
        </w:rPr>
      </w:pPr>
    </w:p>
    <w:p>
      <w:pPr>
        <w:spacing w:after="0" w:line="298" w:lineRule="auto"/>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Indenture, dated October 1, 2018, among Clearway Energy Operating LLC, the guarantors</w:t>
        </w:r>
      </w:hyperlink>
      <w:r>
        <w:rPr>
          <w:rFonts w:ascii="Times New Roman" w:cs="Times New Roman" w:eastAsia="Times New Roman" w:hAnsi="Times New Roman"/>
          <w:sz w:val="16"/>
          <w:szCs w:val="16"/>
          <w:u w:val="single" w:color="auto"/>
          <w:color w:val="0000FF"/>
        </w:rPr>
        <w:t xml:space="preserve"> </w:t>
      </w:r>
      <w:hyperlink r:id="rId86">
        <w:r>
          <w:rPr>
            <w:rFonts w:ascii="Times New Roman" w:cs="Times New Roman" w:eastAsia="Times New Roman" w:hAnsi="Times New Roman"/>
            <w:sz w:val="16"/>
            <w:szCs w:val="16"/>
            <w:u w:val="single" w:color="auto"/>
            <w:color w:val="0000FF"/>
          </w:rPr>
          <w:t>named therein and Delaware Trust Company, as trustee.</w:t>
        </w:r>
      </w:hyperlink>
    </w:p>
    <w:p>
      <w:pPr>
        <w:spacing w:after="0" w:line="200" w:lineRule="exact"/>
        <w:rPr>
          <w:sz w:val="20"/>
          <w:szCs w:val="20"/>
          <w:color w:val="auto"/>
        </w:rPr>
      </w:pPr>
    </w:p>
    <w:p>
      <w:pPr>
        <w:spacing w:after="0" w:line="329"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Form of 5.750% Senior Notes due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81" w:lineRule="auto"/>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Ninth Supplemental Indenture, dated as of October 25, 2018, among Clearway Energy</w:t>
        </w:r>
      </w:hyperlink>
      <w:r>
        <w:rPr>
          <w:rFonts w:ascii="Times New Roman" w:cs="Times New Roman" w:eastAsia="Times New Roman" w:hAnsi="Times New Roman"/>
          <w:sz w:val="16"/>
          <w:szCs w:val="16"/>
          <w:u w:val="single" w:color="auto"/>
          <w:color w:val="0000FF"/>
        </w:rPr>
        <w:t xml:space="preserve"> </w:t>
      </w:r>
      <w:hyperlink r:id="rId87">
        <w:r>
          <w:rPr>
            <w:rFonts w:ascii="Times New Roman" w:cs="Times New Roman" w:eastAsia="Times New Roman" w:hAnsi="Times New Roman"/>
            <w:sz w:val="16"/>
            <w:szCs w:val="16"/>
            <w:u w:val="single" w:color="auto"/>
            <w:color w:val="0000FF"/>
          </w:rPr>
          <w:t>Operating LLC, the guarantors named therein and Delaware Trust Company (as successor</w:t>
        </w:r>
      </w:hyperlink>
      <w:r>
        <w:rPr>
          <w:rFonts w:ascii="Times New Roman" w:cs="Times New Roman" w:eastAsia="Times New Roman" w:hAnsi="Times New Roman"/>
          <w:sz w:val="16"/>
          <w:szCs w:val="16"/>
          <w:u w:val="single" w:color="auto"/>
          <w:color w:val="0000FF"/>
        </w:rPr>
        <w:t xml:space="preserve"> </w:t>
      </w:r>
      <w:hyperlink r:id="rId87">
        <w:r>
          <w:rPr>
            <w:rFonts w:ascii="Times New Roman" w:cs="Times New Roman" w:eastAsia="Times New Roman" w:hAnsi="Times New Roman"/>
            <w:sz w:val="16"/>
            <w:szCs w:val="16"/>
            <w:u w:val="single" w:color="auto"/>
            <w:color w:val="0000FF"/>
          </w:rPr>
          <w:t>in interest to Law Debenture Trust Company of New York).</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342" w:lineRule="exact"/>
        <w:rPr>
          <w:rFonts w:ascii="Times New Roman" w:cs="Times New Roman" w:eastAsia="Times New Roman" w:hAnsi="Times New Roman"/>
          <w:sz w:val="16"/>
          <w:szCs w:val="16"/>
          <w:u w:val="single" w:color="auto"/>
          <w:color w:val="0000FF"/>
        </w:rPr>
      </w:pPr>
    </w:p>
    <w:p>
      <w:pPr>
        <w:ind w:right="20"/>
        <w:spacing w:after="0" w:line="281" w:lineRule="auto"/>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Fifth Supplemental Indenture, dated as of October 25, 2018, among Clearway Energy</w:t>
        </w:r>
      </w:hyperlink>
      <w:r>
        <w:rPr>
          <w:rFonts w:ascii="Times New Roman" w:cs="Times New Roman" w:eastAsia="Times New Roman" w:hAnsi="Times New Roman"/>
          <w:sz w:val="16"/>
          <w:szCs w:val="16"/>
          <w:u w:val="single" w:color="auto"/>
          <w:color w:val="0000FF"/>
        </w:rPr>
        <w:t xml:space="preserve"> </w:t>
      </w:r>
      <w:hyperlink r:id="rId88">
        <w:r>
          <w:rPr>
            <w:rFonts w:ascii="Times New Roman" w:cs="Times New Roman" w:eastAsia="Times New Roman" w:hAnsi="Times New Roman"/>
            <w:sz w:val="16"/>
            <w:szCs w:val="16"/>
            <w:u w:val="single" w:color="auto"/>
            <w:color w:val="0000FF"/>
          </w:rPr>
          <w:t>Operating LLC, the guarantors named therein and Delaware Trust Company (as successor</w:t>
        </w:r>
      </w:hyperlink>
      <w:r>
        <w:rPr>
          <w:rFonts w:ascii="Times New Roman" w:cs="Times New Roman" w:eastAsia="Times New Roman" w:hAnsi="Times New Roman"/>
          <w:sz w:val="16"/>
          <w:szCs w:val="16"/>
          <w:u w:val="single" w:color="auto"/>
          <w:color w:val="0000FF"/>
        </w:rPr>
        <w:t xml:space="preserve"> </w:t>
      </w:r>
      <w:hyperlink r:id="rId88">
        <w:r>
          <w:rPr>
            <w:rFonts w:ascii="Times New Roman" w:cs="Times New Roman" w:eastAsia="Times New Roman" w:hAnsi="Times New Roman"/>
            <w:sz w:val="16"/>
            <w:szCs w:val="16"/>
            <w:u w:val="single" w:color="auto"/>
            <w:color w:val="0000FF"/>
          </w:rPr>
          <w:t>in interest to Law Debenture Trust Company of New York).</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342" w:lineRule="exact"/>
        <w:rPr>
          <w:rFonts w:ascii="Times New Roman" w:cs="Times New Roman" w:eastAsia="Times New Roman" w:hAnsi="Times New Roman"/>
          <w:sz w:val="16"/>
          <w:szCs w:val="16"/>
          <w:u w:val="single" w:color="auto"/>
          <w:color w:val="0000FF"/>
        </w:rPr>
      </w:pPr>
    </w:p>
    <w:p>
      <w:pPr>
        <w:ind w:right="340"/>
        <w:spacing w:after="0" w:line="298" w:lineRule="auto"/>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First Supplemental Indenture, dated as of October 25, 2018, among Clearway Energy</w:t>
        </w:r>
      </w:hyperlink>
      <w:r>
        <w:rPr>
          <w:rFonts w:ascii="Times New Roman" w:cs="Times New Roman" w:eastAsia="Times New Roman" w:hAnsi="Times New Roman"/>
          <w:sz w:val="16"/>
          <w:szCs w:val="16"/>
          <w:u w:val="single" w:color="auto"/>
          <w:color w:val="0000FF"/>
        </w:rPr>
        <w:t xml:space="preserve"> </w:t>
      </w:r>
      <w:hyperlink r:id="rId89">
        <w:r>
          <w:rPr>
            <w:rFonts w:ascii="Times New Roman" w:cs="Times New Roman" w:eastAsia="Times New Roman" w:hAnsi="Times New Roman"/>
            <w:sz w:val="16"/>
            <w:szCs w:val="16"/>
            <w:u w:val="single" w:color="auto"/>
            <w:color w:val="0000FF"/>
          </w:rPr>
          <w:t>Operating LLC, the guarantors named therein and Delaware Trust Company.</w:t>
        </w:r>
      </w:hyperlink>
    </w:p>
    <w:p>
      <w:pPr>
        <w:spacing w:after="0" w:line="200" w:lineRule="exact"/>
        <w:rPr>
          <w:sz w:val="20"/>
          <w:szCs w:val="20"/>
          <w:color w:val="auto"/>
        </w:rPr>
      </w:pPr>
    </w:p>
    <w:p>
      <w:pPr>
        <w:spacing w:after="0" w:line="329" w:lineRule="exact"/>
        <w:rPr>
          <w:sz w:val="20"/>
          <w:szCs w:val="20"/>
          <w:color w:val="auto"/>
        </w:rPr>
      </w:pPr>
    </w:p>
    <w:p>
      <w:pPr>
        <w:ind w:right="360"/>
        <w:spacing w:after="0" w:line="298" w:lineRule="auto"/>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Third Amended and Restated Right of First Offer Agreement, dated as of August 31,</w:t>
        </w:r>
      </w:hyperlink>
      <w:r>
        <w:rPr>
          <w:rFonts w:ascii="Times New Roman" w:cs="Times New Roman" w:eastAsia="Times New Roman" w:hAnsi="Times New Roman"/>
          <w:sz w:val="16"/>
          <w:szCs w:val="16"/>
          <w:u w:val="single" w:color="auto"/>
          <w:color w:val="0000FF"/>
        </w:rPr>
        <w:t xml:space="preserve"> </w:t>
      </w:r>
      <w:hyperlink r:id="rId90">
        <w:r>
          <w:rPr>
            <w:rFonts w:ascii="Times New Roman" w:cs="Times New Roman" w:eastAsia="Times New Roman" w:hAnsi="Times New Roman"/>
            <w:sz w:val="16"/>
            <w:szCs w:val="16"/>
            <w:u w:val="single" w:color="auto"/>
            <w:color w:val="0000FF"/>
          </w:rPr>
          <w:t>2018, by and between NRG Yield, Inc. and NRG Energy, Inc.</w:t>
        </w:r>
      </w:hyperlink>
    </w:p>
    <w:p>
      <w:pPr>
        <w:spacing w:after="0" w:line="200" w:lineRule="exact"/>
        <w:rPr>
          <w:sz w:val="20"/>
          <w:szCs w:val="20"/>
          <w:color w:val="auto"/>
        </w:rPr>
      </w:pPr>
    </w:p>
    <w:p>
      <w:pPr>
        <w:spacing w:after="0" w:line="369" w:lineRule="exact"/>
        <w:rPr>
          <w:sz w:val="20"/>
          <w:szCs w:val="20"/>
          <w:color w:val="auto"/>
        </w:rPr>
      </w:pPr>
    </w:p>
    <w:p>
      <w:pPr>
        <w:ind w:right="120"/>
        <w:spacing w:after="0" w:line="281" w:lineRule="auto"/>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Right of First Offer Agreement, dated as of August 31, 2018, by and among NRG Yield,</w:t>
        </w:r>
      </w:hyperlink>
      <w:r>
        <w:rPr>
          <w:rFonts w:ascii="Times New Roman" w:cs="Times New Roman" w:eastAsia="Times New Roman" w:hAnsi="Times New Roman"/>
          <w:sz w:val="16"/>
          <w:szCs w:val="16"/>
          <w:u w:val="single" w:color="auto"/>
          <w:color w:val="0000FF"/>
        </w:rPr>
        <w:t xml:space="preserve"> </w:t>
      </w:r>
      <w:hyperlink r:id="rId91">
        <w:r>
          <w:rPr>
            <w:rFonts w:ascii="Times New Roman" w:cs="Times New Roman" w:eastAsia="Times New Roman" w:hAnsi="Times New Roman"/>
            <w:sz w:val="16"/>
            <w:szCs w:val="16"/>
            <w:u w:val="single" w:color="auto"/>
            <w:color w:val="0000FF"/>
          </w:rPr>
          <w:t>Inc., Zephyr Renewables LLC and solely for purposes of Section 2.4, GIP III Zephyr</w:t>
        </w:r>
      </w:hyperlink>
      <w:r>
        <w:rPr>
          <w:rFonts w:ascii="Times New Roman" w:cs="Times New Roman" w:eastAsia="Times New Roman" w:hAnsi="Times New Roman"/>
          <w:sz w:val="16"/>
          <w:szCs w:val="16"/>
          <w:u w:val="single" w:color="auto"/>
          <w:color w:val="0000FF"/>
        </w:rPr>
        <w:t xml:space="preserve"> </w:t>
      </w:r>
      <w:hyperlink r:id="rId91">
        <w:r>
          <w:rPr>
            <w:rFonts w:ascii="Times New Roman" w:cs="Times New Roman" w:eastAsia="Times New Roman" w:hAnsi="Times New Roman"/>
            <w:sz w:val="16"/>
            <w:szCs w:val="16"/>
            <w:u w:val="single" w:color="auto"/>
            <w:color w:val="0000FF"/>
          </w:rPr>
          <w:t>Acquisition Partners, L.P.</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61" w:lineRule="exact"/>
        <w:rPr>
          <w:rFonts w:ascii="Times New Roman" w:cs="Times New Roman" w:eastAsia="Times New Roman" w:hAnsi="Times New Roman"/>
          <w:sz w:val="16"/>
          <w:szCs w:val="16"/>
          <w:u w:val="single" w:color="auto"/>
          <w:color w:val="0000FF"/>
        </w:rPr>
      </w:pPr>
    </w:p>
    <w:p>
      <w:pPr>
        <w:ind w:right="320"/>
        <w:spacing w:after="0" w:line="298" w:lineRule="auto"/>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First Amendment to Right of First Offer Agreement, dated February 14, 2019, by and</w:t>
        </w:r>
      </w:hyperlink>
      <w:r>
        <w:rPr>
          <w:rFonts w:ascii="Times New Roman" w:cs="Times New Roman" w:eastAsia="Times New Roman" w:hAnsi="Times New Roman"/>
          <w:sz w:val="16"/>
          <w:szCs w:val="16"/>
          <w:u w:val="single" w:color="auto"/>
          <w:color w:val="0000FF"/>
        </w:rPr>
        <w:t xml:space="preserve"> </w:t>
      </w:r>
      <w:hyperlink r:id="rId92">
        <w:r>
          <w:rPr>
            <w:rFonts w:ascii="Times New Roman" w:cs="Times New Roman" w:eastAsia="Times New Roman" w:hAnsi="Times New Roman"/>
            <w:sz w:val="16"/>
            <w:szCs w:val="16"/>
            <w:u w:val="single" w:color="auto"/>
            <w:color w:val="0000FF"/>
          </w:rPr>
          <w:t>between Clearway Energy Group LLC and Clearway Energy, Inc.</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98" w:lineRule="auto"/>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Master Services Agreement, dated as of August 31, 2018, by and among NRG Yield, Inc.,</w:t>
        </w:r>
      </w:hyperlink>
      <w:r>
        <w:rPr>
          <w:rFonts w:ascii="Times New Roman" w:cs="Times New Roman" w:eastAsia="Times New Roman" w:hAnsi="Times New Roman"/>
          <w:sz w:val="16"/>
          <w:szCs w:val="16"/>
          <w:u w:val="single" w:color="auto"/>
          <w:color w:val="0000FF"/>
        </w:rPr>
        <w:t xml:space="preserve"> </w:t>
      </w:r>
      <w:hyperlink r:id="rId93">
        <w:r>
          <w:rPr>
            <w:rFonts w:ascii="Times New Roman" w:cs="Times New Roman" w:eastAsia="Times New Roman" w:hAnsi="Times New Roman"/>
            <w:sz w:val="16"/>
            <w:szCs w:val="16"/>
            <w:u w:val="single" w:color="auto"/>
            <w:color w:val="0000FF"/>
          </w:rPr>
          <w:t>NRG Yield LLC, NRG Yield Operating LLC and Zephyr Renewables LLC.</w:t>
        </w:r>
      </w:hyperlink>
    </w:p>
    <w:p>
      <w:pPr>
        <w:spacing w:after="0" w:line="200" w:lineRule="exact"/>
        <w:rPr>
          <w:sz w:val="20"/>
          <w:szCs w:val="20"/>
          <w:color w:val="auto"/>
        </w:rPr>
      </w:pPr>
    </w:p>
    <w:p>
      <w:pPr>
        <w:spacing w:after="0" w:line="369" w:lineRule="exact"/>
        <w:rPr>
          <w:sz w:val="20"/>
          <w:szCs w:val="20"/>
          <w:color w:val="auto"/>
        </w:rPr>
      </w:pPr>
    </w:p>
    <w:p>
      <w:pPr>
        <w:ind w:right="260"/>
        <w:spacing w:after="0" w:line="298" w:lineRule="auto"/>
        <w:rPr>
          <w:rFonts w:ascii="Times New Roman" w:cs="Times New Roman" w:eastAsia="Times New Roman" w:hAnsi="Times New Roman"/>
          <w:sz w:val="16"/>
          <w:szCs w:val="16"/>
          <w:u w:val="single" w:color="auto"/>
          <w:color w:val="0000FF"/>
        </w:rPr>
      </w:pPr>
      <w:hyperlink r:id="rId94">
        <w:r>
          <w:rPr>
            <w:rFonts w:ascii="Times New Roman" w:cs="Times New Roman" w:eastAsia="Times New Roman" w:hAnsi="Times New Roman"/>
            <w:sz w:val="16"/>
            <w:szCs w:val="16"/>
            <w:u w:val="single" w:color="auto"/>
            <w:color w:val="0000FF"/>
          </w:rPr>
          <w:t>Master Services Agreement, dated as of August 31, 2018, by and among Zephyr</w:t>
        </w:r>
      </w:hyperlink>
      <w:r>
        <w:rPr>
          <w:rFonts w:ascii="Times New Roman" w:cs="Times New Roman" w:eastAsia="Times New Roman" w:hAnsi="Times New Roman"/>
          <w:sz w:val="16"/>
          <w:szCs w:val="16"/>
          <w:u w:val="single" w:color="auto"/>
          <w:color w:val="0000FF"/>
        </w:rPr>
        <w:t xml:space="preserve"> </w:t>
      </w:r>
      <w:hyperlink r:id="rId94">
        <w:r>
          <w:rPr>
            <w:rFonts w:ascii="Times New Roman" w:cs="Times New Roman" w:eastAsia="Times New Roman" w:hAnsi="Times New Roman"/>
            <w:sz w:val="16"/>
            <w:szCs w:val="16"/>
            <w:u w:val="single" w:color="auto"/>
            <w:color w:val="0000FF"/>
          </w:rPr>
          <w:t>Renewables LLC, NRG Yield, Inc., NRG Yield LLC, and NRG Yield Operating LLC.</w:t>
        </w:r>
      </w:hyperlink>
    </w:p>
    <w:p>
      <w:pPr>
        <w:spacing w:after="0" w:line="200" w:lineRule="exact"/>
        <w:rPr>
          <w:sz w:val="20"/>
          <w:szCs w:val="20"/>
          <w:color w:val="auto"/>
        </w:rPr>
      </w:pPr>
    </w:p>
    <w:p>
      <w:pPr>
        <w:spacing w:after="0" w:line="369" w:lineRule="exact"/>
        <w:rPr>
          <w:sz w:val="20"/>
          <w:szCs w:val="20"/>
          <w:color w:val="auto"/>
        </w:rPr>
      </w:pPr>
    </w:p>
    <w:p>
      <w:pPr>
        <w:ind w:right="280"/>
        <w:spacing w:after="0" w:line="298" w:lineRule="auto"/>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Termination Agreement, dated as of August 31, 2018, by and among NRG Yield, Inc.,</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NRG Yield LLC, NRG Yield Operating LLC and NRG Energy, Inc.</w:t>
        </w:r>
      </w:hyperlink>
    </w:p>
    <w:p>
      <w:pPr>
        <w:spacing w:after="0" w:line="200" w:lineRule="exact"/>
        <w:rPr>
          <w:sz w:val="20"/>
          <w:szCs w:val="20"/>
          <w:color w:val="auto"/>
        </w:rPr>
      </w:pPr>
    </w:p>
    <w:p>
      <w:pPr>
        <w:spacing w:after="0" w:line="288" w:lineRule="exact"/>
        <w:rPr>
          <w:sz w:val="20"/>
          <w:szCs w:val="20"/>
          <w:color w:val="auto"/>
        </w:rPr>
      </w:pPr>
    </w:p>
    <w:p>
      <w:pPr>
        <w:ind w:right="60"/>
        <w:spacing w:after="0" w:line="272" w:lineRule="auto"/>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Amended and Restated Credit Agreement, dated April 25, 2014, by and among NRG</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Yield Operating LLC, NRG Yield LLC, Royal Bank of Canada, as Administrative Agent,</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the lenders party thereto, Royal Bank of Canada, Goldman Sachs Bank USA and Bank of</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America, N.A., as L/C Issuers and RBC Capital Markets as Sole Left Lead Arranger and</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Sole Left Lead Book Runner.</w:t>
        </w:r>
      </w:hyperlink>
    </w:p>
    <w:p>
      <w:pPr>
        <w:spacing w:after="0" w:line="105" w:lineRule="exact"/>
        <w:rPr>
          <w:rFonts w:ascii="Times New Roman" w:cs="Times New Roman" w:eastAsia="Times New Roman" w:hAnsi="Times New Roman"/>
          <w:sz w:val="16"/>
          <w:szCs w:val="16"/>
          <w:u w:val="single" w:color="auto"/>
          <w:color w:val="0000FF"/>
        </w:rPr>
      </w:pPr>
    </w:p>
    <w:p>
      <w:pPr>
        <w:ind w:right="20"/>
        <w:spacing w:after="0" w:line="298" w:lineRule="auto"/>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First Amendment to Amended &amp; Restated Credit Agreement, dated June 26, 2015, by and</w:t>
        </w:r>
      </w:hyperlink>
      <w:r>
        <w:rPr>
          <w:rFonts w:ascii="Times New Roman" w:cs="Times New Roman" w:eastAsia="Times New Roman" w:hAnsi="Times New Roman"/>
          <w:sz w:val="16"/>
          <w:szCs w:val="16"/>
          <w:u w:val="single" w:color="auto"/>
          <w:color w:val="0000FF"/>
        </w:rPr>
        <w:t xml:space="preserve"> </w:t>
      </w:r>
      <w:hyperlink r:id="rId97">
        <w:r>
          <w:rPr>
            <w:rFonts w:ascii="Times New Roman" w:cs="Times New Roman" w:eastAsia="Times New Roman" w:hAnsi="Times New Roman"/>
            <w:sz w:val="16"/>
            <w:szCs w:val="16"/>
            <w:u w:val="single" w:color="auto"/>
            <w:color w:val="0000FF"/>
          </w:rPr>
          <w:t>among NRG Yield Operating LLC, NRG Yield LLC, Royal Bank of Canada and the</w:t>
        </w:r>
      </w:hyperlink>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September 6,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September 6,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October 2, 2018.</w:t>
      </w:r>
    </w:p>
    <w:p>
      <w:pPr>
        <w:spacing w:after="0" w:line="200" w:lineRule="exact"/>
        <w:rPr>
          <w:sz w:val="20"/>
          <w:szCs w:val="20"/>
          <w:color w:val="auto"/>
        </w:rPr>
      </w:pPr>
    </w:p>
    <w:p>
      <w:pPr>
        <w:spacing w:after="0" w:line="32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October 2, 2018.</w:t>
      </w:r>
    </w:p>
    <w:p>
      <w:pPr>
        <w:spacing w:after="0" w:line="200" w:lineRule="exact"/>
        <w:rPr>
          <w:sz w:val="20"/>
          <w:szCs w:val="20"/>
          <w:color w:val="auto"/>
        </w:rPr>
      </w:pPr>
    </w:p>
    <w:p>
      <w:pPr>
        <w:spacing w:after="0" w:line="32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October 31,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October 31,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4.3 to the Registrant's Current Report on Form 8-K filed on October 31, 2018.</w:t>
      </w:r>
    </w:p>
    <w:p>
      <w:pPr>
        <w:spacing w:after="0" w:line="200" w:lineRule="exact"/>
        <w:rPr>
          <w:sz w:val="20"/>
          <w:szCs w:val="20"/>
          <w:color w:val="auto"/>
        </w:rPr>
      </w:pPr>
    </w:p>
    <w:p>
      <w:pPr>
        <w:spacing w:after="0" w:line="3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10.5 to Clearway Energy, Inc.'s Current Report on Form 8-K filed on September 5, 2018.</w:t>
      </w:r>
    </w:p>
    <w:p>
      <w:pPr>
        <w:spacing w:after="0" w:line="200" w:lineRule="exact"/>
        <w:rPr>
          <w:sz w:val="20"/>
          <w:szCs w:val="20"/>
          <w:color w:val="auto"/>
        </w:rPr>
      </w:pPr>
    </w:p>
    <w:p>
      <w:pPr>
        <w:spacing w:after="0" w:line="34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10.3 to Clearway Energy, Inc.'s Current Report on Form 8-K filed on September 5, 2018.</w:t>
      </w:r>
    </w:p>
    <w:p>
      <w:pPr>
        <w:spacing w:after="0" w:line="3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Current Report on Form 8-K filed on February 14, 2019.</w:t>
      </w:r>
    </w:p>
    <w:p>
      <w:pPr>
        <w:spacing w:after="0" w:line="3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Current Report on Form 8-K filed on September 5, 2018.</w:t>
      </w:r>
    </w:p>
    <w:p>
      <w:pPr>
        <w:spacing w:after="0" w:line="3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10.2 to Clearway Energy, Inc.'s Current Report on Form 8-K filed on September 5, 2018.</w:t>
      </w:r>
    </w:p>
    <w:p>
      <w:pPr>
        <w:spacing w:after="0" w:line="3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10.9 to Clearway Energy, Inc.'s Current Report on Form 8-K filed on September 5, 2018.</w:t>
      </w:r>
    </w:p>
    <w:p>
      <w:pPr>
        <w:spacing w:after="0" w:line="299"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Incorporated by reference to Exhibit 10.1 to Clearway Energy, Inc.'s Current Report on Form 8-K filed on April 28, 2014.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10.9 to Clearway Energy, Inc.'s Quarterly Report on Form 10-Q filed on August 4,</w:t>
      </w:r>
    </w:p>
    <w:p>
      <w:pPr>
        <w:sectPr>
          <w:pgSz w:w="11900" w:h="16935" w:orient="portrait"/>
          <w:cols w:equalWidth="0" w:num="3">
            <w:col w:w="400" w:space="640"/>
            <w:col w:w="5860" w:space="180"/>
            <w:col w:w="4240"/>
          </w:cols>
          <w:pgMar w:left="280" w:top="1098" w:right="299" w:bottom="0" w:gutter="0" w:footer="0" w:header="0"/>
        </w:sectPr>
      </w:pPr>
    </w:p>
    <w:bookmarkStart w:id="128" w:name="page129"/>
    <w:bookmarkEnd w:id="128"/>
    <w:tbl>
      <w:tblPr>
        <w:tblLayout w:type="fixed"/>
        <w:tblInd w:w="1040" w:type="dxa"/>
        <w:tblCellMar>
          <w:top w:w="0" w:type="dxa"/>
          <w:left w:w="0" w:type="dxa"/>
          <w:bottom w:w="0" w:type="dxa"/>
          <w:right w:w="0" w:type="dxa"/>
        </w:tblCellMar>
      </w:tblPr>
      <w:tr>
        <w:trPr>
          <w:trHeight w:val="184"/>
        </w:trPr>
        <w:tc>
          <w:tcPr>
            <w:tcW w:w="1420" w:type="dxa"/>
            <w:vAlign w:val="bottom"/>
            <w:tcBorders>
              <w:bottom w:val="single" w:sz="8" w:color="0000FF"/>
            </w:tcBorders>
          </w:tcPr>
          <w:p>
            <w:pPr>
              <w:spacing w:after="0"/>
              <w:rPr>
                <w:rFonts w:ascii="Times New Roman" w:cs="Times New Roman" w:eastAsia="Times New Roman" w:hAnsi="Times New Roman"/>
                <w:sz w:val="16"/>
                <w:szCs w:val="16"/>
                <w:color w:val="0000FF"/>
                <w:w w:val="99"/>
              </w:rPr>
            </w:pPr>
            <w:hyperlink r:id="rId97">
              <w:r>
                <w:rPr>
                  <w:rFonts w:ascii="Times New Roman" w:cs="Times New Roman" w:eastAsia="Times New Roman" w:hAnsi="Times New Roman"/>
                  <w:sz w:val="16"/>
                  <w:szCs w:val="16"/>
                  <w:color w:val="0000FF"/>
                  <w:w w:val="99"/>
                </w:rPr>
                <w:t>Lenders party thereto.</w:t>
              </w:r>
            </w:hyperlink>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r>
    </w:tbl>
    <w:p>
      <w:pPr>
        <w:spacing w:after="0" w:line="200" w:lineRule="exact"/>
        <w:rPr>
          <w:sz w:val="20"/>
          <w:szCs w:val="20"/>
          <w:color w:val="auto"/>
        </w:rPr>
      </w:pPr>
    </w:p>
    <w:p>
      <w:pPr>
        <w:sectPr>
          <w:pgSz w:w="11900" w:h="16838" w:orient="portrait"/>
          <w:cols w:equalWidth="0" w:num="1">
            <w:col w:w="11100"/>
          </w:cols>
          <w:pgMar w:left="280" w:top="118" w:right="519" w:bottom="1440" w:gutter="0" w:footer="0" w:header="0"/>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4"/>
              </w:rPr>
              <w:t>10.6.3</w:t>
            </w:r>
          </w:p>
        </w:tc>
        <w:tc>
          <w:tcPr>
            <w:tcW w:w="5800" w:type="dxa"/>
            <w:vAlign w:val="bottom"/>
            <w:gridSpan w:val="3"/>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Second Amendment to Amended &amp; Restated Credit Agreement, dated February 6, 2018,</w:t>
              </w:r>
            </w:hyperlink>
          </w:p>
        </w:tc>
      </w:tr>
      <w:tr>
        <w:trPr>
          <w:trHeight w:val="20"/>
        </w:trPr>
        <w:tc>
          <w:tcPr>
            <w:tcW w:w="104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0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by and among NRG Yield Operating LLC, NRG Yield LLC, the guarantors party thereto,</w:t>
              </w:r>
            </w:hyperlink>
          </w:p>
        </w:tc>
      </w:tr>
      <w:tr>
        <w:trPr>
          <w:trHeight w:val="183"/>
        </w:trPr>
        <w:tc>
          <w:tcPr>
            <w:tcW w:w="1040" w:type="dxa"/>
            <w:vAlign w:val="bottom"/>
          </w:tcPr>
          <w:p>
            <w:pPr>
              <w:spacing w:after="0"/>
              <w:rPr>
                <w:sz w:val="15"/>
                <w:szCs w:val="15"/>
                <w:color w:val="auto"/>
              </w:rPr>
            </w:pPr>
          </w:p>
        </w:tc>
        <w:tc>
          <w:tcPr>
            <w:tcW w:w="510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Royal Bank of Canada, as Administrative Agent, and the lenders party thereto.</w:t>
              </w:r>
            </w:hyperlink>
          </w:p>
        </w:tc>
        <w:tc>
          <w:tcPr>
            <w:tcW w:w="70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February 12, 2018.</w:t>
      </w:r>
    </w:p>
    <w:p>
      <w:pPr>
        <w:spacing w:after="0" w:line="200" w:lineRule="exact"/>
        <w:rPr>
          <w:sz w:val="20"/>
          <w:szCs w:val="20"/>
          <w:color w:val="auto"/>
        </w:rPr>
      </w:pPr>
    </w:p>
    <w:p>
      <w:pPr>
        <w:sectPr>
          <w:pgSz w:w="11900" w:h="16838" w:orient="portrait"/>
          <w:cols w:equalWidth="0" w:num="2">
            <w:col w:w="6840" w:space="240"/>
            <w:col w:w="4020"/>
          </w:cols>
          <w:pgMar w:left="280" w:top="118" w:right="519" w:bottom="1440" w:gutter="0" w:footer="0" w:header="0"/>
          <w:type w:val="continuous"/>
        </w:sectPr>
      </w:pP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1100"/>
          </w:cols>
          <w:pgMar w:left="280" w:top="118" w:right="519" w:bottom="1440" w:gutter="0" w:footer="0" w:header="0"/>
          <w:type w:val="continuous"/>
        </w:sectPr>
      </w:pPr>
    </w:p>
    <w:bookmarkStart w:id="129" w:name="page130"/>
    <w:bookmarkEnd w:id="129"/>
    <w:tbl>
      <w:tblPr>
        <w:tblLayout w:type="fixed"/>
        <w:tblInd w:w="5" w:type="dxa"/>
        <w:tblCellMar>
          <w:top w:w="0" w:type="dxa"/>
          <w:left w:w="0" w:type="dxa"/>
          <w:bottom w:w="0" w:type="dxa"/>
          <w:right w:w="0" w:type="dxa"/>
        </w:tblCellMar>
      </w:tblPr>
      <w:tr>
        <w:trPr>
          <w:trHeight w:val="210"/>
        </w:trPr>
        <w:tc>
          <w:tcPr>
            <w:tcW w:w="10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4"/>
              </w:rPr>
              <w:t>10.6.4</w:t>
            </w:r>
          </w:p>
        </w:tc>
        <w:tc>
          <w:tcPr>
            <w:tcW w:w="5840" w:type="dxa"/>
            <w:vAlign w:val="bottom"/>
            <w:gridSpan w:val="4"/>
            <w:vMerge w:val="restart"/>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Third Amendment to Amended and Restated Credit Agreement and Administrative Agent</w:t>
              </w:r>
            </w:hyperlink>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40" w:type="dxa"/>
            <w:vAlign w:val="bottom"/>
            <w:tcBorders>
              <w:bottom w:val="single" w:sz="8" w:color="0000FF"/>
            </w:tcBorders>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Resignation and Appointment Agreement, dated as of April 30, 2018, by and among NRG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4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Yield Operating LLC, NRG Yield LLC, the guarantors party thereto, Royal Bank of</w:t>
              </w:r>
            </w:hyperlink>
          </w:p>
        </w:tc>
        <w:tc>
          <w:tcPr>
            <w:tcW w:w="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5"/>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Canada, as Resigning Administrative Agent, JPMorgan Chase Bank, N.A.,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Administrative Agent, and the lenders party thereto.</w:t>
              </w:r>
            </w:hyperlink>
          </w:p>
        </w:tc>
        <w:tc>
          <w:tcPr>
            <w:tcW w:w="2320" w:type="dxa"/>
            <w:vAlign w:val="bottom"/>
            <w:tcBorders>
              <w:top w:val="single" w:sz="8" w:color="0000FF"/>
            </w:tcBorders>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Quarterly Report on Form 10-Q filed on May 3, 2018.</w:t>
      </w:r>
    </w:p>
    <w:p>
      <w:pPr>
        <w:spacing w:after="0" w:line="823" w:lineRule="exact"/>
        <w:rPr>
          <w:sz w:val="20"/>
          <w:szCs w:val="20"/>
          <w:color w:val="auto"/>
        </w:rPr>
      </w:pPr>
    </w:p>
    <w:p>
      <w:pPr>
        <w:sectPr>
          <w:pgSz w:w="11900" w:h="16838" w:orient="portrait"/>
          <w:cols w:equalWidth="0" w:num="2">
            <w:col w:w="6905" w:space="180"/>
            <w:col w:w="4280"/>
          </w:cols>
          <w:pgMar w:left="275" w:top="1098" w:right="259" w:bottom="0" w:gutter="0" w:footer="0" w:header="0"/>
        </w:sectPr>
      </w:pP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10.6.5</w:t>
            </w:r>
          </w:p>
        </w:tc>
        <w:tc>
          <w:tcPr>
            <w:tcW w:w="57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Fourth Amendment to Amended and Restated Credit Agreement, dated as of November</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30, 2018, by and among Clearway Energy Operating LLC, Clearway Energy LLC, the</w:t>
              </w:r>
            </w:hyperlink>
          </w:p>
        </w:tc>
        <w:tc>
          <w:tcPr>
            <w:tcW w:w="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guarantors party thereto, JPMorgan Chase Bank, N.A., as administrative agent, and the</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10.7^</w:t>
            </w:r>
          </w:p>
        </w:tc>
        <w:tc>
          <w:tcPr>
            <w:tcW w:w="1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040" w:type="dxa"/>
            <w:vAlign w:val="bottom"/>
            <w:vMerge w:val="continue"/>
          </w:tcPr>
          <w:p>
            <w:pPr>
              <w:spacing w:after="0"/>
              <w:rPr>
                <w:sz w:val="24"/>
                <w:szCs w:val="24"/>
                <w:color w:val="auto"/>
              </w:rPr>
            </w:pPr>
          </w:p>
        </w:tc>
        <w:tc>
          <w:tcPr>
            <w:tcW w:w="5640" w:type="dxa"/>
            <w:vAlign w:val="bottom"/>
            <w:gridSpan w:val="17"/>
            <w:vMerge w:val="restart"/>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Amended and Restated Limited Liability Company Agreement of NRG RPV Holdco 1</w:t>
              </w:r>
            </w:hyperlink>
          </w:p>
        </w:tc>
        <w:tc>
          <w:tcPr>
            <w:tcW w:w="2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17"/>
            <w:vMerge w:val="continue"/>
          </w:tcPr>
          <w:p>
            <w:pPr>
              <w:spacing w:after="0"/>
              <w:rPr>
                <w:sz w:val="4"/>
                <w:szCs w:val="4"/>
                <w:color w:val="auto"/>
              </w:rPr>
            </w:pPr>
          </w:p>
        </w:tc>
        <w:tc>
          <w:tcPr>
            <w:tcW w:w="2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04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LLC, dated as of April 9, 2015.</w:t>
              </w:r>
            </w:hyperlink>
          </w:p>
        </w:tc>
        <w:tc>
          <w:tcPr>
            <w:tcW w:w="38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5840" w:type="dxa"/>
            <w:vAlign w:val="bottom"/>
            <w:gridSpan w:val="24"/>
            <w:vMerge w:val="restart"/>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Amended and Restated Limited Liability Company Agreement of NRG DGPV Holdco 1</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60" w:type="dxa"/>
            <w:vAlign w:val="bottom"/>
            <w:tcBorders>
              <w:top w:val="single" w:sz="8" w:color="0000FF"/>
            </w:tcBorders>
            <w:gridSpan w:val="22"/>
          </w:tcPr>
          <w:p>
            <w:pPr>
              <w:spacing w:after="0" w:line="183"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LLC, dated as of May 8, 2015.</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5840" w:type="dxa"/>
            <w:vAlign w:val="bottom"/>
            <w:gridSpan w:val="24"/>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Amendment No. 1 to Amended and Restated Limited Liability Company Agreement of</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NRG RPV Holdco 1 LLC, dated as of March 1, 2016, by and between NRG Yield RPV</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Holding LLC and NRG Residential Solar Solutions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10.10^</w:t>
            </w: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040" w:type="dxa"/>
            <w:vAlign w:val="bottom"/>
            <w:vMerge w:val="continue"/>
          </w:tcPr>
          <w:p>
            <w:pPr>
              <w:spacing w:after="0"/>
              <w:rPr>
                <w:sz w:val="24"/>
                <w:szCs w:val="24"/>
                <w:color w:val="auto"/>
              </w:rPr>
            </w:pPr>
          </w:p>
        </w:tc>
        <w:tc>
          <w:tcPr>
            <w:tcW w:w="5840" w:type="dxa"/>
            <w:vAlign w:val="bottom"/>
            <w:gridSpan w:val="24"/>
            <w:vMerge w:val="restart"/>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Amendment No. 2 to Amended and Restated Limited Liability Company Agreement of</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24"/>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NRG DGPV Holdco 1 LLC, dated as of March 1, 2016, by and among NRG Yield DGPV</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58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Holding LLC, NRG Renew DG Holdings LLC and NRG Renew LLC.</w:t>
              </w:r>
            </w:hyperlink>
          </w:p>
        </w:tc>
        <w:tc>
          <w:tcPr>
            <w:tcW w:w="12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5840" w:type="dxa"/>
            <w:vAlign w:val="bottom"/>
            <w:gridSpan w:val="24"/>
            <w:vMerge w:val="restart"/>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Amended and Restated Limited Liability Company Agreement of NRG DGPV Holdco 2</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80" w:type="dxa"/>
            <w:vAlign w:val="bottom"/>
            <w:tcBorders>
              <w:top w:val="single" w:sz="8" w:color="0000FF"/>
              <w:bottom w:val="single" w:sz="8" w:color="0000FF"/>
            </w:tcBorders>
            <w:gridSpan w:val="19"/>
          </w:tcPr>
          <w:p>
            <w:pPr>
              <w:spacing w:after="0" w:line="183"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LLC, dated as of March 1, 2016, by and among NRG Yield DGPV Holding LLC, NRG</w:t>
              </w:r>
            </w:hyperlink>
          </w:p>
        </w:tc>
        <w:tc>
          <w:tcPr>
            <w:tcW w:w="80" w:type="dxa"/>
            <w:vAlign w:val="bottom"/>
            <w:tcBorders>
              <w:top w:val="single" w:sz="8" w:color="0000FF"/>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28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Renew DG Holdings LLC, and NRG Renew LLC.</w:t>
              </w:r>
            </w:hyperlink>
          </w:p>
        </w:tc>
        <w:tc>
          <w:tcPr>
            <w:tcW w:w="25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5840" w:type="dxa"/>
            <w:vAlign w:val="bottom"/>
            <w:gridSpan w:val="24"/>
            <w:vMerge w:val="restart"/>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Amendment No. 2 to Amended and Restated Limited Liability Company Agreement of</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NRG RPV Holdco 1 LLC, dated as of August 5, 2016, by and between NRG Yield RPV</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20" w:type="dxa"/>
            <w:vAlign w:val="bottom"/>
            <w:tcBorders>
              <w:top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Holding LLC and NRG Residential Solar Solutions LLC.</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10.13†</w:t>
            </w: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240" w:type="dxa"/>
            <w:vAlign w:val="bottom"/>
            <w:gridSpan w:val="14"/>
            <w:vMerge w:val="restart"/>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Employment Agreement, dated as of May 6, 2016, between NRG Yield, Inc. and</w:t>
              </w:r>
            </w:hyperlink>
          </w:p>
        </w:tc>
        <w:tc>
          <w:tcPr>
            <w:tcW w:w="60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240" w:type="dxa"/>
            <w:vAlign w:val="bottom"/>
            <w:tcBorders>
              <w:bottom w:val="single" w:sz="8" w:color="0000FF"/>
            </w:tcBorders>
            <w:gridSpan w:val="14"/>
            <w:vMerge w:val="continue"/>
          </w:tcPr>
          <w:p>
            <w:pPr>
              <w:spacing w:after="0"/>
              <w:rPr>
                <w:sz w:val="4"/>
                <w:szCs w:val="4"/>
                <w:color w:val="auto"/>
              </w:rPr>
            </w:pPr>
          </w:p>
        </w:tc>
        <w:tc>
          <w:tcPr>
            <w:tcW w:w="6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3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9"/>
              </w:rPr>
            </w:pPr>
            <w:hyperlink r:id="rId107">
              <w:r>
                <w:rPr>
                  <w:rFonts w:ascii="Times New Roman" w:cs="Times New Roman" w:eastAsia="Times New Roman" w:hAnsi="Times New Roman"/>
                  <w:sz w:val="16"/>
                  <w:szCs w:val="16"/>
                  <w:color w:val="0000FF"/>
                  <w:w w:val="99"/>
                </w:rPr>
                <w:t>Christopher S. Sotos.</w:t>
              </w:r>
            </w:hyperlink>
          </w:p>
        </w:tc>
        <w:tc>
          <w:tcPr>
            <w:tcW w:w="446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5840" w:type="dxa"/>
            <w:vAlign w:val="bottom"/>
            <w:gridSpan w:val="24"/>
            <w:vMerge w:val="restart"/>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Amendment, dated January 1, 2018 to Employment Agreement between NRG Yield, Inc.</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108">
              <w:r>
                <w:rPr>
                  <w:rFonts w:ascii="Times New Roman" w:cs="Times New Roman" w:eastAsia="Times New Roman" w:hAnsi="Times New Roman"/>
                  <w:sz w:val="16"/>
                  <w:szCs w:val="16"/>
                  <w:color w:val="0000FF"/>
                  <w:w w:val="99"/>
                </w:rPr>
                <w:t>and Christopher Sotos.</w:t>
              </w:r>
            </w:hyperlink>
          </w:p>
        </w:tc>
        <w:tc>
          <w:tcPr>
            <w:tcW w:w="4300" w:type="dxa"/>
            <w:vAlign w:val="bottom"/>
            <w:tcBorders>
              <w:top w:val="single" w:sz="8" w:color="0000FF"/>
            </w:tcBorders>
            <w:gridSpan w:val="2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5380" w:type="dxa"/>
            <w:vAlign w:val="bottom"/>
            <w:gridSpan w:val="15"/>
            <w:vMerge w:val="restart"/>
          </w:tcPr>
          <w:p>
            <w:pPr>
              <w:spacing w:after="0"/>
              <w:rPr>
                <w:rFonts w:ascii="Times New Roman" w:cs="Times New Roman" w:eastAsia="Times New Roman" w:hAnsi="Times New Roman"/>
                <w:sz w:val="16"/>
                <w:szCs w:val="16"/>
                <w:color w:val="0000FF"/>
              </w:rPr>
            </w:pPr>
            <w:hyperlink w:anchor="page147">
              <w:r>
                <w:rPr>
                  <w:rFonts w:ascii="Times New Roman" w:cs="Times New Roman" w:eastAsia="Times New Roman" w:hAnsi="Times New Roman"/>
                  <w:sz w:val="16"/>
                  <w:szCs w:val="16"/>
                  <w:color w:val="0000FF"/>
                </w:rPr>
                <w:t>Assignment and Assumption Agreement, effective as of February 26, 2019, among</w:t>
              </w:r>
            </w:hyperlink>
          </w:p>
        </w:tc>
        <w:tc>
          <w:tcPr>
            <w:tcW w:w="46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380" w:type="dxa"/>
            <w:vAlign w:val="bottom"/>
            <w:tcBorders>
              <w:bottom w:val="single" w:sz="8" w:color="0000FF"/>
            </w:tcBorders>
            <w:gridSpan w:val="15"/>
            <w:vMerge w:val="continue"/>
          </w:tcPr>
          <w:p>
            <w:pPr>
              <w:spacing w:after="0"/>
              <w:rPr>
                <w:sz w:val="4"/>
                <w:szCs w:val="4"/>
                <w:color w:val="auto"/>
              </w:rPr>
            </w:pPr>
          </w:p>
        </w:tc>
        <w:tc>
          <w:tcPr>
            <w:tcW w:w="4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Times New Roman" w:cs="Times New Roman" w:eastAsia="Times New Roman" w:hAnsi="Times New Roman"/>
                <w:sz w:val="16"/>
                <w:szCs w:val="16"/>
                <w:color w:val="0000FF"/>
              </w:rPr>
            </w:pPr>
            <w:hyperlink w:anchor="page147">
              <w:r>
                <w:rPr>
                  <w:rFonts w:ascii="Times New Roman" w:cs="Times New Roman" w:eastAsia="Times New Roman" w:hAnsi="Times New Roman"/>
                  <w:sz w:val="16"/>
                  <w:szCs w:val="16"/>
                  <w:color w:val="0000FF"/>
                </w:rPr>
                <w:t>Clearway Energy Operating LLC and GIP III Zephyr Carlsbad Holdings, LLC.</w:t>
              </w:r>
            </w:hyperlink>
          </w:p>
        </w:tc>
        <w:tc>
          <w:tcPr>
            <w:tcW w:w="0" w:type="dxa"/>
            <w:vAlign w:val="bottom"/>
          </w:tcPr>
          <w:p>
            <w:pPr>
              <w:spacing w:after="0"/>
              <w:rPr>
                <w:sz w:val="1"/>
                <w:szCs w:val="1"/>
                <w:color w:val="auto"/>
              </w:rPr>
            </w:pPr>
          </w:p>
        </w:tc>
      </w:tr>
      <w:tr>
        <w:trPr>
          <w:trHeight w:val="69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25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6"/>
                <w:szCs w:val="16"/>
                <w:color w:val="0000FF"/>
              </w:rPr>
            </w:pPr>
            <w:hyperlink w:anchor="page150">
              <w:r>
                <w:rPr>
                  <w:rFonts w:ascii="Times New Roman" w:cs="Times New Roman" w:eastAsia="Times New Roman" w:hAnsi="Times New Roman"/>
                  <w:sz w:val="16"/>
                  <w:szCs w:val="16"/>
                  <w:color w:val="0000FF"/>
                </w:rPr>
                <w:t>Subsidiaries of Clearway Energy LLC.</w:t>
              </w:r>
            </w:hyperlink>
          </w:p>
        </w:tc>
        <w:tc>
          <w:tcPr>
            <w:tcW w:w="2600" w:type="dxa"/>
            <w:vAlign w:val="bottom"/>
            <w:tcBorders>
              <w:top w:val="single" w:sz="8" w:color="0000FF"/>
            </w:tcBorders>
            <w:gridSpan w:val="7"/>
          </w:tcPr>
          <w:p>
            <w:pPr>
              <w:spacing w:after="0"/>
              <w:rPr>
                <w:sz w:val="24"/>
                <w:szCs w:val="24"/>
                <w:color w:val="auto"/>
              </w:rPr>
            </w:pPr>
          </w:p>
        </w:tc>
        <w:tc>
          <w:tcPr>
            <w:tcW w:w="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w:anchor="page159">
              <w:r>
                <w:rPr>
                  <w:rFonts w:ascii="Times New Roman" w:cs="Times New Roman" w:eastAsia="Times New Roman" w:hAnsi="Times New Roman"/>
                  <w:sz w:val="16"/>
                  <w:szCs w:val="16"/>
                  <w:color w:val="0000FF"/>
                </w:rPr>
                <w:t>Rule 13a-14(a)/15d-14(a) certification of Christopher S. Sotos.</w:t>
              </w:r>
            </w:hyperlink>
          </w:p>
        </w:tc>
        <w:tc>
          <w:tcPr>
            <w:tcW w:w="176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840" w:type="dxa"/>
            <w:vAlign w:val="bottom"/>
            <w:gridSpan w:val="24"/>
          </w:tcPr>
          <w:p>
            <w:pPr>
              <w:spacing w:after="0"/>
              <w:rPr>
                <w:rFonts w:ascii="Times New Roman" w:cs="Times New Roman" w:eastAsia="Times New Roman" w:hAnsi="Times New Roman"/>
                <w:sz w:val="16"/>
                <w:szCs w:val="16"/>
                <w:color w:val="0000FF"/>
              </w:rPr>
            </w:pPr>
            <w:hyperlink w:anchor="page160">
              <w:r>
                <w:rPr>
                  <w:rFonts w:ascii="Times New Roman" w:cs="Times New Roman" w:eastAsia="Times New Roman" w:hAnsi="Times New Roman"/>
                  <w:sz w:val="16"/>
                  <w:szCs w:val="16"/>
                  <w:color w:val="0000FF"/>
                </w:rPr>
                <w:t>Rule 13a-14(a)/15d-14(a) certification of Chad Plotkin.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398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w:anchor="page161">
              <w:r>
                <w:rPr>
                  <w:rFonts w:ascii="Times New Roman" w:cs="Times New Roman" w:eastAsia="Times New Roman" w:hAnsi="Times New Roman"/>
                  <w:sz w:val="16"/>
                  <w:szCs w:val="16"/>
                  <w:color w:val="0000FF"/>
                </w:rPr>
                <w:t>Rule 13a-14(a)/15d-14(a) certification of Mary-Lee Stillwell.</w:t>
              </w:r>
            </w:hyperlink>
          </w:p>
        </w:tc>
        <w:tc>
          <w:tcPr>
            <w:tcW w:w="186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45" w:hanging="1045"/>
        <w:spacing w:after="0"/>
        <w:tabs>
          <w:tab w:leader="none" w:pos="1045" w:val="left"/>
        </w:tabs>
        <w:numPr>
          <w:ilvl w:val="0"/>
          <w:numId w:val="69"/>
        </w:numPr>
        <w:rPr>
          <w:rFonts w:ascii="Times New Roman" w:cs="Times New Roman" w:eastAsia="Times New Roman" w:hAnsi="Times New Roman"/>
          <w:sz w:val="16"/>
          <w:szCs w:val="16"/>
          <w:u w:val="single" w:color="auto"/>
          <w:color w:val="0000FF"/>
        </w:rPr>
      </w:pPr>
      <w:hyperlink w:anchor="page162">
        <w:r>
          <w:rPr>
            <w:rFonts w:ascii="Times New Roman" w:cs="Times New Roman" w:eastAsia="Times New Roman" w:hAnsi="Times New Roman"/>
            <w:sz w:val="16"/>
            <w:szCs w:val="16"/>
            <w:u w:val="single" w:color="auto"/>
            <w:color w:val="0000FF"/>
          </w:rPr>
          <w:t>Section 1350 Certification.</w:t>
        </w:r>
      </w:hyperlink>
    </w:p>
    <w:p>
      <w:pPr>
        <w:spacing w:after="0" w:line="86"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INS</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70"/>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r>
        <w:trPr>
          <w:trHeight w:val="270"/>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LAB</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December 6, 2018.</w:t>
      </w:r>
    </w:p>
    <w:p>
      <w:pPr>
        <w:spacing w:after="0" w:line="200" w:lineRule="exact"/>
        <w:rPr>
          <w:sz w:val="20"/>
          <w:szCs w:val="20"/>
          <w:color w:val="auto"/>
        </w:rPr>
      </w:pPr>
    </w:p>
    <w:p>
      <w:pPr>
        <w:spacing w:after="0" w:line="2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Quarterly Report on Form 10-Q filed on August 4, 2015.</w:t>
      </w:r>
    </w:p>
    <w:p>
      <w:pPr>
        <w:spacing w:after="0" w:line="1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10.2 to Clearway Energy, Inc.'s Quarterly Report on Form 10-Q filed on August 4, 2015.</w:t>
      </w:r>
    </w:p>
    <w:p>
      <w:pPr>
        <w:spacing w:after="0" w:line="97"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Quarterly Report on Form 10-Q filed on May 5, 2016.</w:t>
      </w:r>
    </w:p>
    <w:p>
      <w:pPr>
        <w:spacing w:after="0" w:line="380"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10.2 to Clearway Energy, Inc.'s Quarterly Report on Form 10-Q filed on May 5, 2016.</w:t>
      </w:r>
    </w:p>
    <w:p>
      <w:pPr>
        <w:spacing w:after="0" w:line="380"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10.3 to Clearway Energy, Inc.'s Quarterly Report on Form 10-Q filed on May 5, 2016.</w:t>
      </w:r>
    </w:p>
    <w:p>
      <w:pPr>
        <w:spacing w:after="0" w:line="1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Quarterly Report on Form 10-Q, filed on August 9, 2016.</w:t>
      </w:r>
    </w:p>
    <w:p>
      <w:pPr>
        <w:spacing w:after="0" w:line="38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10.1 to Clearway Energy, Inc.'s Current Report on Form 8-K/A, filed on August 9, 2016.</w:t>
      </w:r>
    </w:p>
    <w:p>
      <w:pPr>
        <w:spacing w:after="0" w:line="178"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6"/>
          <w:szCs w:val="16"/>
          <w:color w:val="auto"/>
        </w:rPr>
        <w:t>Incorporated herein by reference to Exhibit 10.28 to Clearway Energy, Inc.'s Annual Report on Form 10-K, filed on March 1,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26" w:lineRule="exact"/>
        <w:rPr>
          <w:sz w:val="20"/>
          <w:szCs w:val="20"/>
          <w:color w:val="auto"/>
        </w:rPr>
      </w:pPr>
    </w:p>
    <w:p>
      <w:pPr>
        <w:sectPr>
          <w:pgSz w:w="11900" w:h="16838" w:orient="portrait"/>
          <w:cols w:equalWidth="0" w:num="2">
            <w:col w:w="6885" w:space="200"/>
            <w:col w:w="4280"/>
          </w:cols>
          <w:pgMar w:left="275" w:top="1098" w:right="259" w:bottom="0" w:gutter="0" w:footer="0" w:header="0"/>
          <w:type w:val="continuous"/>
        </w:sectPr>
      </w:pPr>
    </w:p>
    <w:p>
      <w:pPr>
        <w:spacing w:after="0" w:line="197" w:lineRule="exact"/>
        <w:rPr>
          <w:sz w:val="20"/>
          <w:szCs w:val="20"/>
          <w:color w:val="auto"/>
        </w:rPr>
      </w:pPr>
    </w:p>
    <w:p>
      <w:pPr>
        <w:ind w:left="565" w:hanging="565"/>
        <w:spacing w:after="0"/>
        <w:tabs>
          <w:tab w:leader="none" w:pos="56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exhibits that constitute compensatory plans or arrangements.</w:t>
      </w:r>
    </w:p>
    <w:p>
      <w:pPr>
        <w:spacing w:after="0" w:line="86" w:lineRule="exact"/>
        <w:rPr>
          <w:sz w:val="20"/>
          <w:szCs w:val="20"/>
          <w:color w:val="auto"/>
        </w:rPr>
      </w:pPr>
    </w:p>
    <w:p>
      <w:pPr>
        <w:ind w:left="565" w:right="2200" w:hanging="565"/>
        <w:spacing w:after="0" w:line="298" w:lineRule="auto"/>
        <w:tabs>
          <w:tab w:leader="none" w:pos="56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2" w:lineRule="exact"/>
        <w:rPr>
          <w:sz w:val="20"/>
          <w:szCs w:val="20"/>
          <w:color w:val="auto"/>
        </w:rPr>
      </w:pPr>
    </w:p>
    <w:p>
      <w:pPr>
        <w:ind w:left="565" w:right="2200" w:hanging="565"/>
        <w:spacing w:after="0" w:line="298" w:lineRule="auto"/>
        <w:tabs>
          <w:tab w:leader="none" w:pos="56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1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65"/>
          </w:cols>
          <w:pgMar w:left="275" w:top="1098" w:right="259" w:bottom="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9019"/>
          </w:cols>
          <w:pgMar w:left="1440" w:top="1391"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219"/>
          </w:cols>
          <w:pgMar w:left="240" w:top="927"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(Registrant)</w:t>
      </w:r>
    </w:p>
    <w:p>
      <w:pPr>
        <w:spacing w:after="0" w:line="34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101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Christopher S. Sotos, Kevin P. Malcarney and Michael A. Brown,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the Securities Exchange Act of 1934, this report has been signed by the following persons on behalf of the registrant in the capacities indicated on February 28, 2019.</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9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/s/ CHRISTOPHER S. SOTOS</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i w:val="1"/>
                <w:iCs w:val="1"/>
                <w:color w:val="auto"/>
              </w:rPr>
              <w:t>of Clearway Energy LLC (Principal Executive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Christopher S. Sotos</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Date: February 28, 2019</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0" w:type="dxa"/>
            <w:vAlign w:val="bottom"/>
          </w:tcPr>
          <w:p>
            <w:pPr>
              <w:spacing w:after="0"/>
              <w:rPr>
                <w:sz w:val="1"/>
                <w:szCs w:val="1"/>
                <w:color w:val="auto"/>
              </w:rPr>
            </w:pPr>
          </w:p>
        </w:tc>
      </w:tr>
      <w:tr>
        <w:trPr>
          <w:trHeight w:val="432"/>
        </w:trPr>
        <w:tc>
          <w:tcPr>
            <w:tcW w:w="52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/s/ CHAD PLOTKIN</w:t>
            </w: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i w:val="1"/>
                <w:iCs w:val="1"/>
                <w:color w:val="auto"/>
              </w:rPr>
              <w:t>of Clearway Energy LLC (Principal Financial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Chad Plotkin</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Date: February 28, 2019</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/s/ MARY-LEE STILLWELL</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8"/>
                <w:szCs w:val="18"/>
                <w:i w:val="1"/>
                <w:iCs w:val="1"/>
                <w:color w:val="auto"/>
              </w:rPr>
              <w:t>Vice President and Chief Accounting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i w:val="1"/>
                <w:iCs w:val="1"/>
                <w:color w:val="auto"/>
                <w:w w:val="99"/>
              </w:rPr>
              <w:t>of Clearway Energy LLC (Principal Accounting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Mary-Lee Stillwell</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Date: February 28, 2019</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CLEARWAY ENERGY, INC.</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Sole Managing Member</w:t>
            </w:r>
          </w:p>
        </w:tc>
        <w:tc>
          <w:tcPr>
            <w:tcW w:w="0" w:type="dxa"/>
            <w:vAlign w:val="bottom"/>
          </w:tcPr>
          <w:p>
            <w:pPr>
              <w:spacing w:after="0"/>
              <w:rPr>
                <w:sz w:val="1"/>
                <w:szCs w:val="1"/>
                <w:color w:val="auto"/>
              </w:rPr>
            </w:pPr>
          </w:p>
        </w:tc>
      </w:tr>
      <w:tr>
        <w:trPr>
          <w:trHeight w:val="567"/>
        </w:trPr>
        <w:tc>
          <w:tcPr>
            <w:tcW w:w="52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/s/ CHRISTOPHER S. SOTOS</w:t>
            </w: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i w:val="1"/>
                <w:iCs w:val="1"/>
                <w:color w:val="auto"/>
              </w:rPr>
              <w:t>of Clearway Energy, Inc.</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Christopher S. Sotos</w:t>
            </w:r>
          </w:p>
        </w:tc>
        <w:tc>
          <w:tcPr>
            <w:tcW w:w="4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Date: February 28, 2019</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1306" w:right="239" w:bottom="1440" w:gutter="0" w:footer="0" w:header="0"/>
        </w:sectPr>
      </w:pPr>
    </w:p>
    <w:bookmarkStart w:id="133" w:name="page134"/>
    <w:bookmarkEnd w:id="133"/>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318"/>
        </w:trPr>
        <w:tc>
          <w:tcPr>
            <w:tcW w:w="3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NATHANIEL ANSCHUETZ</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Nathaniel Anschuetz</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JONATHAN BRAM</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Jonathan Bram</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BRIAN FORD</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Ford</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BRUCE MACLENNAN</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Bruce MacLennan</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 FERRELL MCCLEAN</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Ferrell McClean</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B. More</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 STANLEY O'NEAL</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 Stanley O'Neal</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CHRISTOPHER S. SOTOS</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S. Sotos</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56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STANLEY</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Clearway Energy, Inc.</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Stanley</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Sole Managing Member of Clearway Energy LLC</w:t>
            </w:r>
          </w:p>
        </w:tc>
      </w:tr>
      <w:tr>
        <w:trPr>
          <w:trHeight w:val="702"/>
        </w:trPr>
        <w:tc>
          <w:tcPr>
            <w:tcW w:w="3540" w:type="dxa"/>
            <w:vAlign w:val="bottom"/>
          </w:tcPr>
          <w:p>
            <w:pPr>
              <w:spacing w:after="0"/>
              <w:rPr>
                <w:sz w:val="24"/>
                <w:szCs w:val="24"/>
                <w:color w:val="auto"/>
              </w:rPr>
            </w:pPr>
          </w:p>
        </w:tc>
        <w:tc>
          <w:tcPr>
            <w:tcW w:w="548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251460</wp:posOffset>
            </wp:positionV>
            <wp:extent cx="1449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36830</wp:posOffset>
            </wp:positionV>
            <wp:extent cx="1449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2019</w:t>
      </w:r>
    </w:p>
    <w:p>
      <w:pPr>
        <w:sectPr>
          <w:pgSz w:w="11900" w:h="16838" w:orient="portrait"/>
          <w:cols w:equalWidth="0" w:num="2">
            <w:col w:w="9020" w:space="600"/>
            <w:col w:w="1320"/>
          </w:cols>
          <w:pgMar w:left="240" w:top="1440" w:right="719" w:bottom="1440" w:gutter="0" w:footer="0" w:header="0"/>
        </w:sectPr>
      </w:pPr>
    </w:p>
    <w:bookmarkStart w:id="134" w:name="page135"/>
    <w:bookmarkEnd w:id="134"/>
    <w:p>
      <w:pPr>
        <w:jc w:val="center"/>
        <w:ind w:left="740" w:right="2320"/>
        <w:spacing w:after="0" w:line="268" w:lineRule="auto"/>
        <w:rPr>
          <w:sz w:val="20"/>
          <w:szCs w:val="20"/>
          <w:color w:val="auto"/>
        </w:rPr>
      </w:pPr>
      <w:r>
        <w:rPr>
          <w:rFonts w:ascii="Times New Roman" w:cs="Times New Roman" w:eastAsia="Times New Roman" w:hAnsi="Times New Roman"/>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21"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8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880"/>
          </w:cols>
          <w:pgMar w:left="240" w:top="1009" w:right="77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&amp;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THIRD AMENDED &amp; RESTATED LIMITED LIABILITY COMPANY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Clearway Energy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LLC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as of September 19, 2018, is adopted by, and executed and agreed to, for good and valuable consideration, by its Member,</w:t>
      </w:r>
      <w:r>
        <w:rPr>
          <w:rFonts w:ascii="Times New Roman" w:cs="Times New Roman" w:eastAsia="Times New Roman" w:hAnsi="Times New Roman"/>
          <w:sz w:val="18"/>
          <w:szCs w:val="18"/>
          <w:b w:val="1"/>
          <w:bCs w:val="1"/>
          <w:color w:val="auto"/>
        </w:rPr>
        <w:t xml:space="preserve"> Clearway Energy LLC</w:t>
      </w:r>
      <w:r>
        <w:rPr>
          <w:rFonts w:ascii="Times New Roman" w:cs="Times New Roman" w:eastAsia="Times New Roman" w:hAnsi="Times New Roman"/>
          <w:sz w:val="18"/>
          <w:szCs w:val="18"/>
          <w:color w:val="auto"/>
        </w:rPr>
        <w:t>, a Delaware limited liability company.</w:t>
      </w:r>
    </w:p>
    <w:p>
      <w:pPr>
        <w:spacing w:after="0" w:line="1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4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As used in this Agreement, the following terms have the following meanings: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Delaware Limited Liability Company Act and any successor statute,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Contribution</w:t>
      </w:r>
      <w:r>
        <w:rPr>
          <w:rFonts w:ascii="Times New Roman" w:cs="Times New Roman" w:eastAsia="Times New Roman" w:hAnsi="Times New Roman"/>
          <w:sz w:val="18"/>
          <w:szCs w:val="18"/>
          <w:color w:val="auto"/>
        </w:rPr>
        <w:t>” means the aggregate contribution by a Member to the capital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given that term in the introductory paragraph.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xml:space="preserve">” has the meaning given that term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means a sale, assignment, transfer, exchange or other disposition (including, without limitation, by operation of law); provided, however, that this definition does not include the granting and/or perfection of a security interest, lien or encumbrance.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Incapacitated</w:t>
      </w:r>
      <w:r>
        <w:rPr>
          <w:rFonts w:ascii="Times New Roman" w:cs="Times New Roman" w:eastAsia="Times New Roman" w:hAnsi="Times New Roman"/>
          <w:sz w:val="18"/>
          <w:szCs w:val="18"/>
          <w:color w:val="auto"/>
        </w:rPr>
        <w:t>” means (a) with respect to a natural Person, the bankruptcy, death, incompetency or insanity of such Person and (b) with respect to any other Person, the bankruptcy, liquidation, dissolution or termination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given such term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Members</w:t>
      </w:r>
      <w:r>
        <w:rPr>
          <w:rFonts w:ascii="Times New Roman" w:cs="Times New Roman" w:eastAsia="Times New Roman" w:hAnsi="Times New Roman"/>
          <w:sz w:val="18"/>
          <w:szCs w:val="18"/>
          <w:color w:val="auto"/>
        </w:rPr>
        <w:t>” means Members holding a majority of the Units owned by all Members or, if there is only one Member, such Member.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any Person executing this Agreement as of the date of this Agreement as a member or hereafter admitted to the Company as a member as provided in this Agreement, but does not include any Person who has ceased to be a member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 natural person, partnership (whether general or limited), limited liability company, trust, estate, association, corporation, custodian, nominee or any other individual or entity in its own or any representative capacity.</w:t>
      </w:r>
    </w:p>
    <w:p>
      <w:pPr>
        <w:sectPr>
          <w:pgSz w:w="11900" w:h="16838" w:orient="portrait"/>
          <w:cols w:equalWidth="0" w:num="1">
            <w:col w:w="11420"/>
          </w:cols>
          <w:pgMar w:left="240" w:top="617" w:right="2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has the meaning given such term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xml:space="preserve">” means the units of each Member representing such Member’s interest in the income, gains, losses, deductions and expenses of the Company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amended from time to time in accordance with the terms of this Agreement.</w:t>
      </w:r>
    </w:p>
    <w:p>
      <w:pPr>
        <w:spacing w:after="0" w:line="15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xml:space="preserve"> Whenever the context requires, the gender of all words used in this Agreement includes the masculine, feminine and neuter. All references to Articles and Sections refer to articles and sections of this Agreement, and all references to Schedules are to Schedules attached hereto, each of which is made a part hereof for all purposes.</w:t>
      </w: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4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xml:space="preserve"> The Company has been organized as a Delaware limited liability company by the filing of a Certificate of Formation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under and pursuant to the Act.</w:t>
      </w:r>
    </w:p>
    <w:p>
      <w:pPr>
        <w:spacing w:after="0" w:line="15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The name of the Company is “</w:t>
      </w:r>
      <w:r>
        <w:rPr>
          <w:rFonts w:ascii="Times New Roman" w:cs="Times New Roman" w:eastAsia="Times New Roman" w:hAnsi="Times New Roman"/>
          <w:sz w:val="18"/>
          <w:szCs w:val="18"/>
          <w:b w:val="1"/>
          <w:bCs w:val="1"/>
          <w:color w:val="auto"/>
        </w:rPr>
        <w:t>Clearway Energy Operating LLC</w:t>
      </w:r>
      <w:r>
        <w:rPr>
          <w:rFonts w:ascii="Times New Roman" w:cs="Times New Roman" w:eastAsia="Times New Roman" w:hAnsi="Times New Roman"/>
          <w:sz w:val="18"/>
          <w:szCs w:val="18"/>
          <w:color w:val="auto"/>
        </w:rPr>
        <w:t>” and all Company business shall be conducted in that name or such other names that comply with applicable law as the Majority Members may select from time to time.</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Registered Office; Registered Agent; Principal Office; Other Offices.</w:t>
      </w:r>
      <w:r>
        <w:rPr>
          <w:rFonts w:ascii="Times New Roman" w:cs="Times New Roman" w:eastAsia="Times New Roman" w:hAnsi="Times New Roman"/>
          <w:sz w:val="18"/>
          <w:szCs w:val="18"/>
          <w:color w:val="auto"/>
        </w:rPr>
        <w:t xml:space="preserve"> The registered office of the Company required by the Act to be maintained in the State of Delaware shall be the office of the initial registered agent named in the Certificate or such other office (which need not be a place of business of the Company) as the Majority Members may designate from time to time in the manner provided by law. The registered agent of the Company in the State of Delaware shall be the initial registered agent named in the Certificate or such other Person or Persons as the Majority Members may designate from time to time in the manner provided by law. The principal office of the Company shall be at such place as the Majority Members may designate from time to time, which need not be in the State of Delaware.</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i w:val="1"/>
          <w:iCs w:val="1"/>
          <w:color w:val="auto"/>
        </w:rPr>
        <w:t>Purposes.</w:t>
      </w:r>
      <w:r>
        <w:rPr>
          <w:rFonts w:ascii="Times New Roman" w:cs="Times New Roman" w:eastAsia="Times New Roman" w:hAnsi="Times New Roman"/>
          <w:sz w:val="18"/>
          <w:szCs w:val="18"/>
          <w:color w:val="auto"/>
        </w:rPr>
        <w:t xml:space="preserve"> The purposes of the Company are to engage in any business or activity that is not prohibited by the Act or the laws of the jurisdictions in which the Company engages in such business or activity.</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i w:val="1"/>
          <w:iCs w:val="1"/>
          <w:color w:val="auto"/>
        </w:rPr>
        <w:t>Foreign Qualification.</w:t>
      </w:r>
      <w:r>
        <w:rPr>
          <w:rFonts w:ascii="Times New Roman" w:cs="Times New Roman" w:eastAsia="Times New Roman" w:hAnsi="Times New Roman"/>
          <w:sz w:val="18"/>
          <w:szCs w:val="18"/>
          <w:color w:val="auto"/>
        </w:rPr>
        <w:t xml:space="preserve"> Prior to the Company’s conducting business in any jurisdiction other than Delaware, the Majority Members shall cause the Company to comply, to the extent procedures are available and those matters are reasonably within the control of the Majority Members, with all requirements necessary to qualify the Company as a foreign limited liability company in that jurisdiction.</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The term of the Company commenced on the date the original certificate of formation was filed with the office of the Secretary of State of Delaware and shall continue in existence until termination and dissolution thereof as determined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i w:val="1"/>
          <w:iCs w:val="1"/>
          <w:color w:val="auto"/>
        </w:rPr>
        <w:t>No State-Law Partnership.</w:t>
      </w:r>
      <w:r>
        <w:rPr>
          <w:rFonts w:ascii="Times New Roman" w:cs="Times New Roman" w:eastAsia="Times New Roman" w:hAnsi="Times New Roman"/>
          <w:sz w:val="18"/>
          <w:szCs w:val="18"/>
          <w:color w:val="auto"/>
        </w:rPr>
        <w:t xml:space="preserve"> The Members intend that the Company not be a partnership (including, without limitation, a limited partnership) or joint venture, and that no Member be a partner or joint venturer of any other Member, for any purposes other than federal and, if applicable, state tax purposes, and this Agreement shall not be construed to suggest otherwise. The Members intend that the Company shall be treated as a partnership for federal and, if applicable, state income tax purposes, and each Member and the Company shall file all tax returns and shall otherwise take all tax and financial reporting positions in a manner consistent with such treatment.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i w:val="1"/>
          <w:iCs w:val="1"/>
          <w:color w:val="auto"/>
        </w:rPr>
        <w:t>Unit Certificates.</w:t>
      </w:r>
      <w:r>
        <w:rPr>
          <w:rFonts w:ascii="Times New Roman" w:cs="Times New Roman" w:eastAsia="Times New Roman" w:hAnsi="Times New Roman"/>
          <w:sz w:val="18"/>
          <w:szCs w:val="18"/>
          <w:color w:val="auto"/>
        </w:rPr>
        <w:t xml:space="preserve"> The number of authorized Units shall initially be one thousand (1,000). Units may be represented by one or more certificates in such form as the Majority Members may from time to time approve, and shall be subject to such rules for the issuance thereof as the Majority Members may from time to time determine.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17" w:right="239" w:bottom="1440" w:gutter="0" w:footer="0" w:header="0"/>
        </w:sectPr>
      </w:pPr>
    </w:p>
    <w:bookmarkStart w:id="137" w:name="page138"/>
    <w:bookmarkEnd w:id="137"/>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i w:val="1"/>
          <w:iCs w:val="1"/>
          <w:color w:val="auto"/>
        </w:rPr>
        <w:t>All Interests shall be Securities.</w:t>
      </w:r>
      <w:r>
        <w:rPr>
          <w:rFonts w:ascii="Times New Roman" w:cs="Times New Roman" w:eastAsia="Times New Roman" w:hAnsi="Times New Roman"/>
          <w:sz w:val="18"/>
          <w:szCs w:val="18"/>
          <w:color w:val="auto"/>
        </w:rPr>
        <w:t xml:space="preserve"> All interests in the Company shall be securities governed by Article 8 of the Uniform Commercial Code and shall be evidenced by certificates. The certificated interests shall be in registered form within the meaning of Article 8 of the Uniform Commercial Code.</w:t>
      </w:r>
    </w:p>
    <w:p>
      <w:pPr>
        <w:spacing w:after="0" w:line="15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MEMBERS, UNITS AND DISTRIBUTIONS</w:t>
      </w:r>
    </w:p>
    <w:p>
      <w:pPr>
        <w:spacing w:after="0" w:line="20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i w:val="1"/>
          <w:iCs w:val="1"/>
          <w:color w:val="auto"/>
        </w:rPr>
        <w:t>Members.</w:t>
      </w:r>
    </w:p>
    <w:p>
      <w:pPr>
        <w:spacing w:after="0" w:line="227" w:lineRule="exact"/>
        <w:rPr>
          <w:sz w:val="20"/>
          <w:szCs w:val="20"/>
          <w:color w:val="auto"/>
        </w:rPr>
      </w:pPr>
    </w:p>
    <w:p>
      <w:pPr>
        <w:ind w:firstLine="1305"/>
        <w:spacing w:after="0" w:line="282" w:lineRule="auto"/>
        <w:tabs>
          <w:tab w:leader="none" w:pos="16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names, residence, business or mailing addresses and the Units of the Members 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amended from time to time in accordance with the terms of this Agreement.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as such, shall be required to lend any funds to the Company or to make any additional contribution of capital to the Company, except as otherwise required by applicable law or by this Agreement. Any Member may, with the approval of the Majority Members, make loans to the Company, and any loan by a Member to the Company shall not be considered to be a Capital Contribution.</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6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shall execute a counterpart of this Agreement, and when a Person is admitted as a Member, such Person shall execute a counterpart of this Agreement and such Person shall be listed as a Member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with such Member’s address and Units.</w:t>
      </w:r>
    </w:p>
    <w:p>
      <w:pPr>
        <w:spacing w:after="0" w:line="16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i w:val="1"/>
          <w:iCs w:val="1"/>
          <w:color w:val="auto"/>
        </w:rPr>
        <w:t>Liability of Members.</w:t>
      </w:r>
    </w:p>
    <w:p>
      <w:pPr>
        <w:spacing w:after="0" w:line="227" w:lineRule="exact"/>
        <w:rPr>
          <w:sz w:val="20"/>
          <w:szCs w:val="20"/>
          <w:color w:val="auto"/>
        </w:rPr>
      </w:pPr>
    </w:p>
    <w:p>
      <w:pPr>
        <w:jc w:val="both"/>
        <w:ind w:firstLine="1305"/>
        <w:spacing w:after="0" w:line="256" w:lineRule="auto"/>
        <w:tabs>
          <w:tab w:leader="none" w:pos="17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no Member, officer or employee of the Company or any employee of any such Member (in each case,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(x) have any duty, including but not limited to fiduciary duties of loyalty and care, whether to the Company, to any of the Members, to the creditors of the Company or to any other third party, and (y) have any personal liability whatsoever in its capacity as a Member or otherwise, whether to the Company, to any of the Members, to the creditors of the Company or to any other third party, for the debts, liabilities, commitments or any other obligations of the Company or for any losses of the Company. Therefore, a Member shall be liable only to make Capital Contributions to the Company and the other payments as provided herein.</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receives a distribution from the Company, the Member will have no liability under the Act or other applicable law for the amount of the distribution after the expiration of twelve months from the date of the distribution, unless an action to recover the distribution from the Member is commenced prior to the expiration of the twelve-month period and an adjudication of liability against the Member is made in such action.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 Covered Person has duties (including fiduciary duties) or liabilities relating thereto to the Company or another Person, such Covered Person acting in accordance with this Agreement shall not be liable to the Company or any other Member for its good faith reliance on the provisions of this Agreement. The provisions of this Agreement restrict the duties and liabilities of a Covered Person otherwise existing at law or in equity and shall replace such other duties and liabilities of such Covered Person.</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Member Units.</w:t>
      </w:r>
      <w:r>
        <w:rPr>
          <w:rFonts w:ascii="Times New Roman" w:cs="Times New Roman" w:eastAsia="Times New Roman" w:hAnsi="Times New Roman"/>
          <w:sz w:val="18"/>
          <w:szCs w:val="18"/>
          <w:color w:val="auto"/>
        </w:rPr>
        <w:t xml:space="preserve"> Each Member’s interest in the Company, including such Member’s interest in income, gains, losses, deductions and expenses of the Company and the right to vote on certain matters as provided in this Agreement, shall be represented by the Units owned by such Member.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Issuance of Additional Units and Interests.</w:t>
      </w:r>
      <w:r>
        <w:rPr>
          <w:rFonts w:ascii="Times New Roman" w:cs="Times New Roman" w:eastAsia="Times New Roman" w:hAnsi="Times New Roman"/>
          <w:sz w:val="18"/>
          <w:szCs w:val="18"/>
          <w:color w:val="auto"/>
        </w:rPr>
        <w:t xml:space="preserve"> The Majority Members shall have the right to cause the Company to create and issue or sell: (i) additional Units or other interests in the Company (including other classes or series thereof having different rights), (ii) obligations, evidences of indebtedness or other securities or interests convertible or exchangeable into Units or other interests in the Company and (iii) warrants, options or other rights to purchase or otherwise acquire Units or other interests in the Company. Upon the acquisition of any Units or other interests in the Company by a Person who is not a Member, such Person shall execute and deliver a counterpart of this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19"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 xml:space="preserve">Agreement and shall become a Member hereunder,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shall be amended to reflect such issuance and new Member.</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xml:space="preserve"> Subject to the provision of the Act, the Majority Members shall have sole discretion regarding the amounts and timing of distributions to Members, in each case subject to the retention of, or payment to third parties of, such funds as it deems necessary with respect to the reasonable business needs of the Company which shall include (but not by way of limitation) the payment or the making of provision for the payment when due of Company obligations, including the payment of any management or administrative fees and expenses or any other obligations.</w:t>
      </w:r>
    </w:p>
    <w:p>
      <w:pPr>
        <w:spacing w:after="0" w:line="17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xml:space="preserve"> The powers of the Company shall be exercised by or under the authority of, and the business and affairs of the Company shall be managed under the direction of the Members, and the Members shall make all decisions and take all actions for the Company, except as set forth herein.</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i w:val="1"/>
          <w:iCs w:val="1"/>
          <w:color w:val="auto"/>
        </w:rPr>
        <w:t>Actions; Delegation of Authority and Duties.</w:t>
      </w:r>
    </w:p>
    <w:p>
      <w:pPr>
        <w:spacing w:after="0" w:line="227" w:lineRule="exact"/>
        <w:rPr>
          <w:sz w:val="20"/>
          <w:szCs w:val="20"/>
          <w:color w:val="auto"/>
        </w:rPr>
      </w:pPr>
    </w:p>
    <w:p>
      <w:pPr>
        <w:ind w:firstLine="1305"/>
        <w:spacing w:after="0" w:line="282" w:lineRule="auto"/>
        <w:tabs>
          <w:tab w:leader="none" w:pos="17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managing the business and affairs of the Company and exercising its powers, the Members shall act through (i) meetings and written consents pursuant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and (ii) any Person to whom authority and duties have been delegated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Majority Members may, from time to time, delegate to one or more Persons such authority and duties as the Majority Members may deem advisable. In addition, the Majority Members may assign titles to any such Persons and delegate to such other individuals certain authority and duties, including as provided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Any delegation pursuant to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may be revoked at any time by the Majority Members.</w:t>
      </w:r>
    </w:p>
    <w:p>
      <w:pPr>
        <w:spacing w:after="0" w:line="17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i w:val="1"/>
          <w:iCs w:val="1"/>
          <w:color w:val="auto"/>
        </w:rPr>
        <w:t>Meetings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82" w:lineRule="auto"/>
        <w:tabs>
          <w:tab w:leader="none" w:pos="169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Members shall constitute a quorum for the transaction of business of the Company, and except as otherwise provided in this Agreement, the act of the Majority Members present at a meeting of the Members at which a quorum is present shall be the act of the Members.</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Members may be held at such place or places as shall be determined from time to time by resolution of the Members. At all meetings of the Members, business shall be transacted in such order as shall from time to time be determined by resolution of the Majority Members. Regular meetings of the Members shall be held at such times and places as shall be designated from time to time by resolution of the Majority Members. Notice of such meetings shall not be required. Special meetings of the Members may be called by the Majority Members, and notice of such meeting need not state the purpose or purposes of, nor the business to be transacted at, such meeting, except as may otherwise be required by law.</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Action by Written Consent or Telephone Conference.</w:t>
      </w:r>
      <w:r>
        <w:rPr>
          <w:rFonts w:ascii="Times New Roman" w:cs="Times New Roman" w:eastAsia="Times New Roman" w:hAnsi="Times New Roman"/>
          <w:sz w:val="18"/>
          <w:szCs w:val="18"/>
          <w:color w:val="auto"/>
        </w:rPr>
        <w:t xml:space="preserve"> Any action permitted or required by the Act, the Certificate or this Agreement to be taken at a meeting of the Members may be taken without a meeting if a consent in writing, setting forth the action to be taken, is signed by the Majority Members. Such consent shall have the same force and effect as a unanimous vote at a meeting and may be stated as such in any document or instrument filed with the Secretary of State of Delaware, and the execution of such consent shall constitute attendance or presence in person at a meeting of the Members. Subject to the requirements of the Act, the Certificate or this Agreement for notice of meetings, unless otherwise restricted by the Certificate, the Members may participate in and hold a meeting by means of a telephone conference or similar communications equipment by means of which all Persons participating in the meeting can hear each other, and participation in such meeting shall constitute attendance and presence in person at such meeting.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1" w:right="239" w:bottom="1440" w:gutter="0" w:footer="0" w:header="0"/>
        </w:sectPr>
      </w:pPr>
    </w:p>
    <w:bookmarkStart w:id="139" w:name="page140"/>
    <w:bookmarkEnd w:id="1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 xml:space="preserve"> Each Covered Person at any time and from time to time may engage in and own interests in other business ventures of any and every type and description, independently or with others (including ones in competition with the Company) with no obligation to offer to the Company or any other Covered Person the right to participate therein. The Company may transact business with any Covered Person or affiliate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those transactions are no less favorable than those the Company could obtain from unrelated third parties.</w:t>
      </w:r>
    </w:p>
    <w:p>
      <w:pPr>
        <w:spacing w:after="0" w:line="18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i w:val="1"/>
          <w:iCs w:val="1"/>
          <w:color w:val="auto"/>
        </w:rPr>
        <w:t>Officers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5"/>
        <w:spacing w:after="0" w:line="255" w:lineRule="auto"/>
        <w:tabs>
          <w:tab w:leader="none" w:pos="17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Members may, from time to time, designate one or more Persons to be officers of the Company. No officer need be a resident of the State of Delaware, or a Member. Any officers so designated shall have such authority and perform such duties as the Majority Members may, from time to time, delegate to them. The Majority Members may assign titles to particular officers. Unless the Majority Members otherwise decides, if the title is one commonly used for officers of a corporation, the assignment of such title shall constitute the delegation to such officer of the authority and duties that are normally associated with that office of a corporation. Each officer shall hold office until his successor shall be duly designated and shall qualify or until his death or until he shall resign or shall have been removed in the manner hereinafter provided. Any number of offices may be held by the same individual. The salaries or other compensation, if any, of the officers and agents of the Company shall be fixed from time to time by the Majority Members.</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may resign as such at any time. Such resignation shall be made in writing and shall take effect at the time specified therein, or if no time be specified, at the time of its receipt by the Majority Members. Any officer may be removed as such, either with or without cause, by the Majority Members. Designation of an officer shall not of itself create contract rights. Any vacancy occurring in any office of the Company may be filled by the Majority Members.</w:t>
      </w:r>
    </w:p>
    <w:p>
      <w:pPr>
        <w:spacing w:after="0" w:line="3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Exculpation.</w:t>
      </w:r>
      <w:r>
        <w:rPr>
          <w:rFonts w:ascii="Times New Roman" w:cs="Times New Roman" w:eastAsia="Times New Roman" w:hAnsi="Times New Roman"/>
          <w:sz w:val="18"/>
          <w:szCs w:val="18"/>
          <w:color w:val="auto"/>
        </w:rPr>
        <w:t xml:space="preserve"> Notwithstanding any other provisions of this Agreement, whether express or implied, or any obligation or duty at law or in equity, no Covered Person shall be liable to the Company or any other Person bound by this Agreement for any act or omission in relation to (a) the Company, its property or the conduct of its business or affairs, (b) this Agreement or any related document or (c) any transaction or investment contemplated by this Agreement or any related document, in each case, taken or omitted by such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i w:val="1"/>
          <w:iCs w:val="1"/>
          <w:color w:val="auto"/>
        </w:rPr>
        <w:t>Indemnification.</w:t>
      </w:r>
    </w:p>
    <w:p>
      <w:pPr>
        <w:spacing w:after="0" w:line="227" w:lineRule="exact"/>
        <w:rPr>
          <w:sz w:val="20"/>
          <w:szCs w:val="20"/>
          <w:color w:val="auto"/>
        </w:rPr>
      </w:pPr>
    </w:p>
    <w:p>
      <w:pPr>
        <w:jc w:val="both"/>
        <w:ind w:firstLine="1305"/>
        <w:spacing w:after="0" w:line="254" w:lineRule="auto"/>
        <w:tabs>
          <w:tab w:leader="none" w:pos="16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each Covered Person who was or is made a party or is threatened to be made a party to or is otherwise involved (including involvement as a witness) in any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she or it is or was a Covered Person or, while a Covered Person, is or was serving at the request of the Company or any parent or subsidiary of the Company as a director, officer, employee, partner, member, manager, trustee, fiduciary or agent of another limited liability company or of a partnership, joint venture, corporation, trust or other entity or enterprise, including service with respect to an employee benefit plan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be indemnified and held harmless by the Company to the fullest extent authorized by the Act, as the same exists or may hereafter be amended, against all expense, liability and loss (including attorneys’ fees and costs, judgments, fines, excise taxes or penalties and amounts paid in settlement) reasonably incurred or suffered by such Indemnitee in connection therewith. Such indemnification shall continue as to an Indemnitee who has ceased to be a director, officer, employee, partner, member, manager, fiduciary, agent, or Covered Person, and shall inure to the benefit of the Indemnitee’s heirs, executors and administrators; provided, however, that, except with respect to Proceedings to enforce rights to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19" w:right="239" w:bottom="1440"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indemnification or advance of expenses, the Company shall not indemnify any such Indemnitee in connection with a Proceeding (or part thereof) initiated by such Indemnitee except to the extent such Proceeding (or part thereof) was authorized in writing by the Majority Members.</w:t>
      </w:r>
    </w:p>
    <w:p>
      <w:pPr>
        <w:spacing w:after="0" w:line="162" w:lineRule="exact"/>
        <w:rPr>
          <w:sz w:val="20"/>
          <w:szCs w:val="20"/>
          <w:color w:val="auto"/>
        </w:rPr>
      </w:pPr>
    </w:p>
    <w:p>
      <w:pPr>
        <w:jc w:val="both"/>
        <w:ind w:firstLine="1305"/>
        <w:spacing w:after="0" w:line="261" w:lineRule="auto"/>
        <w:tabs>
          <w:tab w:leader="none" w:pos="17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expenses (including reasonable legal fees) incurred by a Covered Person defending any Proceeding shall, from time to time, be advanced by the Company prior to the final disposition of such Proceeding upon receipt by the Company of an undertaking by or on behalf of the Covered Person to repay such amount if it shall be determined by final judicial decision from which there is no further right to appeal that the Covered Person is not entitled to be indemnified as authorized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spacing w:after="0" w:line="183"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termination of this Agreement.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xml:space="preserve"> Any repeal or modification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adversely affect any rights of such Covered Person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TAXES AND BOOKS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Tax Returns.</w:t>
      </w:r>
      <w:r>
        <w:rPr>
          <w:rFonts w:ascii="Times New Roman" w:cs="Times New Roman" w:eastAsia="Times New Roman" w:hAnsi="Times New Roman"/>
          <w:sz w:val="18"/>
          <w:szCs w:val="18"/>
          <w:color w:val="auto"/>
        </w:rPr>
        <w:t xml:space="preserve"> The Majority Members shall cause to be prepared and filed all necessary federal and state income tax returns for the Company, including making any elections the Majority Members may deem appropriate and in the best interests of the Members.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Books.</w:t>
      </w:r>
      <w:r>
        <w:rPr>
          <w:rFonts w:ascii="Times New Roman" w:cs="Times New Roman" w:eastAsia="Times New Roman" w:hAnsi="Times New Roman"/>
          <w:sz w:val="18"/>
          <w:szCs w:val="18"/>
          <w:color w:val="auto"/>
        </w:rPr>
        <w:t xml:space="preserve"> The Company shall keep books and records of accounts and shall keep minutes of the proceedings of its Members. The calendar year shall be the accounting year of the Company.</w:t>
      </w:r>
    </w:p>
    <w:p>
      <w:pPr>
        <w:spacing w:after="0" w:line="1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20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Assignment by Members.</w:t>
      </w:r>
      <w:r>
        <w:rPr>
          <w:rFonts w:ascii="Times New Roman" w:cs="Times New Roman" w:eastAsia="Times New Roman" w:hAnsi="Times New Roman"/>
          <w:sz w:val="18"/>
          <w:szCs w:val="18"/>
          <w:color w:val="auto"/>
        </w:rPr>
        <w:t xml:space="preserve"> No Member shall sell, assign or transfer, or offer to sell, assign or transfer or otherwise Dispose of all or any part of such Member’s Units or other interests in the Company (whether voluntarily or involuntarily) without the prior written consent of the Majority Members.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Void Assignment.</w:t>
      </w:r>
      <w:r>
        <w:rPr>
          <w:rFonts w:ascii="Times New Roman" w:cs="Times New Roman" w:eastAsia="Times New Roman" w:hAnsi="Times New Roman"/>
          <w:sz w:val="18"/>
          <w:szCs w:val="18"/>
          <w:color w:val="auto"/>
        </w:rPr>
        <w:t xml:space="preserve"> Any sale, exchange or other transfer by any Member of any Units or other interests in the Company in contravention of this Agreement shall be void and ineffectual and shall not bind or be recognized by the Company or any other party.</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i w:val="1"/>
          <w:iCs w:val="1"/>
          <w:color w:val="auto"/>
        </w:rPr>
        <w:t>Substituted Member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82" w:lineRule="auto"/>
        <w:tabs>
          <w:tab w:leader="none" w:pos="16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assignee of any Units or other interests in the Company of a Member, or any portion thereof, shall become a substituted Member entitled to all the rights of a Member if and only if the assignor gives the assignee such right.</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admission of a substituted Member,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shall be amended to reflect the name, address and Units and other interests in the Company of such substituted Member and to eliminate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1"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the name and address of and other information relating to the assigning Member with regard to the assigned Units and other interests in the Company.</w:t>
      </w:r>
    </w:p>
    <w:p>
      <w:pPr>
        <w:spacing w:after="0" w:line="22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i w:val="1"/>
          <w:iCs w:val="1"/>
          <w:color w:val="auto"/>
        </w:rPr>
        <w:t>Effect of Assignment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82" w:lineRule="auto"/>
        <w:tabs>
          <w:tab w:leader="none" w:pos="168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who shall assign any Units or other interest in the Company shall cease to be a Member of the Company with respect to such Units or other interest and shall no longer have any rights or privileges of a Member with respect to such Units or other interest.</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assignment of any Units or other interests in the Company to a Person who is not a Member, such Person shall execute and deliver a counterpart of this Agreement. However, any Person who acquires in any manner whatsoever any Units or other interest in the Company, irrespective of whether such Person has accepted and adopted in writing the terms and provisions of this Agreement, shall be deemed by the acceptance of the benefits of the acquisition thereof to have agreed to be subject to and bound by all the terms and conditions of this Agreement that any predecessor in such Units or other interest in the Company of such Person was subject to or by which such predecessor was bound.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Effect of Incapacity.</w:t>
      </w:r>
      <w:r>
        <w:rPr>
          <w:rFonts w:ascii="Times New Roman" w:cs="Times New Roman" w:eastAsia="Times New Roman" w:hAnsi="Times New Roman"/>
          <w:sz w:val="18"/>
          <w:szCs w:val="18"/>
          <w:color w:val="auto"/>
        </w:rPr>
        <w:t xml:space="preserve"> Except as otherwise provided herein, the Incapacity of a Member shall not dissolve or terminate the Company. In the event of such Incapacity, the executor, administrator, guardian, trustee or other personal representative of the Incapacitated Member shall be deemed to be the assignee of such Member’s Units or other interests in the Company and may, subject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become a substituted Member upon the terms and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DISSOLUTION, LIQUIDATION AND TERMINATION</w:t>
      </w:r>
    </w:p>
    <w:p>
      <w:pPr>
        <w:spacing w:after="0" w:line="20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i w:val="1"/>
          <w:iCs w:val="1"/>
          <w:color w:val="auto"/>
        </w:rPr>
        <w:t xml:space="preserve">Dissolution. </w:t>
      </w:r>
      <w:r>
        <w:rPr>
          <w:rFonts w:ascii="Times New Roman" w:cs="Times New Roman" w:eastAsia="Times New Roman" w:hAnsi="Times New Roman"/>
          <w:sz w:val="17"/>
          <w:szCs w:val="17"/>
          <w:color w:val="auto"/>
        </w:rPr>
        <w:t>The Company shall be dissolved and its affairs shall be wound up on the first to occur of the following:</w:t>
      </w:r>
    </w:p>
    <w:p>
      <w:pPr>
        <w:spacing w:after="0" w:line="227" w:lineRule="exact"/>
        <w:rPr>
          <w:sz w:val="20"/>
          <w:szCs w:val="20"/>
          <w:color w:val="auto"/>
        </w:rPr>
      </w:pPr>
    </w:p>
    <w:p>
      <w:pPr>
        <w:ind w:left="1680" w:hanging="375"/>
        <w:spacing w:after="0"/>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the Majority Members;</w:t>
      </w:r>
    </w:p>
    <w:p>
      <w:pPr>
        <w:spacing w:after="0" w:line="196" w:lineRule="exact"/>
        <w:rPr>
          <w:rFonts w:ascii="Times New Roman" w:cs="Times New Roman" w:eastAsia="Times New Roman" w:hAnsi="Times New Roman"/>
          <w:sz w:val="18"/>
          <w:szCs w:val="18"/>
          <w:color w:val="auto"/>
        </w:rPr>
      </w:pPr>
    </w:p>
    <w:p>
      <w:pPr>
        <w:ind w:left="1700" w:hanging="395"/>
        <w:spacing w:after="0" w:line="207" w:lineRule="exact"/>
        <w:tabs>
          <w:tab w:leader="none" w:pos="1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Section 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802 of the Act; or</w:t>
      </w:r>
    </w:p>
    <w:p>
      <w:pPr>
        <w:spacing w:after="0" w:line="253"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dissolution date set forth in the Certificate, if one is stated.</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Liquidation and Termination.</w:t>
      </w:r>
      <w:r>
        <w:rPr>
          <w:rFonts w:ascii="Times New Roman" w:cs="Times New Roman" w:eastAsia="Times New Roman" w:hAnsi="Times New Roman"/>
          <w:sz w:val="18"/>
          <w:szCs w:val="18"/>
          <w:color w:val="auto"/>
        </w:rPr>
        <w:t xml:space="preserve"> On dissolution of the Company, the Majority Members may appoint one or more Members as liquidator.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Members. The steps to be accomplished by the liquidators are as follows: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1" w:right="239" w:bottom="1440" w:gutter="0" w:footer="0" w:header="0"/>
        </w:sectPr>
      </w:pPr>
    </w:p>
    <w:bookmarkStart w:id="142" w:name="page143"/>
    <w:bookmarkEnd w:id="142"/>
    <w:p>
      <w:pPr>
        <w:ind w:firstLine="1305"/>
        <w:spacing w:after="0" w:line="282" w:lineRule="auto"/>
        <w:tabs>
          <w:tab w:leader="none" w:pos="18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 shall pay, satisfy or discharge from Company funds all of the debts, liabilities and obligations of the Company (including, without limitation, all expenses incurred in liquidation) or otherwise make adequate provision for payment and discharge thereof; and</w:t>
      </w:r>
    </w:p>
    <w:p>
      <w:pPr>
        <w:spacing w:after="0" w:line="16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remaining assets of the Company shall be distributed to the Members in accordance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by the end of the taxable year of the Company during which the liquidation of the Company occurs (or, if later, 90 days after the date of the liquidation). 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distribution of cash and/or property to a Member in accordance with the provisions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Cancellation of Certificate.</w:t>
      </w:r>
      <w:r>
        <w:rPr>
          <w:rFonts w:ascii="Times New Roman" w:cs="Times New Roman" w:eastAsia="Times New Roman" w:hAnsi="Times New Roman"/>
          <w:sz w:val="18"/>
          <w:szCs w:val="18"/>
          <w:color w:val="auto"/>
        </w:rPr>
        <w:t xml:space="preserve"> On completion of the distribution of Company assets as provided herein, the Company shall be terminated, and the Majority Members (or such other Person or Persons as the Act may require or permit) shall file a certificate of cancellation with the Secretary of State of Delaware, cancel any other filings made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take such other actions as may be necessary to terminate the Company.</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by a nationally recognized overnight courier service, or by delivering that writing to the recipient in person, by courier (with return receipt), or by facsimile or e-mail transmission (provided that in the case of facsimile or e-mail transmission, a copy is sent on or before the next business day by a nationally recognized overnight courier service); and a notice, request, or consent given under this Agreement is effective on receipt by the Person to receive it (in the case of facsimile or e-mail, upon delivery by such facsimile or e-mail). All notices, requests, and consents to be sent to a Member must be sent to or made at the address given for that Member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or such other address as that Member may specify by notice to the other Members. 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Agreement constitutes the entire agreement of the Members and their affiliates relating to the Company and supersedes all prior contracts or agreements among the Members with respect to the Company, whether oral or written.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i w:val="1"/>
          <w:iCs w:val="1"/>
          <w:color w:val="auto"/>
        </w:rPr>
        <w:t>Effect of Waiver or Consent.</w:t>
      </w:r>
      <w:r>
        <w:rPr>
          <w:rFonts w:ascii="Times New Roman" w:cs="Times New Roman" w:eastAsia="Times New Roman" w:hAnsi="Times New Roman"/>
          <w:sz w:val="18"/>
          <w:szCs w:val="18"/>
          <w:color w:val="auto"/>
        </w:rPr>
        <w:t xml:space="preserve">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i w:val="1"/>
          <w:iCs w:val="1"/>
          <w:color w:val="auto"/>
        </w:rPr>
        <w:t>Amendment or Modification.</w:t>
      </w:r>
      <w:r>
        <w:rPr>
          <w:rFonts w:ascii="Times New Roman" w:cs="Times New Roman" w:eastAsia="Times New Roman" w:hAnsi="Times New Roman"/>
          <w:sz w:val="18"/>
          <w:szCs w:val="18"/>
          <w:color w:val="auto"/>
        </w:rPr>
        <w:t xml:space="preserve"> This Agreement may be amended or modified from time to time only by a written instrument executed and agreed to by the Majority Members.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xml:space="preserve"> Subject to the restrictions on Dispositions set forth in this Agreement, this Agreement is binding on and inure to the benefit of the Members and their respective heirs, legal representatives, successors and permitted assigns.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1" w:right="239" w:bottom="1440" w:gutter="0" w:footer="0" w:header="0"/>
        </w:sectPr>
      </w:pPr>
    </w:p>
    <w:bookmarkStart w:id="143" w:name="page144"/>
    <w:bookmarkEnd w:id="1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i w:val="1"/>
          <w:iCs w:val="1"/>
          <w:color w:val="auto"/>
        </w:rPr>
        <w:t>Governing Law; Severability.</w:t>
      </w:r>
      <w:r>
        <w:rPr>
          <w:rFonts w:ascii="Times New Roman" w:cs="Times New Roman" w:eastAsia="Times New Roman" w:hAnsi="Times New Roman"/>
          <w:sz w:val="18"/>
          <w:szCs w:val="18"/>
          <w:color w:val="auto"/>
        </w:rPr>
        <w:t xml:space="preserve">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are not affected thereby and that provision shall be enforced to the greatest extent permitted by law.</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multiple counterparts with the same effect as if all signing parties had signed the same document. All counterparts shall be construed together and constitute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835"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t>IN WITNESS WHEREOF, the Member has executed this Agreement as of the date first set forth above.</w:t>
      </w:r>
    </w:p>
    <w:p>
      <w:pPr>
        <w:sectPr>
          <w:pgSz w:w="11900" w:h="16838" w:orient="portrait"/>
          <w:cols w:equalWidth="0" w:num="1">
            <w:col w:w="9559"/>
          </w:cols>
          <w:pgMar w:left="900" w:top="621" w:right="1440" w:bottom="1440" w:gutter="0" w:footer="0" w:header="0"/>
        </w:sectPr>
      </w:pPr>
    </w:p>
    <w:p>
      <w:pPr>
        <w:spacing w:after="0" w:line="23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MEMBER:</w:t>
      </w:r>
    </w:p>
    <w:p>
      <w:pPr>
        <w:spacing w:after="0" w:line="22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Kevin P. Malcarney</w:t>
      </w: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Title: Senior Vice President &amp; General Counsel</w:t>
      </w:r>
    </w:p>
    <w:p>
      <w:pPr>
        <w:sectPr>
          <w:pgSz w:w="11900" w:h="16838" w:orient="portrait"/>
          <w:cols w:equalWidth="0" w:num="1">
            <w:col w:w="9559"/>
          </w:cols>
          <w:pgMar w:left="900" w:top="621" w:right="1440" w:bottom="1440" w:gutter="0" w:footer="0" w:header="0"/>
          <w:type w:val="continuous"/>
        </w:sectPr>
      </w:pPr>
    </w:p>
    <w:bookmarkStart w:id="145" w:name="page146"/>
    <w:bookmarkEnd w:id="145"/>
    <w:p>
      <w:pPr>
        <w:ind w:left="5100"/>
        <w:spacing w:after="0"/>
        <w:rPr>
          <w:sz w:val="20"/>
          <w:szCs w:val="20"/>
          <w:color w:val="auto"/>
        </w:rPr>
      </w:pPr>
      <w:r>
        <w:rPr>
          <w:rFonts w:ascii="Times New Roman" w:cs="Times New Roman" w:eastAsia="Times New Roman" w:hAnsi="Times New Roman"/>
          <w:sz w:val="18"/>
          <w:szCs w:val="18"/>
          <w:b w:val="1"/>
          <w:bCs w:val="1"/>
          <w:i w:val="1"/>
          <w:iCs w:val="1"/>
          <w:color w:val="auto"/>
        </w:rPr>
        <w:t>SCHEDULE A</w:t>
      </w:r>
    </w:p>
    <w:p>
      <w:pPr>
        <w:sectPr>
          <w:pgSz w:w="11900" w:h="16838" w:orient="portrait"/>
          <w:cols w:equalWidth="0" w:num="1">
            <w:col w:w="10179"/>
          </w:cols>
          <w:pgMar w:left="280" w:top="617" w:right="1440" w:bottom="1440" w:gutter="0" w:footer="0" w:header="0"/>
        </w:sect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63" w:lineRule="exact"/>
        <w:rPr>
          <w:sz w:val="20"/>
          <w:szCs w:val="20"/>
          <w:color w:val="auto"/>
        </w:rPr>
      </w:pPr>
    </w:p>
    <w:p>
      <w:pPr>
        <w:sectPr>
          <w:pgSz w:w="11900" w:h="16838" w:orient="portrait"/>
          <w:cols w:equalWidth="0" w:num="2">
            <w:col w:w="5320" w:space="720"/>
            <w:col w:w="4139"/>
          </w:cols>
          <w:pgMar w:left="280" w:top="61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 Carnegie Center, Suite 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20" w:lineRule="exact"/>
        <w:rPr>
          <w:sz w:val="20"/>
          <w:szCs w:val="20"/>
          <w:color w:val="auto"/>
        </w:rPr>
      </w:pPr>
      <w:r>
        <w:rPr>
          <w:sz w:val="20"/>
          <w:szCs w:val="20"/>
          <w:color w:val="auto"/>
        </w:rPr>
        <w:br w:type="column"/>
      </w:r>
    </w:p>
    <w:p>
      <w:pPr>
        <w:jc w:val="center"/>
        <w:ind w:right="3719"/>
        <w:spacing w:after="0"/>
        <w:rPr>
          <w:sz w:val="20"/>
          <w:szCs w:val="20"/>
          <w:color w:val="auto"/>
        </w:rPr>
      </w:pPr>
      <w:r>
        <w:rPr>
          <w:rFonts w:ascii="Times New Roman" w:cs="Times New Roman" w:eastAsia="Times New Roman" w:hAnsi="Times New Roman"/>
          <w:sz w:val="18"/>
          <w:szCs w:val="18"/>
          <w:color w:val="auto"/>
        </w:rPr>
        <w:t>1,000</w:t>
      </w:r>
    </w:p>
    <w:p>
      <w:pPr>
        <w:spacing w:after="0" w:line="650" w:lineRule="exact"/>
        <w:rPr>
          <w:sz w:val="20"/>
          <w:szCs w:val="20"/>
          <w:color w:val="auto"/>
        </w:rPr>
      </w:pPr>
    </w:p>
    <w:p>
      <w:pPr>
        <w:sectPr>
          <w:pgSz w:w="11900" w:h="16838" w:orient="portrait"/>
          <w:cols w:equalWidth="0" w:num="2">
            <w:col w:w="5320" w:space="720"/>
            <w:col w:w="4139"/>
          </w:cols>
          <w:pgMar w:left="28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ectPr>
          <w:pgSz w:w="11900" w:h="16838" w:orient="portrait"/>
          <w:cols w:equalWidth="0" w:num="1">
            <w:col w:w="10179"/>
          </w:cols>
          <w:pgMar w:left="280" w:top="617" w:right="1440" w:bottom="1440" w:gutter="0" w:footer="0" w:header="0"/>
          <w:type w:val="continuous"/>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ASSIGNMENT AND ASSUMPTION AGREEMENT (this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effective as of February 26,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among Clearway Energy Operating LLC (formerly NRG Yield Operating LLC), a Delaware limited liability company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GIP III Zephyr Carlsbad Holdings, LLC, a Delaware limited liability company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43" w:lineRule="exact"/>
        <w:rPr>
          <w:sz w:val="20"/>
          <w:szCs w:val="20"/>
          <w:color w:val="auto"/>
        </w:rPr>
      </w:pPr>
    </w:p>
    <w:p>
      <w:pPr>
        <w:jc w:val="both"/>
        <w:ind w:firstLine="8"/>
        <w:spacing w:after="0" w:line="276" w:lineRule="auto"/>
        <w:tabs>
          <w:tab w:leader="none" w:pos="3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is party to that certain Purchase and Sale Agreement, dated as of February 6, 2018, by and between the Assignor and NRG Gas Development Company, LLC, a Delaware limited liability company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which the Assignor agreed to purchase 100% of the membership interests of Carlsbad Energy Holdings LLC, a Delaware limited liability company (“</w:t>
      </w:r>
      <w:r>
        <w:rPr>
          <w:rFonts w:ascii="Times New Roman" w:cs="Times New Roman" w:eastAsia="Times New Roman" w:hAnsi="Times New Roman"/>
          <w:sz w:val="18"/>
          <w:szCs w:val="18"/>
          <w:u w:val="single" w:color="auto"/>
          <w:color w:val="auto"/>
        </w:rPr>
        <w:t>Carlsbad Holdings</w:t>
      </w:r>
      <w:r>
        <w:rPr>
          <w:rFonts w:ascii="Times New Roman" w:cs="Times New Roman" w:eastAsia="Times New Roman" w:hAnsi="Times New Roman"/>
          <w:sz w:val="18"/>
          <w:szCs w:val="18"/>
          <w:color w:val="auto"/>
        </w:rPr>
        <w:t>”) and indirect owner of a 540 megawatt natural gas fired project in Carlsbad, California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8"/>
        <w:spacing w:after="0" w:line="298" w:lineRule="auto"/>
        <w:tabs>
          <w:tab w:leader="none" w:pos="3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13.10 of the Purchase Agreement, Assignor desires to transfer, assign, convey and deliver to Assignee, and Assignee desires to receive, acquire and accept from Assignor the Purchase Agreement such that the Assignee shall be the purchaser of Carlsbad Holdings and the Project;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transfer of the Purchase Agreement, Assignor and Assignee are executing and delivering this Assignment.</w:t>
      </w:r>
    </w:p>
    <w:p>
      <w:pPr>
        <w:spacing w:after="0" w:line="239"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8"/>
          <w:szCs w:val="18"/>
          <w:color w:val="auto"/>
        </w:rPr>
        <w:t>NOW THEREFORE, in consideration of the premises, the mutual covenants and agreements contained herein and other good and valuable consideration, the receipt and sufficiency of which are hereby acknowledged, Assignor and Assignee hereby act and agree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256" w:lineRule="exact"/>
        <w:rPr>
          <w:sz w:val="20"/>
          <w:szCs w:val="20"/>
          <w:color w:val="auto"/>
        </w:rPr>
      </w:pPr>
    </w:p>
    <w:p>
      <w:pPr>
        <w:ind w:firstLine="1305"/>
        <w:spacing w:after="0" w:line="344" w:lineRule="auto"/>
        <w:tabs>
          <w:tab w:leader="none" w:pos="2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the Purchase Agreement</w:t>
      </w:r>
      <w:r>
        <w:rPr>
          <w:rFonts w:ascii="Times New Roman" w:cs="Times New Roman" w:eastAsia="Times New Roman" w:hAnsi="Times New Roman"/>
          <w:sz w:val="18"/>
          <w:szCs w:val="18"/>
          <w:color w:val="auto"/>
        </w:rPr>
        <w:t>. Assignor hereby transfers, assigns, conveys and delivers to Assignee all of Assignor’s right, title and interest in and to the Purchase Agreement, and Assignee hereby accepts such transfer, assignment and conveyance.</w:t>
      </w:r>
    </w:p>
    <w:p>
      <w:pPr>
        <w:spacing w:after="0" w:line="162" w:lineRule="exact"/>
        <w:rPr>
          <w:rFonts w:ascii="Times New Roman" w:cs="Times New Roman" w:eastAsia="Times New Roman" w:hAnsi="Times New Roman"/>
          <w:sz w:val="18"/>
          <w:szCs w:val="18"/>
          <w:color w:val="auto"/>
        </w:rPr>
      </w:pPr>
    </w:p>
    <w:p>
      <w:pPr>
        <w:ind w:firstLine="1305"/>
        <w:spacing w:after="0" w:line="344" w:lineRule="auto"/>
        <w:tabs>
          <w:tab w:leader="none" w:pos="2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Assignee</w:t>
      </w:r>
      <w:r>
        <w:rPr>
          <w:rFonts w:ascii="Times New Roman" w:cs="Times New Roman" w:eastAsia="Times New Roman" w:hAnsi="Times New Roman"/>
          <w:sz w:val="18"/>
          <w:szCs w:val="18"/>
          <w:color w:val="auto"/>
        </w:rPr>
        <w:t>. Assignee hereby agrees to assume the obligations of Assignor to satisfy, perform and discharge, as the same become due, all liabilities and obligations under the Purchase Agreement.</w:t>
      </w:r>
    </w:p>
    <w:p>
      <w:pPr>
        <w:spacing w:after="0" w:line="162" w:lineRule="exact"/>
        <w:rPr>
          <w:rFonts w:ascii="Times New Roman" w:cs="Times New Roman" w:eastAsia="Times New Roman" w:hAnsi="Times New Roman"/>
          <w:sz w:val="18"/>
          <w:szCs w:val="18"/>
          <w:color w:val="auto"/>
        </w:rPr>
      </w:pPr>
    </w:p>
    <w:p>
      <w:pPr>
        <w:jc w:val="both"/>
        <w:ind w:firstLine="1305"/>
        <w:spacing w:after="0" w:line="329" w:lineRule="auto"/>
        <w:tabs>
          <w:tab w:leader="none" w:pos="2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Assignment may be executed in separate counterparts with separate signature pages, all of which when taken together shall constitute one instrument. Delivery by facsimile or other electronic transmission of an executed original or the retransmission of any executed facsimile or other electronic transmission shall be deemed to be the same as delivery of an executed original.</w:t>
      </w:r>
    </w:p>
    <w:p>
      <w:pPr>
        <w:spacing w:after="0" w:line="175" w:lineRule="exact"/>
        <w:rPr>
          <w:rFonts w:ascii="Times New Roman" w:cs="Times New Roman" w:eastAsia="Times New Roman" w:hAnsi="Times New Roman"/>
          <w:sz w:val="18"/>
          <w:szCs w:val="18"/>
          <w:color w:val="auto"/>
        </w:rPr>
      </w:pPr>
    </w:p>
    <w:p>
      <w:pPr>
        <w:jc w:val="both"/>
        <w:ind w:firstLine="1305"/>
        <w:spacing w:after="0" w:line="319" w:lineRule="auto"/>
        <w:tabs>
          <w:tab w:leader="none" w:pos="2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agree to take all such further actions and execute, acknowledge and deliver all such further documents that are necessary or useful in carrying out the purposes of this Assignment. Without limiting the foregoing, (a) Assignor agrees to execute, acknowledge and deliver to Assignee all such other additional instruments, notices, and other documents and to do all such other and further acts and things as may be reasonably necessary to more fully and effectively sell, assign, transfer and deliver to Assignee the Purchase Agreement and (b) Assignee agrees to execute, acknowledge and deliver to Assignor all such other additional instruments, notices, and other documents and to do all such other and further acts and things as may be reasonably necessary to more fully and effectively accept and assume the Purchase Agreement.</w:t>
      </w:r>
    </w:p>
    <w:p>
      <w:pPr>
        <w:sectPr>
          <w:pgSz w:w="11900" w:h="16838" w:orient="portrait"/>
          <w:cols w:equalWidth="0" w:num="1">
            <w:col w:w="11420"/>
          </w:cols>
          <w:pgMar w:left="240" w:top="117" w:right="239" w:bottom="1440" w:gutter="0" w:footer="0" w:header="0"/>
        </w:sectPr>
      </w:pPr>
    </w:p>
    <w:bookmarkStart w:id="147" w:name="page148"/>
    <w:bookmarkEnd w:id="147"/>
    <w:p>
      <w:pPr>
        <w:ind w:left="-20" w:firstLine="1305"/>
        <w:spacing w:after="0" w:line="344" w:lineRule="auto"/>
        <w:tabs>
          <w:tab w:leader="none" w:pos="2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Assignment shall be governed by and construed in accordance with the Laws of the State of New York, without giving effect to any conflict or choice of law provision that would result in the application of another state’s law.</w:t>
      </w:r>
    </w:p>
    <w:p>
      <w:pPr>
        <w:spacing w:after="0" w:line="162" w:lineRule="exact"/>
        <w:rPr>
          <w:rFonts w:ascii="Times New Roman" w:cs="Times New Roman" w:eastAsia="Times New Roman" w:hAnsi="Times New Roman"/>
          <w:sz w:val="18"/>
          <w:szCs w:val="18"/>
          <w:color w:val="auto"/>
        </w:rPr>
      </w:pPr>
    </w:p>
    <w:p>
      <w:pPr>
        <w:ind w:left="-20" w:firstLine="1305"/>
        <w:spacing w:after="0" w:line="344" w:lineRule="auto"/>
        <w:tabs>
          <w:tab w:leader="none" w:pos="2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Assignment shall be binding upon and inure to the benefit of Assignor and Assignee and their respective successors and permitted assigns.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00"/>
          </w:cols>
          <w:pgMar w:left="260" w:top="796" w:right="239" w:bottom="1440" w:gutter="0" w:footer="0" w:header="0"/>
        </w:sectPr>
      </w:pPr>
    </w:p>
    <w:bookmarkStart w:id="148" w:name="page149"/>
    <w:bookmarkEnd w:id="148"/>
    <w:p>
      <w:pPr>
        <w:ind w:firstLine="648"/>
        <w:spacing w:after="0" w:line="298" w:lineRule="auto"/>
        <w:rPr>
          <w:sz w:val="20"/>
          <w:szCs w:val="20"/>
          <w:color w:val="auto"/>
        </w:rPr>
      </w:pPr>
      <w:r>
        <w:rPr>
          <w:rFonts w:ascii="Times New Roman" w:cs="Times New Roman" w:eastAsia="Times New Roman" w:hAnsi="Times New Roman"/>
          <w:sz w:val="18"/>
          <w:szCs w:val="18"/>
          <w:color w:val="auto"/>
        </w:rPr>
        <w:t>IN WITNESS WHEREOF, each party has caused this Assignment to be executed on its behalf by its duly authorized officer, as of the day and year first above written.</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Sotos</w:t>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Christopher Sotos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GIP III ZEPHYR CARLSBAD HOLDINGS, LLC</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Bram</w:t>
      </w: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for Carlsbad Purchase Agreement Assignment</w:t>
      </w:r>
    </w:p>
    <w:p>
      <w:pPr>
        <w:sectPr>
          <w:pgSz w:w="11900" w:h="16838" w:orient="portrait"/>
          <w:cols w:equalWidth="0" w:num="1">
            <w:col w:w="11240"/>
          </w:cols>
          <w:pgMar w:left="240" w:top="999" w:right="419" w:bottom="1440" w:gutter="0" w:footer="0" w:header="0"/>
        </w:sectPr>
      </w:pPr>
    </w:p>
    <w:bookmarkStart w:id="149" w:name="page150"/>
    <w:bookmarkEnd w:id="149"/>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2011 Finance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AC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Adams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Adams Community Solar Garden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Adams Community Solar Garden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Adams Community Solar Gardens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Agua Caliente Borrower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Agua Caliente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Agua Caliente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Interconnection Management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Interconnection Management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Interconnection Management,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Realty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Realty Investments,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Vista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1-5 Holding Company,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Asset Management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Asset Management,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III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IV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IV,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V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V,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X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XI Holding Company,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Alta Wind XI,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Alta Wind X-XI TE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Apple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Arapahoe Community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Avenal Park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Avenal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Bashaw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Big Lake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Black Cat Road Solar,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0" w:name="page151"/>
    <w:bookmarkEnd w:id="150"/>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Bluestone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Brook Street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Buckthorn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Buckthorn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Buckthorn Solar Portfolio,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Buckthorn Westex,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Buffalo Bear,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Oklahoma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Bullock Road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BWC Swan Pond River,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CA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Center St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Central CA Fuel Cell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Chestnut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Chestnut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Chestnut Fund Sub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Chisago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 View Acres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&amp; EFS Distributed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&amp; EFS Distributed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AC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Chestnut Fund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DG Lakeland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Energy Operating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Solar Star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Thermal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Clearway Walnut Creek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Clearway West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CMR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Colorado Shared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Colorado Springs Solar Garden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Continental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Crosswind Transmission,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CVSR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CVSR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Cy-Hawk Wind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Denver Community Solar Garden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Denver Community Solar Garden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Desert Sunlight 250,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Desert Sunlight 300,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Desert Sunlight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Desert Sunlight Investment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Berkeley Rec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1" w:name="page152"/>
    <w:bookmarkEnd w:id="151"/>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Berkeley Village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Central East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Central West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Contra Costa Operations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Contra Costa Waste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Crystal Spring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Dighton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Foxborough Elm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Foxborough Landfill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Grantland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Haverhill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Imperial Admin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Imperial Building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Lathrop Louise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Lincoln Middle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Marathon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Rosedale Elementary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Rosedale Middle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San Joaquin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Tufts Knoll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Tufts Science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 Washington Middle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 Webster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3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4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4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Fund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Fund 2 HoldCo 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Fund 2 HoldCo B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Fund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Fund 4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Fund 4 Sub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HoldCo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HoldCo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DGPV HoldCo 3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DGPV Holding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Dodge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Eagle View Acres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ECP Uptown Campus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ECP Uptown Campus Holdings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7" w:right="219" w:bottom="1440" w:gutter="0" w:footer="0" w:header="0"/>
        </w:sectPr>
      </w:pPr>
    </w:p>
    <w:bookmarkStart w:id="152" w:name="page153"/>
    <w:bookmarkEnd w:id="152"/>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ECP Uptown Campus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 Mirage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 Segundo Energy Center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Elbow Creek Wind Project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Electricity Sales Princeton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Elk Lake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Elkhorn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Elkhorn Ridge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Caguas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Caguas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Caguas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Puerto Rico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Dover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Harrisburg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HCEC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Minneapolis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Omaha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Omaha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Paxton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Phoenix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Pittsburgh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Princeton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San Diego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San Francisco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Energy Center Smyrna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Energy Center Tucson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Enterprise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Escalante Solar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Escalante Solar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Escalante Solar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ETCAP NES CS MN 02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ETCAP NES CS MN 06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Farmington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Federal Road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Forest Lake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Forward WindPower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Four Brothers Capital,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Four Brothers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Four Brothers Portfolio,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Four Brothers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Frontenac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Fuel Cell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FUSD Energy,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3" w:name="page154"/>
    <w:bookmarkEnd w:id="153"/>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GCE Holding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GenConn Devon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GenConn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GenConn Middletown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Goat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Golden Puma Fund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Golden Puma Revolve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Granite Mountain Capital,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Granite Mountain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Granite Mountain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Granite Mountain Solar East,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Granite Mountain Solar West,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Green Prairie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Greene Wind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Hardin Hilltop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Hardin Wind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Harrisburg Cooling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High Plains Ranch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Highland Township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HLE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HSD Solar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Huntington Beach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Hwy 14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Iron Springs Capital,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Iron Springs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Iron Springs Renewables,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Iron Springs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Laredo Ridge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Lenape II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Lindberg Field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Lindberg Field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Longhorn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Lookout WindPower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Mapleton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Marsh Landing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Marsh Landing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MC1 Solar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Minisink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Minisink Solar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Iowa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Minnesota Wind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Laredo,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4" w:name="page155"/>
    <w:bookmarkEnd w:id="154"/>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New Mexico,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Oklahoma,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PA One,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PA Three,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PA Two,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Mission Wind Pennsylvania,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Mission Wind Utah,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Monster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Montevideo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Natural Gas Repowering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Northfield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NS Smith,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OC Solar 2010,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Odin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Old Westminster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Old Westminster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Osakis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Eight,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Five,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Four,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One,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Seven,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Six,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OWF Three,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OWF Two,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Minnesota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Palo Alto County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PC Dinuba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PESD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Pikes Peak Solar Garden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Pine Island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Pinnacle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PM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Pond Road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Portfolio Solar 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Poverty Ridge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Puma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Redbrook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Renew Canal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Renew Solar CS4 Borrower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Renew Solar CS4 Class 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Renew Solar CS4 Fund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Renew Solar CS4 Fund Sub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5" w:name="page156"/>
    <w:bookmarkEnd w:id="155"/>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Renew Solar CS4 Seller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Renew Spark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Repowering Partnership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Repowering Partnership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Rollingstone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RPV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RPV 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RPV Fund 11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RPV Fund 12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RPV Fund 13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RPV HoldCo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RPV Holding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San Juan Mesa Investments,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San Juan Mesa Wind Project,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Sand Drag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Sartell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SCDA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SCWFD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Silver Lake Acres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SJA Solar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Sleeping Bear,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Alpine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Apple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AV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Avra Valley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Blythe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Blythe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Borrego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Borrego 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Community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Community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CVSR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Flagstaff One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Iguana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Kansas South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Kansas South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Las Vegas MB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Las Vegas MB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Mayfair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Mule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Oasis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Roadrunner Holdings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6" w:name="page157"/>
    <w:bookmarkEnd w:id="156"/>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Roadrunner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Tabernacle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Warren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Solar Wauwinet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Solar West Shaft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South Trent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South Trent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Spanish Fork Wind Park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Utah</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Asset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SPP Fund II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Fund 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SPP Fund II-B,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Fund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SPP Lease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SPP P-IV Master Lessee,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Canyon Energy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Spring Canyon Energy III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Canyon Expansion Class B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Spring Canyon Expansion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Canyon Expansion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Spring Canyon Interconnection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Spring Street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Stafford St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Stafford St Solar 2,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Stafford St Solar 3,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Statoil Energy Power/Pennsylvania, Inc.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Pennsylvania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Steel Bridge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Sun City Project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Sunrise View Wind Farm,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Sunset View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Sutton Wind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 - High Desert,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Taloga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Oklahoma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Tapestry Wind,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Thermal Canada Equities 1 Inc.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British Columbia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Thermal Canada Infrastructure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Thermal Canada Infrastructure 1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Thermal Infrastructure Development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Thermal Infrastructure Development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Topeka Solar 1,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TOS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TOS Solar 2, LLC</w:t>
            </w:r>
          </w:p>
        </w:tc>
        <w:tc>
          <w:tcPr>
            <w:tcW w:w="360" w:type="dxa"/>
            <w:vAlign w:val="bottom"/>
            <w:tcBorders>
              <w:bottom w:val="single" w:sz="8" w:color="CCEEFF"/>
              <w:right w:val="single" w:sz="8" w:color="auto"/>
            </w:tcBorders>
            <w:shd w:val="clear" w:color="auto" w:fill="CCEEFF"/>
          </w:tcPr>
          <w:p>
            <w:pPr>
              <w:spacing w:after="0"/>
              <w:rPr>
                <w:sz w:val="22"/>
                <w:szCs w:val="22"/>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0"/>
        </w:trPr>
        <w:tc>
          <w:tcPr>
            <w:tcW w:w="7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7" w:name="page158"/>
    <w:bookmarkEnd w:id="157"/>
    <w:p>
      <w:pPr>
        <w:ind w:left="10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SUBSIDIARIES OF CLEARWAY ENERGY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280" w:type="dxa"/>
            <w:vAlign w:val="bottom"/>
            <w:tcBorders>
              <w:top w:val="single" w:sz="8" w:color="969696"/>
              <w:left w:val="single" w:sz="8" w:color="auto"/>
              <w:bottom w:val="single" w:sz="8" w:color="ACACAC"/>
              <w:right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60" w:type="dxa"/>
            <w:vAlign w:val="bottom"/>
            <w:tcBorders>
              <w:top w:val="single" w:sz="8" w:color="969696"/>
              <w:bottom w:val="single" w:sz="8" w:color="ACACAC"/>
              <w:right w:val="single" w:sz="8" w:color="auto"/>
            </w:tcBorders>
            <w:shd w:val="clear" w:color="auto" w:fill="ACACAC"/>
          </w:tcPr>
          <w:p>
            <w:pPr>
              <w:spacing w:after="0"/>
              <w:rPr>
                <w:sz w:val="24"/>
                <w:szCs w:val="24"/>
                <w:color w:val="auto"/>
              </w:rPr>
            </w:pPr>
          </w:p>
        </w:tc>
        <w:tc>
          <w:tcPr>
            <w:tcW w:w="3720" w:type="dxa"/>
            <w:vAlign w:val="bottom"/>
            <w:tcBorders>
              <w:top w:val="single" w:sz="8" w:color="969696"/>
              <w:bottom w:val="single" w:sz="8" w:color="ACACAC"/>
              <w:right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TOS Solar 4,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TOS Solar 5,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Tully Farms Solar 1,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UB Fuel Cell,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Connecticut</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Underhill Solar,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Utah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Viento Funding II,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Viento Funding,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Virgin Lake Wind Farm,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Wabasha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Walnut Creek Energy,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Walnut Creek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Waterford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WCEP Holdings,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Webster Holdco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Wildcat Energy,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Wildorado Interconnect,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Wildorado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Wind Family Turbine,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Wind TE Holdco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7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WSD Solar Holdings, LLC</w:t>
            </w:r>
          </w:p>
        </w:tc>
        <w:tc>
          <w:tcPr>
            <w:tcW w:w="360" w:type="dxa"/>
            <w:vAlign w:val="bottom"/>
            <w:tcBorders>
              <w:bottom w:val="single" w:sz="8" w:color="CCEEFF"/>
              <w:right w:val="single" w:sz="8" w:color="auto"/>
            </w:tcBorders>
            <w:shd w:val="clear" w:color="auto" w:fill="CCEEFF"/>
          </w:tcPr>
          <w:p>
            <w:pPr>
              <w:spacing w:after="0"/>
              <w:rPr>
                <w:sz w:val="24"/>
                <w:szCs w:val="24"/>
                <w:color w:val="auto"/>
              </w:rPr>
            </w:pPr>
          </w:p>
        </w:tc>
        <w:tc>
          <w:tcPr>
            <w:tcW w:w="3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7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Zontos Wind, LLC</w:t>
            </w:r>
          </w:p>
        </w:tc>
        <w:tc>
          <w:tcPr>
            <w:tcW w:w="36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Iowa</w:t>
            </w:r>
          </w:p>
        </w:tc>
      </w:tr>
      <w:tr>
        <w:trPr>
          <w:trHeight w:val="21"/>
        </w:trPr>
        <w:tc>
          <w:tcPr>
            <w:tcW w:w="7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360"/>
          </w:cols>
          <w:pgMar w:left="320" w:top="158" w:right="219" w:bottom="1440" w:gutter="0" w:footer="0" w:header="0"/>
        </w:sectPr>
      </w:pPr>
    </w:p>
    <w:bookmarkStart w:id="158" w:name="page159"/>
    <w:bookmarkEnd w:id="158"/>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34290</wp:posOffset>
            </wp:positionV>
            <wp:extent cx="28213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ectPr>
          <w:pgSz w:w="11900" w:h="16838" w:orient="portrait"/>
          <w:cols w:equalWidth="0" w:num="1">
            <w:col w:w="11420"/>
          </w:cols>
          <w:pgMar w:left="240" w:top="658" w:right="239" w:bottom="1440" w:gutter="0" w:footer="0" w:header="0"/>
        </w:sectPr>
      </w:pPr>
    </w:p>
    <w:bookmarkStart w:id="159" w:name="page160"/>
    <w:bookmarkEnd w:id="159"/>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34290</wp:posOffset>
            </wp:positionV>
            <wp:extent cx="16205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Chad Plotkin</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ectPr>
          <w:pgSz w:w="11900" w:h="16838" w:orient="portrait"/>
          <w:cols w:equalWidth="0" w:num="1">
            <w:col w:w="11420"/>
          </w:cols>
          <w:pgMar w:left="240" w:top="657" w:right="239" w:bottom="1440" w:gutter="0" w:footer="0" w:header="0"/>
        </w:sectPr>
      </w:pPr>
    </w:p>
    <w:bookmarkStart w:id="160" w:name="page161"/>
    <w:bookmarkEnd w:id="160"/>
    <w:p>
      <w:pPr>
        <w:ind w:left="1028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34290</wp:posOffset>
            </wp:positionV>
            <wp:extent cx="1844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ectPr>
          <w:pgSz w:w="11900" w:h="16838" w:orient="portrait"/>
          <w:cols w:equalWidth="0" w:num="1">
            <w:col w:w="11420"/>
          </w:cols>
          <w:pgMar w:left="240" w:top="577"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Clearway Energy LLC on Form 10-K for the year ended December 31, 2018,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Plotkin</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10-K or as a separate disclosure document.</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x"/>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1)"/>
      <w:numFmt w:val="lowerLetter"/>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1)"/>
      <w:numFmt w:val="lowerLetter"/>
      <w:start w:val="1"/>
    </w:lvl>
  </w:abstractNum>
  <w:abstractNum w:abstractNumId="9">
    <w:nsid w:val="749ABB43"/>
    <w:multiLevelType w:val="hybridMultilevel"/>
    <w:lvl w:ilvl="0">
      <w:lvlJc w:val="left"/>
      <w:lvlText w:val="\emdash "/>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lowerLetter"/>
      <w:start w:val="2"/>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Roman"/>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1"/>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1"/>
    </w:lvl>
    <w:lvl w:ilvl="1">
      <w:lvlJc w:val="left"/>
      <w:lvlText w:val="(%2)"/>
      <w:numFmt w:val="lowerLetter"/>
      <w:start w:val="1"/>
    </w:lvl>
  </w:abstractNum>
  <w:abstractNum w:abstractNumId="48">
    <w:nsid w:val="15014ACB"/>
    <w:multiLevelType w:val="hybridMultilevel"/>
    <w:lvl w:ilvl="0">
      <w:lvlJc w:val="left"/>
      <w:lvlText w:val="(%1)"/>
      <w:numFmt w:val="lowerLetter"/>
      <w:start w:val="2"/>
    </w:lvl>
    <w:lvl w:ilvl="1">
      <w:lvlJc w:val="left"/>
      <w:lvlText w:val="%2"/>
      <w:numFmt w:val="lowerLetter"/>
      <w:start w:val="1"/>
    </w:lvl>
  </w:abstractNum>
  <w:abstractNum w:abstractNumId="49">
    <w:nsid w:val="5F5E7FD0"/>
    <w:multiLevelType w:val="hybridMultilevel"/>
    <w:lvl w:ilvl="0">
      <w:lvlJc w:val="left"/>
      <w:lvlText w:val="%1"/>
      <w:numFmt w:val="lowerLetter"/>
      <w:start w:val="1"/>
    </w:lvl>
    <w:lvl w:ilvl="1">
      <w:lvlJc w:val="left"/>
      <w:lvlText w:val="(%2)"/>
      <w:numFmt w:val="lowerLetter"/>
      <w:start w:val="1"/>
    </w:lvl>
  </w:abstractNum>
  <w:abstractNum w:abstractNumId="50">
    <w:nsid w:val="98A3148"/>
    <w:multiLevelType w:val="hybridMultilevel"/>
    <w:lvl w:ilvl="0">
      <w:lvlJc w:val="left"/>
      <w:lvlText w:val="(%1)"/>
      <w:numFmt w:val="lowerLetter"/>
      <w:start w:val="2"/>
    </w:lvl>
    <w:lvl w:ilvl="1">
      <w:lvlJc w:val="left"/>
      <w:lvlText w:val="%2"/>
      <w:numFmt w:val="lowerLetter"/>
      <w:start w:val="1"/>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lvl w:ilvl="1">
      <w:lvlJc w:val="left"/>
      <w:lvlText w:val="(%2)"/>
      <w:numFmt w:val="lowerLetter"/>
      <w:start w:val="1"/>
    </w:lvl>
  </w:abstractNum>
  <w:abstractNum w:abstractNumId="55">
    <w:nsid w:val="1EBA5D23"/>
    <w:multiLevelType w:val="hybridMultilevel"/>
    <w:lvl w:ilvl="0">
      <w:lvlJc w:val="left"/>
      <w:lvlText w:val="(%1)"/>
      <w:numFmt w:val="lowerLetter"/>
      <w:start w:val="2"/>
    </w:lvl>
    <w:lvl w:ilvl="1">
      <w:lvlJc w:val="left"/>
      <w:lvlText w:val="%2"/>
      <w:numFmt w:val="lowerLetter"/>
      <w:start w:val="1"/>
    </w:lvl>
  </w:abstractNum>
  <w:abstractNum w:abstractNumId="56">
    <w:nsid w:val="661E3F1E"/>
    <w:multiLevelType w:val="hybridMultilevel"/>
    <w:lvl w:ilvl="0">
      <w:lvlJc w:val="left"/>
      <w:lvlText w:val="%1"/>
      <w:numFmt w:val="lowerLetter"/>
      <w:start w:val="1"/>
    </w:lvl>
    <w:lvl w:ilvl="1">
      <w:lvlJc w:val="left"/>
      <w:lvlText w:val="(%2)"/>
      <w:numFmt w:val="lowerLetter"/>
      <w:start w:val="1"/>
    </w:lvl>
  </w:abstractNum>
  <w:abstractNum w:abstractNumId="57">
    <w:nsid w:val="5DC79EA8"/>
    <w:multiLevelType w:val="hybridMultilevel"/>
    <w:lvl w:ilvl="0">
      <w:lvlJc w:val="left"/>
      <w:lvlText w:val="(%1)"/>
      <w:numFmt w:val="lowerLetter"/>
      <w:start w:val="2"/>
    </w:lvl>
    <w:lvl w:ilvl="1">
      <w:lvlJc w:val="left"/>
      <w:lvlText w:val="%2"/>
      <w:numFmt w:val="lowerLetter"/>
      <w:start w:val="1"/>
    </w:lvl>
  </w:abstractNum>
  <w:abstractNum w:abstractNumId="58">
    <w:nsid w:val="540A471C"/>
    <w:multiLevelType w:val="hybridMultilevel"/>
    <w:lvl w:ilvl="0">
      <w:lvlJc w:val="left"/>
      <w:lvlText w:val="%1"/>
      <w:numFmt w:val="lowerLetter"/>
      <w:start w:val="1"/>
    </w:lvl>
    <w:lvl w:ilvl="1">
      <w:lvlJc w:val="left"/>
      <w:lvlText w:val="(%2)"/>
      <w:numFmt w:val="lowerLetter"/>
      <w:start w:val="1"/>
    </w:lvl>
  </w:abstractNum>
  <w:abstractNum w:abstractNumId="59">
    <w:nsid w:val="7BD3EE7B"/>
    <w:multiLevelType w:val="hybridMultilevel"/>
    <w:lvl w:ilvl="0">
      <w:lvlJc w:val="left"/>
      <w:lvlText w:val="(%1)"/>
      <w:numFmt w:val="lowerLetter"/>
      <w:start w:val="2"/>
    </w:lvl>
    <w:lvl w:ilvl="1">
      <w:lvlJc w:val="left"/>
      <w:lvlText w:val="%2"/>
      <w:numFmt w:val="lowerLetter"/>
      <w:start w:val="1"/>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lvl w:ilvl="1">
      <w:lvlJc w:val="left"/>
      <w:lvlText w:val="(%2)"/>
      <w:numFmt w:val="lowerLetter"/>
      <w:start w:val="1"/>
    </w:lvl>
  </w:abstractNum>
  <w:abstractNum w:abstractNumId="62">
    <w:nsid w:val="BF72B14"/>
    <w:multiLevelType w:val="hybridMultilevel"/>
    <w:lvl w:ilvl="0">
      <w:lvlJc w:val="left"/>
      <w:lvlText w:val="(%1)"/>
      <w:numFmt w:val="lowerLetter"/>
      <w:start w:val="2"/>
    </w:lvl>
    <w:lvl w:ilvl="1">
      <w:lvlJc w:val="left"/>
      <w:lvlText w:val="%2"/>
      <w:numFmt w:val="lowerLetter"/>
      <w:start w:val="1"/>
    </w:lvl>
  </w:abstractNum>
  <w:abstractNum w:abstractNumId="63">
    <w:nsid w:val="11447B73"/>
    <w:multiLevelType w:val="hybridMultilevel"/>
    <w:lvl w:ilvl="0">
      <w:lvlJc w:val="left"/>
      <w:lvlText w:val="%1"/>
      <w:numFmt w:val="lowerLetter"/>
      <w:start w:val="1"/>
    </w:lvl>
    <w:lvl w:ilvl="1">
      <w:lvlJc w:val="left"/>
      <w:lvlText w:val="(%2)"/>
      <w:numFmt w:val="lowerLetter"/>
      <w:start w:val="1"/>
    </w:lvl>
  </w:abstractNum>
  <w:abstractNum w:abstractNumId="64">
    <w:nsid w:val="42963E5A"/>
    <w:multiLevelType w:val="hybridMultilevel"/>
    <w:lvl w:ilvl="0">
      <w:lvlJc w:val="left"/>
      <w:lvlText w:val="(%1)"/>
      <w:numFmt w:val="lowerLetter"/>
      <w:start w:val="2"/>
    </w:lvl>
    <w:lvl w:ilvl="1">
      <w:lvlJc w:val="left"/>
      <w:lvlText w:val="%2"/>
      <w:numFmt w:val="lowerLetter"/>
      <w:start w:val="1"/>
    </w:lvl>
  </w:abstractNum>
  <w:abstractNum w:abstractNumId="65">
    <w:nsid w:val="A0382C5"/>
    <w:multiLevelType w:val="hybridMultilevel"/>
    <w:lvl w:ilvl="0">
      <w:lvlJc w:val="left"/>
      <w:lvlText w:val="%1"/>
      <w:numFmt w:val="lowerLetter"/>
      <w:start w:val="1"/>
    </w:lvl>
    <w:lvl w:ilvl="1">
      <w:lvlJc w:val="left"/>
      <w:lvlText w:val="(%2)"/>
      <w:numFmt w:val="lowerLetter"/>
      <w:start w:val="1"/>
    </w:lvl>
  </w:abstractNum>
  <w:abstractNum w:abstractNumId="66">
    <w:nsid w:val="8F2B15E"/>
    <w:multiLevelType w:val="hybridMultilevel"/>
    <w:lvl w:ilvl="0">
      <w:lvlJc w:val="left"/>
      <w:lvlText w:val="(%1)"/>
      <w:numFmt w:val="lowerLetter"/>
      <w:start w:val="2"/>
    </w:lvl>
    <w:lvl w:ilvl="1">
      <w:lvlJc w:val="left"/>
      <w:lvlText w:val="%2"/>
      <w:numFmt w:val="lowerLetter"/>
      <w:start w:val="1"/>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decimal"/>
      <w:start w:val="32"/>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2"/>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upperLetter"/>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5"/>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png"/><Relationship Id="rId114" Type="http://schemas.openxmlformats.org/officeDocument/2006/relationships/image" Target="media/image53.png"/><Relationship Id="rId115" Type="http://schemas.openxmlformats.org/officeDocument/2006/relationships/image" Target="media/image54.png"/><Relationship Id="rId116" Type="http://schemas.openxmlformats.org/officeDocument/2006/relationships/image" Target="media/image55.png"/><Relationship Id="rId117" Type="http://schemas.openxmlformats.org/officeDocument/2006/relationships/image" Target="media/image56.png"/><Relationship Id="rId55" Type="http://schemas.openxmlformats.org/officeDocument/2006/relationships/hyperlink" Target="http://www.sec.gov/Archives/edgar/data/1567683/000110465914037090/a14-12466_1ex2d1.htm" TargetMode="External"/><Relationship Id="rId56" Type="http://schemas.openxmlformats.org/officeDocument/2006/relationships/hyperlink" Target="http://www.sec.gov/Archives/edgar/data/1567683/000110465914037090/a14-12466_1ex2d2.htm" TargetMode="External"/><Relationship Id="rId57" Type="http://schemas.openxmlformats.org/officeDocument/2006/relationships/hyperlink" Target="http://www.sec.gov/Archives/edgar/data/1567683/000110465914037090/a14-12466_1ex2d3.htm" TargetMode="External"/><Relationship Id="rId58" Type="http://schemas.openxmlformats.org/officeDocument/2006/relationships/hyperlink" Target="http://www.sec.gov/Archives/edgar/data/1567683/000110465914044820/a14-14976_1ex10d1.htm" TargetMode="External"/><Relationship Id="rId59" Type="http://schemas.openxmlformats.org/officeDocument/2006/relationships/hyperlink" Target="http://www.sec.gov/Archives/edgar/data/1567683/000156768314000020/exhibit21.htm" TargetMode="External"/><Relationship Id="rId60" Type="http://schemas.openxmlformats.org/officeDocument/2006/relationships/hyperlink" Target="http://www.sec.gov/Archives/edgar/data/1567683/000156768314000020/exhibit22.htm" TargetMode="External"/><Relationship Id="rId61" Type="http://schemas.openxmlformats.org/officeDocument/2006/relationships/hyperlink" Target="http://www.sec.gov/Archives/edgar/data/1567683/000156768315000022/yieldincex212015q2dspsaexh.htm" TargetMode="External"/><Relationship Id="rId62" Type="http://schemas.openxmlformats.org/officeDocument/2006/relationships/hyperlink" Target="http://www.sec.gov/Archives/edgar/data/1567683/000110465915066291/a15-19906_1ex2d1.htm" TargetMode="External"/><Relationship Id="rId63" Type="http://schemas.openxmlformats.org/officeDocument/2006/relationships/hyperlink" Target="http://www.sec.gov/Archives/edgar/data/1567683/000110465916138087/a16-16348_1ex2d1.htm" TargetMode="External"/><Relationship Id="rId64" Type="http://schemas.openxmlformats.org/officeDocument/2006/relationships/hyperlink" Target="http://www.sec.gov/Archives/edgar/data/1567683/000156768318000008/yieldincex210201710-k.htm" TargetMode="External"/><Relationship Id="rId65" Type="http://schemas.openxmlformats.org/officeDocument/2006/relationships/hyperlink" Target="http://www.sec.gov/Archives/edgar/data/1637708/000104746915003411/a2224163zex-3_01a.htm" TargetMode="External"/><Relationship Id="rId66" Type="http://schemas.openxmlformats.org/officeDocument/2006/relationships/hyperlink" Target="http://www.sec.gov/Archives/edgar/data/1637708/000104746915003411/a2224163zex-3_01b.htm" TargetMode="External"/><Relationship Id="rId67" Type="http://schemas.openxmlformats.org/officeDocument/2006/relationships/hyperlink" Target="http://www.sec.gov/Archives/edgar/data/1637708/000104746915003411/a2224163zex-3_03a.htm" TargetMode="External"/><Relationship Id="rId68" Type="http://schemas.openxmlformats.org/officeDocument/2006/relationships/hyperlink" Target="http://www.sec.gov/Archives/edgar/data/1637708/000104746915003411/a2224163zex-3_03b.htm" TargetMode="External"/><Relationship Id="rId69" Type="http://schemas.openxmlformats.org/officeDocument/2006/relationships/hyperlink" Target="http://www.sec.gov/Archives/edgar/data/1567683/000110465918055334/a18-24111_1ex10d6.htm" TargetMode="External"/><Relationship Id="rId70" Type="http://schemas.openxmlformats.org/officeDocument/2006/relationships/hyperlink" Target="http://www.sec.gov/Archives/edgar/data/1567683/000110465914056777/a14-18411_1ex4d1.htm" TargetMode="External"/><Relationship Id="rId71" Type="http://schemas.openxmlformats.org/officeDocument/2006/relationships/hyperlink" Target="http://www.sec.gov/Archives/edgar/data/1637757/000110465918060027/a18-36222_2ex4d3.htm#Exhibit4_3_105106" TargetMode="External"/><Relationship Id="rId72" Type="http://schemas.openxmlformats.org/officeDocument/2006/relationships/hyperlink" Target="http://www.sec.gov/Archives/edgar/data/1567683/000110465914080390/a14-24401_1ex4d1.htm" TargetMode="External"/><Relationship Id="rId73" Type="http://schemas.openxmlformats.org/officeDocument/2006/relationships/hyperlink" Target="http://www.sec.gov/Archives/edgar/data/1567683/000110465915015282/a15-5420_1ex4d1.htm" TargetMode="External"/><Relationship Id="rId74" Type="http://schemas.openxmlformats.org/officeDocument/2006/relationships/hyperlink" Target="http://www.sec.gov/Archives/edgar/data/1637708/000104746915003411/a2224163zex-4_07.htm" TargetMode="External"/><Relationship Id="rId75" Type="http://schemas.openxmlformats.org/officeDocument/2006/relationships/hyperlink" Target="http://www.sec.gov/Archives/edgar/data/1567683/000110465915036232/a15-11016_2ex4d1.htm" TargetMode="External"/><Relationship Id="rId76" Type="http://schemas.openxmlformats.org/officeDocument/2006/relationships/hyperlink" Target="http://www.sec.gov/Archives/edgar/data/1567683/000110465915048473/a15-14936_1ex4d1.htm" TargetMode="External"/><Relationship Id="rId77" Type="http://schemas.openxmlformats.org/officeDocument/2006/relationships/hyperlink" Target="http://www.sec.gov/Archives/edgar/data/1637757/000110465916140474/a16-16967_2ex4d1.htm" TargetMode="External"/><Relationship Id="rId78" Type="http://schemas.openxmlformats.org/officeDocument/2006/relationships/hyperlink" Target="http://www.sec.gov/Archives/edgar/data/1637757/000110465916140474/a16-16967_2ex4d3.htm" TargetMode="External"/><Relationship Id="rId79" Type="http://schemas.openxmlformats.org/officeDocument/2006/relationships/hyperlink" Target="http://www.sec.gov/Archives/edgar/data/1637757/000110465918005466/a18-5088_1ex4d1.htm#Exhibit4_1_091658" TargetMode="External"/><Relationship Id="rId80" Type="http://schemas.openxmlformats.org/officeDocument/2006/relationships/hyperlink" Target="http://www.sec.gov/Archives/edgar/data/1637757/000110465918039603/a18-15263_1ex4d1.htm" TargetMode="External"/><Relationship Id="rId81" Type="http://schemas.openxmlformats.org/officeDocument/2006/relationships/hyperlink" Target="http://www.sec.gov/Archives/edgar/data/1637757/000110465918005466/a18-5088_1ex4d2.htm#Exhibit4_2_091723" TargetMode="External"/><Relationship Id="rId82" Type="http://schemas.openxmlformats.org/officeDocument/2006/relationships/hyperlink" Target="http://www.sec.gov/Archives/edgar/data/1637757/000110465918039603/a18-15263_1ex4d2.htm" TargetMode="External"/><Relationship Id="rId83" Type="http://schemas.openxmlformats.org/officeDocument/2006/relationships/hyperlink" Target="http://www.sec.gov/Archives/edgar/data/1637757/000163775718000016/yieldincex442018q2.htm" TargetMode="External"/><Relationship Id="rId84" Type="http://schemas.openxmlformats.org/officeDocument/2006/relationships/hyperlink" Target="http://www.sec.gov/Archives/edgar/data/1567683/000110465918055585/a18-27020_1ex4d1.htm#Exhibit4_1_065610" TargetMode="External"/><Relationship Id="rId85" Type="http://schemas.openxmlformats.org/officeDocument/2006/relationships/hyperlink" Target="http://www.sec.gov/Archives/edgar/data/1567683/000110465918055585/a18-27020_1ex4d2.htm#Exhibit4_2_070017" TargetMode="External"/><Relationship Id="rId86" Type="http://schemas.openxmlformats.org/officeDocument/2006/relationships/hyperlink" Target="http://www.sec.gov/Archives/edgar/data/1637757/000110465918060027/a18-36222_2ex4d1.htm" TargetMode="External"/><Relationship Id="rId87" Type="http://schemas.openxmlformats.org/officeDocument/2006/relationships/hyperlink" Target="http://www.sec.gov/Archives/edgar/data/1637757/000110465918065129/a18-38187_1ex4d1.htm" TargetMode="External"/><Relationship Id="rId88" Type="http://schemas.openxmlformats.org/officeDocument/2006/relationships/hyperlink" Target="http://www.sec.gov/Archives/edgar/data/1637757/000110465918065129/a18-38187_1ex4d2.htm#Exhibit4_2_085140" TargetMode="External"/><Relationship Id="rId89" Type="http://schemas.openxmlformats.org/officeDocument/2006/relationships/hyperlink" Target="http://www.sec.gov/Archives/edgar/data/1637757/000110465918065129/a18-38187_1ex4d3.htm" TargetMode="External"/><Relationship Id="rId90" Type="http://schemas.openxmlformats.org/officeDocument/2006/relationships/hyperlink" Target="http://www.sec.gov/Archives/edgar/data/1567683/000110465918055334/a18-24111_1ex10d5.htm#EXHIBIT10_5_051412" TargetMode="External"/><Relationship Id="rId91" Type="http://schemas.openxmlformats.org/officeDocument/2006/relationships/hyperlink" Target="http://www.sec.gov/Archives/edgar/data/1567683/000110465918055334/a18-24111_1ex10d3.htm#Exhibit10_3_095433" TargetMode="External"/><Relationship Id="rId92" Type="http://schemas.openxmlformats.org/officeDocument/2006/relationships/hyperlink" Target="http://www.sec.gov/Archives/edgar/data/1567683/000110465919008742/a19-4739_1ex10d1.htm#Exhibit99_1_092711" TargetMode="External"/><Relationship Id="rId93" Type="http://schemas.openxmlformats.org/officeDocument/2006/relationships/hyperlink" Target="http://www.sec.gov/Archives/edgar/data/1567683/000110465918055334/a18-24111_1ex10d1.htm#Exhibit10_1_072506" TargetMode="External"/><Relationship Id="rId94" Type="http://schemas.openxmlformats.org/officeDocument/2006/relationships/hyperlink" Target="http://www.sec.gov/Archives/edgar/data/1567683/000110465918055334/a18-24111_1ex10d2.htm" TargetMode="External"/><Relationship Id="rId95" Type="http://schemas.openxmlformats.org/officeDocument/2006/relationships/hyperlink" Target="http://www.sec.gov/Archives/edgar/data/1567683/000110465918055334/a18-24111_1ex10d9.htm#EXHIBIT10_9_053225" TargetMode="External"/><Relationship Id="rId96" Type="http://schemas.openxmlformats.org/officeDocument/2006/relationships/hyperlink" Target="http://www.sec.gov/Archives/edgar/data/1567683/000110465914031308/a14-11252_1ex10d1.htm" TargetMode="External"/><Relationship Id="rId97" Type="http://schemas.openxmlformats.org/officeDocument/2006/relationships/hyperlink" Target="http://www.sec.gov/Archives/edgar/data/1567683/000156768315000022/yieldincex1092015q2opllcam.htm" TargetMode="External"/><Relationship Id="rId98" Type="http://schemas.openxmlformats.org/officeDocument/2006/relationships/hyperlink" Target="http://www.sec.gov/Archives/edgar/data/1637757/000110465918008197/a18-5571_1ex10d1.htm#Exhibit10_1_093100" TargetMode="External"/><Relationship Id="rId99" Type="http://schemas.openxmlformats.org/officeDocument/2006/relationships/hyperlink" Target="http://www.sec.gov/Archives/edgar/data/1637757/000163775718000013/a101llc.htm" TargetMode="External"/><Relationship Id="rId100" Type="http://schemas.openxmlformats.org/officeDocument/2006/relationships/hyperlink" Target="http://www.sec.gov/Archives/edgar/data/1637757/000110465918071713/a18-41172_1ex10d1.htm" TargetMode="External"/><Relationship Id="rId101" Type="http://schemas.openxmlformats.org/officeDocument/2006/relationships/hyperlink" Target="http://www.sec.gov/Archives/edgar/data/1567683/000156768315000022/yieldincex1012015q2rpv.htm" TargetMode="External"/><Relationship Id="rId102" Type="http://schemas.openxmlformats.org/officeDocument/2006/relationships/hyperlink" Target="http://www.sec.gov/Archives/edgar/data/1567683/000156768315000022/yieldincex1022015q2dgpv.htm" TargetMode="External"/><Relationship Id="rId103" Type="http://schemas.openxmlformats.org/officeDocument/2006/relationships/hyperlink" Target="http://www.sec.gov/Archives/edgar/data/1567683/000156768316000043/yieldincex1012016q1.htm" TargetMode="External"/><Relationship Id="rId104" Type="http://schemas.openxmlformats.org/officeDocument/2006/relationships/hyperlink" Target="http://www.sec.gov/Archives/edgar/data/1567683/000156768316000043/yieldincex1022016q1.htm" TargetMode="External"/><Relationship Id="rId105" Type="http://schemas.openxmlformats.org/officeDocument/2006/relationships/hyperlink" Target="http://www.sec.gov/Archives/edgar/data/1567683/000156768316000043/yieldincex1032016q1.htm" TargetMode="External"/><Relationship Id="rId106" Type="http://schemas.openxmlformats.org/officeDocument/2006/relationships/hyperlink" Target="http://www.sec.gov/Archives/edgar/data/1567683/000156768316000055/yieldincex1012016q2-rpvame.htm" TargetMode="External"/><Relationship Id="rId107" Type="http://schemas.openxmlformats.org/officeDocument/2006/relationships/hyperlink" Target="http://www.sec.gov/Archives/edgar/data/1567683/000110465916138081/a16-16348_2ex10d1.htm" TargetMode="External"/><Relationship Id="rId108" Type="http://schemas.openxmlformats.org/officeDocument/2006/relationships/hyperlink" Target="http://www.sec.gov/Archives/edgar/data/1567683/000156768318000008/yieldincex102820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2019-12-28T15:09:11Z</dcterms:created>
  <dcterms:modified xsi:type="dcterms:W3CDTF">2019-12-28T15:09:11Z</dcterms:modified>
</cp:coreProperties>
</file>