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488950</wp:posOffset>
            </wp:positionH>
            <wp:positionV relativeFrom="page">
              <wp:posOffset>506730</wp:posOffset>
            </wp:positionV>
            <wp:extent cx="6583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045" cy="5715"/>
                    </a:xfrm>
                    <a:prstGeom prst="rect">
                      <a:avLst/>
                    </a:prstGeom>
                    <a:noFill/>
                  </pic:spPr>
                </pic:pic>
              </a:graphicData>
            </a:graphic>
          </wp:anchor>
        </w:drawing>
        <w:drawing>
          <wp:anchor simplePos="0" relativeHeight="251657728" behindDoc="1" locked="0" layoutInCell="0" allowOverlap="1">
            <wp:simplePos x="0" y="0"/>
            <wp:positionH relativeFrom="page">
              <wp:posOffset>488950</wp:posOffset>
            </wp:positionH>
            <wp:positionV relativeFrom="page">
              <wp:posOffset>437515</wp:posOffset>
            </wp:positionV>
            <wp:extent cx="6583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045" cy="1714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1"/>
          <w:szCs w:val="11"/>
          <w:b w:val="1"/>
          <w:bCs w:val="1"/>
          <w:color w:val="auto"/>
        </w:rPr>
        <w:t>Washington, D.C. 20549</w:t>
      </w:r>
    </w:p>
    <w:p>
      <w:pPr>
        <w:jc w:val="center"/>
        <w:ind w:right="-159"/>
        <w:spacing w:after="0"/>
        <w:rPr>
          <w:sz w:val="20"/>
          <w:szCs w:val="20"/>
          <w:color w:val="auto"/>
        </w:rPr>
      </w:pPr>
      <w:r>
        <w:rPr>
          <w:rFonts w:ascii="Arial" w:cs="Arial" w:eastAsia="Arial" w:hAnsi="Arial"/>
          <w:sz w:val="19"/>
          <w:szCs w:val="19"/>
          <w:b w:val="1"/>
          <w:bCs w:val="1"/>
          <w:color w:val="auto"/>
        </w:rPr>
        <w:t>Form 10-K</w:t>
      </w:r>
    </w:p>
    <w:p>
      <w:pPr>
        <w:spacing w:after="0" w:line="102" w:lineRule="exact"/>
        <w:rPr>
          <w:sz w:val="24"/>
          <w:szCs w:val="24"/>
          <w:color w:val="auto"/>
        </w:rPr>
      </w:pPr>
    </w:p>
    <w:p>
      <w:pPr>
        <w:ind w:left="440" w:right="5180" w:hanging="316"/>
        <w:spacing w:after="0" w:line="283"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2018.</w:t>
      </w:r>
    </w:p>
    <w:p>
      <w:pPr>
        <w:spacing w:after="0" w:line="84" w:lineRule="exact"/>
        <w:rPr>
          <w:sz w:val="24"/>
          <w:szCs w:val="24"/>
          <w:color w:val="auto"/>
        </w:rPr>
      </w:pPr>
    </w:p>
    <w:p>
      <w:pPr>
        <w:ind w:left="440" w:hanging="316"/>
        <w:spacing w:after="0"/>
        <w:tabs>
          <w:tab w:leader="none" w:pos="440" w:val="left"/>
        </w:tabs>
        <w:numPr>
          <w:ilvl w:val="0"/>
          <w:numId w:val="2"/>
        </w:numPr>
        <w:rPr>
          <w:rFonts w:ascii="Arial" w:cs="Arial" w:eastAsia="Arial" w:hAnsi="Arial"/>
          <w:sz w:val="12"/>
          <w:szCs w:val="12"/>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9" w:lineRule="exact"/>
        <w:rPr>
          <w:sz w:val="24"/>
          <w:szCs w:val="24"/>
          <w:color w:val="auto"/>
        </w:rPr>
      </w:pPr>
    </w:p>
    <w:tbl>
      <w:tblPr>
        <w:tblLayout w:type="fixed"/>
        <w:tblInd w:w="160" w:type="dxa"/>
        <w:tblCellMar>
          <w:top w:w="0" w:type="dxa"/>
          <w:left w:w="0" w:type="dxa"/>
          <w:bottom w:w="0" w:type="dxa"/>
          <w:right w:w="0" w:type="dxa"/>
        </w:tblCellMar>
      </w:tblPr>
      <w:tr>
        <w:trPr>
          <w:trHeight w:val="140"/>
        </w:trPr>
        <w:tc>
          <w:tcPr>
            <w:tcW w:w="1840" w:type="dxa"/>
            <w:vAlign w:val="bottom"/>
          </w:tcPr>
          <w:p>
            <w:pPr>
              <w:ind w:left="280"/>
              <w:spacing w:after="0"/>
              <w:rPr>
                <w:sz w:val="20"/>
                <w:szCs w:val="20"/>
                <w:color w:val="auto"/>
              </w:rPr>
            </w:pPr>
            <w:r>
              <w:rPr>
                <w:rFonts w:ascii="Arial" w:cs="Arial" w:eastAsia="Arial" w:hAnsi="Arial"/>
                <w:sz w:val="11"/>
                <w:szCs w:val="11"/>
                <w:b w:val="1"/>
                <w:bCs w:val="1"/>
                <w:color w:val="auto"/>
                <w:w w:val="97"/>
              </w:rPr>
              <w:t>For the Transition period from</w:t>
            </w:r>
          </w:p>
        </w:tc>
        <w:tc>
          <w:tcPr>
            <w:tcW w:w="700" w:type="dxa"/>
            <w:vAlign w:val="bottom"/>
          </w:tcPr>
          <w:p>
            <w:pPr>
              <w:ind w:left="460"/>
              <w:spacing w:after="0"/>
              <w:rPr>
                <w:sz w:val="20"/>
                <w:szCs w:val="20"/>
                <w:color w:val="auto"/>
              </w:rPr>
            </w:pPr>
            <w:r>
              <w:rPr>
                <w:rFonts w:ascii="Arial" w:cs="Arial" w:eastAsia="Arial" w:hAnsi="Arial"/>
                <w:sz w:val="11"/>
                <w:szCs w:val="11"/>
                <w:b w:val="1"/>
                <w:bCs w:val="1"/>
                <w:color w:val="auto"/>
              </w:rPr>
              <w:t>to</w:t>
            </w:r>
          </w:p>
        </w:tc>
        <w:tc>
          <w:tcPr>
            <w:tcW w:w="2740" w:type="dxa"/>
            <w:vAlign w:val="bottom"/>
          </w:tcPr>
          <w:p>
            <w:pPr>
              <w:jc w:val="right"/>
              <w:ind w:right="2177"/>
              <w:spacing w:after="0"/>
              <w:rPr>
                <w:sz w:val="20"/>
                <w:szCs w:val="20"/>
                <w:color w:val="auto"/>
              </w:rPr>
            </w:pPr>
            <w:r>
              <w:rPr>
                <w:rFonts w:ascii="Arial" w:cs="Arial" w:eastAsia="Arial" w:hAnsi="Arial"/>
                <w:sz w:val="11"/>
                <w:szCs w:val="11"/>
                <w:b w:val="1"/>
                <w:bCs w:val="1"/>
                <w:color w:val="auto"/>
              </w:rPr>
              <w:t>.</w:t>
            </w: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00" w:type="dxa"/>
            <w:vAlign w:val="bottom"/>
            <w:gridSpan w:val="2"/>
          </w:tcPr>
          <w:p>
            <w:pPr>
              <w:jc w:val="center"/>
              <w:ind w:right="224"/>
              <w:spacing w:after="0"/>
              <w:rPr>
                <w:sz w:val="20"/>
                <w:szCs w:val="20"/>
                <w:color w:val="auto"/>
              </w:rPr>
            </w:pPr>
            <w:r>
              <w:rPr>
                <w:rFonts w:ascii="Arial" w:cs="Arial" w:eastAsia="Arial" w:hAnsi="Arial"/>
                <w:sz w:val="12"/>
                <w:szCs w:val="12"/>
                <w:b w:val="1"/>
                <w:bCs w:val="1"/>
                <w:color w:val="auto"/>
                <w:w w:val="90"/>
              </w:rPr>
              <w:t>Commission File Number: 001-36002</w:t>
            </w:r>
          </w:p>
        </w:tc>
        <w:tc>
          <w:tcPr>
            <w:tcW w:w="0" w:type="dxa"/>
            <w:vAlign w:val="bottom"/>
          </w:tcPr>
          <w:p>
            <w:pPr>
              <w:spacing w:after="0"/>
              <w:rPr>
                <w:sz w:val="1"/>
                <w:szCs w:val="1"/>
                <w:color w:val="auto"/>
              </w:rPr>
            </w:pPr>
          </w:p>
        </w:tc>
      </w:tr>
      <w:tr>
        <w:trPr>
          <w:trHeight w:val="343"/>
        </w:trPr>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00" w:type="dxa"/>
            <w:vAlign w:val="bottom"/>
            <w:gridSpan w:val="2"/>
          </w:tcPr>
          <w:p>
            <w:pPr>
              <w:jc w:val="center"/>
              <w:ind w:right="204"/>
              <w:spacing w:after="0"/>
              <w:rPr>
                <w:sz w:val="20"/>
                <w:szCs w:val="20"/>
                <w:color w:val="auto"/>
              </w:rPr>
            </w:pPr>
            <w:r>
              <w:rPr>
                <w:rFonts w:ascii="Arial" w:cs="Arial" w:eastAsia="Arial" w:hAnsi="Arial"/>
                <w:sz w:val="26"/>
                <w:szCs w:val="26"/>
                <w:b w:val="1"/>
                <w:bCs w:val="1"/>
                <w:color w:val="auto"/>
                <w:w w:val="93"/>
              </w:rPr>
              <w:t>Clearway Energy, Inc.</w:t>
            </w: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00" w:type="dxa"/>
            <w:vAlign w:val="bottom"/>
            <w:gridSpan w:val="2"/>
          </w:tcPr>
          <w:p>
            <w:pPr>
              <w:jc w:val="center"/>
              <w:ind w:right="224"/>
              <w:spacing w:after="0"/>
              <w:rPr>
                <w:sz w:val="20"/>
                <w:szCs w:val="20"/>
                <w:color w:val="auto"/>
              </w:rPr>
            </w:pPr>
            <w:r>
              <w:rPr>
                <w:rFonts w:ascii="Arial" w:cs="Arial" w:eastAsia="Arial" w:hAnsi="Arial"/>
                <w:sz w:val="12"/>
                <w:szCs w:val="12"/>
                <w:i w:val="1"/>
                <w:iCs w:val="1"/>
                <w:color w:val="auto"/>
                <w:w w:val="91"/>
              </w:rPr>
              <w:t>(Exact name of registrant as specified in its charter)</w:t>
            </w:r>
          </w:p>
        </w:tc>
        <w:tc>
          <w:tcPr>
            <w:tcW w:w="0" w:type="dxa"/>
            <w:vAlign w:val="bottom"/>
          </w:tcPr>
          <w:p>
            <w:pPr>
              <w:spacing w:after="0"/>
              <w:rPr>
                <w:sz w:val="1"/>
                <w:szCs w:val="1"/>
                <w:color w:val="auto"/>
              </w:rPr>
            </w:pPr>
          </w:p>
        </w:tc>
      </w:tr>
      <w:tr>
        <w:trPr>
          <w:trHeight w:val="252"/>
        </w:trPr>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40" w:type="dxa"/>
            <w:vAlign w:val="bottom"/>
          </w:tcPr>
          <w:p>
            <w:pPr>
              <w:jc w:val="center"/>
              <w:ind w:right="1917"/>
              <w:spacing w:after="0"/>
              <w:rPr>
                <w:sz w:val="20"/>
                <w:szCs w:val="20"/>
                <w:color w:val="auto"/>
              </w:rPr>
            </w:pPr>
            <w:r>
              <w:rPr>
                <w:rFonts w:ascii="Arial" w:cs="Arial" w:eastAsia="Arial" w:hAnsi="Arial"/>
                <w:sz w:val="12"/>
                <w:szCs w:val="12"/>
                <w:b w:val="1"/>
                <w:bCs w:val="1"/>
                <w:color w:val="auto"/>
                <w:w w:val="91"/>
              </w:rPr>
              <w:t>Delaware</w:t>
            </w:r>
          </w:p>
        </w:tc>
        <w:tc>
          <w:tcPr>
            <w:tcW w:w="3760" w:type="dxa"/>
            <w:vAlign w:val="bottom"/>
          </w:tcPr>
          <w:p>
            <w:pPr>
              <w:jc w:val="right"/>
              <w:ind w:right="504"/>
              <w:spacing w:after="0"/>
              <w:rPr>
                <w:sz w:val="20"/>
                <w:szCs w:val="20"/>
                <w:color w:val="auto"/>
              </w:rPr>
            </w:pPr>
            <w:r>
              <w:rPr>
                <w:rFonts w:ascii="Arial" w:cs="Arial" w:eastAsia="Arial" w:hAnsi="Arial"/>
                <w:sz w:val="12"/>
                <w:szCs w:val="12"/>
                <w:b w:val="1"/>
                <w:bCs w:val="1"/>
                <w:color w:val="auto"/>
              </w:rPr>
              <w:t>46-1777204</w:t>
            </w:r>
          </w:p>
        </w:tc>
        <w:tc>
          <w:tcPr>
            <w:tcW w:w="0" w:type="dxa"/>
            <w:vAlign w:val="bottom"/>
          </w:tcPr>
          <w:p>
            <w:pPr>
              <w:spacing w:after="0"/>
              <w:rPr>
                <w:sz w:val="1"/>
                <w:szCs w:val="1"/>
                <w:color w:val="auto"/>
              </w:rPr>
            </w:pPr>
          </w:p>
        </w:tc>
      </w:tr>
      <w:tr>
        <w:trPr>
          <w:trHeight w:val="153"/>
        </w:trPr>
        <w:tc>
          <w:tcPr>
            <w:tcW w:w="5280" w:type="dxa"/>
            <w:vAlign w:val="bottom"/>
            <w:gridSpan w:val="3"/>
          </w:tcPr>
          <w:p>
            <w:pPr>
              <w:jc w:val="center"/>
              <w:ind w:left="506"/>
              <w:spacing w:after="0"/>
              <w:rPr>
                <w:sz w:val="20"/>
                <w:szCs w:val="20"/>
                <w:color w:val="auto"/>
              </w:rPr>
            </w:pPr>
            <w:r>
              <w:rPr>
                <w:rFonts w:ascii="Arial" w:cs="Arial" w:eastAsia="Arial" w:hAnsi="Arial"/>
                <w:sz w:val="12"/>
                <w:szCs w:val="12"/>
                <w:i w:val="1"/>
                <w:iCs w:val="1"/>
                <w:color w:val="auto"/>
                <w:w w:val="94"/>
              </w:rPr>
              <w:t>(State or other jurisdiction of incorporation or organization)</w:t>
            </w:r>
          </w:p>
        </w:tc>
        <w:tc>
          <w:tcPr>
            <w:tcW w:w="3760" w:type="dxa"/>
            <w:vAlign w:val="bottom"/>
          </w:tcPr>
          <w:p>
            <w:pPr>
              <w:jc w:val="center"/>
              <w:ind w:left="1984"/>
              <w:spacing w:after="0"/>
              <w:rPr>
                <w:sz w:val="20"/>
                <w:szCs w:val="20"/>
                <w:color w:val="auto"/>
              </w:rPr>
            </w:pPr>
            <w:r>
              <w:rPr>
                <w:rFonts w:ascii="Arial" w:cs="Arial" w:eastAsia="Arial" w:hAnsi="Arial"/>
                <w:sz w:val="12"/>
                <w:szCs w:val="12"/>
                <w:i w:val="1"/>
                <w:iCs w:val="1"/>
                <w:color w:val="auto"/>
                <w:w w:val="93"/>
              </w:rPr>
              <w:t>(I.R.S. Employer Identification No.)</w:t>
            </w:r>
          </w:p>
        </w:tc>
        <w:tc>
          <w:tcPr>
            <w:tcW w:w="0" w:type="dxa"/>
            <w:vAlign w:val="bottom"/>
          </w:tcPr>
          <w:p>
            <w:pPr>
              <w:spacing w:after="0"/>
              <w:rPr>
                <w:sz w:val="1"/>
                <w:szCs w:val="1"/>
                <w:color w:val="auto"/>
              </w:rPr>
            </w:pPr>
          </w:p>
        </w:tc>
      </w:tr>
      <w:tr>
        <w:trPr>
          <w:trHeight w:val="261"/>
        </w:trPr>
        <w:tc>
          <w:tcPr>
            <w:tcW w:w="5280" w:type="dxa"/>
            <w:vAlign w:val="bottom"/>
            <w:gridSpan w:val="3"/>
          </w:tcPr>
          <w:p>
            <w:pPr>
              <w:jc w:val="center"/>
              <w:ind w:left="486"/>
              <w:spacing w:after="0"/>
              <w:rPr>
                <w:sz w:val="20"/>
                <w:szCs w:val="20"/>
                <w:color w:val="auto"/>
              </w:rPr>
            </w:pPr>
            <w:r>
              <w:rPr>
                <w:rFonts w:ascii="Arial" w:cs="Arial" w:eastAsia="Arial" w:hAnsi="Arial"/>
                <w:sz w:val="12"/>
                <w:szCs w:val="12"/>
                <w:b w:val="1"/>
                <w:bCs w:val="1"/>
                <w:color w:val="auto"/>
                <w:w w:val="89"/>
              </w:rPr>
              <w:t>300 Carnegie Center, Suite 300, Princeton, New Jersey</w:t>
            </w:r>
          </w:p>
        </w:tc>
        <w:tc>
          <w:tcPr>
            <w:tcW w:w="3760" w:type="dxa"/>
            <w:vAlign w:val="bottom"/>
          </w:tcPr>
          <w:p>
            <w:pPr>
              <w:jc w:val="right"/>
              <w:ind w:right="644"/>
              <w:spacing w:after="0"/>
              <w:rPr>
                <w:sz w:val="20"/>
                <w:szCs w:val="20"/>
                <w:color w:val="auto"/>
              </w:rPr>
            </w:pPr>
            <w:r>
              <w:rPr>
                <w:rFonts w:ascii="Arial" w:cs="Arial" w:eastAsia="Arial" w:hAnsi="Arial"/>
                <w:sz w:val="12"/>
                <w:szCs w:val="12"/>
                <w:b w:val="1"/>
                <w:bCs w:val="1"/>
                <w:color w:val="auto"/>
              </w:rPr>
              <w:t>08540</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3440" w:type="dxa"/>
            <w:vAlign w:val="bottom"/>
            <w:gridSpan w:val="2"/>
          </w:tcPr>
          <w:p>
            <w:pPr>
              <w:jc w:val="center"/>
              <w:ind w:right="1217"/>
              <w:spacing w:after="0"/>
              <w:rPr>
                <w:sz w:val="20"/>
                <w:szCs w:val="20"/>
                <w:color w:val="auto"/>
              </w:rPr>
            </w:pPr>
            <w:r>
              <w:rPr>
                <w:rFonts w:ascii="Arial" w:cs="Arial" w:eastAsia="Arial" w:hAnsi="Arial"/>
                <w:sz w:val="12"/>
                <w:szCs w:val="12"/>
                <w:i w:val="1"/>
                <w:iCs w:val="1"/>
                <w:color w:val="auto"/>
                <w:w w:val="91"/>
              </w:rPr>
              <w:t>(Address of principal executive offices)</w:t>
            </w:r>
          </w:p>
        </w:tc>
        <w:tc>
          <w:tcPr>
            <w:tcW w:w="3760" w:type="dxa"/>
            <w:vAlign w:val="bottom"/>
          </w:tcPr>
          <w:p>
            <w:pPr>
              <w:jc w:val="center"/>
              <w:ind w:left="1984"/>
              <w:spacing w:after="0"/>
              <w:rPr>
                <w:sz w:val="20"/>
                <w:szCs w:val="20"/>
                <w:color w:val="auto"/>
              </w:rPr>
            </w:pPr>
            <w:r>
              <w:rPr>
                <w:rFonts w:ascii="Arial" w:cs="Arial" w:eastAsia="Arial" w:hAnsi="Arial"/>
                <w:sz w:val="12"/>
                <w:szCs w:val="12"/>
                <w:i w:val="1"/>
                <w:iCs w:val="1"/>
                <w:color w:val="auto"/>
                <w:w w:val="91"/>
              </w:rPr>
              <w:t>(Zip Code)</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760" w:type="dxa"/>
            <w:vAlign w:val="bottom"/>
          </w:tcPr>
          <w:p>
            <w:pPr>
              <w:jc w:val="center"/>
              <w:ind w:right="2944"/>
              <w:spacing w:after="0"/>
              <w:rPr>
                <w:sz w:val="20"/>
                <w:szCs w:val="20"/>
                <w:color w:val="auto"/>
              </w:rPr>
            </w:pPr>
            <w:r>
              <w:rPr>
                <w:rFonts w:ascii="Arial" w:cs="Arial" w:eastAsia="Arial" w:hAnsi="Arial"/>
                <w:sz w:val="12"/>
                <w:szCs w:val="12"/>
                <w:b w:val="1"/>
                <w:bCs w:val="1"/>
                <w:color w:val="auto"/>
                <w:w w:val="92"/>
              </w:rPr>
              <w:t>(609) 608-1525</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00" w:type="dxa"/>
            <w:vAlign w:val="bottom"/>
            <w:gridSpan w:val="2"/>
          </w:tcPr>
          <w:p>
            <w:pPr>
              <w:jc w:val="center"/>
              <w:ind w:right="224"/>
              <w:spacing w:after="0"/>
              <w:rPr>
                <w:sz w:val="20"/>
                <w:szCs w:val="20"/>
                <w:color w:val="auto"/>
              </w:rPr>
            </w:pPr>
            <w:r>
              <w:rPr>
                <w:rFonts w:ascii="Arial" w:cs="Arial" w:eastAsia="Arial" w:hAnsi="Arial"/>
                <w:sz w:val="12"/>
                <w:szCs w:val="12"/>
                <w:i w:val="1"/>
                <w:iCs w:val="1"/>
                <w:color w:val="auto"/>
                <w:w w:val="90"/>
              </w:rPr>
              <w:t>(Registrant’s telephone number, including area code)</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00" w:type="dxa"/>
            <w:vAlign w:val="bottom"/>
            <w:gridSpan w:val="2"/>
          </w:tcPr>
          <w:p>
            <w:pPr>
              <w:jc w:val="center"/>
              <w:ind w:right="204"/>
              <w:spacing w:after="0"/>
              <w:rPr>
                <w:sz w:val="20"/>
                <w:szCs w:val="20"/>
                <w:color w:val="auto"/>
              </w:rPr>
            </w:pPr>
            <w:r>
              <w:rPr>
                <w:rFonts w:ascii="Arial" w:cs="Arial" w:eastAsia="Arial" w:hAnsi="Arial"/>
                <w:sz w:val="11"/>
                <w:szCs w:val="11"/>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40" w:type="dxa"/>
            <w:vAlign w:val="bottom"/>
          </w:tcPr>
          <w:p>
            <w:pPr>
              <w:jc w:val="center"/>
              <w:ind w:right="437"/>
              <w:spacing w:after="0"/>
              <w:rPr>
                <w:sz w:val="20"/>
                <w:szCs w:val="20"/>
                <w:color w:val="auto"/>
              </w:rPr>
            </w:pPr>
            <w:r>
              <w:rPr>
                <w:rFonts w:ascii="Arial" w:cs="Arial" w:eastAsia="Arial" w:hAnsi="Arial"/>
                <w:sz w:val="11"/>
                <w:szCs w:val="11"/>
                <w:b w:val="1"/>
                <w:bCs w:val="1"/>
                <w:color w:val="auto"/>
                <w:w w:val="89"/>
              </w:rPr>
              <w:t>Title of Each Class</w:t>
            </w:r>
          </w:p>
        </w:tc>
        <w:tc>
          <w:tcPr>
            <w:tcW w:w="3760" w:type="dxa"/>
            <w:vAlign w:val="bottom"/>
          </w:tcPr>
          <w:p>
            <w:pPr>
              <w:jc w:val="center"/>
              <w:ind w:left="684"/>
              <w:spacing w:after="0"/>
              <w:rPr>
                <w:sz w:val="20"/>
                <w:szCs w:val="20"/>
                <w:color w:val="auto"/>
              </w:rPr>
            </w:pPr>
            <w:r>
              <w:rPr>
                <w:rFonts w:ascii="Arial" w:cs="Arial" w:eastAsia="Arial" w:hAnsi="Arial"/>
                <w:sz w:val="11"/>
                <w:szCs w:val="11"/>
                <w:b w:val="1"/>
                <w:bCs w:val="1"/>
                <w:color w:val="auto"/>
                <w:w w:val="88"/>
              </w:rPr>
              <w:t>Name of Exchange on Which Registered</w:t>
            </w: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40" w:type="dxa"/>
            <w:vAlign w:val="bottom"/>
          </w:tcPr>
          <w:p>
            <w:pPr>
              <w:jc w:val="center"/>
              <w:ind w:right="437"/>
              <w:spacing w:after="0"/>
              <w:rPr>
                <w:sz w:val="20"/>
                <w:szCs w:val="20"/>
                <w:color w:val="auto"/>
              </w:rPr>
            </w:pPr>
            <w:r>
              <w:rPr>
                <w:rFonts w:ascii="Arial" w:cs="Arial" w:eastAsia="Arial" w:hAnsi="Arial"/>
                <w:sz w:val="11"/>
                <w:szCs w:val="11"/>
                <w:color w:val="auto"/>
                <w:w w:val="89"/>
              </w:rPr>
              <w:t>Common Stock, Class A, par value $0.01</w:t>
            </w:r>
          </w:p>
        </w:tc>
        <w:tc>
          <w:tcPr>
            <w:tcW w:w="3760" w:type="dxa"/>
            <w:vAlign w:val="bottom"/>
          </w:tcPr>
          <w:p>
            <w:pPr>
              <w:jc w:val="center"/>
              <w:ind w:left="684"/>
              <w:spacing w:after="0"/>
              <w:rPr>
                <w:sz w:val="20"/>
                <w:szCs w:val="20"/>
                <w:color w:val="auto"/>
              </w:rPr>
            </w:pPr>
            <w:r>
              <w:rPr>
                <w:rFonts w:ascii="Arial" w:cs="Arial" w:eastAsia="Arial" w:hAnsi="Arial"/>
                <w:sz w:val="11"/>
                <w:szCs w:val="11"/>
                <w:color w:val="auto"/>
                <w:w w:val="90"/>
              </w:rPr>
              <w:t>New York Stock Exchange</w:t>
            </w: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40" w:type="dxa"/>
            <w:vAlign w:val="bottom"/>
          </w:tcPr>
          <w:p>
            <w:pPr>
              <w:jc w:val="center"/>
              <w:ind w:right="437"/>
              <w:spacing w:after="0"/>
              <w:rPr>
                <w:sz w:val="20"/>
                <w:szCs w:val="20"/>
                <w:color w:val="auto"/>
              </w:rPr>
            </w:pPr>
            <w:r>
              <w:rPr>
                <w:rFonts w:ascii="Arial" w:cs="Arial" w:eastAsia="Arial" w:hAnsi="Arial"/>
                <w:sz w:val="11"/>
                <w:szCs w:val="11"/>
                <w:color w:val="auto"/>
                <w:w w:val="89"/>
              </w:rPr>
              <w:t>Common Stock, Class C, par value $0.01</w:t>
            </w:r>
          </w:p>
        </w:tc>
        <w:tc>
          <w:tcPr>
            <w:tcW w:w="3760" w:type="dxa"/>
            <w:vAlign w:val="bottom"/>
          </w:tcPr>
          <w:p>
            <w:pPr>
              <w:jc w:val="center"/>
              <w:ind w:left="684"/>
              <w:spacing w:after="0"/>
              <w:rPr>
                <w:sz w:val="20"/>
                <w:szCs w:val="20"/>
                <w:color w:val="auto"/>
              </w:rPr>
            </w:pPr>
            <w:r>
              <w:rPr>
                <w:rFonts w:ascii="Arial" w:cs="Arial" w:eastAsia="Arial" w:hAnsi="Arial"/>
                <w:sz w:val="11"/>
                <w:szCs w:val="11"/>
                <w:color w:val="auto"/>
                <w:w w:val="90"/>
              </w:rPr>
              <w:t>New York Stock Exchange</w:t>
            </w: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00" w:type="dxa"/>
            <w:vAlign w:val="bottom"/>
            <w:gridSpan w:val="2"/>
          </w:tcPr>
          <w:p>
            <w:pPr>
              <w:ind w:left="1860"/>
              <w:spacing w:after="0"/>
              <w:rPr>
                <w:sz w:val="20"/>
                <w:szCs w:val="20"/>
                <w:color w:val="auto"/>
              </w:rPr>
            </w:pPr>
            <w:r>
              <w:rPr>
                <w:rFonts w:ascii="Arial" w:cs="Arial" w:eastAsia="Arial" w:hAnsi="Arial"/>
                <w:sz w:val="11"/>
                <w:szCs w:val="11"/>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40"/>
        </w:trPr>
        <w:tc>
          <w:tcPr>
            <w:tcW w:w="5280" w:type="dxa"/>
            <w:vAlign w:val="bottom"/>
            <w:gridSpan w:val="3"/>
            <w:vMerge w:val="restart"/>
          </w:tcPr>
          <w:p>
            <w:pPr>
              <w:spacing w:after="0"/>
              <w:rPr>
                <w:sz w:val="20"/>
                <w:szCs w:val="20"/>
                <w:color w:val="auto"/>
              </w:rPr>
            </w:pPr>
            <w:r>
              <w:rPr>
                <w:rFonts w:ascii="Arial" w:cs="Arial" w:eastAsia="Arial" w:hAnsi="Arial"/>
                <w:sz w:val="10"/>
                <w:szCs w:val="10"/>
                <w:color w:val="auto"/>
                <w:w w:val="91"/>
              </w:rPr>
              <w:t>Indicate by check mark if the registrant is a well-known seasoned issuer, as defined in Rule 405 of the Securities Act.  Yes x  No o</w:t>
            </w:r>
          </w:p>
        </w:tc>
        <w:tc>
          <w:tcPr>
            <w:tcW w:w="3760" w:type="dxa"/>
            <w:vAlign w:val="bottom"/>
          </w:tcPr>
          <w:p>
            <w:pPr>
              <w:jc w:val="center"/>
              <w:ind w:right="2944"/>
              <w:spacing w:after="0"/>
              <w:rPr>
                <w:sz w:val="20"/>
                <w:szCs w:val="20"/>
                <w:color w:val="auto"/>
              </w:rPr>
            </w:pPr>
            <w:r>
              <w:rPr>
                <w:rFonts w:ascii="Arial" w:cs="Arial" w:eastAsia="Arial" w:hAnsi="Arial"/>
                <w:sz w:val="11"/>
                <w:szCs w:val="11"/>
                <w:b w:val="1"/>
                <w:bCs w:val="1"/>
                <w:color w:val="auto"/>
                <w:w w:val="87"/>
              </w:rPr>
              <w:t>None</w:t>
            </w:r>
          </w:p>
        </w:tc>
        <w:tc>
          <w:tcPr>
            <w:tcW w:w="0" w:type="dxa"/>
            <w:vAlign w:val="bottom"/>
          </w:tcPr>
          <w:p>
            <w:pPr>
              <w:spacing w:after="0"/>
              <w:rPr>
                <w:sz w:val="1"/>
                <w:szCs w:val="1"/>
                <w:color w:val="auto"/>
              </w:rPr>
            </w:pPr>
          </w:p>
        </w:tc>
      </w:tr>
      <w:tr>
        <w:trPr>
          <w:trHeight w:val="91"/>
        </w:trPr>
        <w:tc>
          <w:tcPr>
            <w:tcW w:w="5280" w:type="dxa"/>
            <w:vAlign w:val="bottom"/>
            <w:gridSpan w:val="3"/>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280" w:type="dxa"/>
            <w:vAlign w:val="bottom"/>
            <w:gridSpan w:val="3"/>
          </w:tcPr>
          <w:p>
            <w:pPr>
              <w:spacing w:after="0"/>
              <w:rPr>
                <w:sz w:val="20"/>
                <w:szCs w:val="20"/>
                <w:color w:val="auto"/>
              </w:rPr>
            </w:pPr>
            <w:r>
              <w:rPr>
                <w:rFonts w:ascii="Arial" w:cs="Arial" w:eastAsia="Arial" w:hAnsi="Arial"/>
                <w:sz w:val="10"/>
                <w:szCs w:val="10"/>
                <w:color w:val="auto"/>
                <w:w w:val="87"/>
              </w:rPr>
              <w:t>Indicate by check mark if the registrant is not required to file reports pursuant to Section 13 or Section 15(d) of the Exchange Act.  Yes o</w:t>
            </w:r>
          </w:p>
        </w:tc>
        <w:tc>
          <w:tcPr>
            <w:tcW w:w="3760" w:type="dxa"/>
            <w:vAlign w:val="bottom"/>
          </w:tcPr>
          <w:p>
            <w:pPr>
              <w:ind w:left="80"/>
              <w:spacing w:after="0"/>
              <w:rPr>
                <w:sz w:val="20"/>
                <w:szCs w:val="20"/>
                <w:color w:val="auto"/>
              </w:rPr>
            </w:pPr>
            <w:r>
              <w:rPr>
                <w:rFonts w:ascii="Arial" w:cs="Arial" w:eastAsia="Arial" w:hAnsi="Arial"/>
                <w:sz w:val="10"/>
                <w:szCs w:val="10"/>
                <w:color w:val="auto"/>
              </w:rPr>
              <w:t>No x</w:t>
            </w:r>
          </w:p>
        </w:tc>
        <w:tc>
          <w:tcPr>
            <w:tcW w:w="0" w:type="dxa"/>
            <w:vAlign w:val="bottom"/>
          </w:tcPr>
          <w:p>
            <w:pPr>
              <w:spacing w:after="0"/>
              <w:rPr>
                <w:sz w:val="1"/>
                <w:szCs w:val="1"/>
                <w:color w:val="auto"/>
              </w:rPr>
            </w:pPr>
          </w:p>
        </w:tc>
      </w:tr>
    </w:tbl>
    <w:p>
      <w:pPr>
        <w:ind w:firstLine="162"/>
        <w:spacing w:after="0" w:line="225" w:lineRule="auto"/>
        <w:rPr>
          <w:sz w:val="20"/>
          <w:szCs w:val="20"/>
          <w:color w:val="auto"/>
        </w:rPr>
      </w:pPr>
      <w:r>
        <w:rPr>
          <w:rFonts w:ascii="Arial" w:cs="Arial" w:eastAsia="Arial" w:hAnsi="Arial"/>
          <w:sz w:val="10"/>
          <w:szCs w:val="10"/>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20" w:firstLine="162"/>
        <w:spacing w:after="0" w:line="225" w:lineRule="auto"/>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ind w:firstLine="162"/>
        <w:spacing w:after="0" w:line="225" w:lineRule="auto"/>
        <w:rPr>
          <w:sz w:val="20"/>
          <w:szCs w:val="20"/>
          <w:color w:val="auto"/>
        </w:rPr>
      </w:pPr>
      <w:r>
        <w:rPr>
          <w:rFonts w:ascii="Arial" w:cs="Arial" w:eastAsia="Arial" w:hAnsi="Arial"/>
          <w:sz w:val="10"/>
          <w:szCs w:val="10"/>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firstLine="162"/>
        <w:spacing w:after="0" w:line="231"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80"/>
          </w:cols>
          <w:pgMar w:left="220" w:top="869" w:right="199" w:bottom="1440" w:gutter="0" w:footer="0" w:header="0"/>
        </w:sectPr>
      </w:pPr>
    </w:p>
    <w:p>
      <w:pPr>
        <w:spacing w:after="0" w:line="140" w:lineRule="exact"/>
        <w:rPr>
          <w:sz w:val="24"/>
          <w:szCs w:val="24"/>
          <w:color w:val="auto"/>
        </w:rPr>
      </w:pPr>
    </w:p>
    <w:p>
      <w:pPr>
        <w:ind w:left="740"/>
        <w:spacing w:after="0"/>
        <w:rPr>
          <w:sz w:val="20"/>
          <w:szCs w:val="20"/>
          <w:color w:val="auto"/>
        </w:rPr>
      </w:pPr>
      <w:r>
        <w:rPr>
          <w:rFonts w:ascii="Arial" w:cs="Arial" w:eastAsia="Arial" w:hAnsi="Arial"/>
          <w:sz w:val="8"/>
          <w:szCs w:val="8"/>
          <w:color w:val="auto"/>
        </w:rPr>
        <w:t>Large accelerated filer x</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720"/>
        <w:spacing w:after="0"/>
        <w:rPr>
          <w:sz w:val="20"/>
          <w:szCs w:val="20"/>
          <w:color w:val="auto"/>
        </w:rPr>
      </w:pPr>
      <w:r>
        <w:rPr>
          <w:rFonts w:ascii="Arial" w:cs="Arial" w:eastAsia="Arial" w:hAnsi="Arial"/>
          <w:sz w:val="8"/>
          <w:szCs w:val="8"/>
          <w:color w:val="auto"/>
        </w:rPr>
        <w:t>Accelerated filer 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8"/>
          <w:szCs w:val="8"/>
          <w:color w:val="auto"/>
        </w:rPr>
        <w:t>Non-accelerated filer 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8"/>
          <w:szCs w:val="8"/>
          <w:color w:val="auto"/>
        </w:rPr>
        <w:t>Smaller reporting company 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8"/>
          <w:szCs w:val="8"/>
          <w:color w:val="auto"/>
        </w:rPr>
        <w:t>Emerging growth company o</w:t>
      </w:r>
    </w:p>
    <w:p>
      <w:pPr>
        <w:spacing w:after="0" w:line="61" w:lineRule="exact"/>
        <w:rPr>
          <w:sz w:val="24"/>
          <w:szCs w:val="24"/>
          <w:color w:val="auto"/>
        </w:rPr>
      </w:pPr>
    </w:p>
    <w:p>
      <w:pPr>
        <w:sectPr>
          <w:pgSz w:w="11900" w:h="16838" w:orient="portrait"/>
          <w:cols w:equalWidth="0" w:num="5">
            <w:col w:w="2380" w:space="720"/>
            <w:col w:w="1440" w:space="720"/>
            <w:col w:w="1440" w:space="720"/>
            <w:col w:w="1520" w:space="720"/>
            <w:col w:w="1820"/>
          </w:cols>
          <w:pgMar w:left="220" w:top="869" w:right="199" w:bottom="1440" w:gutter="0" w:footer="0" w:header="0"/>
          <w:type w:val="continuous"/>
        </w:sectPr>
      </w:pPr>
    </w:p>
    <w:p>
      <w:pPr>
        <w:ind w:left="160"/>
        <w:spacing w:after="0"/>
        <w:rPr>
          <w:sz w:val="20"/>
          <w:szCs w:val="20"/>
          <w:color w:val="auto"/>
        </w:rPr>
      </w:pPr>
      <w:r>
        <w:rPr>
          <w:rFonts w:ascii="Arial" w:cs="Arial" w:eastAsia="Arial" w:hAnsi="Arial"/>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80"/>
          </w:cols>
          <w:pgMar w:left="220" w:top="869" w:right="199" w:bottom="1440" w:gutter="0" w:footer="0" w:header="0"/>
          <w:type w:val="continuous"/>
        </w:sectPr>
      </w:pPr>
    </w:p>
    <w:p>
      <w:pPr>
        <w:spacing w:after="0" w:line="52" w:lineRule="exact"/>
        <w:rPr>
          <w:sz w:val="24"/>
          <w:szCs w:val="24"/>
          <w:color w:val="auto"/>
        </w:rPr>
      </w:pPr>
    </w:p>
    <w:p>
      <w:pPr>
        <w:ind w:left="160"/>
        <w:spacing w:after="0"/>
        <w:rPr>
          <w:sz w:val="20"/>
          <w:szCs w:val="20"/>
          <w:color w:val="auto"/>
        </w:rPr>
      </w:pPr>
      <w:r>
        <w:rPr>
          <w:rFonts w:ascii="Arial" w:cs="Arial" w:eastAsia="Arial" w:hAnsi="Arial"/>
          <w:sz w:val="8"/>
          <w:szCs w:val="8"/>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8"/>
          <w:szCs w:val="8"/>
          <w:color w:val="auto"/>
        </w:rPr>
        <w:t>Yes 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8"/>
          <w:szCs w:val="8"/>
          <w:color w:val="auto"/>
        </w:rPr>
        <w:t>No x</w:t>
      </w:r>
    </w:p>
    <w:p>
      <w:pPr>
        <w:spacing w:after="0" w:line="52" w:lineRule="exact"/>
        <w:rPr>
          <w:sz w:val="24"/>
          <w:szCs w:val="24"/>
          <w:color w:val="auto"/>
        </w:rPr>
      </w:pPr>
    </w:p>
    <w:p>
      <w:pPr>
        <w:sectPr>
          <w:pgSz w:w="11900" w:h="16838" w:orient="portrait"/>
          <w:cols w:equalWidth="0" w:num="3">
            <w:col w:w="4120" w:space="80"/>
            <w:col w:w="220" w:space="100"/>
            <w:col w:w="6960"/>
          </w:cols>
          <w:pgMar w:left="220" w:top="869" w:right="199" w:bottom="1440" w:gutter="0" w:footer="0" w:header="0"/>
          <w:type w:val="continuous"/>
        </w:sectPr>
      </w:pPr>
    </w:p>
    <w:p>
      <w:pPr>
        <w:ind w:right="20" w:firstLine="162"/>
        <w:spacing w:after="0" w:line="239" w:lineRule="auto"/>
        <w:rPr>
          <w:sz w:val="20"/>
          <w:szCs w:val="20"/>
          <w:color w:val="auto"/>
        </w:rPr>
      </w:pPr>
      <w:r>
        <w:rPr>
          <w:rFonts w:ascii="Arial" w:cs="Arial" w:eastAsia="Arial" w:hAnsi="Arial"/>
          <w:sz w:val="10"/>
          <w:szCs w:val="10"/>
          <w:color w:val="auto"/>
        </w:rPr>
        <w:t>As of the last business day of the most recently completed second fiscal quarter, the aggregate market value of the common stock of the registrant held by non-affiliates was approximately $1,771,020,875 based on the closing sale prices of such shares as reported on the New York Stock Exchange.</w:t>
      </w:r>
    </w:p>
    <w:p>
      <w:pPr>
        <w:spacing w:after="0" w:line="23" w:lineRule="exact"/>
        <w:rPr>
          <w:sz w:val="24"/>
          <w:szCs w:val="24"/>
          <w:color w:val="auto"/>
        </w:rPr>
      </w:pPr>
    </w:p>
    <w:p>
      <w:pPr>
        <w:ind w:left="160"/>
        <w:spacing w:after="0"/>
        <w:rPr>
          <w:sz w:val="20"/>
          <w:szCs w:val="20"/>
          <w:color w:val="auto"/>
        </w:rPr>
      </w:pPr>
      <w:r>
        <w:rPr>
          <w:rFonts w:ascii="Arial" w:cs="Arial" w:eastAsia="Arial" w:hAnsi="Arial"/>
          <w:sz w:val="10"/>
          <w:szCs w:val="10"/>
          <w:color w:val="auto"/>
        </w:rPr>
        <w:t>Indicate the number of shares outstanding of each of the registrant's classes of common stock as of the latest practicable date.</w:t>
      </w:r>
    </w:p>
    <w:p>
      <w:pPr>
        <w:spacing w:after="0" w:line="139" w:lineRule="exact"/>
        <w:rPr>
          <w:sz w:val="24"/>
          <w:szCs w:val="24"/>
          <w:color w:val="auto"/>
        </w:rPr>
      </w:pPr>
    </w:p>
    <w:tbl>
      <w:tblPr>
        <w:tblLayout w:type="fixed"/>
        <w:tblInd w:w="3500" w:type="dxa"/>
        <w:tblCellMar>
          <w:top w:w="0" w:type="dxa"/>
          <w:left w:w="0" w:type="dxa"/>
          <w:bottom w:w="0" w:type="dxa"/>
          <w:right w:w="0" w:type="dxa"/>
        </w:tblCellMar>
      </w:tblPr>
      <w:tr>
        <w:trPr>
          <w:trHeight w:val="131"/>
        </w:trPr>
        <w:tc>
          <w:tcPr>
            <w:tcW w:w="2460" w:type="dxa"/>
            <w:vAlign w:val="bottom"/>
          </w:tcPr>
          <w:p>
            <w:pPr>
              <w:jc w:val="center"/>
              <w:ind w:right="329"/>
              <w:spacing w:after="0"/>
              <w:rPr>
                <w:sz w:val="20"/>
                <w:szCs w:val="20"/>
                <w:color w:val="auto"/>
              </w:rPr>
            </w:pPr>
            <w:r>
              <w:rPr>
                <w:rFonts w:ascii="Arial" w:cs="Arial" w:eastAsia="Arial" w:hAnsi="Arial"/>
                <w:sz w:val="10"/>
                <w:szCs w:val="10"/>
                <w:b w:val="1"/>
                <w:bCs w:val="1"/>
                <w:color w:val="auto"/>
                <w:w w:val="89"/>
              </w:rPr>
              <w:t>Class</w:t>
            </w:r>
          </w:p>
        </w:tc>
        <w:tc>
          <w:tcPr>
            <w:tcW w:w="1820" w:type="dxa"/>
            <w:vAlign w:val="bottom"/>
          </w:tcPr>
          <w:p>
            <w:pPr>
              <w:ind w:left="380"/>
              <w:spacing w:after="0"/>
              <w:rPr>
                <w:sz w:val="20"/>
                <w:szCs w:val="20"/>
                <w:color w:val="auto"/>
              </w:rPr>
            </w:pPr>
            <w:r>
              <w:rPr>
                <w:rFonts w:ascii="Arial" w:cs="Arial" w:eastAsia="Arial" w:hAnsi="Arial"/>
                <w:sz w:val="10"/>
                <w:szCs w:val="10"/>
                <w:b w:val="1"/>
                <w:bCs w:val="1"/>
                <w:color w:val="auto"/>
                <w:w w:val="92"/>
              </w:rPr>
              <w:t>Outstanding at January 31, 2019</w:t>
            </w:r>
          </w:p>
        </w:tc>
      </w:tr>
      <w:tr>
        <w:trPr>
          <w:trHeight w:val="180"/>
        </w:trPr>
        <w:tc>
          <w:tcPr>
            <w:tcW w:w="2460" w:type="dxa"/>
            <w:vAlign w:val="bottom"/>
          </w:tcPr>
          <w:p>
            <w:pPr>
              <w:jc w:val="center"/>
              <w:ind w:right="329"/>
              <w:spacing w:after="0"/>
              <w:rPr>
                <w:sz w:val="20"/>
                <w:szCs w:val="20"/>
                <w:color w:val="auto"/>
              </w:rPr>
            </w:pPr>
            <w:r>
              <w:rPr>
                <w:rFonts w:ascii="Arial" w:cs="Arial" w:eastAsia="Arial" w:hAnsi="Arial"/>
                <w:sz w:val="10"/>
                <w:szCs w:val="10"/>
                <w:color w:val="auto"/>
                <w:w w:val="91"/>
              </w:rPr>
              <w:t>Common Stock, Class A, par value $0.01 per share</w:t>
            </w:r>
          </w:p>
        </w:tc>
        <w:tc>
          <w:tcPr>
            <w:tcW w:w="1820" w:type="dxa"/>
            <w:vAlign w:val="bottom"/>
          </w:tcPr>
          <w:p>
            <w:pPr>
              <w:jc w:val="center"/>
              <w:ind w:left="328"/>
              <w:spacing w:after="0"/>
              <w:rPr>
                <w:sz w:val="20"/>
                <w:szCs w:val="20"/>
                <w:color w:val="auto"/>
              </w:rPr>
            </w:pPr>
            <w:r>
              <w:rPr>
                <w:rFonts w:ascii="Arial" w:cs="Arial" w:eastAsia="Arial" w:hAnsi="Arial"/>
                <w:sz w:val="11"/>
                <w:szCs w:val="11"/>
                <w:color w:val="auto"/>
                <w:w w:val="87"/>
              </w:rPr>
              <w:t>34,599,645</w:t>
            </w:r>
          </w:p>
        </w:tc>
      </w:tr>
      <w:tr>
        <w:trPr>
          <w:trHeight w:val="180"/>
        </w:trPr>
        <w:tc>
          <w:tcPr>
            <w:tcW w:w="2460" w:type="dxa"/>
            <w:vAlign w:val="bottom"/>
          </w:tcPr>
          <w:p>
            <w:pPr>
              <w:jc w:val="center"/>
              <w:ind w:right="329"/>
              <w:spacing w:after="0"/>
              <w:rPr>
                <w:sz w:val="20"/>
                <w:szCs w:val="20"/>
                <w:color w:val="auto"/>
              </w:rPr>
            </w:pPr>
            <w:r>
              <w:rPr>
                <w:rFonts w:ascii="Arial" w:cs="Arial" w:eastAsia="Arial" w:hAnsi="Arial"/>
                <w:sz w:val="10"/>
                <w:szCs w:val="10"/>
                <w:color w:val="auto"/>
                <w:w w:val="91"/>
              </w:rPr>
              <w:t>Common Stock, Class B, par value $0.01 per share</w:t>
            </w:r>
          </w:p>
        </w:tc>
        <w:tc>
          <w:tcPr>
            <w:tcW w:w="1820" w:type="dxa"/>
            <w:vAlign w:val="bottom"/>
          </w:tcPr>
          <w:p>
            <w:pPr>
              <w:jc w:val="center"/>
              <w:ind w:left="308"/>
              <w:spacing w:after="0"/>
              <w:rPr>
                <w:sz w:val="20"/>
                <w:szCs w:val="20"/>
                <w:color w:val="auto"/>
              </w:rPr>
            </w:pPr>
            <w:r>
              <w:rPr>
                <w:rFonts w:ascii="Arial" w:cs="Arial" w:eastAsia="Arial" w:hAnsi="Arial"/>
                <w:sz w:val="10"/>
                <w:szCs w:val="10"/>
                <w:color w:val="auto"/>
                <w:w w:val="91"/>
              </w:rPr>
              <w:t>42,738,750</w:t>
            </w:r>
          </w:p>
        </w:tc>
      </w:tr>
      <w:tr>
        <w:trPr>
          <w:trHeight w:val="180"/>
        </w:trPr>
        <w:tc>
          <w:tcPr>
            <w:tcW w:w="2460" w:type="dxa"/>
            <w:vAlign w:val="bottom"/>
          </w:tcPr>
          <w:p>
            <w:pPr>
              <w:jc w:val="center"/>
              <w:ind w:right="329"/>
              <w:spacing w:after="0"/>
              <w:rPr>
                <w:sz w:val="20"/>
                <w:szCs w:val="20"/>
                <w:color w:val="auto"/>
              </w:rPr>
            </w:pPr>
            <w:r>
              <w:rPr>
                <w:rFonts w:ascii="Arial" w:cs="Arial" w:eastAsia="Arial" w:hAnsi="Arial"/>
                <w:sz w:val="10"/>
                <w:szCs w:val="10"/>
                <w:color w:val="auto"/>
                <w:w w:val="91"/>
              </w:rPr>
              <w:t>Common Stock, Class C, par value $0.01 per share</w:t>
            </w:r>
          </w:p>
        </w:tc>
        <w:tc>
          <w:tcPr>
            <w:tcW w:w="1820" w:type="dxa"/>
            <w:vAlign w:val="bottom"/>
          </w:tcPr>
          <w:p>
            <w:pPr>
              <w:jc w:val="center"/>
              <w:ind w:left="308"/>
              <w:spacing w:after="0"/>
              <w:rPr>
                <w:sz w:val="20"/>
                <w:szCs w:val="20"/>
                <w:color w:val="auto"/>
              </w:rPr>
            </w:pPr>
            <w:r>
              <w:rPr>
                <w:rFonts w:ascii="Arial" w:cs="Arial" w:eastAsia="Arial" w:hAnsi="Arial"/>
                <w:sz w:val="10"/>
                <w:szCs w:val="10"/>
                <w:color w:val="auto"/>
                <w:w w:val="91"/>
              </w:rPr>
              <w:t>73,323,463</w:t>
            </w:r>
          </w:p>
        </w:tc>
      </w:tr>
      <w:tr>
        <w:trPr>
          <w:trHeight w:val="180"/>
        </w:trPr>
        <w:tc>
          <w:tcPr>
            <w:tcW w:w="2460" w:type="dxa"/>
            <w:vAlign w:val="bottom"/>
          </w:tcPr>
          <w:p>
            <w:pPr>
              <w:jc w:val="center"/>
              <w:ind w:right="329"/>
              <w:spacing w:after="0"/>
              <w:rPr>
                <w:sz w:val="20"/>
                <w:szCs w:val="20"/>
                <w:color w:val="auto"/>
              </w:rPr>
            </w:pPr>
            <w:r>
              <w:rPr>
                <w:rFonts w:ascii="Arial" w:cs="Arial" w:eastAsia="Arial" w:hAnsi="Arial"/>
                <w:sz w:val="10"/>
                <w:szCs w:val="10"/>
                <w:color w:val="auto"/>
                <w:w w:val="91"/>
              </w:rPr>
              <w:t>Common Stock, Class D, par value $0.01 per share</w:t>
            </w:r>
          </w:p>
        </w:tc>
        <w:tc>
          <w:tcPr>
            <w:tcW w:w="1820" w:type="dxa"/>
            <w:vAlign w:val="bottom"/>
          </w:tcPr>
          <w:p>
            <w:pPr>
              <w:jc w:val="center"/>
              <w:ind w:left="308"/>
              <w:spacing w:after="0"/>
              <w:rPr>
                <w:sz w:val="20"/>
                <w:szCs w:val="20"/>
                <w:color w:val="auto"/>
              </w:rPr>
            </w:pPr>
            <w:r>
              <w:rPr>
                <w:rFonts w:ascii="Arial" w:cs="Arial" w:eastAsia="Arial" w:hAnsi="Arial"/>
                <w:sz w:val="10"/>
                <w:szCs w:val="10"/>
                <w:color w:val="auto"/>
                <w:w w:val="91"/>
              </w:rPr>
              <w:t>42,738,750</w:t>
            </w:r>
          </w:p>
        </w:tc>
      </w:tr>
    </w:tbl>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10"/>
          <w:szCs w:val="10"/>
          <w:b w:val="1"/>
          <w:bCs w:val="1"/>
          <w:color w:val="auto"/>
        </w:rPr>
        <w:t>Documents Incorporated by Reference:</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10"/>
          <w:szCs w:val="10"/>
          <w:b w:val="1"/>
          <w:bCs w:val="1"/>
          <w:color w:val="auto"/>
        </w:rPr>
        <w:t>Portions of the Registrant's Definitive Proxy Statement relating to its 2019 Annual Meeting of Stockholders</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0"/>
          <w:szCs w:val="10"/>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wp:posOffset>
            </wp:positionH>
            <wp:positionV relativeFrom="paragraph">
              <wp:posOffset>128270</wp:posOffset>
            </wp:positionV>
            <wp:extent cx="6583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045" cy="1714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71120</wp:posOffset>
            </wp:positionV>
            <wp:extent cx="65830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045" cy="5715"/>
                    </a:xfrm>
                    <a:prstGeom prst="rect">
                      <a:avLst/>
                    </a:prstGeom>
                    <a:noFill/>
                  </pic:spPr>
                </pic:pic>
              </a:graphicData>
            </a:graphic>
          </wp:anchor>
        </w:drawing>
      </w: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869"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11260" w:type="dxa"/>
            <w:vAlign w:val="bottom"/>
          </w:tcPr>
          <w:p>
            <w:pPr>
              <w:jc w:val="center"/>
              <w:ind w:left="120"/>
              <w:spacing w:after="0"/>
              <w:rPr>
                <w:sz w:val="20"/>
                <w:szCs w:val="20"/>
                <w:color w:val="auto"/>
              </w:rPr>
            </w:pPr>
            <w:r>
              <w:rPr>
                <w:rFonts w:ascii="Arial" w:cs="Arial" w:eastAsia="Arial" w:hAnsi="Arial"/>
                <w:sz w:val="12"/>
                <w:szCs w:val="12"/>
                <w:b w:val="1"/>
                <w:bCs w:val="1"/>
                <w:color w:val="auto"/>
                <w:w w:val="98"/>
              </w:rPr>
              <w:t>TABLE OF CONTENTS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26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Index</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1260" w:type="dxa"/>
            <w:vAlign w:val="bottom"/>
          </w:tcPr>
          <w:p>
            <w:pPr>
              <w:spacing w:after="0"/>
              <w:rPr>
                <w:sz w:val="20"/>
                <w:szCs w:val="20"/>
                <w:color w:val="auto"/>
              </w:rPr>
            </w:pPr>
            <w:r>
              <w:rPr>
                <w:rFonts w:ascii="Arial" w:cs="Arial" w:eastAsia="Arial" w:hAnsi="Arial"/>
                <w:sz w:val="12"/>
                <w:szCs w:val="12"/>
                <w:color w:val="auto"/>
              </w:rPr>
              <w:t>GLOSSARY OF TERMS</w:t>
            </w:r>
          </w:p>
        </w:tc>
        <w:tc>
          <w:tcPr>
            <w:tcW w:w="180" w:type="dxa"/>
            <w:vAlign w:val="bottom"/>
            <w:gridSpan w:val="2"/>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c>
          <w:tcPr>
            <w:tcW w:w="0" w:type="dxa"/>
            <w:vAlign w:val="bottom"/>
          </w:tcPr>
          <w:p>
            <w:pPr>
              <w:spacing w:after="0"/>
              <w:rPr>
                <w:sz w:val="1"/>
                <w:szCs w:val="1"/>
                <w:color w:val="auto"/>
              </w:rPr>
            </w:pPr>
          </w:p>
        </w:tc>
      </w:tr>
      <w:tr>
        <w:trPr>
          <w:trHeight w:val="180"/>
        </w:trPr>
        <w:tc>
          <w:tcPr>
            <w:tcW w:w="11260" w:type="dxa"/>
            <w:vAlign w:val="bottom"/>
          </w:tcPr>
          <w:p>
            <w:pPr>
              <w:spacing w:after="0"/>
              <w:rPr>
                <w:sz w:val="20"/>
                <w:szCs w:val="20"/>
                <w:color w:val="auto"/>
              </w:rPr>
            </w:pPr>
            <w:r>
              <w:rPr>
                <w:rFonts w:ascii="Arial" w:cs="Arial" w:eastAsia="Arial" w:hAnsi="Arial"/>
                <w:sz w:val="12"/>
                <w:szCs w:val="12"/>
                <w:b w:val="1"/>
                <w:bCs w:val="1"/>
                <w:color w:val="auto"/>
              </w:rPr>
              <w:t>PART I</w:t>
            </w:r>
          </w:p>
        </w:tc>
        <w:tc>
          <w:tcPr>
            <w:tcW w:w="18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7</w:t>
              </w:r>
            </w:hyperlink>
          </w:p>
        </w:tc>
        <w:tc>
          <w:tcPr>
            <w:tcW w:w="0" w:type="dxa"/>
            <w:vAlign w:val="bottom"/>
          </w:tcPr>
          <w:p>
            <w:pPr>
              <w:spacing w:after="0"/>
              <w:rPr>
                <w:sz w:val="1"/>
                <w:szCs w:val="1"/>
                <w:color w:val="auto"/>
              </w:rPr>
            </w:pPr>
          </w:p>
        </w:tc>
      </w:tr>
      <w:tr>
        <w:trPr>
          <w:trHeight w:val="180"/>
        </w:trPr>
        <w:tc>
          <w:tcPr>
            <w:tcW w:w="11260" w:type="dxa"/>
            <w:vAlign w:val="bottom"/>
          </w:tcPr>
          <w:p>
            <w:pPr>
              <w:ind w:left="160"/>
              <w:spacing w:after="0"/>
              <w:rPr>
                <w:sz w:val="20"/>
                <w:szCs w:val="20"/>
                <w:color w:val="auto"/>
              </w:rPr>
            </w:pPr>
            <w:r>
              <w:rPr>
                <w:rFonts w:ascii="Arial" w:cs="Arial" w:eastAsia="Arial" w:hAnsi="Arial"/>
                <w:sz w:val="12"/>
                <w:szCs w:val="12"/>
                <w:color w:val="auto"/>
              </w:rPr>
              <w:t>Item 1 — Business</w:t>
            </w:r>
          </w:p>
        </w:tc>
        <w:tc>
          <w:tcPr>
            <w:tcW w:w="18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7</w:t>
              </w:r>
            </w:hyperlink>
          </w:p>
        </w:tc>
        <w:tc>
          <w:tcPr>
            <w:tcW w:w="0" w:type="dxa"/>
            <w:vAlign w:val="bottom"/>
          </w:tcPr>
          <w:p>
            <w:pPr>
              <w:spacing w:after="0"/>
              <w:rPr>
                <w:sz w:val="1"/>
                <w:szCs w:val="1"/>
                <w:color w:val="auto"/>
              </w:rPr>
            </w:pPr>
          </w:p>
        </w:tc>
      </w:tr>
      <w:tr>
        <w:trPr>
          <w:trHeight w:val="153"/>
        </w:trPr>
        <w:tc>
          <w:tcPr>
            <w:tcW w:w="11260" w:type="dxa"/>
            <w:vAlign w:val="bottom"/>
          </w:tcPr>
          <w:p>
            <w:pPr>
              <w:ind w:left="160"/>
              <w:spacing w:after="0"/>
              <w:rPr>
                <w:sz w:val="20"/>
                <w:szCs w:val="20"/>
                <w:color w:val="auto"/>
              </w:rPr>
            </w:pPr>
            <w:r>
              <w:rPr>
                <w:rFonts w:ascii="Arial" w:cs="Arial" w:eastAsia="Arial" w:hAnsi="Arial"/>
                <w:sz w:val="12"/>
                <w:szCs w:val="12"/>
                <w:color w:val="auto"/>
              </w:rPr>
              <w:t>Item 1A — Risk Factors</w:t>
            </w:r>
          </w:p>
        </w:tc>
        <w:tc>
          <w:tcPr>
            <w:tcW w:w="180" w:type="dxa"/>
            <w:vAlign w:val="bottom"/>
            <w:gridSpan w:val="2"/>
          </w:tcPr>
          <w:p>
            <w:pPr>
              <w:jc w:val="right"/>
              <w:spacing w:after="0"/>
              <w:rPr>
                <w:rFonts w:ascii="Arial" w:cs="Arial" w:eastAsia="Arial" w:hAnsi="Arial"/>
                <w:sz w:val="12"/>
                <w:szCs w:val="12"/>
                <w:color w:val="0000EE"/>
              </w:rPr>
            </w:pPr>
            <w:hyperlink w:anchor="page16">
              <w:r>
                <w:rPr>
                  <w:rFonts w:ascii="Arial" w:cs="Arial" w:eastAsia="Arial" w:hAnsi="Arial"/>
                  <w:sz w:val="12"/>
                  <w:szCs w:val="12"/>
                  <w:color w:val="0000EE"/>
                </w:rPr>
                <w:t>16</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1B — Unresolved Staff Comments</w:t>
            </w:r>
          </w:p>
        </w:tc>
        <w:tc>
          <w:tcPr>
            <w:tcW w:w="180" w:type="dxa"/>
            <w:vAlign w:val="bottom"/>
            <w:gridSpan w:val="2"/>
          </w:tcPr>
          <w:p>
            <w:pPr>
              <w:jc w:val="right"/>
              <w:spacing w:after="0"/>
              <w:rPr>
                <w:rFonts w:ascii="Arial" w:cs="Arial" w:eastAsia="Arial" w:hAnsi="Arial"/>
                <w:sz w:val="12"/>
                <w:szCs w:val="12"/>
                <w:color w:val="0000EE"/>
              </w:rPr>
            </w:pPr>
            <w:hyperlink w:anchor="page36">
              <w:r>
                <w:rPr>
                  <w:rFonts w:ascii="Arial" w:cs="Arial" w:eastAsia="Arial" w:hAnsi="Arial"/>
                  <w:sz w:val="12"/>
                  <w:szCs w:val="12"/>
                  <w:color w:val="0000EE"/>
                </w:rPr>
                <w:t>36</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2 — Properties</w:t>
            </w:r>
          </w:p>
        </w:tc>
        <w:tc>
          <w:tcPr>
            <w:tcW w:w="180" w:type="dxa"/>
            <w:vAlign w:val="bottom"/>
            <w:gridSpan w:val="2"/>
          </w:tcPr>
          <w:p>
            <w:pPr>
              <w:jc w:val="right"/>
              <w:spacing w:after="0"/>
              <w:rPr>
                <w:rFonts w:ascii="Arial" w:cs="Arial" w:eastAsia="Arial" w:hAnsi="Arial"/>
                <w:sz w:val="12"/>
                <w:szCs w:val="12"/>
                <w:color w:val="0000EE"/>
              </w:rPr>
            </w:pPr>
            <w:hyperlink w:anchor="page37">
              <w:r>
                <w:rPr>
                  <w:rFonts w:ascii="Arial" w:cs="Arial" w:eastAsia="Arial" w:hAnsi="Arial"/>
                  <w:sz w:val="12"/>
                  <w:szCs w:val="12"/>
                  <w:color w:val="0000EE"/>
                </w:rPr>
                <w:t>37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3 — Legal Proceedings</w:t>
            </w:r>
          </w:p>
        </w:tc>
        <w:tc>
          <w:tcPr>
            <w:tcW w:w="180" w:type="dxa"/>
            <w:vAlign w:val="bottom"/>
            <w:gridSpan w:val="2"/>
          </w:tcPr>
          <w:p>
            <w:pPr>
              <w:jc w:val="right"/>
              <w:spacing w:after="0"/>
              <w:rPr>
                <w:rFonts w:ascii="Arial" w:cs="Arial" w:eastAsia="Arial" w:hAnsi="Arial"/>
                <w:sz w:val="12"/>
                <w:szCs w:val="12"/>
                <w:color w:val="0000EE"/>
              </w:rPr>
            </w:pPr>
            <w:hyperlink w:anchor="page40">
              <w:r>
                <w:rPr>
                  <w:rFonts w:ascii="Arial" w:cs="Arial" w:eastAsia="Arial" w:hAnsi="Arial"/>
                  <w:sz w:val="12"/>
                  <w:szCs w:val="12"/>
                  <w:color w:val="0000EE"/>
                </w:rPr>
                <w:t>40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4 — Mine Safety Disclosures</w:t>
            </w:r>
          </w:p>
        </w:tc>
        <w:tc>
          <w:tcPr>
            <w:tcW w:w="180" w:type="dxa"/>
            <w:vAlign w:val="bottom"/>
            <w:gridSpan w:val="2"/>
          </w:tcPr>
          <w:p>
            <w:pPr>
              <w:jc w:val="right"/>
              <w:spacing w:after="0"/>
              <w:rPr>
                <w:rFonts w:ascii="Arial" w:cs="Arial" w:eastAsia="Arial" w:hAnsi="Arial"/>
                <w:sz w:val="12"/>
                <w:szCs w:val="12"/>
                <w:color w:val="0000EE"/>
              </w:rPr>
            </w:pPr>
            <w:hyperlink w:anchor="page40">
              <w:r>
                <w:rPr>
                  <w:rFonts w:ascii="Arial" w:cs="Arial" w:eastAsia="Arial" w:hAnsi="Arial"/>
                  <w:sz w:val="12"/>
                  <w:szCs w:val="12"/>
                  <w:color w:val="0000EE"/>
                </w:rPr>
                <w:t>40</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II</w:t>
            </w: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vMerge w:val="continue"/>
          </w:tcPr>
          <w:p>
            <w:pPr>
              <w:spacing w:after="0"/>
              <w:rPr>
                <w:sz w:val="13"/>
                <w:szCs w:val="13"/>
                <w:color w:val="auto"/>
              </w:rPr>
            </w:pPr>
          </w:p>
        </w:tc>
        <w:tc>
          <w:tcPr>
            <w:tcW w:w="180" w:type="dxa"/>
            <w:vAlign w:val="bottom"/>
            <w:gridSpan w:val="2"/>
          </w:tcPr>
          <w:p>
            <w:pPr>
              <w:jc w:val="right"/>
              <w:spacing w:after="0"/>
              <w:rPr>
                <w:rFonts w:ascii="Arial" w:cs="Arial" w:eastAsia="Arial" w:hAnsi="Arial"/>
                <w:sz w:val="12"/>
                <w:szCs w:val="12"/>
                <w:color w:val="0000EE"/>
              </w:rPr>
            </w:pPr>
            <w:hyperlink w:anchor="page41">
              <w:r>
                <w:rPr>
                  <w:rFonts w:ascii="Arial" w:cs="Arial" w:eastAsia="Arial" w:hAnsi="Arial"/>
                  <w:sz w:val="12"/>
                  <w:szCs w:val="12"/>
                  <w:color w:val="0000EE"/>
                </w:rPr>
                <w:t>41</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5 — Market for Registrant's Common Equity, Related Stockholder Matters and Issuer Purchases of Equity Securities</w:t>
            </w:r>
          </w:p>
        </w:tc>
        <w:tc>
          <w:tcPr>
            <w:tcW w:w="180" w:type="dxa"/>
            <w:vAlign w:val="bottom"/>
            <w:gridSpan w:val="2"/>
          </w:tcPr>
          <w:p>
            <w:pPr>
              <w:jc w:val="right"/>
              <w:spacing w:after="0"/>
              <w:rPr>
                <w:rFonts w:ascii="Arial" w:cs="Arial" w:eastAsia="Arial" w:hAnsi="Arial"/>
                <w:sz w:val="12"/>
                <w:szCs w:val="12"/>
                <w:color w:val="0000EE"/>
              </w:rPr>
            </w:pPr>
            <w:hyperlink w:anchor="page41">
              <w:r>
                <w:rPr>
                  <w:rFonts w:ascii="Arial" w:cs="Arial" w:eastAsia="Arial" w:hAnsi="Arial"/>
                  <w:sz w:val="12"/>
                  <w:szCs w:val="12"/>
                  <w:color w:val="0000EE"/>
                </w:rPr>
                <w:t>41</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6 — Selected Financial Data</w:t>
            </w:r>
          </w:p>
        </w:tc>
        <w:tc>
          <w:tcPr>
            <w:tcW w:w="180" w:type="dxa"/>
            <w:vAlign w:val="bottom"/>
            <w:gridSpan w:val="2"/>
          </w:tcPr>
          <w:p>
            <w:pPr>
              <w:jc w:val="right"/>
              <w:spacing w:after="0"/>
              <w:rPr>
                <w:rFonts w:ascii="Arial" w:cs="Arial" w:eastAsia="Arial" w:hAnsi="Arial"/>
                <w:sz w:val="12"/>
                <w:szCs w:val="12"/>
                <w:color w:val="0000EE"/>
              </w:rPr>
            </w:pPr>
            <w:hyperlink w:anchor="page42">
              <w:r>
                <w:rPr>
                  <w:rFonts w:ascii="Arial" w:cs="Arial" w:eastAsia="Arial" w:hAnsi="Arial"/>
                  <w:sz w:val="12"/>
                  <w:szCs w:val="12"/>
                  <w:color w:val="0000EE"/>
                </w:rPr>
                <w:t>42</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7 — Management's Discussion and Analysis of Financial Condition and Results of Operations</w:t>
            </w:r>
          </w:p>
        </w:tc>
        <w:tc>
          <w:tcPr>
            <w:tcW w:w="180" w:type="dxa"/>
            <w:vAlign w:val="bottom"/>
            <w:gridSpan w:val="2"/>
          </w:tcPr>
          <w:p>
            <w:pPr>
              <w:jc w:val="right"/>
              <w:spacing w:after="0"/>
              <w:rPr>
                <w:rFonts w:ascii="Arial" w:cs="Arial" w:eastAsia="Arial" w:hAnsi="Arial"/>
                <w:sz w:val="12"/>
                <w:szCs w:val="12"/>
                <w:color w:val="0000EE"/>
              </w:rPr>
            </w:pPr>
            <w:hyperlink w:anchor="page44">
              <w:r>
                <w:rPr>
                  <w:rFonts w:ascii="Arial" w:cs="Arial" w:eastAsia="Arial" w:hAnsi="Arial"/>
                  <w:sz w:val="12"/>
                  <w:szCs w:val="12"/>
                  <w:color w:val="0000EE"/>
                </w:rPr>
                <w:t>44</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7A — Quantitative and Qualitative Disclosures About Market Risk</w:t>
            </w:r>
          </w:p>
        </w:tc>
        <w:tc>
          <w:tcPr>
            <w:tcW w:w="180" w:type="dxa"/>
            <w:vAlign w:val="bottom"/>
            <w:gridSpan w:val="2"/>
          </w:tcPr>
          <w:p>
            <w:pPr>
              <w:jc w:val="right"/>
              <w:spacing w:after="0"/>
              <w:rPr>
                <w:rFonts w:ascii="Arial" w:cs="Arial" w:eastAsia="Arial" w:hAnsi="Arial"/>
                <w:sz w:val="12"/>
                <w:szCs w:val="12"/>
                <w:color w:val="0000EE"/>
              </w:rPr>
            </w:pPr>
            <w:hyperlink w:anchor="page68">
              <w:r>
                <w:rPr>
                  <w:rFonts w:ascii="Arial" w:cs="Arial" w:eastAsia="Arial" w:hAnsi="Arial"/>
                  <w:sz w:val="12"/>
                  <w:szCs w:val="12"/>
                  <w:color w:val="0000EE"/>
                </w:rPr>
                <w:t>68</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8 — Financial Statements and Supplementary Data</w:t>
            </w:r>
          </w:p>
        </w:tc>
        <w:tc>
          <w:tcPr>
            <w:tcW w:w="18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70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9 — Changes in Disagreements With Accountants on Accounting and Financial Disclosure</w:t>
            </w:r>
          </w:p>
        </w:tc>
        <w:tc>
          <w:tcPr>
            <w:tcW w:w="18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70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9A — Controls and Procedures</w:t>
            </w:r>
          </w:p>
        </w:tc>
        <w:tc>
          <w:tcPr>
            <w:tcW w:w="18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70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9B — Other Information</w:t>
            </w:r>
          </w:p>
        </w:tc>
        <w:tc>
          <w:tcPr>
            <w:tcW w:w="180" w:type="dxa"/>
            <w:vAlign w:val="bottom"/>
            <w:gridSpan w:val="2"/>
          </w:tcPr>
          <w:p>
            <w:pPr>
              <w:jc w:val="right"/>
              <w:spacing w:after="0"/>
              <w:rPr>
                <w:rFonts w:ascii="Arial" w:cs="Arial" w:eastAsia="Arial" w:hAnsi="Arial"/>
                <w:sz w:val="12"/>
                <w:szCs w:val="12"/>
                <w:color w:val="0000EE"/>
              </w:rPr>
            </w:pPr>
            <w:hyperlink w:anchor="page73">
              <w:r>
                <w:rPr>
                  <w:rFonts w:ascii="Arial" w:cs="Arial" w:eastAsia="Arial" w:hAnsi="Arial"/>
                  <w:sz w:val="12"/>
                  <w:szCs w:val="12"/>
                  <w:color w:val="0000EE"/>
                </w:rPr>
                <w:t>73</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III</w:t>
            </w: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vMerge w:val="continue"/>
          </w:tcPr>
          <w:p>
            <w:pPr>
              <w:spacing w:after="0"/>
              <w:rPr>
                <w:sz w:val="13"/>
                <w:szCs w:val="13"/>
                <w:color w:val="auto"/>
              </w:rPr>
            </w:pPr>
          </w:p>
        </w:tc>
        <w:tc>
          <w:tcPr>
            <w:tcW w:w="180" w:type="dxa"/>
            <w:vAlign w:val="bottom"/>
            <w:gridSpan w:val="2"/>
          </w:tcPr>
          <w:p>
            <w:pPr>
              <w:jc w:val="right"/>
              <w:spacing w:after="0"/>
              <w:rPr>
                <w:rFonts w:ascii="Arial" w:cs="Arial" w:eastAsia="Arial" w:hAnsi="Arial"/>
                <w:sz w:val="12"/>
                <w:szCs w:val="12"/>
                <w:color w:val="0000EE"/>
              </w:rPr>
            </w:pPr>
            <w:hyperlink w:anchor="page74">
              <w:r>
                <w:rPr>
                  <w:rFonts w:ascii="Arial" w:cs="Arial" w:eastAsia="Arial" w:hAnsi="Arial"/>
                  <w:sz w:val="12"/>
                  <w:szCs w:val="12"/>
                  <w:color w:val="0000EE"/>
                </w:rPr>
                <w:t>74</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10 — Directors, Executive Officers and Corporate Governance</w:t>
            </w:r>
          </w:p>
        </w:tc>
        <w:tc>
          <w:tcPr>
            <w:tcW w:w="180" w:type="dxa"/>
            <w:vAlign w:val="bottom"/>
            <w:gridSpan w:val="2"/>
          </w:tcPr>
          <w:p>
            <w:pPr>
              <w:jc w:val="right"/>
              <w:spacing w:after="0"/>
              <w:rPr>
                <w:rFonts w:ascii="Arial" w:cs="Arial" w:eastAsia="Arial" w:hAnsi="Arial"/>
                <w:sz w:val="12"/>
                <w:szCs w:val="12"/>
                <w:color w:val="0000EE"/>
              </w:rPr>
            </w:pPr>
            <w:hyperlink w:anchor="page74">
              <w:r>
                <w:rPr>
                  <w:rFonts w:ascii="Arial" w:cs="Arial" w:eastAsia="Arial" w:hAnsi="Arial"/>
                  <w:sz w:val="12"/>
                  <w:szCs w:val="12"/>
                  <w:color w:val="0000EE"/>
                </w:rPr>
                <w:t>74</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11 — Executive Compensation</w:t>
            </w:r>
          </w:p>
        </w:tc>
        <w:tc>
          <w:tcPr>
            <w:tcW w:w="1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12 — Security Ownership of Certain Beneficial Owners and Management and Related Stockholder Matters</w:t>
            </w:r>
          </w:p>
        </w:tc>
        <w:tc>
          <w:tcPr>
            <w:tcW w:w="1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13 — Certain Relationships and Related Transactions, and Director Independence</w:t>
            </w:r>
          </w:p>
        </w:tc>
        <w:tc>
          <w:tcPr>
            <w:tcW w:w="1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14 — Principal Accounting Fees and Services</w:t>
            </w:r>
          </w:p>
        </w:tc>
        <w:tc>
          <w:tcPr>
            <w:tcW w:w="1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77</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IV</w:t>
            </w: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vMerge w:val="continue"/>
          </w:tcPr>
          <w:p>
            <w:pPr>
              <w:spacing w:after="0"/>
              <w:rPr>
                <w:sz w:val="13"/>
                <w:szCs w:val="13"/>
                <w:color w:val="auto"/>
              </w:rPr>
            </w:pPr>
          </w:p>
        </w:tc>
        <w:tc>
          <w:tcPr>
            <w:tcW w:w="180" w:type="dxa"/>
            <w:vAlign w:val="bottom"/>
            <w:gridSpan w:val="2"/>
          </w:tcPr>
          <w:p>
            <w:pPr>
              <w:jc w:val="right"/>
              <w:spacing w:after="0"/>
              <w:rPr>
                <w:rFonts w:ascii="Arial" w:cs="Arial" w:eastAsia="Arial" w:hAnsi="Arial"/>
                <w:sz w:val="12"/>
                <w:szCs w:val="12"/>
                <w:color w:val="0000EE"/>
              </w:rPr>
            </w:pPr>
            <w:hyperlink w:anchor="page78">
              <w:r>
                <w:rPr>
                  <w:rFonts w:ascii="Arial" w:cs="Arial" w:eastAsia="Arial" w:hAnsi="Arial"/>
                  <w:sz w:val="12"/>
                  <w:szCs w:val="12"/>
                  <w:color w:val="0000EE"/>
                </w:rPr>
                <w:t>78</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tcPr>
          <w:p>
            <w:pPr>
              <w:ind w:left="160"/>
              <w:spacing w:after="0"/>
              <w:rPr>
                <w:sz w:val="20"/>
                <w:szCs w:val="20"/>
                <w:color w:val="auto"/>
              </w:rPr>
            </w:pPr>
            <w:r>
              <w:rPr>
                <w:rFonts w:ascii="Arial" w:cs="Arial" w:eastAsia="Arial" w:hAnsi="Arial"/>
                <w:sz w:val="12"/>
                <w:szCs w:val="12"/>
                <w:color w:val="auto"/>
              </w:rPr>
              <w:t>Item 15 — Exhibits, Financial Statement Schedules</w:t>
            </w:r>
          </w:p>
        </w:tc>
        <w:tc>
          <w:tcPr>
            <w:tcW w:w="180" w:type="dxa"/>
            <w:vAlign w:val="bottom"/>
            <w:gridSpan w:val="2"/>
          </w:tcPr>
          <w:p>
            <w:pPr>
              <w:jc w:val="right"/>
              <w:spacing w:after="0"/>
              <w:rPr>
                <w:rFonts w:ascii="Arial" w:cs="Arial" w:eastAsia="Arial" w:hAnsi="Arial"/>
                <w:sz w:val="12"/>
                <w:szCs w:val="12"/>
                <w:color w:val="0000EE"/>
              </w:rPr>
            </w:pPr>
            <w:hyperlink w:anchor="page78">
              <w:r>
                <w:rPr>
                  <w:rFonts w:ascii="Arial" w:cs="Arial" w:eastAsia="Arial" w:hAnsi="Arial"/>
                  <w:sz w:val="12"/>
                  <w:szCs w:val="12"/>
                  <w:color w:val="0000EE"/>
                </w:rPr>
                <w:t>78</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EXHIBIT INDEX</w:t>
            </w: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60" w:type="dxa"/>
            <w:vAlign w:val="bottom"/>
            <w:vMerge w:val="continue"/>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33">
              <w:r>
                <w:rPr>
                  <w:rFonts w:ascii="Arial" w:cs="Arial" w:eastAsia="Arial" w:hAnsi="Arial"/>
                  <w:sz w:val="12"/>
                  <w:szCs w:val="12"/>
                  <w:color w:val="0000EE"/>
                  <w:w w:val="79"/>
                </w:rPr>
                <w:t>133</w:t>
              </w:r>
            </w:hyperlink>
          </w:p>
        </w:tc>
        <w:tc>
          <w:tcPr>
            <w:tcW w:w="0" w:type="dxa"/>
            <w:vAlign w:val="bottom"/>
          </w:tcPr>
          <w:p>
            <w:pPr>
              <w:spacing w:after="0"/>
              <w:rPr>
                <w:sz w:val="1"/>
                <w:szCs w:val="1"/>
                <w:color w:val="auto"/>
              </w:rPr>
            </w:pPr>
          </w:p>
        </w:tc>
      </w:tr>
      <w:tr>
        <w:trPr>
          <w:trHeight w:val="187"/>
        </w:trPr>
        <w:tc>
          <w:tcPr>
            <w:tcW w:w="11260" w:type="dxa"/>
            <w:vAlign w:val="bottom"/>
          </w:tcPr>
          <w:p>
            <w:pPr>
              <w:ind w:left="160"/>
              <w:spacing w:after="0"/>
              <w:rPr>
                <w:sz w:val="20"/>
                <w:szCs w:val="20"/>
                <w:color w:val="auto"/>
              </w:rPr>
            </w:pPr>
            <w:r>
              <w:rPr>
                <w:rFonts w:ascii="Arial" w:cs="Arial" w:eastAsia="Arial" w:hAnsi="Arial"/>
                <w:sz w:val="12"/>
                <w:szCs w:val="12"/>
                <w:color w:val="auto"/>
              </w:rPr>
              <w:t>Item 16 — Form 10-K Summary</w:t>
            </w:r>
          </w:p>
        </w:tc>
        <w:tc>
          <w:tcPr>
            <w:tcW w:w="180" w:type="dxa"/>
            <w:vAlign w:val="bottom"/>
            <w:gridSpan w:val="2"/>
            <w:vMerge w:val="restart"/>
          </w:tcPr>
          <w:p>
            <w:pPr>
              <w:jc w:val="right"/>
              <w:spacing w:after="0"/>
              <w:rPr>
                <w:rFonts w:ascii="Arial" w:cs="Arial" w:eastAsia="Arial" w:hAnsi="Arial"/>
                <w:sz w:val="12"/>
                <w:szCs w:val="12"/>
                <w:color w:val="0000EE"/>
                <w:w w:val="79"/>
              </w:rPr>
            </w:pPr>
            <w:hyperlink w:anchor="page139">
              <w:r>
                <w:rPr>
                  <w:rFonts w:ascii="Arial" w:cs="Arial" w:eastAsia="Arial" w:hAnsi="Arial"/>
                  <w:sz w:val="12"/>
                  <w:szCs w:val="12"/>
                  <w:color w:val="0000EE"/>
                  <w:w w:val="79"/>
                </w:rPr>
                <w:t>139</w:t>
              </w:r>
            </w:hyperlink>
          </w:p>
        </w:tc>
        <w:tc>
          <w:tcPr>
            <w:tcW w:w="0" w:type="dxa"/>
            <w:vAlign w:val="bottom"/>
          </w:tcPr>
          <w:p>
            <w:pPr>
              <w:spacing w:after="0"/>
              <w:rPr>
                <w:sz w:val="1"/>
                <w:szCs w:val="1"/>
                <w:color w:val="auto"/>
              </w:rPr>
            </w:pPr>
          </w:p>
        </w:tc>
      </w:tr>
      <w:tr>
        <w:trPr>
          <w:trHeight w:val="86"/>
        </w:trPr>
        <w:tc>
          <w:tcPr>
            <w:tcW w:w="11260" w:type="dxa"/>
            <w:vAlign w:val="bottom"/>
          </w:tcPr>
          <w:p>
            <w:pPr>
              <w:spacing w:after="0"/>
              <w:rPr>
                <w:sz w:val="7"/>
                <w:szCs w:val="7"/>
                <w:color w:val="auto"/>
              </w:rPr>
            </w:pPr>
          </w:p>
        </w:tc>
        <w:tc>
          <w:tcPr>
            <w:tcW w:w="180" w:type="dxa"/>
            <w:vAlign w:val="bottom"/>
            <w:tcBorders>
              <w:bottom w:val="single" w:sz="8" w:color="0000EE"/>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1260" w:type="dxa"/>
            <w:vAlign w:val="bottom"/>
          </w:tcPr>
          <w:p>
            <w:pPr>
              <w:jc w:val="center"/>
              <w:ind w:left="100"/>
              <w:spacing w:after="0"/>
              <w:rPr>
                <w:sz w:val="20"/>
                <w:szCs w:val="20"/>
                <w:color w:val="auto"/>
              </w:rPr>
            </w:pPr>
            <w:r>
              <w:rPr>
                <w:rFonts w:ascii="Arial" w:cs="Arial" w:eastAsia="Arial" w:hAnsi="Arial"/>
                <w:sz w:val="12"/>
                <w:szCs w:val="12"/>
                <w:color w:val="auto"/>
                <w:w w:val="89"/>
              </w:rPr>
              <w:t>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30" w:right="219" w:bottom="1440" w:gutter="0" w:footer="0" w:header="0"/>
        </w:sectPr>
      </w:pPr>
    </w:p>
    <w:bookmarkStart w:id="2" w:name="page3"/>
    <w:bookmarkEnd w:id="2"/>
    <w:p>
      <w:pPr>
        <w:ind w:left="5060"/>
        <w:spacing w:after="0"/>
        <w:rPr>
          <w:sz w:val="20"/>
          <w:szCs w:val="20"/>
          <w:color w:val="auto"/>
        </w:rPr>
      </w:pPr>
      <w:r>
        <w:rPr>
          <w:rFonts w:ascii="Arial" w:cs="Arial" w:eastAsia="Arial" w:hAnsi="Arial"/>
          <w:sz w:val="11"/>
          <w:szCs w:val="11"/>
          <w:b w:val="1"/>
          <w:bCs w:val="1"/>
          <w:color w:val="auto"/>
        </w:rPr>
        <w:t>GLOSSARY OF TERMS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When the following terms and abbreviations appear in the text of this report, they have the meanings indicated below:</w:t>
      </w:r>
    </w:p>
    <w:p>
      <w:pPr>
        <w:sectPr>
          <w:pgSz w:w="11900" w:h="16838" w:orient="portrait"/>
          <w:cols w:equalWidth="0" w:num="1">
            <w:col w:w="11440"/>
          </w:cols>
          <w:pgMar w:left="240" w:top="514" w:right="21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color w:val="auto"/>
        </w:rPr>
        <w:t>2019 Convertible Notes</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2020 Convertible Notes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2024 Senior Notes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2025 Senior Notes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2026 Senior Notes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$345 million aggregate principal amount of 3.50% Convertible Notes due 2019</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$287.5 million aggregate principal amount of 3.25% Convertible Notes due 2020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$500 million aggregate principal amount of 5.375% unsecured senior notes due 2024, issued by Clearway Energy Operating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$600 million aggregate principal amount of 5.750% unsecured senior notes due 2025, issued by Clearway Energy Operating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$350 million aggregate principal amount of 5.00% unsecured senior notes due 2026, issued by Clearway Energy Operating LLC</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Represents EBITDA adjusted for mark-to-market gains or losses, asset write offs and impairments; and factors which the Company does not consider indicative of future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operating performance</w:t>
      </w:r>
    </w:p>
    <w:p>
      <w:pPr>
        <w:spacing w:after="0" w:line="150" w:lineRule="exact"/>
        <w:rPr>
          <w:sz w:val="20"/>
          <w:szCs w:val="20"/>
          <w:color w:val="auto"/>
        </w:rPr>
      </w:pPr>
    </w:p>
    <w:p>
      <w:pPr>
        <w:sectPr>
          <w:pgSz w:w="11900" w:h="16838" w:orient="portrait"/>
          <w:cols w:equalWidth="0" w:num="2">
            <w:col w:w="2260" w:space="720"/>
            <w:col w:w="8460"/>
          </w:cols>
          <w:pgMar w:left="240" w:top="514" w:right="219" w:bottom="1440" w:gutter="0" w:footer="0" w:header="0"/>
          <w:type w:val="continuous"/>
        </w:sectPr>
      </w:pPr>
    </w:p>
    <w:p>
      <w:pPr>
        <w:spacing w:after="0"/>
        <w:rPr>
          <w:sz w:val="20"/>
          <w:szCs w:val="20"/>
          <w:color w:val="auto"/>
        </w:rPr>
      </w:pPr>
      <w:r>
        <w:rPr>
          <w:rFonts w:ascii="Arial" w:cs="Arial" w:eastAsia="Arial" w:hAnsi="Arial"/>
          <w:sz w:val="12"/>
          <w:szCs w:val="12"/>
          <w:color w:val="auto"/>
        </w:rPr>
        <w:t>Alta Wind Portfolio</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AOCL</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ARO</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ARRA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ASC</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ASU</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ATM Program</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August 2017 Drop Down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Seven wind facilities that total 947 MW located in Tehachapi, California and a portfolio of associated land leases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Accumulated Other Comprehensive Loss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Asset Retirement Obligation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American Recovery and Reinvestment Act of 2009</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FASB Accounting Standards Codification, which the FASB established as the source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authoritative GAAP</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Accounting Standards Updates – updates to the ASC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At-The-Market Equity Offering Program</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remaining 25% interest in Wind TE Holdco</w:t>
      </w:r>
    </w:p>
    <w:p>
      <w:pPr>
        <w:spacing w:after="0" w:line="186" w:lineRule="exact"/>
        <w:rPr>
          <w:sz w:val="20"/>
          <w:szCs w:val="20"/>
          <w:color w:val="auto"/>
        </w:rPr>
      </w:pPr>
    </w:p>
    <w:p>
      <w:pPr>
        <w:sectPr>
          <w:pgSz w:w="11900" w:h="16838" w:orient="portrait"/>
          <w:cols w:equalWidth="0" w:num="2">
            <w:col w:w="2260" w:space="720"/>
            <w:col w:w="8460"/>
          </w:cols>
          <w:pgMar w:left="240" w:top="514" w:right="219" w:bottom="1440" w:gutter="0" w:footer="0" w:header="0"/>
          <w:type w:val="continuous"/>
        </w:sectPr>
      </w:pPr>
    </w:p>
    <w:p>
      <w:pPr>
        <w:spacing w:after="0"/>
        <w:rPr>
          <w:sz w:val="20"/>
          <w:szCs w:val="20"/>
          <w:color w:val="auto"/>
        </w:rPr>
      </w:pPr>
      <w:r>
        <w:rPr>
          <w:rFonts w:ascii="Arial" w:cs="Arial" w:eastAsia="Arial" w:hAnsi="Arial"/>
          <w:sz w:val="12"/>
          <w:szCs w:val="12"/>
          <w:color w:val="auto"/>
        </w:rPr>
        <w:t>Bankruptcy Code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Bankruptcy Court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Bridge Credit Agreement</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Buckthorn Solar Drop Down Asset</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CAA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CAFD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color w:val="auto"/>
        </w:rPr>
        <w:t>Carlsbad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CDFW</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CEG</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CEG Master Services Agreement</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CEG ROFO Agreement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CfD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LLC</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Group LLC</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Clearway Energy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Chapter 11 of Title 11 of the United States Code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U.S. Bankruptcy Court for the Northern District of California</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364-Day Bridge Credit Agreement, entered into by and between Clearway Operating LLC, as borrower, and Clearway Energy LLC, as guarantor, on August 31, 2018</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Buckthorn Renewables, LLC, which owns 100% of Buckthorn Solar Portfolio, LLC, which was acquired by Clearway Energy Operating LLC from NRG on March 30, 2018</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Clean Air Act</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Cash Available for Distribution (CAFD) is Adjusted EBITDA plus cash distributions/return of investment from unconsolidated affiliates, cash receipts from notes receivable,</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cash distributions from noncontrolling interests, less cash distributions to noncontrolling interests, maintenance capital expenditures, pro-rata Adjusted EBITDA from</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unconsolidated affiliates, cash interest paid, income taxes paid, principal amortization of indebtedness, Walnut Creek investment payments, and changes in prepaid and accrued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capacity payments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The Carlsbad Energy Center, a 527 MW natural gas fired project located in Carlsbad, CA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California Department of Fish and Wildlife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Group LLC (formerly Zephyr Renewables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Master Services Agreements, entered into as of August 31, 2018, between the Company, Clearway Energy LLC, Clearway Energy Operating LLC, and CEG</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Right of First Offer Agreement, entered into as of August 31, 2018, by and among Clearway Energy Group LLC and Clearway Energy, Inc., and solely for purposes of Section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2.4, GIP III Zephyr Acquisition Partners, L.P.</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Contract for Differences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Formerly NRG Yield LLC, the holding company through which the projects are owned by Clearway Energy Group LLC, the holder of Class B and Class D units,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Inc., the holder of the Class A and Class C units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The holder of the Company's Class B and Class D common shares and Clearway Energy LLC's Class B and Class D units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Formerly NRG Yield Operating LLC, the holder of the project assets that are owned by Clearway Energy LLC</w:t>
      </w:r>
    </w:p>
    <w:p>
      <w:pPr>
        <w:spacing w:after="0" w:line="186" w:lineRule="exact"/>
        <w:rPr>
          <w:sz w:val="20"/>
          <w:szCs w:val="20"/>
          <w:color w:val="auto"/>
        </w:rPr>
      </w:pPr>
    </w:p>
    <w:p>
      <w:pPr>
        <w:sectPr>
          <w:pgSz w:w="11900" w:h="16838" w:orient="portrait"/>
          <w:cols w:equalWidth="0" w:num="2">
            <w:col w:w="2260" w:space="720"/>
            <w:col w:w="8460"/>
          </w:cols>
          <w:pgMar w:left="240" w:top="514" w:right="219" w:bottom="1440" w:gutter="0" w:footer="0" w:header="0"/>
          <w:type w:val="continuous"/>
        </w:sectPr>
      </w:pPr>
    </w:p>
    <w:p>
      <w:pPr>
        <w:jc w:val="center"/>
        <w:ind w:right="2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440"/>
          </w:cols>
          <w:pgMar w:left="240" w:top="514"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53"/>
        </w:trPr>
        <w:tc>
          <w:tcPr>
            <w:tcW w:w="2240" w:type="dxa"/>
            <w:vAlign w:val="bottom"/>
          </w:tcPr>
          <w:p>
            <w:pPr>
              <w:spacing w:after="0"/>
              <w:rPr>
                <w:sz w:val="20"/>
                <w:szCs w:val="20"/>
                <w:color w:val="auto"/>
              </w:rPr>
            </w:pPr>
            <w:r>
              <w:rPr>
                <w:rFonts w:ascii="Arial" w:cs="Arial" w:eastAsia="Arial" w:hAnsi="Arial"/>
                <w:sz w:val="12"/>
                <w:szCs w:val="12"/>
                <w:color w:val="auto"/>
              </w:rPr>
              <w:t>COD</w:t>
            </w:r>
          </w:p>
        </w:tc>
        <w:tc>
          <w:tcPr>
            <w:tcW w:w="9200" w:type="dxa"/>
            <w:vAlign w:val="bottom"/>
          </w:tcPr>
          <w:p>
            <w:pPr>
              <w:ind w:left="740"/>
              <w:spacing w:after="0"/>
              <w:rPr>
                <w:sz w:val="20"/>
                <w:szCs w:val="20"/>
                <w:color w:val="auto"/>
              </w:rPr>
            </w:pPr>
            <w:r>
              <w:rPr>
                <w:rFonts w:ascii="Arial" w:cs="Arial" w:eastAsia="Arial" w:hAnsi="Arial"/>
                <w:sz w:val="12"/>
                <w:szCs w:val="12"/>
                <w:color w:val="auto"/>
              </w:rPr>
              <w:t>Commercial Operation Date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Code</w:t>
            </w:r>
          </w:p>
        </w:tc>
        <w:tc>
          <w:tcPr>
            <w:tcW w:w="9200" w:type="dxa"/>
            <w:vAlign w:val="bottom"/>
          </w:tcPr>
          <w:p>
            <w:pPr>
              <w:ind w:left="740"/>
              <w:spacing w:after="0"/>
              <w:rPr>
                <w:sz w:val="20"/>
                <w:szCs w:val="20"/>
                <w:color w:val="auto"/>
              </w:rPr>
            </w:pPr>
            <w:r>
              <w:rPr>
                <w:rFonts w:ascii="Arial" w:cs="Arial" w:eastAsia="Arial" w:hAnsi="Arial"/>
                <w:sz w:val="12"/>
                <w:szCs w:val="12"/>
                <w:color w:val="auto"/>
              </w:rPr>
              <w:t>Internal Revenue Code of 1986, as amended</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Company</w:t>
            </w:r>
          </w:p>
        </w:tc>
        <w:tc>
          <w:tcPr>
            <w:tcW w:w="9200" w:type="dxa"/>
            <w:vAlign w:val="bottom"/>
          </w:tcPr>
          <w:p>
            <w:pPr>
              <w:ind w:left="740"/>
              <w:spacing w:after="0"/>
              <w:rPr>
                <w:sz w:val="20"/>
                <w:szCs w:val="20"/>
                <w:color w:val="auto"/>
              </w:rPr>
            </w:pPr>
            <w:r>
              <w:rPr>
                <w:rFonts w:ascii="Arial" w:cs="Arial" w:eastAsia="Arial" w:hAnsi="Arial"/>
                <w:sz w:val="12"/>
                <w:szCs w:val="12"/>
                <w:color w:val="auto"/>
              </w:rPr>
              <w:t>Clearway Energy, Inc. together with its consolidated subsidiaries</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CVSR</w:t>
            </w:r>
          </w:p>
        </w:tc>
        <w:tc>
          <w:tcPr>
            <w:tcW w:w="9200" w:type="dxa"/>
            <w:vAlign w:val="bottom"/>
          </w:tcPr>
          <w:p>
            <w:pPr>
              <w:ind w:left="740"/>
              <w:spacing w:after="0"/>
              <w:rPr>
                <w:sz w:val="20"/>
                <w:szCs w:val="20"/>
                <w:color w:val="auto"/>
              </w:rPr>
            </w:pPr>
            <w:r>
              <w:rPr>
                <w:rFonts w:ascii="Arial" w:cs="Arial" w:eastAsia="Arial" w:hAnsi="Arial"/>
                <w:sz w:val="12"/>
                <w:szCs w:val="12"/>
                <w:color w:val="auto"/>
              </w:rPr>
              <w:t>California Valley Solar Ranch</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CVSR Drop Down</w:t>
            </w:r>
          </w:p>
        </w:tc>
        <w:tc>
          <w:tcPr>
            <w:tcW w:w="9200" w:type="dxa"/>
            <w:vAlign w:val="bottom"/>
          </w:tcPr>
          <w:p>
            <w:pPr>
              <w:ind w:left="740"/>
              <w:spacing w:after="0"/>
              <w:rPr>
                <w:sz w:val="20"/>
                <w:szCs w:val="20"/>
                <w:color w:val="auto"/>
              </w:rPr>
            </w:pPr>
            <w:r>
              <w:rPr>
                <w:rFonts w:ascii="Arial" w:cs="Arial" w:eastAsia="Arial" w:hAnsi="Arial"/>
                <w:sz w:val="12"/>
                <w:szCs w:val="12"/>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CVSR Holdco</w:t>
            </w:r>
          </w:p>
        </w:tc>
        <w:tc>
          <w:tcPr>
            <w:tcW w:w="9200" w:type="dxa"/>
            <w:vAlign w:val="bottom"/>
          </w:tcPr>
          <w:p>
            <w:pPr>
              <w:ind w:left="740"/>
              <w:spacing w:after="0"/>
              <w:rPr>
                <w:sz w:val="20"/>
                <w:szCs w:val="20"/>
                <w:color w:val="auto"/>
              </w:rPr>
            </w:pPr>
            <w:r>
              <w:rPr>
                <w:rFonts w:ascii="Arial" w:cs="Arial" w:eastAsia="Arial" w:hAnsi="Arial"/>
                <w:sz w:val="12"/>
                <w:szCs w:val="12"/>
                <w:color w:val="auto"/>
              </w:rPr>
              <w:t>CVSR Holdco LLC, the indirect owner of CVSR</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DGCL</w:t>
            </w:r>
          </w:p>
        </w:tc>
        <w:tc>
          <w:tcPr>
            <w:tcW w:w="9200" w:type="dxa"/>
            <w:vAlign w:val="bottom"/>
          </w:tcPr>
          <w:p>
            <w:pPr>
              <w:ind w:left="740"/>
              <w:spacing w:after="0"/>
              <w:rPr>
                <w:sz w:val="20"/>
                <w:szCs w:val="20"/>
                <w:color w:val="auto"/>
              </w:rPr>
            </w:pPr>
            <w:r>
              <w:rPr>
                <w:rFonts w:ascii="Arial" w:cs="Arial" w:eastAsia="Arial" w:hAnsi="Arial"/>
                <w:sz w:val="12"/>
                <w:szCs w:val="12"/>
                <w:color w:val="auto"/>
              </w:rPr>
              <w:t>Delaware General Corporation Law</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DGPV Holdco 1</w:t>
            </w:r>
          </w:p>
        </w:tc>
        <w:tc>
          <w:tcPr>
            <w:tcW w:w="9200" w:type="dxa"/>
            <w:vAlign w:val="bottom"/>
          </w:tcPr>
          <w:p>
            <w:pPr>
              <w:ind w:left="740"/>
              <w:spacing w:after="0"/>
              <w:rPr>
                <w:sz w:val="20"/>
                <w:szCs w:val="20"/>
                <w:color w:val="auto"/>
              </w:rPr>
            </w:pPr>
            <w:r>
              <w:rPr>
                <w:rFonts w:ascii="Arial" w:cs="Arial" w:eastAsia="Arial" w:hAnsi="Arial"/>
                <w:sz w:val="12"/>
                <w:szCs w:val="12"/>
                <w:color w:val="auto"/>
              </w:rPr>
              <w:t>DGPV Holdco 1 LLC</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DGPV Holdco 2</w:t>
            </w:r>
          </w:p>
        </w:tc>
        <w:tc>
          <w:tcPr>
            <w:tcW w:w="9200" w:type="dxa"/>
            <w:vAlign w:val="bottom"/>
          </w:tcPr>
          <w:p>
            <w:pPr>
              <w:ind w:left="740"/>
              <w:spacing w:after="0"/>
              <w:rPr>
                <w:sz w:val="20"/>
                <w:szCs w:val="20"/>
                <w:color w:val="auto"/>
              </w:rPr>
            </w:pPr>
            <w:r>
              <w:rPr>
                <w:rFonts w:ascii="Arial" w:cs="Arial" w:eastAsia="Arial" w:hAnsi="Arial"/>
                <w:sz w:val="12"/>
                <w:szCs w:val="12"/>
                <w:color w:val="auto"/>
              </w:rPr>
              <w:t>DGPV Holdco 2 LLC</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DGPV Holdco 3</w:t>
            </w:r>
          </w:p>
        </w:tc>
        <w:tc>
          <w:tcPr>
            <w:tcW w:w="9200" w:type="dxa"/>
            <w:vAlign w:val="bottom"/>
          </w:tcPr>
          <w:p>
            <w:pPr>
              <w:ind w:left="740"/>
              <w:spacing w:after="0"/>
              <w:rPr>
                <w:sz w:val="20"/>
                <w:szCs w:val="20"/>
                <w:color w:val="auto"/>
              </w:rPr>
            </w:pPr>
            <w:r>
              <w:rPr>
                <w:rFonts w:ascii="Arial" w:cs="Arial" w:eastAsia="Arial" w:hAnsi="Arial"/>
                <w:sz w:val="12"/>
                <w:szCs w:val="12"/>
                <w:color w:val="auto"/>
              </w:rPr>
              <w:t>DGPV Holdco 3 LLC</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2"/>
                <w:szCs w:val="12"/>
                <w:color w:val="auto"/>
              </w:rPr>
              <w:t>Distributed Solar</w:t>
            </w:r>
          </w:p>
        </w:tc>
        <w:tc>
          <w:tcPr>
            <w:tcW w:w="9200" w:type="dxa"/>
            <w:vAlign w:val="bottom"/>
          </w:tcPr>
          <w:p>
            <w:pPr>
              <w:ind w:left="740"/>
              <w:spacing w:after="0"/>
              <w:rPr>
                <w:sz w:val="20"/>
                <w:szCs w:val="20"/>
                <w:color w:val="auto"/>
              </w:rPr>
            </w:pPr>
            <w:r>
              <w:rPr>
                <w:rFonts w:ascii="Arial" w:cs="Arial" w:eastAsia="Arial" w:hAnsi="Arial"/>
                <w:sz w:val="12"/>
                <w:szCs w:val="12"/>
                <w:color w:val="auto"/>
                <w:w w:val="93"/>
              </w:rPr>
              <w:t>Solar power projects, typically less than 20 MW in size, that primarily sell power produced to customers for usage on site, or are interconnected to sell power into the local</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9200" w:type="dxa"/>
            <w:vAlign w:val="bottom"/>
          </w:tcPr>
          <w:p>
            <w:pPr>
              <w:ind w:left="740"/>
              <w:spacing w:after="0"/>
              <w:rPr>
                <w:sz w:val="20"/>
                <w:szCs w:val="20"/>
                <w:color w:val="auto"/>
              </w:rPr>
            </w:pPr>
            <w:r>
              <w:rPr>
                <w:rFonts w:ascii="Arial" w:cs="Arial" w:eastAsia="Arial" w:hAnsi="Arial"/>
                <w:sz w:val="12"/>
                <w:szCs w:val="12"/>
                <w:color w:val="auto"/>
              </w:rPr>
              <w:t>distribution grid</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Drop Down Assets</w:t>
            </w:r>
          </w:p>
        </w:tc>
        <w:tc>
          <w:tcPr>
            <w:tcW w:w="9200" w:type="dxa"/>
            <w:vAlign w:val="bottom"/>
          </w:tcPr>
          <w:p>
            <w:pPr>
              <w:ind w:left="740"/>
              <w:spacing w:after="0"/>
              <w:rPr>
                <w:sz w:val="20"/>
                <w:szCs w:val="20"/>
                <w:color w:val="auto"/>
              </w:rPr>
            </w:pPr>
            <w:r>
              <w:rPr>
                <w:rFonts w:ascii="Arial" w:cs="Arial" w:eastAsia="Arial" w:hAnsi="Arial"/>
                <w:sz w:val="12"/>
                <w:szCs w:val="12"/>
                <w:color w:val="auto"/>
              </w:rPr>
              <w:t>Collectively, assets under common control acquired by the Company from NRG from January 1, 2014 through the period ended August 31, 2018</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Economic Gross Margin</w:t>
            </w:r>
          </w:p>
        </w:tc>
        <w:tc>
          <w:tcPr>
            <w:tcW w:w="9200" w:type="dxa"/>
            <w:vAlign w:val="bottom"/>
          </w:tcPr>
          <w:p>
            <w:pPr>
              <w:ind w:left="740"/>
              <w:spacing w:after="0"/>
              <w:rPr>
                <w:sz w:val="20"/>
                <w:szCs w:val="20"/>
                <w:color w:val="auto"/>
              </w:rPr>
            </w:pPr>
            <w:r>
              <w:rPr>
                <w:rFonts w:ascii="Arial" w:cs="Arial" w:eastAsia="Arial" w:hAnsi="Arial"/>
                <w:sz w:val="12"/>
                <w:szCs w:val="12"/>
                <w:color w:val="auto"/>
              </w:rPr>
              <w:t>Energy and capacity revenue, less cost of fuels</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ECP</w:t>
            </w:r>
          </w:p>
        </w:tc>
        <w:tc>
          <w:tcPr>
            <w:tcW w:w="9200" w:type="dxa"/>
            <w:vAlign w:val="bottom"/>
          </w:tcPr>
          <w:p>
            <w:pPr>
              <w:ind w:left="740"/>
              <w:spacing w:after="0"/>
              <w:rPr>
                <w:sz w:val="20"/>
                <w:szCs w:val="20"/>
                <w:color w:val="auto"/>
              </w:rPr>
            </w:pPr>
            <w:r>
              <w:rPr>
                <w:rFonts w:ascii="Arial" w:cs="Arial" w:eastAsia="Arial" w:hAnsi="Arial"/>
                <w:sz w:val="12"/>
                <w:szCs w:val="12"/>
                <w:color w:val="auto"/>
              </w:rPr>
              <w:t>Energy Center Pittsburgh LLC, a subsidiary of the Company</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EGU</w:t>
            </w:r>
          </w:p>
        </w:tc>
        <w:tc>
          <w:tcPr>
            <w:tcW w:w="9200" w:type="dxa"/>
            <w:vAlign w:val="bottom"/>
            <w:vMerge w:val="restart"/>
          </w:tcPr>
          <w:p>
            <w:pPr>
              <w:ind w:left="740"/>
              <w:spacing w:after="0"/>
              <w:rPr>
                <w:sz w:val="20"/>
                <w:szCs w:val="20"/>
                <w:color w:val="auto"/>
              </w:rPr>
            </w:pPr>
            <w:r>
              <w:rPr>
                <w:rFonts w:ascii="Arial" w:cs="Arial" w:eastAsia="Arial" w:hAnsi="Arial"/>
                <w:sz w:val="12"/>
                <w:szCs w:val="12"/>
                <w:color w:val="auto"/>
              </w:rPr>
              <w:t>Electric Utility Generating Unit</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9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2"/>
                <w:szCs w:val="12"/>
                <w:color w:val="auto"/>
              </w:rPr>
              <w:t>EPA</w:t>
            </w:r>
          </w:p>
        </w:tc>
        <w:tc>
          <w:tcPr>
            <w:tcW w:w="9200" w:type="dxa"/>
            <w:vAlign w:val="bottom"/>
            <w:vMerge w:val="restart"/>
          </w:tcPr>
          <w:p>
            <w:pPr>
              <w:ind w:left="740"/>
              <w:spacing w:after="0"/>
              <w:rPr>
                <w:sz w:val="20"/>
                <w:szCs w:val="20"/>
                <w:color w:val="auto"/>
              </w:rPr>
            </w:pPr>
            <w:r>
              <w:rPr>
                <w:rFonts w:ascii="Arial" w:cs="Arial" w:eastAsia="Arial" w:hAnsi="Arial"/>
                <w:sz w:val="12"/>
                <w:szCs w:val="12"/>
                <w:color w:val="auto"/>
              </w:rPr>
              <w:t>United States Environmental Protection Agency</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9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2"/>
                <w:szCs w:val="12"/>
                <w:color w:val="auto"/>
              </w:rPr>
              <w:t>EPC</w:t>
            </w:r>
          </w:p>
        </w:tc>
        <w:tc>
          <w:tcPr>
            <w:tcW w:w="9200" w:type="dxa"/>
            <w:vAlign w:val="bottom"/>
          </w:tcPr>
          <w:p>
            <w:pPr>
              <w:ind w:left="740"/>
              <w:spacing w:after="0"/>
              <w:rPr>
                <w:sz w:val="20"/>
                <w:szCs w:val="20"/>
                <w:color w:val="auto"/>
              </w:rPr>
            </w:pPr>
            <w:r>
              <w:rPr>
                <w:rFonts w:ascii="Arial" w:cs="Arial" w:eastAsia="Arial" w:hAnsi="Arial"/>
                <w:sz w:val="12"/>
                <w:szCs w:val="12"/>
                <w:color w:val="auto"/>
              </w:rPr>
              <w:t>Engineering, Procurement and Construction</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ERCOT</w:t>
            </w:r>
          </w:p>
        </w:tc>
        <w:tc>
          <w:tcPr>
            <w:tcW w:w="9200" w:type="dxa"/>
            <w:vAlign w:val="bottom"/>
          </w:tcPr>
          <w:p>
            <w:pPr>
              <w:ind w:left="740"/>
              <w:spacing w:after="0"/>
              <w:rPr>
                <w:sz w:val="20"/>
                <w:szCs w:val="20"/>
                <w:color w:val="auto"/>
              </w:rPr>
            </w:pPr>
            <w:r>
              <w:rPr>
                <w:rFonts w:ascii="Arial" w:cs="Arial" w:eastAsia="Arial" w:hAnsi="Arial"/>
                <w:sz w:val="12"/>
                <w:szCs w:val="12"/>
                <w:color w:val="auto"/>
              </w:rPr>
              <w:t>Electric Reliability Council of Texas, the ISO and the regional reliability coordinator of the various electricity systems within Texas</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EWG</w:t>
            </w:r>
          </w:p>
        </w:tc>
        <w:tc>
          <w:tcPr>
            <w:tcW w:w="9200" w:type="dxa"/>
            <w:vAlign w:val="bottom"/>
          </w:tcPr>
          <w:p>
            <w:pPr>
              <w:ind w:left="740"/>
              <w:spacing w:after="0"/>
              <w:rPr>
                <w:sz w:val="20"/>
                <w:szCs w:val="20"/>
                <w:color w:val="auto"/>
              </w:rPr>
            </w:pPr>
            <w:r>
              <w:rPr>
                <w:rFonts w:ascii="Arial" w:cs="Arial" w:eastAsia="Arial" w:hAnsi="Arial"/>
                <w:sz w:val="12"/>
                <w:szCs w:val="12"/>
                <w:color w:val="auto"/>
              </w:rPr>
              <w:t>Exempt Wholesale Generator</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Exchange Act</w:t>
            </w:r>
          </w:p>
        </w:tc>
        <w:tc>
          <w:tcPr>
            <w:tcW w:w="9200" w:type="dxa"/>
            <w:vAlign w:val="bottom"/>
          </w:tcPr>
          <w:p>
            <w:pPr>
              <w:ind w:left="740"/>
              <w:spacing w:after="0"/>
              <w:rPr>
                <w:sz w:val="20"/>
                <w:szCs w:val="20"/>
                <w:color w:val="auto"/>
              </w:rPr>
            </w:pPr>
            <w:r>
              <w:rPr>
                <w:rFonts w:ascii="Arial" w:cs="Arial" w:eastAsia="Arial" w:hAnsi="Arial"/>
                <w:sz w:val="12"/>
                <w:szCs w:val="12"/>
                <w:color w:val="auto"/>
              </w:rPr>
              <w:t>The Securities Exchange Act of 1934, as amended</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FASB</w:t>
            </w:r>
          </w:p>
        </w:tc>
        <w:tc>
          <w:tcPr>
            <w:tcW w:w="9200" w:type="dxa"/>
            <w:vAlign w:val="bottom"/>
          </w:tcPr>
          <w:p>
            <w:pPr>
              <w:ind w:left="740"/>
              <w:spacing w:after="0"/>
              <w:rPr>
                <w:sz w:val="20"/>
                <w:szCs w:val="20"/>
                <w:color w:val="auto"/>
              </w:rPr>
            </w:pPr>
            <w:r>
              <w:rPr>
                <w:rFonts w:ascii="Arial" w:cs="Arial" w:eastAsia="Arial" w:hAnsi="Arial"/>
                <w:sz w:val="12"/>
                <w:szCs w:val="12"/>
                <w:color w:val="auto"/>
              </w:rPr>
              <w:t>Financial Accounting Standards Board</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FERC</w:t>
            </w:r>
          </w:p>
        </w:tc>
        <w:tc>
          <w:tcPr>
            <w:tcW w:w="9200" w:type="dxa"/>
            <w:vAlign w:val="bottom"/>
          </w:tcPr>
          <w:p>
            <w:pPr>
              <w:ind w:left="740"/>
              <w:spacing w:after="0"/>
              <w:rPr>
                <w:sz w:val="20"/>
                <w:szCs w:val="20"/>
                <w:color w:val="auto"/>
              </w:rPr>
            </w:pPr>
            <w:r>
              <w:rPr>
                <w:rFonts w:ascii="Arial" w:cs="Arial" w:eastAsia="Arial" w:hAnsi="Arial"/>
                <w:sz w:val="12"/>
                <w:szCs w:val="12"/>
                <w:color w:val="auto"/>
              </w:rPr>
              <w:t>Federal Energy Regulatory Commission</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FPA</w:t>
            </w:r>
          </w:p>
        </w:tc>
        <w:tc>
          <w:tcPr>
            <w:tcW w:w="9200" w:type="dxa"/>
            <w:vAlign w:val="bottom"/>
          </w:tcPr>
          <w:p>
            <w:pPr>
              <w:ind w:left="740"/>
              <w:spacing w:after="0"/>
              <w:rPr>
                <w:sz w:val="20"/>
                <w:szCs w:val="20"/>
                <w:color w:val="auto"/>
              </w:rPr>
            </w:pPr>
            <w:r>
              <w:rPr>
                <w:rFonts w:ascii="Arial" w:cs="Arial" w:eastAsia="Arial" w:hAnsi="Arial"/>
                <w:sz w:val="12"/>
                <w:szCs w:val="12"/>
                <w:color w:val="auto"/>
              </w:rPr>
              <w:t>Federal Power Act</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GAAP</w:t>
            </w:r>
          </w:p>
        </w:tc>
        <w:tc>
          <w:tcPr>
            <w:tcW w:w="9200" w:type="dxa"/>
            <w:vAlign w:val="bottom"/>
          </w:tcPr>
          <w:p>
            <w:pPr>
              <w:ind w:left="740"/>
              <w:spacing w:after="0"/>
              <w:rPr>
                <w:sz w:val="20"/>
                <w:szCs w:val="20"/>
                <w:color w:val="auto"/>
              </w:rPr>
            </w:pPr>
            <w:r>
              <w:rPr>
                <w:rFonts w:ascii="Arial" w:cs="Arial" w:eastAsia="Arial" w:hAnsi="Arial"/>
                <w:sz w:val="12"/>
                <w:szCs w:val="12"/>
                <w:color w:val="auto"/>
              </w:rPr>
              <w:t>Accounting principles generally accepted in the U.S.</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GenConn</w:t>
            </w:r>
          </w:p>
        </w:tc>
        <w:tc>
          <w:tcPr>
            <w:tcW w:w="9200" w:type="dxa"/>
            <w:vAlign w:val="bottom"/>
          </w:tcPr>
          <w:p>
            <w:pPr>
              <w:ind w:left="740"/>
              <w:spacing w:after="0"/>
              <w:rPr>
                <w:sz w:val="20"/>
                <w:szCs w:val="20"/>
                <w:color w:val="auto"/>
              </w:rPr>
            </w:pPr>
            <w:r>
              <w:rPr>
                <w:rFonts w:ascii="Arial" w:cs="Arial" w:eastAsia="Arial" w:hAnsi="Arial"/>
                <w:sz w:val="12"/>
                <w:szCs w:val="12"/>
                <w:color w:val="auto"/>
              </w:rPr>
              <w:t>GenConn Energy LLC</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GHG</w:t>
            </w:r>
          </w:p>
        </w:tc>
        <w:tc>
          <w:tcPr>
            <w:tcW w:w="9200" w:type="dxa"/>
            <w:vAlign w:val="bottom"/>
          </w:tcPr>
          <w:p>
            <w:pPr>
              <w:ind w:left="740"/>
              <w:spacing w:after="0"/>
              <w:rPr>
                <w:sz w:val="20"/>
                <w:szCs w:val="20"/>
                <w:color w:val="auto"/>
              </w:rPr>
            </w:pPr>
            <w:r>
              <w:rPr>
                <w:rFonts w:ascii="Arial" w:cs="Arial" w:eastAsia="Arial" w:hAnsi="Arial"/>
                <w:sz w:val="12"/>
                <w:szCs w:val="12"/>
                <w:color w:val="auto"/>
              </w:rPr>
              <w:t>Greenhouse gas</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GIM</w:t>
            </w:r>
          </w:p>
        </w:tc>
        <w:tc>
          <w:tcPr>
            <w:tcW w:w="9200" w:type="dxa"/>
            <w:vAlign w:val="bottom"/>
          </w:tcPr>
          <w:p>
            <w:pPr>
              <w:ind w:left="740"/>
              <w:spacing w:after="0"/>
              <w:rPr>
                <w:sz w:val="20"/>
                <w:szCs w:val="20"/>
                <w:color w:val="auto"/>
              </w:rPr>
            </w:pPr>
            <w:r>
              <w:rPr>
                <w:rFonts w:ascii="Arial" w:cs="Arial" w:eastAsia="Arial" w:hAnsi="Arial"/>
                <w:sz w:val="12"/>
                <w:szCs w:val="12"/>
                <w:color w:val="auto"/>
              </w:rPr>
              <w:t>Global Infrastructure Management, LLC</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2"/>
                <w:szCs w:val="12"/>
                <w:color w:val="auto"/>
              </w:rPr>
              <w:t>GIP</w:t>
            </w:r>
          </w:p>
        </w:tc>
        <w:tc>
          <w:tcPr>
            <w:tcW w:w="9200" w:type="dxa"/>
            <w:vAlign w:val="bottom"/>
          </w:tcPr>
          <w:p>
            <w:pPr>
              <w:ind w:left="740"/>
              <w:spacing w:after="0"/>
              <w:rPr>
                <w:sz w:val="20"/>
                <w:szCs w:val="20"/>
                <w:color w:val="auto"/>
              </w:rPr>
            </w:pPr>
            <w:r>
              <w:rPr>
                <w:rFonts w:ascii="Arial" w:cs="Arial" w:eastAsia="Arial" w:hAnsi="Arial"/>
                <w:sz w:val="12"/>
                <w:szCs w:val="12"/>
                <w:color w:val="auto"/>
                <w:w w:val="93"/>
              </w:rPr>
              <w:t>Collectively, Global Infrastructure Partners III-C Intermediate AIV 3, L.P., Global Infrastructure Partners III-A/B AIV 3, L.P., Global Infrastructure Partners III-C Intermediate</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9200" w:type="dxa"/>
            <w:vAlign w:val="bottom"/>
          </w:tcPr>
          <w:p>
            <w:pPr>
              <w:ind w:left="740"/>
              <w:spacing w:after="0"/>
              <w:rPr>
                <w:sz w:val="20"/>
                <w:szCs w:val="20"/>
                <w:color w:val="auto"/>
              </w:rPr>
            </w:pPr>
            <w:r>
              <w:rPr>
                <w:rFonts w:ascii="Arial" w:cs="Arial" w:eastAsia="Arial" w:hAnsi="Arial"/>
                <w:sz w:val="12"/>
                <w:szCs w:val="12"/>
                <w:color w:val="auto"/>
              </w:rPr>
              <w:t>AIV 2, L.P., Global Infrastructure Partners III-C2 Intermediate AIV, L.P. and GIP III Zephyr Friends &amp; Family, LLC.</w:t>
            </w:r>
          </w:p>
        </w:tc>
        <w:tc>
          <w:tcPr>
            <w:tcW w:w="0" w:type="dxa"/>
            <w:vAlign w:val="bottom"/>
          </w:tcPr>
          <w:p>
            <w:pPr>
              <w:spacing w:after="0"/>
              <w:rPr>
                <w:sz w:val="1"/>
                <w:szCs w:val="1"/>
                <w:color w:val="auto"/>
              </w:rPr>
            </w:pPr>
          </w:p>
        </w:tc>
      </w:tr>
      <w:tr>
        <w:trPr>
          <w:trHeight w:val="315"/>
        </w:trPr>
        <w:tc>
          <w:tcPr>
            <w:tcW w:w="2240" w:type="dxa"/>
            <w:vAlign w:val="bottom"/>
          </w:tcPr>
          <w:p>
            <w:pPr>
              <w:spacing w:after="0"/>
              <w:rPr>
                <w:sz w:val="20"/>
                <w:szCs w:val="20"/>
                <w:color w:val="auto"/>
              </w:rPr>
            </w:pPr>
            <w:r>
              <w:rPr>
                <w:rFonts w:ascii="Arial" w:cs="Arial" w:eastAsia="Arial" w:hAnsi="Arial"/>
                <w:sz w:val="12"/>
                <w:szCs w:val="12"/>
                <w:color w:val="auto"/>
              </w:rPr>
              <w:t>GIP Transaction</w:t>
            </w:r>
          </w:p>
        </w:tc>
        <w:tc>
          <w:tcPr>
            <w:tcW w:w="9200" w:type="dxa"/>
            <w:vAlign w:val="bottom"/>
          </w:tcPr>
          <w:p>
            <w:pPr>
              <w:ind w:left="740"/>
              <w:spacing w:after="0"/>
              <w:rPr>
                <w:sz w:val="20"/>
                <w:szCs w:val="20"/>
                <w:color w:val="auto"/>
              </w:rPr>
            </w:pPr>
            <w:r>
              <w:rPr>
                <w:rFonts w:ascii="Arial" w:cs="Arial" w:eastAsia="Arial" w:hAnsi="Arial"/>
                <w:sz w:val="12"/>
                <w:szCs w:val="12"/>
                <w:color w:val="auto"/>
                <w:w w:val="94"/>
              </w:rPr>
              <w:t>On August 31, 2018, NRG transferred its full ownership interest in the Company to Clearway Energy Group LLC and subsequently sold 100% of its interests in Clearway</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9200" w:type="dxa"/>
            <w:vAlign w:val="bottom"/>
          </w:tcPr>
          <w:p>
            <w:pPr>
              <w:ind w:left="740"/>
              <w:spacing w:after="0"/>
              <w:rPr>
                <w:sz w:val="20"/>
                <w:szCs w:val="20"/>
                <w:color w:val="auto"/>
              </w:rPr>
            </w:pPr>
            <w:r>
              <w:rPr>
                <w:rFonts w:ascii="Arial" w:cs="Arial" w:eastAsia="Arial" w:hAnsi="Arial"/>
                <w:sz w:val="12"/>
                <w:szCs w:val="12"/>
                <w:color w:val="auto"/>
                <w:w w:val="94"/>
              </w:rPr>
              <w:t>Energy Group LLC, which includes NRG's renewable energy development and operations platform, to an affiliate of GIP. GIP, NRG and the Company also entered into a</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9200" w:type="dxa"/>
            <w:vAlign w:val="bottom"/>
          </w:tcPr>
          <w:p>
            <w:pPr>
              <w:ind w:left="740"/>
              <w:spacing w:after="0"/>
              <w:rPr>
                <w:sz w:val="20"/>
                <w:szCs w:val="20"/>
                <w:color w:val="auto"/>
              </w:rPr>
            </w:pPr>
            <w:r>
              <w:rPr>
                <w:rFonts w:ascii="Arial" w:cs="Arial" w:eastAsia="Arial" w:hAnsi="Arial"/>
                <w:sz w:val="12"/>
                <w:szCs w:val="12"/>
                <w:color w:val="auto"/>
              </w:rPr>
              <w:t>consent and indemnity agreement in connection with the purchase and sale agreement, which was signed on February 6, 2018</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HLBV</w:t>
            </w:r>
          </w:p>
        </w:tc>
        <w:tc>
          <w:tcPr>
            <w:tcW w:w="9200" w:type="dxa"/>
            <w:vAlign w:val="bottom"/>
          </w:tcPr>
          <w:p>
            <w:pPr>
              <w:ind w:left="740"/>
              <w:spacing w:after="0"/>
              <w:rPr>
                <w:sz w:val="20"/>
                <w:szCs w:val="20"/>
                <w:color w:val="auto"/>
              </w:rPr>
            </w:pPr>
            <w:r>
              <w:rPr>
                <w:rFonts w:ascii="Arial" w:cs="Arial" w:eastAsia="Arial" w:hAnsi="Arial"/>
                <w:sz w:val="12"/>
                <w:szCs w:val="12"/>
                <w:color w:val="auto"/>
              </w:rPr>
              <w:t>Hypothetical Liquidation at Book Value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IRS</w:t>
            </w:r>
          </w:p>
        </w:tc>
        <w:tc>
          <w:tcPr>
            <w:tcW w:w="9200" w:type="dxa"/>
            <w:vAlign w:val="bottom"/>
          </w:tcPr>
          <w:p>
            <w:pPr>
              <w:ind w:left="740"/>
              <w:spacing w:after="0"/>
              <w:rPr>
                <w:sz w:val="20"/>
                <w:szCs w:val="20"/>
                <w:color w:val="auto"/>
              </w:rPr>
            </w:pPr>
            <w:r>
              <w:rPr>
                <w:rFonts w:ascii="Arial" w:cs="Arial" w:eastAsia="Arial" w:hAnsi="Arial"/>
                <w:sz w:val="12"/>
                <w:szCs w:val="12"/>
                <w:color w:val="auto"/>
              </w:rPr>
              <w:t>Internal Revenue Service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ISO</w:t>
            </w:r>
          </w:p>
        </w:tc>
        <w:tc>
          <w:tcPr>
            <w:tcW w:w="9200" w:type="dxa"/>
            <w:vAlign w:val="bottom"/>
          </w:tcPr>
          <w:p>
            <w:pPr>
              <w:ind w:left="740"/>
              <w:spacing w:after="0"/>
              <w:rPr>
                <w:sz w:val="20"/>
                <w:szCs w:val="20"/>
                <w:color w:val="auto"/>
              </w:rPr>
            </w:pPr>
            <w:r>
              <w:rPr>
                <w:rFonts w:ascii="Arial" w:cs="Arial" w:eastAsia="Arial" w:hAnsi="Arial"/>
                <w:sz w:val="12"/>
                <w:szCs w:val="12"/>
                <w:color w:val="auto"/>
              </w:rPr>
              <w:t>Independent System Operator, also referred to as an RTO</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ITC</w:t>
            </w:r>
          </w:p>
        </w:tc>
        <w:tc>
          <w:tcPr>
            <w:tcW w:w="9200" w:type="dxa"/>
            <w:vAlign w:val="bottom"/>
          </w:tcPr>
          <w:p>
            <w:pPr>
              <w:ind w:left="740"/>
              <w:spacing w:after="0"/>
              <w:rPr>
                <w:sz w:val="20"/>
                <w:szCs w:val="20"/>
                <w:color w:val="auto"/>
              </w:rPr>
            </w:pPr>
            <w:r>
              <w:rPr>
                <w:rFonts w:ascii="Arial" w:cs="Arial" w:eastAsia="Arial" w:hAnsi="Arial"/>
                <w:sz w:val="12"/>
                <w:szCs w:val="12"/>
                <w:color w:val="auto"/>
              </w:rPr>
              <w:t>Investment Tax Credit</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KPPH</w:t>
            </w:r>
          </w:p>
        </w:tc>
        <w:tc>
          <w:tcPr>
            <w:tcW w:w="9200" w:type="dxa"/>
            <w:vAlign w:val="bottom"/>
          </w:tcPr>
          <w:p>
            <w:pPr>
              <w:ind w:left="740"/>
              <w:spacing w:after="0"/>
              <w:rPr>
                <w:sz w:val="20"/>
                <w:szCs w:val="20"/>
                <w:color w:val="auto"/>
              </w:rPr>
            </w:pPr>
            <w:r>
              <w:rPr>
                <w:rFonts w:ascii="Arial" w:cs="Arial" w:eastAsia="Arial" w:hAnsi="Arial"/>
                <w:sz w:val="12"/>
                <w:szCs w:val="12"/>
                <w:color w:val="auto"/>
              </w:rPr>
              <w:t>1,000 Pounds Per Hour</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LIBOR</w:t>
            </w:r>
          </w:p>
        </w:tc>
        <w:tc>
          <w:tcPr>
            <w:tcW w:w="9200" w:type="dxa"/>
            <w:vAlign w:val="bottom"/>
          </w:tcPr>
          <w:p>
            <w:pPr>
              <w:ind w:left="740"/>
              <w:spacing w:after="0"/>
              <w:rPr>
                <w:sz w:val="20"/>
                <w:szCs w:val="20"/>
                <w:color w:val="auto"/>
              </w:rPr>
            </w:pPr>
            <w:r>
              <w:rPr>
                <w:rFonts w:ascii="Arial" w:cs="Arial" w:eastAsia="Arial" w:hAnsi="Arial"/>
                <w:sz w:val="12"/>
                <w:szCs w:val="12"/>
                <w:color w:val="auto"/>
              </w:rPr>
              <w:t>London Inter-Bank Offered Rate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2"/>
                <w:szCs w:val="12"/>
                <w:color w:val="auto"/>
              </w:rPr>
              <w:t>March 2017 Drop Down Assets</w:t>
            </w:r>
          </w:p>
        </w:tc>
        <w:tc>
          <w:tcPr>
            <w:tcW w:w="9200" w:type="dxa"/>
            <w:vAlign w:val="bottom"/>
          </w:tcPr>
          <w:p>
            <w:pPr>
              <w:ind w:left="740"/>
              <w:spacing w:after="0"/>
              <w:rPr>
                <w:sz w:val="20"/>
                <w:szCs w:val="20"/>
                <w:color w:val="auto"/>
              </w:rPr>
            </w:pPr>
            <w:r>
              <w:rPr>
                <w:rFonts w:ascii="Arial" w:cs="Arial" w:eastAsia="Arial" w:hAnsi="Arial"/>
                <w:sz w:val="12"/>
                <w:szCs w:val="12"/>
                <w:color w:val="auto"/>
                <w:w w:val="92"/>
              </w:rPr>
              <w:t>(i) Agua Caliente Borrower 2 LLC, which owns a 16% interest (approximately 31% of NRG's 51% interest) in the Agua Caliente solar farm and (ii) NRG's 100% ownership in</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9200" w:type="dxa"/>
            <w:vAlign w:val="bottom"/>
          </w:tcPr>
          <w:p>
            <w:pPr>
              <w:ind w:left="740"/>
              <w:spacing w:after="0"/>
              <w:rPr>
                <w:sz w:val="20"/>
                <w:szCs w:val="20"/>
                <w:color w:val="auto"/>
              </w:rPr>
            </w:pPr>
            <w:r>
              <w:rPr>
                <w:rFonts w:ascii="Arial" w:cs="Arial" w:eastAsia="Arial" w:hAnsi="Arial"/>
                <w:sz w:val="12"/>
                <w:szCs w:val="12"/>
                <w:color w:val="auto"/>
              </w:rPr>
              <w:t>the Class A equity interests in the Utah Solar Portfolio (defined below), both acquired by Clearway Energy Operating LLC on March 27, 2017</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2"/>
                <w:szCs w:val="12"/>
                <w:color w:val="auto"/>
              </w:rPr>
              <w:t>MBTA</w:t>
            </w:r>
          </w:p>
        </w:tc>
        <w:tc>
          <w:tcPr>
            <w:tcW w:w="9200" w:type="dxa"/>
            <w:vAlign w:val="bottom"/>
          </w:tcPr>
          <w:p>
            <w:pPr>
              <w:ind w:left="740"/>
              <w:spacing w:after="0"/>
              <w:rPr>
                <w:sz w:val="20"/>
                <w:szCs w:val="20"/>
                <w:color w:val="auto"/>
              </w:rPr>
            </w:pPr>
            <w:r>
              <w:rPr>
                <w:rFonts w:ascii="Arial" w:cs="Arial" w:eastAsia="Arial" w:hAnsi="Arial"/>
                <w:sz w:val="12"/>
                <w:szCs w:val="12"/>
                <w:color w:val="auto"/>
              </w:rPr>
              <w:t>Migratory Bird Treaty Act</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ectPr>
          <w:pgSz w:w="11900" w:h="16838" w:orient="portrait"/>
          <w:cols w:equalWidth="0" w:num="1">
            <w:col w:w="11440"/>
          </w:cols>
          <w:pgMar w:left="240" w:top="626" w:right="2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40" w:type="dxa"/>
            <w:vAlign w:val="bottom"/>
          </w:tcPr>
          <w:p>
            <w:pPr>
              <w:spacing w:after="0"/>
              <w:rPr>
                <w:sz w:val="20"/>
                <w:szCs w:val="20"/>
                <w:color w:val="auto"/>
              </w:rPr>
            </w:pPr>
            <w:r>
              <w:rPr>
                <w:rFonts w:ascii="Arial" w:cs="Arial" w:eastAsia="Arial" w:hAnsi="Arial"/>
                <w:sz w:val="12"/>
                <w:szCs w:val="12"/>
                <w:color w:val="auto"/>
              </w:rPr>
              <w:t>MMBtu</w:t>
            </w:r>
          </w:p>
        </w:tc>
        <w:tc>
          <w:tcPr>
            <w:tcW w:w="9100" w:type="dxa"/>
            <w:vAlign w:val="bottom"/>
          </w:tcPr>
          <w:p>
            <w:pPr>
              <w:ind w:left="640"/>
              <w:spacing w:after="0"/>
              <w:rPr>
                <w:sz w:val="20"/>
                <w:szCs w:val="20"/>
                <w:color w:val="auto"/>
              </w:rPr>
            </w:pPr>
            <w:r>
              <w:rPr>
                <w:rFonts w:ascii="Arial" w:cs="Arial" w:eastAsia="Arial" w:hAnsi="Arial"/>
                <w:sz w:val="12"/>
                <w:szCs w:val="12"/>
                <w:color w:val="auto"/>
              </w:rPr>
              <w:t>Million British Thermal Units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MW</w:t>
            </w:r>
          </w:p>
        </w:tc>
        <w:tc>
          <w:tcPr>
            <w:tcW w:w="9100" w:type="dxa"/>
            <w:vAlign w:val="bottom"/>
          </w:tcPr>
          <w:p>
            <w:pPr>
              <w:ind w:left="640"/>
              <w:spacing w:after="0"/>
              <w:rPr>
                <w:sz w:val="20"/>
                <w:szCs w:val="20"/>
                <w:color w:val="auto"/>
              </w:rPr>
            </w:pPr>
            <w:r>
              <w:rPr>
                <w:rFonts w:ascii="Arial" w:cs="Arial" w:eastAsia="Arial" w:hAnsi="Arial"/>
                <w:sz w:val="12"/>
                <w:szCs w:val="12"/>
                <w:color w:val="auto"/>
              </w:rPr>
              <w:t>Megawatt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MWh</w:t>
            </w:r>
          </w:p>
        </w:tc>
        <w:tc>
          <w:tcPr>
            <w:tcW w:w="9100" w:type="dxa"/>
            <w:vAlign w:val="bottom"/>
          </w:tcPr>
          <w:p>
            <w:pPr>
              <w:ind w:left="640"/>
              <w:spacing w:after="0"/>
              <w:rPr>
                <w:sz w:val="20"/>
                <w:szCs w:val="20"/>
                <w:color w:val="auto"/>
              </w:rPr>
            </w:pPr>
            <w:r>
              <w:rPr>
                <w:rFonts w:ascii="Arial" w:cs="Arial" w:eastAsia="Arial" w:hAnsi="Arial"/>
                <w:sz w:val="12"/>
                <w:szCs w:val="12"/>
                <w:color w:val="auto"/>
              </w:rPr>
              <w:t>Saleable megawatt hours, net of internal/parasitic load megawatt-hours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MWt</w:t>
            </w:r>
          </w:p>
        </w:tc>
        <w:tc>
          <w:tcPr>
            <w:tcW w:w="9100" w:type="dxa"/>
            <w:vAlign w:val="bottom"/>
          </w:tcPr>
          <w:p>
            <w:pPr>
              <w:ind w:left="640"/>
              <w:spacing w:after="0"/>
              <w:rPr>
                <w:sz w:val="20"/>
                <w:szCs w:val="20"/>
                <w:color w:val="auto"/>
              </w:rPr>
            </w:pPr>
            <w:r>
              <w:rPr>
                <w:rFonts w:ascii="Arial" w:cs="Arial" w:eastAsia="Arial" w:hAnsi="Arial"/>
                <w:sz w:val="12"/>
                <w:szCs w:val="12"/>
                <w:color w:val="auto"/>
              </w:rPr>
              <w:t>Megawatts Thermal Equivalent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NERC</w:t>
            </w:r>
          </w:p>
        </w:tc>
        <w:tc>
          <w:tcPr>
            <w:tcW w:w="9100" w:type="dxa"/>
            <w:vAlign w:val="bottom"/>
          </w:tcPr>
          <w:p>
            <w:pPr>
              <w:ind w:left="640"/>
              <w:spacing w:after="0"/>
              <w:rPr>
                <w:sz w:val="20"/>
                <w:szCs w:val="20"/>
                <w:color w:val="auto"/>
              </w:rPr>
            </w:pPr>
            <w:r>
              <w:rPr>
                <w:rFonts w:ascii="Arial" w:cs="Arial" w:eastAsia="Arial" w:hAnsi="Arial"/>
                <w:sz w:val="12"/>
                <w:szCs w:val="12"/>
                <w:color w:val="auto"/>
              </w:rPr>
              <w:t>North American Electric Reliability Corporation</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Net Exposure</w:t>
            </w:r>
          </w:p>
        </w:tc>
        <w:tc>
          <w:tcPr>
            <w:tcW w:w="9100" w:type="dxa"/>
            <w:vAlign w:val="bottom"/>
          </w:tcPr>
          <w:p>
            <w:pPr>
              <w:ind w:left="640"/>
              <w:spacing w:after="0"/>
              <w:rPr>
                <w:sz w:val="20"/>
                <w:szCs w:val="20"/>
                <w:color w:val="auto"/>
              </w:rPr>
            </w:pPr>
            <w:r>
              <w:rPr>
                <w:rFonts w:ascii="Arial" w:cs="Arial" w:eastAsia="Arial" w:hAnsi="Arial"/>
                <w:sz w:val="12"/>
                <w:szCs w:val="12"/>
                <w:color w:val="auto"/>
              </w:rPr>
              <w:t>Counterparty credit exposure to Clearway Energy, Inc. net of collateral</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NOLs</w:t>
            </w:r>
          </w:p>
        </w:tc>
        <w:tc>
          <w:tcPr>
            <w:tcW w:w="9100" w:type="dxa"/>
            <w:vAlign w:val="bottom"/>
          </w:tcPr>
          <w:p>
            <w:pPr>
              <w:ind w:left="640"/>
              <w:spacing w:after="0"/>
              <w:rPr>
                <w:sz w:val="20"/>
                <w:szCs w:val="20"/>
                <w:color w:val="auto"/>
              </w:rPr>
            </w:pPr>
            <w:r>
              <w:rPr>
                <w:rFonts w:ascii="Arial" w:cs="Arial" w:eastAsia="Arial" w:hAnsi="Arial"/>
                <w:sz w:val="12"/>
                <w:szCs w:val="12"/>
                <w:color w:val="auto"/>
              </w:rPr>
              <w:t>Net Operating Losses</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2"/>
                <w:szCs w:val="12"/>
                <w:color w:val="auto"/>
              </w:rPr>
              <w:t>November 2015 Drop Down Assets</w:t>
            </w:r>
          </w:p>
        </w:tc>
        <w:tc>
          <w:tcPr>
            <w:tcW w:w="9100" w:type="dxa"/>
            <w:vAlign w:val="bottom"/>
          </w:tcPr>
          <w:p>
            <w:pPr>
              <w:ind w:left="640"/>
              <w:spacing w:after="0"/>
              <w:rPr>
                <w:sz w:val="20"/>
                <w:szCs w:val="20"/>
                <w:color w:val="auto"/>
              </w:rPr>
            </w:pPr>
            <w:r>
              <w:rPr>
                <w:rFonts w:ascii="Arial" w:cs="Arial" w:eastAsia="Arial" w:hAnsi="Arial"/>
                <w:sz w:val="12"/>
                <w:szCs w:val="12"/>
                <w:color w:val="auto"/>
                <w:w w:val="94"/>
              </w:rPr>
              <w:t>75% of the Class B interests of Wind TE Holdco, which owns a portfolio of 12 wind facilities totaling 814 net MW, which was acquired by Clearway Energy Operating LLC</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from NRG on November 3, 2015</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2"/>
                <w:szCs w:val="12"/>
                <w:color w:val="auto"/>
              </w:rPr>
              <w:t>November 2017 Drop Down Assets</w:t>
            </w:r>
          </w:p>
        </w:tc>
        <w:tc>
          <w:tcPr>
            <w:tcW w:w="9100" w:type="dxa"/>
            <w:vAlign w:val="bottom"/>
          </w:tcPr>
          <w:p>
            <w:pPr>
              <w:ind w:left="640"/>
              <w:spacing w:after="0"/>
              <w:rPr>
                <w:sz w:val="20"/>
                <w:szCs w:val="20"/>
                <w:color w:val="auto"/>
              </w:rPr>
            </w:pPr>
            <w:r>
              <w:rPr>
                <w:rFonts w:ascii="Arial" w:cs="Arial" w:eastAsia="Arial" w:hAnsi="Arial"/>
                <w:sz w:val="12"/>
                <w:szCs w:val="12"/>
                <w:color w:val="auto"/>
                <w:w w:val="93"/>
              </w:rPr>
              <w:t>38 MW portfolio of distributed and small utility-scale solar assets, primarily comprised of assets from NRG's Solar Power Partners (SPP) funds, in addition to other projects</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developed since the acquisition of SPP by NRG, which was acquired by Clearway Energy Operating LLC from NRG on November 1, 2017</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NO</w:t>
            </w:r>
            <w:r>
              <w:rPr>
                <w:rFonts w:ascii="Arial" w:cs="Arial" w:eastAsia="Arial" w:hAnsi="Arial"/>
                <w:sz w:val="8"/>
                <w:szCs w:val="8"/>
                <w:color w:val="auto"/>
              </w:rPr>
              <w:t>x</w:t>
            </w:r>
          </w:p>
        </w:tc>
        <w:tc>
          <w:tcPr>
            <w:tcW w:w="9100" w:type="dxa"/>
            <w:vAlign w:val="bottom"/>
          </w:tcPr>
          <w:p>
            <w:pPr>
              <w:ind w:left="640"/>
              <w:spacing w:after="0"/>
              <w:rPr>
                <w:sz w:val="20"/>
                <w:szCs w:val="20"/>
                <w:color w:val="auto"/>
              </w:rPr>
            </w:pPr>
            <w:r>
              <w:rPr>
                <w:rFonts w:ascii="Arial" w:cs="Arial" w:eastAsia="Arial" w:hAnsi="Arial"/>
                <w:sz w:val="12"/>
                <w:szCs w:val="12"/>
                <w:color w:val="auto"/>
              </w:rPr>
              <w:t>Nitrogen Oxides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NPNS</w:t>
            </w:r>
          </w:p>
        </w:tc>
        <w:tc>
          <w:tcPr>
            <w:tcW w:w="9100" w:type="dxa"/>
            <w:vAlign w:val="bottom"/>
          </w:tcPr>
          <w:p>
            <w:pPr>
              <w:ind w:left="640"/>
              <w:spacing w:after="0"/>
              <w:rPr>
                <w:sz w:val="20"/>
                <w:szCs w:val="20"/>
                <w:color w:val="auto"/>
              </w:rPr>
            </w:pPr>
            <w:r>
              <w:rPr>
                <w:rFonts w:ascii="Arial" w:cs="Arial" w:eastAsia="Arial" w:hAnsi="Arial"/>
                <w:sz w:val="12"/>
                <w:szCs w:val="12"/>
                <w:color w:val="auto"/>
              </w:rPr>
              <w:t>Normal Purchases and Normal Sales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NRG</w:t>
            </w:r>
          </w:p>
        </w:tc>
        <w:tc>
          <w:tcPr>
            <w:tcW w:w="9100" w:type="dxa"/>
            <w:vAlign w:val="bottom"/>
          </w:tcPr>
          <w:p>
            <w:pPr>
              <w:ind w:left="640"/>
              <w:spacing w:after="0"/>
              <w:rPr>
                <w:sz w:val="20"/>
                <w:szCs w:val="20"/>
                <w:color w:val="auto"/>
              </w:rPr>
            </w:pPr>
            <w:r>
              <w:rPr>
                <w:rFonts w:ascii="Arial" w:cs="Arial" w:eastAsia="Arial" w:hAnsi="Arial"/>
                <w:sz w:val="12"/>
                <w:szCs w:val="12"/>
                <w:color w:val="auto"/>
              </w:rPr>
              <w:t>NRG Energy, Inc.</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NRG Power Marketing</w:t>
            </w:r>
          </w:p>
        </w:tc>
        <w:tc>
          <w:tcPr>
            <w:tcW w:w="9100" w:type="dxa"/>
            <w:vAlign w:val="bottom"/>
          </w:tcPr>
          <w:p>
            <w:pPr>
              <w:ind w:left="640"/>
              <w:spacing w:after="0"/>
              <w:rPr>
                <w:sz w:val="20"/>
                <w:szCs w:val="20"/>
                <w:color w:val="auto"/>
              </w:rPr>
            </w:pPr>
            <w:r>
              <w:rPr>
                <w:rFonts w:ascii="Arial" w:cs="Arial" w:eastAsia="Arial" w:hAnsi="Arial"/>
                <w:sz w:val="12"/>
                <w:szCs w:val="12"/>
                <w:color w:val="auto"/>
              </w:rPr>
              <w:t>NRG Power Marketing LLC</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NRG ROFO Agreement</w:t>
            </w:r>
          </w:p>
        </w:tc>
        <w:tc>
          <w:tcPr>
            <w:tcW w:w="9100" w:type="dxa"/>
            <w:vAlign w:val="bottom"/>
          </w:tcPr>
          <w:p>
            <w:pPr>
              <w:ind w:left="640"/>
              <w:spacing w:after="0"/>
              <w:rPr>
                <w:sz w:val="20"/>
                <w:szCs w:val="20"/>
                <w:color w:val="auto"/>
              </w:rPr>
            </w:pPr>
            <w:r>
              <w:rPr>
                <w:rFonts w:ascii="Arial" w:cs="Arial" w:eastAsia="Arial" w:hAnsi="Arial"/>
                <w:sz w:val="12"/>
                <w:szCs w:val="12"/>
                <w:color w:val="auto"/>
              </w:rPr>
              <w:t>Third Amended and Restated Right of First Offer Agreement, entered into as of August 31, 2018, by and between NRG and the Company</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NRG TSA</w:t>
            </w:r>
          </w:p>
        </w:tc>
        <w:tc>
          <w:tcPr>
            <w:tcW w:w="9100" w:type="dxa"/>
            <w:vAlign w:val="bottom"/>
          </w:tcPr>
          <w:p>
            <w:pPr>
              <w:ind w:left="640"/>
              <w:spacing w:after="0"/>
              <w:rPr>
                <w:sz w:val="20"/>
                <w:szCs w:val="20"/>
                <w:color w:val="auto"/>
              </w:rPr>
            </w:pPr>
            <w:r>
              <w:rPr>
                <w:rFonts w:ascii="Arial" w:cs="Arial" w:eastAsia="Arial" w:hAnsi="Arial"/>
                <w:sz w:val="12"/>
                <w:szCs w:val="12"/>
                <w:color w:val="auto"/>
              </w:rPr>
              <w:t>Transition Services Agreement, entered into as of August 31, 2018, by and between NRG and the Company</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OECD</w:t>
            </w:r>
          </w:p>
        </w:tc>
        <w:tc>
          <w:tcPr>
            <w:tcW w:w="9100" w:type="dxa"/>
            <w:vAlign w:val="bottom"/>
          </w:tcPr>
          <w:p>
            <w:pPr>
              <w:ind w:left="640"/>
              <w:spacing w:after="0"/>
              <w:rPr>
                <w:sz w:val="20"/>
                <w:szCs w:val="20"/>
                <w:color w:val="auto"/>
              </w:rPr>
            </w:pPr>
            <w:r>
              <w:rPr>
                <w:rFonts w:ascii="Arial" w:cs="Arial" w:eastAsia="Arial" w:hAnsi="Arial"/>
                <w:sz w:val="12"/>
                <w:szCs w:val="12"/>
                <w:color w:val="auto"/>
              </w:rPr>
              <w:t>The Organization for Economic Co-operation and Development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OCI/OCL</w:t>
            </w:r>
          </w:p>
        </w:tc>
        <w:tc>
          <w:tcPr>
            <w:tcW w:w="9100" w:type="dxa"/>
            <w:vAlign w:val="bottom"/>
          </w:tcPr>
          <w:p>
            <w:pPr>
              <w:ind w:left="640"/>
              <w:spacing w:after="0"/>
              <w:rPr>
                <w:sz w:val="20"/>
                <w:szCs w:val="20"/>
                <w:color w:val="auto"/>
              </w:rPr>
            </w:pPr>
            <w:r>
              <w:rPr>
                <w:rFonts w:ascii="Arial" w:cs="Arial" w:eastAsia="Arial" w:hAnsi="Arial"/>
                <w:sz w:val="12"/>
                <w:szCs w:val="12"/>
                <w:color w:val="auto"/>
              </w:rPr>
              <w:t>Other comprehensive income/loss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O&amp;M</w:t>
            </w:r>
          </w:p>
        </w:tc>
        <w:tc>
          <w:tcPr>
            <w:tcW w:w="9100" w:type="dxa"/>
            <w:vAlign w:val="bottom"/>
          </w:tcPr>
          <w:p>
            <w:pPr>
              <w:ind w:left="640"/>
              <w:spacing w:after="0"/>
              <w:rPr>
                <w:sz w:val="20"/>
                <w:szCs w:val="20"/>
                <w:color w:val="auto"/>
              </w:rPr>
            </w:pPr>
            <w:r>
              <w:rPr>
                <w:rFonts w:ascii="Arial" w:cs="Arial" w:eastAsia="Arial" w:hAnsi="Arial"/>
                <w:sz w:val="12"/>
                <w:szCs w:val="12"/>
                <w:color w:val="auto"/>
              </w:rPr>
              <w:t>Operations and Maintenance</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PG&amp;E</w:t>
            </w:r>
          </w:p>
        </w:tc>
        <w:tc>
          <w:tcPr>
            <w:tcW w:w="9100" w:type="dxa"/>
            <w:vAlign w:val="bottom"/>
          </w:tcPr>
          <w:p>
            <w:pPr>
              <w:ind w:left="640"/>
              <w:spacing w:after="0"/>
              <w:rPr>
                <w:sz w:val="20"/>
                <w:szCs w:val="20"/>
                <w:color w:val="auto"/>
              </w:rPr>
            </w:pPr>
            <w:r>
              <w:rPr>
                <w:rFonts w:ascii="Arial" w:cs="Arial" w:eastAsia="Arial" w:hAnsi="Arial"/>
                <w:sz w:val="12"/>
                <w:szCs w:val="12"/>
                <w:color w:val="auto"/>
              </w:rPr>
              <w:t>Pacific Gas and Electric Company</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PG&amp;E Bankruptcy</w:t>
            </w:r>
          </w:p>
        </w:tc>
        <w:tc>
          <w:tcPr>
            <w:tcW w:w="9100" w:type="dxa"/>
            <w:vAlign w:val="bottom"/>
            <w:vMerge w:val="restart"/>
          </w:tcPr>
          <w:p>
            <w:pPr>
              <w:ind w:left="640"/>
              <w:spacing w:after="0"/>
              <w:rPr>
                <w:sz w:val="20"/>
                <w:szCs w:val="20"/>
                <w:color w:val="auto"/>
              </w:rPr>
            </w:pPr>
            <w:r>
              <w:rPr>
                <w:rFonts w:ascii="Arial" w:cs="Arial" w:eastAsia="Arial" w:hAnsi="Arial"/>
                <w:sz w:val="12"/>
                <w:szCs w:val="12"/>
                <w:color w:val="auto"/>
                <w:w w:val="93"/>
              </w:rPr>
              <w:t>On January 29, 2019, PG&amp;E Corporation and Pacific Gas and Electric Company filed voluntary petitions for relief under the Bankruptcy Code in the U.S. Bankruptcy Court</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9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for the Northern District of California</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Arial" w:cs="Arial" w:eastAsia="Arial" w:hAnsi="Arial"/>
                <w:sz w:val="12"/>
                <w:szCs w:val="12"/>
                <w:color w:val="auto"/>
              </w:rPr>
              <w:t>PJM</w:t>
            </w:r>
          </w:p>
        </w:tc>
        <w:tc>
          <w:tcPr>
            <w:tcW w:w="9100" w:type="dxa"/>
            <w:vAlign w:val="bottom"/>
          </w:tcPr>
          <w:p>
            <w:pPr>
              <w:ind w:left="640"/>
              <w:spacing w:after="0"/>
              <w:rPr>
                <w:sz w:val="20"/>
                <w:szCs w:val="20"/>
                <w:color w:val="auto"/>
              </w:rPr>
            </w:pPr>
            <w:r>
              <w:rPr>
                <w:rFonts w:ascii="Arial" w:cs="Arial" w:eastAsia="Arial" w:hAnsi="Arial"/>
                <w:sz w:val="12"/>
                <w:szCs w:val="12"/>
                <w:color w:val="auto"/>
              </w:rPr>
              <w:t>PJM Interconnection, LLC</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PPA</w:t>
            </w:r>
          </w:p>
        </w:tc>
        <w:tc>
          <w:tcPr>
            <w:tcW w:w="9100" w:type="dxa"/>
            <w:vAlign w:val="bottom"/>
          </w:tcPr>
          <w:p>
            <w:pPr>
              <w:ind w:left="640"/>
              <w:spacing w:after="0"/>
              <w:rPr>
                <w:sz w:val="20"/>
                <w:szCs w:val="20"/>
                <w:color w:val="auto"/>
              </w:rPr>
            </w:pPr>
            <w:r>
              <w:rPr>
                <w:rFonts w:ascii="Arial" w:cs="Arial" w:eastAsia="Arial" w:hAnsi="Arial"/>
                <w:sz w:val="12"/>
                <w:szCs w:val="12"/>
                <w:color w:val="auto"/>
              </w:rPr>
              <w:t>Power Purchase Agreement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PTC</w:t>
            </w:r>
          </w:p>
        </w:tc>
        <w:tc>
          <w:tcPr>
            <w:tcW w:w="9100" w:type="dxa"/>
            <w:vAlign w:val="bottom"/>
          </w:tcPr>
          <w:p>
            <w:pPr>
              <w:ind w:left="640"/>
              <w:spacing w:after="0"/>
              <w:rPr>
                <w:sz w:val="20"/>
                <w:szCs w:val="20"/>
                <w:color w:val="auto"/>
              </w:rPr>
            </w:pPr>
            <w:r>
              <w:rPr>
                <w:rFonts w:ascii="Arial" w:cs="Arial" w:eastAsia="Arial" w:hAnsi="Arial"/>
                <w:sz w:val="12"/>
                <w:szCs w:val="12"/>
                <w:color w:val="auto"/>
              </w:rPr>
              <w:t>Production Tax Credit</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PUCT</w:t>
            </w:r>
          </w:p>
        </w:tc>
        <w:tc>
          <w:tcPr>
            <w:tcW w:w="9100" w:type="dxa"/>
            <w:vAlign w:val="bottom"/>
          </w:tcPr>
          <w:p>
            <w:pPr>
              <w:ind w:left="640"/>
              <w:spacing w:after="0"/>
              <w:rPr>
                <w:sz w:val="20"/>
                <w:szCs w:val="20"/>
                <w:color w:val="auto"/>
              </w:rPr>
            </w:pPr>
            <w:r>
              <w:rPr>
                <w:rFonts w:ascii="Arial" w:cs="Arial" w:eastAsia="Arial" w:hAnsi="Arial"/>
                <w:sz w:val="12"/>
                <w:szCs w:val="12"/>
                <w:color w:val="auto"/>
              </w:rPr>
              <w:t>Public Utility Commission of Texas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PUHCA</w:t>
            </w:r>
          </w:p>
        </w:tc>
        <w:tc>
          <w:tcPr>
            <w:tcW w:w="9100" w:type="dxa"/>
            <w:vAlign w:val="bottom"/>
          </w:tcPr>
          <w:p>
            <w:pPr>
              <w:ind w:left="640"/>
              <w:spacing w:after="0"/>
              <w:rPr>
                <w:sz w:val="20"/>
                <w:szCs w:val="20"/>
                <w:color w:val="auto"/>
              </w:rPr>
            </w:pPr>
            <w:r>
              <w:rPr>
                <w:rFonts w:ascii="Arial" w:cs="Arial" w:eastAsia="Arial" w:hAnsi="Arial"/>
                <w:sz w:val="12"/>
                <w:szCs w:val="12"/>
                <w:color w:val="auto"/>
              </w:rPr>
              <w:t>Public Utility Holding Company Act of 2005</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PURPA</w:t>
            </w:r>
          </w:p>
        </w:tc>
        <w:tc>
          <w:tcPr>
            <w:tcW w:w="9100" w:type="dxa"/>
            <w:vAlign w:val="bottom"/>
          </w:tcPr>
          <w:p>
            <w:pPr>
              <w:ind w:left="640"/>
              <w:spacing w:after="0"/>
              <w:rPr>
                <w:sz w:val="20"/>
                <w:szCs w:val="20"/>
                <w:color w:val="auto"/>
              </w:rPr>
            </w:pPr>
            <w:r>
              <w:rPr>
                <w:rFonts w:ascii="Arial" w:cs="Arial" w:eastAsia="Arial" w:hAnsi="Arial"/>
                <w:sz w:val="12"/>
                <w:szCs w:val="12"/>
                <w:color w:val="auto"/>
              </w:rPr>
              <w:t>Public Utility Regulatory Policies Act of 1978</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QF</w:t>
            </w:r>
          </w:p>
        </w:tc>
        <w:tc>
          <w:tcPr>
            <w:tcW w:w="9100" w:type="dxa"/>
            <w:vAlign w:val="bottom"/>
          </w:tcPr>
          <w:p>
            <w:pPr>
              <w:ind w:left="640"/>
              <w:spacing w:after="0"/>
              <w:rPr>
                <w:sz w:val="20"/>
                <w:szCs w:val="20"/>
                <w:color w:val="auto"/>
              </w:rPr>
            </w:pPr>
            <w:r>
              <w:rPr>
                <w:rFonts w:ascii="Arial" w:cs="Arial" w:eastAsia="Arial" w:hAnsi="Arial"/>
                <w:sz w:val="12"/>
                <w:szCs w:val="12"/>
                <w:color w:val="auto"/>
              </w:rPr>
              <w:t>Qualifying Facility under PURPA</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REC</w:t>
            </w:r>
          </w:p>
        </w:tc>
        <w:tc>
          <w:tcPr>
            <w:tcW w:w="9100" w:type="dxa"/>
            <w:vAlign w:val="bottom"/>
          </w:tcPr>
          <w:p>
            <w:pPr>
              <w:ind w:left="640"/>
              <w:spacing w:after="0"/>
              <w:rPr>
                <w:sz w:val="20"/>
                <w:szCs w:val="20"/>
                <w:color w:val="auto"/>
              </w:rPr>
            </w:pPr>
            <w:r>
              <w:rPr>
                <w:rFonts w:ascii="Arial" w:cs="Arial" w:eastAsia="Arial" w:hAnsi="Arial"/>
                <w:sz w:val="12"/>
                <w:szCs w:val="12"/>
                <w:color w:val="auto"/>
              </w:rPr>
              <w:t>Renewable Energy Certificate</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Recapitalization</w:t>
            </w:r>
          </w:p>
        </w:tc>
        <w:tc>
          <w:tcPr>
            <w:tcW w:w="9100" w:type="dxa"/>
            <w:vAlign w:val="bottom"/>
            <w:vMerge w:val="restart"/>
          </w:tcPr>
          <w:p>
            <w:pPr>
              <w:ind w:left="640"/>
              <w:spacing w:after="0"/>
              <w:rPr>
                <w:sz w:val="20"/>
                <w:szCs w:val="20"/>
                <w:color w:val="auto"/>
              </w:rPr>
            </w:pPr>
            <w:r>
              <w:rPr>
                <w:rFonts w:ascii="Arial" w:cs="Arial" w:eastAsia="Arial" w:hAnsi="Arial"/>
                <w:sz w:val="12"/>
                <w:szCs w:val="12"/>
                <w:color w:val="auto"/>
                <w:w w:val="92"/>
              </w:rPr>
              <w:t>The adoption of the Company's Second Amended and Restated Certificate of Incorporation which authorized two new classes of common stock, Class C common stock and</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9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w w:val="92"/>
              </w:rPr>
              <w:t>Class D common stock, and distributed shares of such new classes of common stock to holders of the Company’s outstanding Class A common stock and Class B common</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9100" w:type="dxa"/>
            <w:vAlign w:val="bottom"/>
          </w:tcPr>
          <w:p>
            <w:pPr>
              <w:ind w:left="640"/>
              <w:spacing w:after="0"/>
              <w:rPr>
                <w:sz w:val="20"/>
                <w:szCs w:val="20"/>
                <w:color w:val="auto"/>
              </w:rPr>
            </w:pPr>
            <w:r>
              <w:rPr>
                <w:rFonts w:ascii="Arial" w:cs="Arial" w:eastAsia="Arial" w:hAnsi="Arial"/>
                <w:sz w:val="12"/>
                <w:szCs w:val="12"/>
                <w:color w:val="auto"/>
              </w:rPr>
              <w:t>stock, respectively, through a stock split on May 14, 2015</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Arial" w:cs="Arial" w:eastAsia="Arial" w:hAnsi="Arial"/>
                <w:sz w:val="12"/>
                <w:szCs w:val="12"/>
                <w:color w:val="auto"/>
              </w:rPr>
              <w:t>ROFO</w:t>
            </w:r>
          </w:p>
        </w:tc>
        <w:tc>
          <w:tcPr>
            <w:tcW w:w="9100" w:type="dxa"/>
            <w:vAlign w:val="bottom"/>
          </w:tcPr>
          <w:p>
            <w:pPr>
              <w:ind w:left="640"/>
              <w:spacing w:after="0"/>
              <w:rPr>
                <w:sz w:val="20"/>
                <w:szCs w:val="20"/>
                <w:color w:val="auto"/>
              </w:rPr>
            </w:pPr>
            <w:r>
              <w:rPr>
                <w:rFonts w:ascii="Arial" w:cs="Arial" w:eastAsia="Arial" w:hAnsi="Arial"/>
                <w:sz w:val="12"/>
                <w:szCs w:val="12"/>
                <w:color w:val="auto"/>
              </w:rPr>
              <w:t>Right of First Offer</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RPS</w:t>
            </w:r>
          </w:p>
        </w:tc>
        <w:tc>
          <w:tcPr>
            <w:tcW w:w="9100" w:type="dxa"/>
            <w:vAlign w:val="bottom"/>
          </w:tcPr>
          <w:p>
            <w:pPr>
              <w:ind w:left="640"/>
              <w:spacing w:after="0"/>
              <w:rPr>
                <w:sz w:val="20"/>
                <w:szCs w:val="20"/>
                <w:color w:val="auto"/>
              </w:rPr>
            </w:pPr>
            <w:r>
              <w:rPr>
                <w:rFonts w:ascii="Arial" w:cs="Arial" w:eastAsia="Arial" w:hAnsi="Arial"/>
                <w:sz w:val="12"/>
                <w:szCs w:val="12"/>
                <w:color w:val="auto"/>
              </w:rPr>
              <w:t>Renewable Portfolio Standards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RPV Holdco</w:t>
            </w:r>
          </w:p>
        </w:tc>
        <w:tc>
          <w:tcPr>
            <w:tcW w:w="9100" w:type="dxa"/>
            <w:vAlign w:val="bottom"/>
          </w:tcPr>
          <w:p>
            <w:pPr>
              <w:ind w:left="640"/>
              <w:spacing w:after="0"/>
              <w:rPr>
                <w:sz w:val="20"/>
                <w:szCs w:val="20"/>
                <w:color w:val="auto"/>
              </w:rPr>
            </w:pPr>
            <w:r>
              <w:rPr>
                <w:rFonts w:ascii="Arial" w:cs="Arial" w:eastAsia="Arial" w:hAnsi="Arial"/>
                <w:sz w:val="12"/>
                <w:szCs w:val="12"/>
                <w:color w:val="auto"/>
              </w:rPr>
              <w:t>RPV Holdco 1 LLC</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RTO</w:t>
            </w:r>
          </w:p>
        </w:tc>
        <w:tc>
          <w:tcPr>
            <w:tcW w:w="9100" w:type="dxa"/>
            <w:vAlign w:val="bottom"/>
          </w:tcPr>
          <w:p>
            <w:pPr>
              <w:ind w:left="640"/>
              <w:spacing w:after="0"/>
              <w:rPr>
                <w:sz w:val="20"/>
                <w:szCs w:val="20"/>
                <w:color w:val="auto"/>
              </w:rPr>
            </w:pPr>
            <w:r>
              <w:rPr>
                <w:rFonts w:ascii="Arial" w:cs="Arial" w:eastAsia="Arial" w:hAnsi="Arial"/>
                <w:sz w:val="12"/>
                <w:szCs w:val="12"/>
                <w:color w:val="auto"/>
              </w:rPr>
              <w:t>Regional Transmission Organization</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SCE</w:t>
            </w:r>
          </w:p>
        </w:tc>
        <w:tc>
          <w:tcPr>
            <w:tcW w:w="9100" w:type="dxa"/>
            <w:vAlign w:val="bottom"/>
          </w:tcPr>
          <w:p>
            <w:pPr>
              <w:ind w:left="640"/>
              <w:spacing w:after="0"/>
              <w:rPr>
                <w:sz w:val="20"/>
                <w:szCs w:val="20"/>
                <w:color w:val="auto"/>
              </w:rPr>
            </w:pPr>
            <w:r>
              <w:rPr>
                <w:rFonts w:ascii="Arial" w:cs="Arial" w:eastAsia="Arial" w:hAnsi="Arial"/>
                <w:sz w:val="12"/>
                <w:szCs w:val="12"/>
                <w:color w:val="auto"/>
              </w:rPr>
              <w:t>Southern California Edison</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SEC</w:t>
            </w:r>
          </w:p>
        </w:tc>
        <w:tc>
          <w:tcPr>
            <w:tcW w:w="9100" w:type="dxa"/>
            <w:vAlign w:val="bottom"/>
          </w:tcPr>
          <w:p>
            <w:pPr>
              <w:ind w:left="640"/>
              <w:spacing w:after="0"/>
              <w:rPr>
                <w:sz w:val="20"/>
                <w:szCs w:val="20"/>
                <w:color w:val="auto"/>
              </w:rPr>
            </w:pPr>
            <w:r>
              <w:rPr>
                <w:rFonts w:ascii="Arial" w:cs="Arial" w:eastAsia="Arial" w:hAnsi="Arial"/>
                <w:sz w:val="12"/>
                <w:szCs w:val="12"/>
                <w:color w:val="auto"/>
              </w:rPr>
              <w:t>U.S. Securities and Exchange Commission</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Senior Notes</w:t>
            </w:r>
          </w:p>
        </w:tc>
        <w:tc>
          <w:tcPr>
            <w:tcW w:w="9100" w:type="dxa"/>
            <w:vAlign w:val="bottom"/>
          </w:tcPr>
          <w:p>
            <w:pPr>
              <w:ind w:left="640"/>
              <w:spacing w:after="0"/>
              <w:rPr>
                <w:sz w:val="20"/>
                <w:szCs w:val="20"/>
                <w:color w:val="auto"/>
              </w:rPr>
            </w:pPr>
            <w:r>
              <w:rPr>
                <w:rFonts w:ascii="Arial" w:cs="Arial" w:eastAsia="Arial" w:hAnsi="Arial"/>
                <w:sz w:val="12"/>
                <w:szCs w:val="12"/>
                <w:color w:val="auto"/>
              </w:rPr>
              <w:t>Collectively, the 2024 Senior Notes, the 2025 Senior Notes and the 2026 Senior Notes</w:t>
            </w:r>
          </w:p>
        </w:tc>
        <w:tc>
          <w:tcPr>
            <w:tcW w:w="0" w:type="dxa"/>
            <w:vAlign w:val="bottom"/>
          </w:tcPr>
          <w:p>
            <w:pPr>
              <w:spacing w:after="0"/>
              <w:rPr>
                <w:sz w:val="1"/>
                <w:szCs w:val="1"/>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2"/>
                <w:szCs w:val="12"/>
                <w:color w:val="auto"/>
              </w:rPr>
              <w:t>SO</w:t>
            </w:r>
            <w:r>
              <w:rPr>
                <w:rFonts w:ascii="Arial" w:cs="Arial" w:eastAsia="Arial" w:hAnsi="Arial"/>
                <w:sz w:val="8"/>
                <w:szCs w:val="8"/>
                <w:color w:val="auto"/>
              </w:rPr>
              <w:t>2</w:t>
            </w:r>
          </w:p>
        </w:tc>
        <w:tc>
          <w:tcPr>
            <w:tcW w:w="9100" w:type="dxa"/>
            <w:vAlign w:val="bottom"/>
          </w:tcPr>
          <w:p>
            <w:pPr>
              <w:ind w:left="640"/>
              <w:spacing w:after="0"/>
              <w:rPr>
                <w:sz w:val="20"/>
                <w:szCs w:val="20"/>
                <w:color w:val="auto"/>
              </w:rPr>
            </w:pPr>
            <w:r>
              <w:rPr>
                <w:rFonts w:ascii="Arial" w:cs="Arial" w:eastAsia="Arial" w:hAnsi="Arial"/>
                <w:sz w:val="12"/>
                <w:szCs w:val="12"/>
                <w:color w:val="auto"/>
              </w:rPr>
              <w:t>Sulfur Dioxide</w:t>
            </w:r>
          </w:p>
        </w:tc>
        <w:tc>
          <w:tcPr>
            <w:tcW w:w="0" w:type="dxa"/>
            <w:vAlign w:val="bottom"/>
          </w:tcPr>
          <w:p>
            <w:pPr>
              <w:spacing w:after="0"/>
              <w:rPr>
                <w:sz w:val="1"/>
                <w:szCs w:val="1"/>
                <w:color w:val="auto"/>
              </w:rPr>
            </w:pPr>
          </w:p>
        </w:tc>
      </w:tr>
      <w:tr>
        <w:trPr>
          <w:trHeight w:val="324"/>
        </w:trPr>
        <w:tc>
          <w:tcPr>
            <w:tcW w:w="2340" w:type="dxa"/>
            <w:vAlign w:val="bottom"/>
          </w:tcPr>
          <w:p>
            <w:pPr>
              <w:spacing w:after="0"/>
              <w:rPr>
                <w:sz w:val="24"/>
                <w:szCs w:val="24"/>
                <w:color w:val="auto"/>
              </w:rPr>
            </w:pPr>
          </w:p>
        </w:tc>
        <w:tc>
          <w:tcPr>
            <w:tcW w:w="9100" w:type="dxa"/>
            <w:vAlign w:val="bottom"/>
          </w:tcPr>
          <w:p>
            <w:pPr>
              <w:ind w:left="33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ectPr>
          <w:pgSz w:w="11900" w:h="16838" w:orient="portrait"/>
          <w:cols w:equalWidth="0" w:num="1">
            <w:col w:w="11440"/>
          </w:cols>
          <w:pgMar w:left="240" w:top="626" w:right="219" w:bottom="1440" w:gutter="0" w:footer="0" w:header="0"/>
        </w:sectPr>
      </w:pPr>
    </w:p>
    <w:bookmarkStart w:id="5" w:name="page6"/>
    <w:bookmarkEnd w:id="5"/>
    <w:p>
      <w:pPr>
        <w:spacing w:after="0"/>
        <w:rPr>
          <w:sz w:val="20"/>
          <w:szCs w:val="20"/>
          <w:color w:val="auto"/>
        </w:rPr>
      </w:pPr>
      <w:r>
        <w:rPr>
          <w:rFonts w:ascii="Arial" w:cs="Arial" w:eastAsia="Arial" w:hAnsi="Arial"/>
          <w:sz w:val="9"/>
          <w:szCs w:val="9"/>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Solar Power Partners</w:t>
      </w:r>
    </w:p>
    <w:p>
      <w:pPr>
        <w:spacing w:after="0" w:line="65" w:lineRule="exact"/>
        <w:rPr>
          <w:sz w:val="20"/>
          <w:szCs w:val="20"/>
          <w:color w:val="auto"/>
        </w:rPr>
      </w:pPr>
    </w:p>
    <w:p>
      <w:pPr>
        <w:sectPr>
          <w:pgSz w:w="11900" w:h="16838" w:orient="portrait"/>
          <w:cols w:equalWidth="0" w:num="2">
            <w:col w:w="2260" w:space="720"/>
            <w:col w:w="8460"/>
          </w:cols>
          <w:pgMar w:left="240" w:top="626" w:right="219" w:bottom="1440" w:gutter="0" w:footer="0" w:header="0"/>
        </w:sectPr>
      </w:pPr>
    </w:p>
    <w:p>
      <w:pPr>
        <w:spacing w:after="0"/>
        <w:rPr>
          <w:sz w:val="20"/>
          <w:szCs w:val="20"/>
          <w:color w:val="auto"/>
        </w:rPr>
      </w:pPr>
      <w:r>
        <w:rPr>
          <w:rFonts w:ascii="Arial" w:cs="Arial" w:eastAsia="Arial" w:hAnsi="Arial"/>
          <w:sz w:val="11"/>
          <w:szCs w:val="11"/>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Tax Cuts and Jobs Act of 2017</w:t>
      </w:r>
    </w:p>
    <w:p>
      <w:pPr>
        <w:spacing w:after="0" w:line="65"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0"/>
          <w:szCs w:val="10"/>
          <w:color w:val="auto"/>
        </w:rPr>
        <w:t>Termination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Termination Agreement, entered into as of August 31, 2018 by and between NRG Energy, Inc. and the Company to terminate the Management Services Agreement between the parties</w:t>
      </w:r>
    </w:p>
    <w:p>
      <w:pPr>
        <w:spacing w:after="0" w:line="7"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0"/>
          <w:szCs w:val="10"/>
          <w:color w:val="auto"/>
        </w:rPr>
        <w:t>Thermal Business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7"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1"/>
          <w:szCs w:val="11"/>
          <w:color w:val="auto"/>
        </w:rPr>
        <w:t>UPMC Thermal Project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The University of Pittsburgh Medical Center Thermal Project, a 73 MWt district energy system that allows ECP to provide steam, chilled water and 7.5 MW of emergency backup power service to UPMC</w:t>
      </w:r>
    </w:p>
    <w:p>
      <w:pPr>
        <w:spacing w:after="0" w:line="7"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0"/>
          <w:szCs w:val="10"/>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 of America</w:t>
      </w:r>
    </w:p>
    <w:p>
      <w:pPr>
        <w:spacing w:after="0" w:line="54"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0"/>
          <w:szCs w:val="10"/>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U.S. Department of Energy</w:t>
      </w:r>
    </w:p>
    <w:p>
      <w:pPr>
        <w:spacing w:after="0" w:line="65"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Utah Solar Portfolio</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15"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Utility Scale Solar</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Solar power projects, typically 20 MW or greater in size (on an alternating current, or AC, basis), that are interconnected into the transmission or distribution grid to sell power at a wholesale level</w:t>
      </w:r>
    </w:p>
    <w:p>
      <w:pPr>
        <w:spacing w:after="0" w:line="7"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0"/>
          <w:szCs w:val="10"/>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Value at Risk</w:t>
      </w:r>
    </w:p>
    <w:p>
      <w:pPr>
        <w:spacing w:after="0" w:line="65"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Variable Interest Entity</w:t>
      </w:r>
    </w:p>
    <w:p>
      <w:pPr>
        <w:spacing w:after="0" w:line="53"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spacing w:after="0"/>
        <w:rPr>
          <w:sz w:val="20"/>
          <w:szCs w:val="20"/>
          <w:color w:val="auto"/>
        </w:rPr>
      </w:pPr>
      <w:r>
        <w:rPr>
          <w:rFonts w:ascii="Arial" w:cs="Arial" w:eastAsia="Arial" w:hAnsi="Arial"/>
          <w:sz w:val="11"/>
          <w:szCs w:val="11"/>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Wind TE Holdco LLC, an 814 net MW portfolio of twelve wind projects</w:t>
      </w:r>
    </w:p>
    <w:p>
      <w:pPr>
        <w:spacing w:after="0" w:line="198" w:lineRule="exact"/>
        <w:rPr>
          <w:sz w:val="20"/>
          <w:szCs w:val="20"/>
          <w:color w:val="auto"/>
        </w:rPr>
      </w:pPr>
    </w:p>
    <w:p>
      <w:pPr>
        <w:sectPr>
          <w:pgSz w:w="11900" w:h="16838" w:orient="portrait"/>
          <w:cols w:equalWidth="0" w:num="2">
            <w:col w:w="2260" w:space="720"/>
            <w:col w:w="8460"/>
          </w:cols>
          <w:pgMar w:left="240" w:top="626" w:right="219" w:bottom="1440" w:gutter="0" w:footer="0" w:header="0"/>
          <w:type w:val="continuous"/>
        </w:sectPr>
      </w:pPr>
    </w:p>
    <w:p>
      <w:pPr>
        <w:jc w:val="center"/>
        <w:ind w:right="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40"/>
          </w:cols>
          <w:pgMar w:left="240" w:top="626" w:right="2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PART I</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 Business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Clearway Energy, Inc. (formerly NRG Yield,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which is also the holder of NRG's renewable energy development and operations platform, and NRG subsequently sold 100% of its interest in CEG to an affiliate of GIP, such transaction referred to hereinafter as the GIP Transaction. As a result of the GIP Transaction, GIP indirectly acquired a 45.2% economic interest in Clearway Energy LLC (formerly NRG Yield LLC) and a 55.0% voting interest in the Company.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Company’s environmentally sound asset portfolio includes over </w:t>
      </w:r>
      <w:r>
        <w:rPr>
          <w:rFonts w:ascii="Arial" w:cs="Arial" w:eastAsia="Arial" w:hAnsi="Arial"/>
          <w:sz w:val="12"/>
          <w:szCs w:val="12"/>
          <w:color w:val="231F20"/>
        </w:rPr>
        <w:t>5,272</w:t>
      </w:r>
      <w:r>
        <w:rPr>
          <w:rFonts w:ascii="Arial" w:cs="Arial" w:eastAsia="Arial" w:hAnsi="Arial"/>
          <w:sz w:val="12"/>
          <w:szCs w:val="12"/>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The weighted average remaining contract duration of these offtake agreements, based on CAFD, was approximately </w:t>
      </w:r>
      <w:r>
        <w:rPr>
          <w:rFonts w:ascii="Arial" w:cs="Arial" w:eastAsia="Arial" w:hAnsi="Arial"/>
          <w:sz w:val="12"/>
          <w:szCs w:val="12"/>
          <w:color w:val="231F20"/>
        </w:rPr>
        <w:t>15 years as of December 31,</w:t>
      </w:r>
      <w:r>
        <w:rPr>
          <w:rFonts w:ascii="Arial" w:cs="Arial" w:eastAsia="Arial" w:hAnsi="Arial"/>
          <w:sz w:val="12"/>
          <w:szCs w:val="12"/>
          <w:color w:val="auto"/>
        </w:rPr>
        <w:t xml:space="preserve"> </w:t>
      </w:r>
      <w:r>
        <w:rPr>
          <w:rFonts w:ascii="Arial" w:cs="Arial" w:eastAsia="Arial" w:hAnsi="Arial"/>
          <w:sz w:val="12"/>
          <w:szCs w:val="12"/>
          <w:color w:val="231F20"/>
        </w:rPr>
        <w:t>2018. The 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A complete listing of the Company's interests in facilities, operations and/or projects owned or leased as of December 31, 2018 can be found in Item 2 — </w:t>
      </w:r>
      <w:r>
        <w:rPr>
          <w:rFonts w:ascii="Arial" w:cs="Arial" w:eastAsia="Arial" w:hAnsi="Arial"/>
          <w:sz w:val="12"/>
          <w:szCs w:val="12"/>
          <w:i w:val="1"/>
          <w:iCs w:val="1"/>
          <w:color w:val="auto"/>
        </w:rPr>
        <w:t>Properties.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Pacific Gas and Electric Company Bankruptcy</w:t>
      </w:r>
    </w:p>
    <w:p>
      <w:pPr>
        <w:spacing w:after="0" w:line="1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On January 29, 2019, Pacific Gas and Electric Company, or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power purchase agreements, or PPAs. The Company consolidates three of the solar facilities and Marsh Landing, and records its interest in the other solar facilities as equity method investments. As of December 31, 2018, the Company had $1.5 billion of property, plant and equipment, net, $352 million investments in unconsolidated affiliates and $1.4 billion of long - term debt related to these facilities. The related subsidiaries of the Company have entered into financing agreements consisting of non-recourse project level debt and, in certain cases, non-recourse holding company debt. The PG&amp;E Bankruptcy filing has triggered defaults under the PPAs with PG&amp;E and such related financing agreements. The Company is currently negotiating forbearance agreements with the lenders for each respective financing arrangement. The Company continues to assess the potential future impacts of the PG&amp;E Bankruptcy as events occur, however, no impact to the Company’s immediate operating activities has occurred as of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History</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was formed by NRG as a Delaware corporation on December 20, 2012. As of August 31, 2018, NRG, through its holdings of Class B common stock and Class D common stock, had a 55.0% voting interest in the Company and received distributions from NRG Yield LLC (now Clearway Energy LLC) through its ownership of Class B units and Class D units. The holders of the Company's issued and outstanding shares of Class A common stock and Class C common stock were entitled to dividends as declared and had 45.0% of the voting power in the Company. As noted above, on August 31, 2018, as the result of the GIP Transaction, GIP indirectly acquired a 45.2% economic interest in Clearway Energy LLC and a 55.0% voting interest in the Company.</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As of December 31, 2018, the Company and CEG have 55.8% and 44.2% economic interests in Clearway Energy LLC, respectively. As a result of the current ownership of the Class B common stock and Class D common stock, CEG controls the Company, and the Company in turn, as the sole managing member of Clearway Energy LLC, controls Clearway Energy LLC and its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604" w:right="199" w:bottom="1440" w:gutter="0" w:footer="0" w:header="0"/>
        </w:sectPr>
      </w:pPr>
    </w:p>
    <w:bookmarkStart w:id="7" w:name="page8"/>
    <w:bookmarkEnd w:id="7"/>
    <w:p>
      <w:pPr>
        <w:ind w:left="420"/>
        <w:spacing w:after="0"/>
        <w:rPr>
          <w:sz w:val="20"/>
          <w:szCs w:val="20"/>
          <w:color w:val="auto"/>
        </w:rPr>
      </w:pPr>
      <w:r>
        <w:rPr>
          <w:rFonts w:ascii="Arial" w:cs="Arial" w:eastAsia="Arial" w:hAnsi="Arial"/>
          <w:sz w:val="12"/>
          <w:szCs w:val="12"/>
          <w:color w:val="auto"/>
        </w:rPr>
        <w:t>The diagram below depicts the Company’s organizational structure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9525</wp:posOffset>
            </wp:positionV>
            <wp:extent cx="3912235" cy="275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2235" cy="275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Sponsorship with Global Infrastructure Partners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As described above, on August 31, 2018, NRG transferred its full ownership interest in the Company to Clearway Energy Group LLC, or CEG, the holder of NRG's renewable energy development and operations platform and subsequently sold 100% of its interest in CEG to an affiliate of GIP. As a result of the GIP Transaction, GIP indirectly acquired a 45.2% economic interest in Clearway Energy LLC and a 55.0% voting interest in the Company as of August 31, 2018.</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connection with the GIP Transaction, the Company entered into a Consent and Indemnity Agreement with NRG and GIP setting forth key terms and conditions of the Company's consent to the GIP Transaction.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Also in connection with the GIP Transaction, the Company entered into the following agreements on August 31, 2018:</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CEG Master Services Agreements</w:t>
      </w:r>
    </w:p>
    <w:p>
      <w:pPr>
        <w:spacing w:after="0" w:line="114" w:lineRule="exact"/>
        <w:rPr>
          <w:sz w:val="20"/>
          <w:szCs w:val="20"/>
          <w:color w:val="auto"/>
        </w:rPr>
      </w:pPr>
    </w:p>
    <w:p>
      <w:pPr>
        <w:jc w:val="both"/>
        <w:ind w:left="40" w:firstLine="324"/>
        <w:spacing w:after="0" w:line="263" w:lineRule="auto"/>
        <w:rPr>
          <w:sz w:val="20"/>
          <w:szCs w:val="20"/>
          <w:color w:val="auto"/>
        </w:rPr>
      </w:pPr>
      <w:r>
        <w:rPr>
          <w:rFonts w:ascii="Arial" w:cs="Arial" w:eastAsia="Arial" w:hAnsi="Arial"/>
          <w:sz w:val="12"/>
          <w:szCs w:val="12"/>
          <w:color w:val="auto"/>
        </w:rPr>
        <w:t xml:space="preserve">The Company, along with Clearway Energy LLC and Clearway Energy Operating LLC, entered into Master Services Agreements with CEG, pursuant to which CEG and certain of its affiliates or third party service providers began providing certain services to the Company and certain of its subsidiaries, and the Company and certain of its subsidiaries began providing certain services to CEG, in exchange for the payment of fees in respect of such services. Additional details regarding the Master Services Agreements are found in Item 15 </w:t>
      </w:r>
      <w:r>
        <w:rPr>
          <w:rFonts w:ascii="Arial" w:cs="Arial" w:eastAsia="Arial" w:hAnsi="Arial"/>
          <w:sz w:val="12"/>
          <w:szCs w:val="12"/>
          <w:b w:val="1"/>
          <w:bCs w:val="1"/>
          <w:color w:val="auto"/>
        </w:rPr>
        <w:t>—</w:t>
      </w:r>
      <w:r>
        <w:rPr>
          <w:rFonts w:ascii="Arial" w:cs="Arial" w:eastAsia="Arial" w:hAnsi="Arial"/>
          <w:sz w:val="12"/>
          <w:szCs w:val="12"/>
          <w:color w:val="auto"/>
        </w:rPr>
        <w:t xml:space="preserve"> Note 15,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ROFO Agreements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entered into a ROFO Agreement with CEG, or the CEG ROFO Agreement, and a Third Amended and Restated ROFO Agreement with NRG as further discussed below.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518" w:right="199" w:bottom="1440" w:gutter="0" w:footer="0" w:header="0"/>
        </w:sectPr>
      </w:pPr>
    </w:p>
    <w:bookmarkStart w:id="8" w:name="page9"/>
    <w:bookmarkEnd w:id="8"/>
    <w:p>
      <w:pPr>
        <w:spacing w:after="0"/>
        <w:rPr>
          <w:sz w:val="20"/>
          <w:szCs w:val="20"/>
          <w:color w:val="auto"/>
        </w:rPr>
      </w:pPr>
      <w:r>
        <w:rPr>
          <w:rFonts w:ascii="Arial" w:cs="Arial" w:eastAsia="Arial" w:hAnsi="Arial"/>
          <w:sz w:val="12"/>
          <w:szCs w:val="12"/>
          <w:i w:val="1"/>
          <w:iCs w:val="1"/>
          <w:color w:val="auto"/>
        </w:rPr>
        <w:t>Voting and Governance Agreement</w:t>
      </w:r>
    </w:p>
    <w:p>
      <w:pPr>
        <w:spacing w:after="0" w:line="168"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 entered into a Voting and Governance Agreement with CEG relating to certain governance matters of the Company, including the composition of the board of directors of the Company, or the Board, implementation of a stockholder proposal at the next annual meeting of the Company to amend the restated certificate of incorporation of the Company to stagger the Board, and the employment status of the CEO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Limited Liability Company Agreement</w:t>
      </w:r>
    </w:p>
    <w:p>
      <w:pPr>
        <w:spacing w:after="0" w:line="16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entered into the Fourth Amended and Restated Limited Liability Company Agreement of Clearway Energy LLC with CEG, which sets forth the rights and obligations of the Company, as managing member, and CEG, as member, of Clearway Energy LLC.</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Transition Services Agreement</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entered into the NRG TSA, pursuant to which NRG or certain of its affiliates began providing transition services to the Company following the consummation of the GIP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Strategy</w:t>
      </w:r>
    </w:p>
    <w:p>
      <w:pPr>
        <w:spacing w:after="0" w:line="11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 As discussed above, the PG&amp;E Bankruptcy has caused uncertainty around the timing of when certain project-level distributions will be available to the Company. As a result of such timing uncertainty, the Company reduced its quarterly dividend for the first quarter of 2019 to $0.20 per share of Class A and Class C common stock, compared to $0.331 per share in the prior quarter. While the Company views this action as prudent from a financial perspective, it has not changed the Company's long-term business strategy.</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plan for executing its business strategy includes the following key components: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b w:val="1"/>
          <w:bCs w:val="1"/>
          <w:i w:val="1"/>
          <w:iCs w:val="1"/>
          <w:color w:val="auto"/>
        </w:rPr>
        <w:t xml:space="preserve">Focus on contracted renewable energy and conventional generation and thermal infrastructure assets. </w:t>
      </w:r>
      <w:r>
        <w:rPr>
          <w:rFonts w:ascii="Arial" w:cs="Arial" w:eastAsia="Arial" w:hAnsi="Arial"/>
          <w:sz w:val="12"/>
          <w:szCs w:val="12"/>
          <w:color w:val="auto"/>
        </w:rPr>
        <w:t>The Company owns and operates utility scale and distributed renewable energy and natural gas-fired generation, thermal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i w:val="1"/>
          <w:iCs w:val="1"/>
          <w:color w:val="auto"/>
        </w:rPr>
        <w:t xml:space="preserve">Growing the business through acquisitions of contracted operating assets. </w:t>
      </w:r>
      <w:r>
        <w:rPr>
          <w:rFonts w:ascii="Arial" w:cs="Arial" w:eastAsia="Arial" w:hAnsi="Arial"/>
          <w:sz w:val="12"/>
          <w:szCs w:val="12"/>
          <w:color w:val="auto"/>
        </w:rPr>
        <w:t>The Company believes that its base of operations provides a platform in the conventional and renewable power generation and thermal sectors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the CEG ROFO Agreement. Under the CEG ROFO Agreement,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assets listed below represent the Company's currently committed investments and the CEG ROFO Assets: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572" w:right="1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color w:val="auto"/>
        </w:rPr>
        <w:t>Committed Investments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5400" w:type="dxa"/>
            <w:vAlign w:val="bottom"/>
            <w:gridSpan w:val="2"/>
          </w:tcPr>
          <w:p>
            <w:pPr>
              <w:ind w:left="20"/>
              <w:spacing w:after="0"/>
              <w:rPr>
                <w:sz w:val="20"/>
                <w:szCs w:val="20"/>
                <w:color w:val="auto"/>
              </w:rPr>
            </w:pPr>
            <w:r>
              <w:rPr>
                <w:rFonts w:ascii="Arial" w:cs="Arial" w:eastAsia="Arial" w:hAnsi="Arial"/>
                <w:sz w:val="11"/>
                <w:szCs w:val="11"/>
                <w:b w:val="1"/>
                <w:bCs w:val="1"/>
                <w:color w:val="auto"/>
              </w:rPr>
              <w:t>Asset</w:t>
            </w:r>
          </w:p>
        </w:tc>
        <w:tc>
          <w:tcPr>
            <w:tcW w:w="1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4"/>
              </w:rPr>
              <w:t>Technology</w:t>
            </w:r>
          </w:p>
        </w:tc>
        <w:tc>
          <w:tcPr>
            <w:tcW w:w="2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Net Capacity (MW)</w:t>
            </w: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State</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7"/>
              </w:rPr>
              <w:t>COD</w:t>
            </w:r>
          </w:p>
        </w:tc>
      </w:tr>
      <w:tr>
        <w:trPr>
          <w:trHeight w:val="31"/>
        </w:trPr>
        <w:tc>
          <w:tcPr>
            <w:tcW w:w="5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Hawaii Solar Phase I</w:t>
            </w:r>
            <w:r>
              <w:rPr>
                <w:rFonts w:ascii="Arial" w:cs="Arial" w:eastAsia="Arial" w:hAnsi="Arial"/>
                <w:sz w:val="14"/>
                <w:szCs w:val="14"/>
                <w:color w:val="auto"/>
                <w:vertAlign w:val="superscript"/>
              </w:rPr>
              <w:t>(a)</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color w:val="auto"/>
                <w:w w:val="95"/>
              </w:rPr>
              <w:t>PV</w:t>
            </w:r>
          </w:p>
        </w:tc>
        <w:tc>
          <w:tcPr>
            <w:tcW w:w="2080" w:type="dxa"/>
            <w:vAlign w:val="bottom"/>
            <w:shd w:val="clear" w:color="auto" w:fill="CCEEFF"/>
          </w:tcPr>
          <w:p>
            <w:pPr>
              <w:jc w:val="right"/>
              <w:ind w:right="926"/>
              <w:spacing w:after="0"/>
              <w:rPr>
                <w:sz w:val="20"/>
                <w:szCs w:val="20"/>
                <w:color w:val="auto"/>
              </w:rPr>
            </w:pPr>
            <w:r>
              <w:rPr>
                <w:rFonts w:ascii="Arial" w:cs="Arial" w:eastAsia="Arial" w:hAnsi="Arial"/>
                <w:sz w:val="11"/>
                <w:szCs w:val="11"/>
                <w:color w:val="auto"/>
              </w:rPr>
              <w:t>80</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color w:val="auto"/>
              </w:rPr>
              <w:t>HI</w:t>
            </w: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2019</w:t>
            </w:r>
          </w:p>
        </w:tc>
      </w:tr>
      <w:tr>
        <w:trPr>
          <w:trHeight w:val="180"/>
        </w:trPr>
        <w:tc>
          <w:tcPr>
            <w:tcW w:w="5400" w:type="dxa"/>
            <w:vAlign w:val="bottom"/>
            <w:gridSpan w:val="2"/>
          </w:tcPr>
          <w:p>
            <w:pPr>
              <w:ind w:left="20"/>
              <w:spacing w:after="0"/>
              <w:rPr>
                <w:sz w:val="20"/>
                <w:szCs w:val="20"/>
                <w:color w:val="auto"/>
              </w:rPr>
            </w:pPr>
            <w:r>
              <w:rPr>
                <w:rFonts w:ascii="Arial" w:cs="Arial" w:eastAsia="Arial" w:hAnsi="Arial"/>
                <w:sz w:val="11"/>
                <w:szCs w:val="11"/>
                <w:color w:val="auto"/>
              </w:rPr>
              <w:t>$47 MM remaining in distributed and community solar partnerships</w:t>
            </w:r>
            <w:r>
              <w:rPr>
                <w:rFonts w:ascii="Arial" w:cs="Arial" w:eastAsia="Arial" w:hAnsi="Arial"/>
                <w:sz w:val="14"/>
                <w:szCs w:val="14"/>
                <w:color w:val="auto"/>
                <w:vertAlign w:val="superscript"/>
              </w:rPr>
              <w:t>(b)</w:t>
            </w:r>
          </w:p>
        </w:tc>
        <w:tc>
          <w:tcPr>
            <w:tcW w:w="1720" w:type="dxa"/>
            <w:vAlign w:val="bottom"/>
            <w:gridSpan w:val="2"/>
          </w:tcPr>
          <w:p>
            <w:pPr>
              <w:jc w:val="center"/>
              <w:ind w:right="220"/>
              <w:spacing w:after="0"/>
              <w:rPr>
                <w:sz w:val="20"/>
                <w:szCs w:val="20"/>
                <w:color w:val="auto"/>
              </w:rPr>
            </w:pPr>
            <w:r>
              <w:rPr>
                <w:rFonts w:ascii="Arial" w:cs="Arial" w:eastAsia="Arial" w:hAnsi="Arial"/>
                <w:sz w:val="11"/>
                <w:szCs w:val="11"/>
                <w:color w:val="auto"/>
                <w:w w:val="95"/>
              </w:rPr>
              <w:t>PV</w:t>
            </w:r>
          </w:p>
        </w:tc>
        <w:tc>
          <w:tcPr>
            <w:tcW w:w="2300" w:type="dxa"/>
            <w:vAlign w:val="bottom"/>
            <w:gridSpan w:val="2"/>
          </w:tcPr>
          <w:p>
            <w:pPr>
              <w:jc w:val="center"/>
              <w:ind w:right="220"/>
              <w:spacing w:after="0"/>
              <w:rPr>
                <w:sz w:val="20"/>
                <w:szCs w:val="20"/>
                <w:color w:val="auto"/>
              </w:rPr>
            </w:pPr>
            <w:r>
              <w:rPr>
                <w:rFonts w:ascii="Arial" w:cs="Arial" w:eastAsia="Arial" w:hAnsi="Arial"/>
                <w:sz w:val="11"/>
                <w:szCs w:val="11"/>
                <w:color w:val="auto"/>
              </w:rPr>
              <w:t>N/A</w:t>
            </w: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color w:val="auto"/>
                <w:w w:val="85"/>
              </w:rPr>
              <w:t>Various</w:t>
            </w:r>
          </w:p>
        </w:tc>
        <w:tc>
          <w:tcPr>
            <w:tcW w:w="900" w:type="dxa"/>
            <w:vAlign w:val="bottom"/>
          </w:tcPr>
          <w:p>
            <w:pPr>
              <w:jc w:val="center"/>
              <w:spacing w:after="0"/>
              <w:rPr>
                <w:sz w:val="20"/>
                <w:szCs w:val="20"/>
                <w:color w:val="auto"/>
              </w:rPr>
            </w:pPr>
            <w:r>
              <w:rPr>
                <w:rFonts w:ascii="Arial" w:cs="Arial" w:eastAsia="Arial" w:hAnsi="Arial"/>
                <w:sz w:val="11"/>
                <w:szCs w:val="11"/>
                <w:color w:val="auto"/>
                <w:w w:val="91"/>
              </w:rPr>
              <w:t>Various</w:t>
            </w:r>
          </w:p>
        </w:tc>
      </w:tr>
      <w:tr>
        <w:trPr>
          <w:trHeight w:val="18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Repowering Partnership with CEG </w:t>
            </w:r>
            <w:r>
              <w:rPr>
                <w:rFonts w:ascii="Arial" w:cs="Arial" w:eastAsia="Arial" w:hAnsi="Arial"/>
                <w:sz w:val="14"/>
                <w:szCs w:val="14"/>
                <w:color w:val="auto"/>
                <w:vertAlign w:val="superscript"/>
              </w:rPr>
              <w:t>(c)</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5"/>
              </w:rPr>
              <w:t>Wind</w:t>
            </w:r>
          </w:p>
        </w:tc>
        <w:tc>
          <w:tcPr>
            <w:tcW w:w="2080" w:type="dxa"/>
            <w:vAlign w:val="bottom"/>
            <w:shd w:val="clear" w:color="auto" w:fill="CCEEFF"/>
          </w:tcPr>
          <w:p>
            <w:pPr>
              <w:jc w:val="right"/>
              <w:ind w:right="906"/>
              <w:spacing w:after="0"/>
              <w:rPr>
                <w:sz w:val="20"/>
                <w:szCs w:val="20"/>
                <w:color w:val="auto"/>
              </w:rPr>
            </w:pPr>
            <w:r>
              <w:rPr>
                <w:rFonts w:ascii="Arial" w:cs="Arial" w:eastAsia="Arial" w:hAnsi="Arial"/>
                <w:sz w:val="11"/>
                <w:szCs w:val="11"/>
                <w:color w:val="auto"/>
              </w:rPr>
              <w:t>283</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TX</w:t>
            </w: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2020</w:t>
            </w:r>
          </w:p>
        </w:tc>
      </w:tr>
    </w:tbl>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Clearway Energy Group ROFO</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5400" w:type="dxa"/>
            <w:vAlign w:val="bottom"/>
            <w:gridSpan w:val="2"/>
          </w:tcPr>
          <w:p>
            <w:pPr>
              <w:ind w:left="20"/>
              <w:spacing w:after="0"/>
              <w:rPr>
                <w:sz w:val="20"/>
                <w:szCs w:val="20"/>
                <w:color w:val="auto"/>
              </w:rPr>
            </w:pPr>
            <w:r>
              <w:rPr>
                <w:rFonts w:ascii="Arial" w:cs="Arial" w:eastAsia="Arial" w:hAnsi="Arial"/>
                <w:sz w:val="11"/>
                <w:szCs w:val="11"/>
                <w:b w:val="1"/>
                <w:bCs w:val="1"/>
                <w:color w:val="auto"/>
              </w:rPr>
              <w:t>Asset</w:t>
            </w:r>
          </w:p>
        </w:tc>
        <w:tc>
          <w:tcPr>
            <w:tcW w:w="1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4"/>
              </w:rPr>
              <w:t>Technology</w:t>
            </w:r>
          </w:p>
        </w:tc>
        <w:tc>
          <w:tcPr>
            <w:tcW w:w="2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Net Capacity (MW)</w:t>
            </w: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State</w:t>
            </w:r>
          </w:p>
        </w:tc>
        <w:tc>
          <w:tcPr>
            <w:tcW w:w="900" w:type="dxa"/>
            <w:vAlign w:val="bottom"/>
          </w:tcPr>
          <w:p>
            <w:pPr>
              <w:ind w:left="340"/>
              <w:spacing w:after="0"/>
              <w:rPr>
                <w:sz w:val="20"/>
                <w:szCs w:val="20"/>
                <w:color w:val="auto"/>
              </w:rPr>
            </w:pPr>
            <w:r>
              <w:rPr>
                <w:rFonts w:ascii="Arial" w:cs="Arial" w:eastAsia="Arial" w:hAnsi="Arial"/>
                <w:sz w:val="11"/>
                <w:szCs w:val="11"/>
                <w:b w:val="1"/>
                <w:bCs w:val="1"/>
                <w:color w:val="auto"/>
              </w:rPr>
              <w:t>COD</w:t>
            </w:r>
          </w:p>
        </w:tc>
      </w:tr>
      <w:tr>
        <w:trPr>
          <w:trHeight w:val="31"/>
        </w:trPr>
        <w:tc>
          <w:tcPr>
            <w:tcW w:w="5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40"/>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Mililani I</w:t>
            </w:r>
          </w:p>
        </w:tc>
        <w:tc>
          <w:tcPr>
            <w:tcW w:w="17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color w:val="auto"/>
                <w:w w:val="95"/>
              </w:rPr>
              <w:t>PV</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39</w:t>
            </w:r>
          </w:p>
        </w:tc>
        <w:tc>
          <w:tcPr>
            <w:tcW w:w="2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color w:val="auto"/>
              </w:rPr>
              <w:t>HI</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2021</w:t>
            </w:r>
          </w:p>
        </w:tc>
      </w:tr>
      <w:tr>
        <w:trPr>
          <w:trHeight w:val="158"/>
        </w:trPr>
        <w:tc>
          <w:tcPr>
            <w:tcW w:w="5400" w:type="dxa"/>
            <w:vAlign w:val="bottom"/>
            <w:gridSpan w:val="2"/>
          </w:tcPr>
          <w:p>
            <w:pPr>
              <w:ind w:left="20"/>
              <w:spacing w:after="0"/>
              <w:rPr>
                <w:sz w:val="20"/>
                <w:szCs w:val="20"/>
                <w:color w:val="auto"/>
              </w:rPr>
            </w:pPr>
            <w:r>
              <w:rPr>
                <w:rFonts w:ascii="Arial" w:cs="Arial" w:eastAsia="Arial" w:hAnsi="Arial"/>
                <w:sz w:val="11"/>
                <w:szCs w:val="11"/>
                <w:color w:val="auto"/>
              </w:rPr>
              <w:t>Waiawa</w:t>
            </w:r>
          </w:p>
        </w:tc>
        <w:tc>
          <w:tcPr>
            <w:tcW w:w="1720" w:type="dxa"/>
            <w:vAlign w:val="bottom"/>
            <w:gridSpan w:val="2"/>
          </w:tcPr>
          <w:p>
            <w:pPr>
              <w:jc w:val="center"/>
              <w:ind w:right="220"/>
              <w:spacing w:after="0"/>
              <w:rPr>
                <w:sz w:val="20"/>
                <w:szCs w:val="20"/>
                <w:color w:val="auto"/>
              </w:rPr>
            </w:pPr>
            <w:r>
              <w:rPr>
                <w:rFonts w:ascii="Arial" w:cs="Arial" w:eastAsia="Arial" w:hAnsi="Arial"/>
                <w:sz w:val="11"/>
                <w:szCs w:val="11"/>
                <w:color w:val="auto"/>
                <w:w w:val="95"/>
              </w:rPr>
              <w:t>PV</w:t>
            </w:r>
          </w:p>
        </w:tc>
        <w:tc>
          <w:tcPr>
            <w:tcW w:w="2080" w:type="dxa"/>
            <w:vAlign w:val="bottom"/>
          </w:tcPr>
          <w:p>
            <w:pPr>
              <w:jc w:val="center"/>
              <w:spacing w:after="0"/>
              <w:rPr>
                <w:sz w:val="20"/>
                <w:szCs w:val="20"/>
                <w:color w:val="auto"/>
              </w:rPr>
            </w:pPr>
            <w:r>
              <w:rPr>
                <w:rFonts w:ascii="Arial" w:cs="Arial" w:eastAsia="Arial" w:hAnsi="Arial"/>
                <w:sz w:val="11"/>
                <w:szCs w:val="11"/>
                <w:color w:val="auto"/>
                <w:w w:val="97"/>
              </w:rPr>
              <w:t>36</w:t>
            </w:r>
          </w:p>
        </w:tc>
        <w:tc>
          <w:tcPr>
            <w:tcW w:w="2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color w:val="auto"/>
              </w:rPr>
              <w:t>HI</w:t>
            </w:r>
          </w:p>
        </w:tc>
        <w:tc>
          <w:tcPr>
            <w:tcW w:w="900" w:type="dxa"/>
            <w:vAlign w:val="bottom"/>
          </w:tcPr>
          <w:p>
            <w:pPr>
              <w:ind w:left="340"/>
              <w:spacing w:after="0"/>
              <w:rPr>
                <w:sz w:val="20"/>
                <w:szCs w:val="20"/>
                <w:color w:val="auto"/>
              </w:rPr>
            </w:pPr>
            <w:r>
              <w:rPr>
                <w:rFonts w:ascii="Arial" w:cs="Arial" w:eastAsia="Arial" w:hAnsi="Arial"/>
                <w:sz w:val="11"/>
                <w:szCs w:val="11"/>
                <w:color w:val="auto"/>
              </w:rPr>
              <w:t>2021</w:t>
            </w:r>
          </w:p>
        </w:tc>
      </w:tr>
      <w:tr>
        <w:trPr>
          <w:trHeight w:val="22"/>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Langford</w:t>
            </w:r>
          </w:p>
        </w:tc>
        <w:tc>
          <w:tcPr>
            <w:tcW w:w="1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5"/>
              </w:rPr>
              <w:t>Wind</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6"/>
              </w:rPr>
              <w:t>150</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99"/>
              </w:rPr>
              <w:t>TX</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2009</w:t>
            </w:r>
          </w:p>
        </w:tc>
      </w:tr>
      <w:tr>
        <w:trPr>
          <w:trHeight w:val="158"/>
        </w:trPr>
        <w:tc>
          <w:tcPr>
            <w:tcW w:w="5400" w:type="dxa"/>
            <w:vAlign w:val="bottom"/>
            <w:gridSpan w:val="2"/>
          </w:tcPr>
          <w:p>
            <w:pPr>
              <w:ind w:left="20"/>
              <w:spacing w:after="0"/>
              <w:rPr>
                <w:sz w:val="20"/>
                <w:szCs w:val="20"/>
                <w:color w:val="auto"/>
              </w:rPr>
            </w:pPr>
            <w:r>
              <w:rPr>
                <w:rFonts w:ascii="Arial" w:cs="Arial" w:eastAsia="Arial" w:hAnsi="Arial"/>
                <w:sz w:val="11"/>
                <w:szCs w:val="11"/>
                <w:color w:val="auto"/>
              </w:rPr>
              <w:t>Mesquite Star</w:t>
            </w:r>
          </w:p>
        </w:tc>
        <w:tc>
          <w:tcPr>
            <w:tcW w:w="1720" w:type="dxa"/>
            <w:vAlign w:val="bottom"/>
            <w:gridSpan w:val="2"/>
          </w:tcPr>
          <w:p>
            <w:pPr>
              <w:jc w:val="center"/>
              <w:ind w:right="240"/>
              <w:spacing w:after="0"/>
              <w:rPr>
                <w:sz w:val="20"/>
                <w:szCs w:val="20"/>
                <w:color w:val="auto"/>
              </w:rPr>
            </w:pPr>
            <w:r>
              <w:rPr>
                <w:rFonts w:ascii="Arial" w:cs="Arial" w:eastAsia="Arial" w:hAnsi="Arial"/>
                <w:sz w:val="11"/>
                <w:szCs w:val="11"/>
                <w:color w:val="auto"/>
                <w:w w:val="95"/>
              </w:rPr>
              <w:t>Wind</w:t>
            </w:r>
          </w:p>
        </w:tc>
        <w:tc>
          <w:tcPr>
            <w:tcW w:w="2080" w:type="dxa"/>
            <w:vAlign w:val="bottom"/>
          </w:tcPr>
          <w:p>
            <w:pPr>
              <w:jc w:val="center"/>
              <w:spacing w:after="0"/>
              <w:rPr>
                <w:sz w:val="20"/>
                <w:szCs w:val="20"/>
                <w:color w:val="auto"/>
              </w:rPr>
            </w:pPr>
            <w:r>
              <w:rPr>
                <w:rFonts w:ascii="Arial" w:cs="Arial" w:eastAsia="Arial" w:hAnsi="Arial"/>
                <w:sz w:val="11"/>
                <w:szCs w:val="11"/>
                <w:color w:val="auto"/>
                <w:w w:val="86"/>
              </w:rPr>
              <w:t>419</w:t>
            </w:r>
          </w:p>
        </w:tc>
        <w:tc>
          <w:tcPr>
            <w:tcW w:w="2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TX</w:t>
            </w:r>
          </w:p>
        </w:tc>
        <w:tc>
          <w:tcPr>
            <w:tcW w:w="900" w:type="dxa"/>
            <w:vAlign w:val="bottom"/>
          </w:tcPr>
          <w:p>
            <w:pPr>
              <w:ind w:left="340"/>
              <w:spacing w:after="0"/>
              <w:rPr>
                <w:sz w:val="20"/>
                <w:szCs w:val="20"/>
                <w:color w:val="auto"/>
              </w:rPr>
            </w:pPr>
            <w:r>
              <w:rPr>
                <w:rFonts w:ascii="Arial" w:cs="Arial" w:eastAsia="Arial" w:hAnsi="Arial"/>
                <w:sz w:val="11"/>
                <w:szCs w:val="11"/>
                <w:color w:val="auto"/>
              </w:rPr>
              <w:t>2020</w:t>
            </w:r>
          </w:p>
        </w:tc>
      </w:tr>
      <w:tr>
        <w:trPr>
          <w:trHeight w:val="22"/>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Carlsbad</w:t>
            </w:r>
            <w:r>
              <w:rPr>
                <w:rFonts w:ascii="Arial" w:cs="Arial" w:eastAsia="Arial" w:hAnsi="Arial"/>
                <w:sz w:val="14"/>
                <w:szCs w:val="14"/>
                <w:color w:val="auto"/>
                <w:vertAlign w:val="superscript"/>
              </w:rPr>
              <w:t>(d)</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color w:val="auto"/>
                <w:w w:val="88"/>
              </w:rPr>
              <w:t>Natural Gas</w:t>
            </w:r>
          </w:p>
        </w:tc>
        <w:tc>
          <w:tcPr>
            <w:tcW w:w="20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6"/>
              </w:rPr>
              <w:t>527</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color w:val="auto"/>
              </w:rPr>
              <w:t>CA</w:t>
            </w:r>
          </w:p>
        </w:tc>
        <w:tc>
          <w:tcPr>
            <w:tcW w:w="9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2018</w:t>
            </w:r>
          </w:p>
        </w:tc>
      </w:tr>
      <w:tr>
        <w:trPr>
          <w:trHeight w:val="158"/>
        </w:trPr>
        <w:tc>
          <w:tcPr>
            <w:tcW w:w="5400" w:type="dxa"/>
            <w:vAlign w:val="bottom"/>
            <w:gridSpan w:val="2"/>
          </w:tcPr>
          <w:p>
            <w:pPr>
              <w:ind w:left="20"/>
              <w:spacing w:after="0"/>
              <w:rPr>
                <w:sz w:val="20"/>
                <w:szCs w:val="20"/>
                <w:color w:val="auto"/>
              </w:rPr>
            </w:pPr>
            <w:r>
              <w:rPr>
                <w:rFonts w:ascii="Arial" w:cs="Arial" w:eastAsia="Arial" w:hAnsi="Arial"/>
                <w:sz w:val="11"/>
                <w:szCs w:val="11"/>
                <w:color w:val="auto"/>
              </w:rPr>
              <w:t>Up to $170 MM equity investment in business renewables</w:t>
            </w:r>
          </w:p>
        </w:tc>
        <w:tc>
          <w:tcPr>
            <w:tcW w:w="1720" w:type="dxa"/>
            <w:vAlign w:val="bottom"/>
            <w:gridSpan w:val="2"/>
          </w:tcPr>
          <w:p>
            <w:pPr>
              <w:jc w:val="center"/>
              <w:ind w:right="220"/>
              <w:spacing w:after="0"/>
              <w:rPr>
                <w:sz w:val="20"/>
                <w:szCs w:val="20"/>
                <w:color w:val="auto"/>
              </w:rPr>
            </w:pPr>
            <w:r>
              <w:rPr>
                <w:rFonts w:ascii="Arial" w:cs="Arial" w:eastAsia="Arial" w:hAnsi="Arial"/>
                <w:sz w:val="11"/>
                <w:szCs w:val="11"/>
                <w:color w:val="auto"/>
                <w:w w:val="95"/>
              </w:rPr>
              <w:t>PV</w:t>
            </w:r>
          </w:p>
        </w:tc>
        <w:tc>
          <w:tcPr>
            <w:tcW w:w="2300" w:type="dxa"/>
            <w:vAlign w:val="bottom"/>
            <w:gridSpan w:val="2"/>
          </w:tcPr>
          <w:p>
            <w:pPr>
              <w:jc w:val="center"/>
              <w:ind w:right="220"/>
              <w:spacing w:after="0"/>
              <w:rPr>
                <w:sz w:val="20"/>
                <w:szCs w:val="20"/>
                <w:color w:val="auto"/>
              </w:rPr>
            </w:pPr>
            <w:r>
              <w:rPr>
                <w:rFonts w:ascii="Arial" w:cs="Arial" w:eastAsia="Arial" w:hAnsi="Arial"/>
                <w:sz w:val="11"/>
                <w:szCs w:val="11"/>
                <w:color w:val="auto"/>
                <w:w w:val="90"/>
              </w:rPr>
              <w:t>TBD</w:t>
            </w: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color w:val="auto"/>
                <w:w w:val="85"/>
              </w:rPr>
              <w:t>Various</w:t>
            </w:r>
          </w:p>
        </w:tc>
        <w:tc>
          <w:tcPr>
            <w:tcW w:w="900" w:type="dxa"/>
            <w:vAlign w:val="bottom"/>
          </w:tcPr>
          <w:p>
            <w:pPr>
              <w:ind w:left="340"/>
              <w:spacing w:after="0"/>
              <w:rPr>
                <w:sz w:val="20"/>
                <w:szCs w:val="20"/>
                <w:color w:val="auto"/>
              </w:rPr>
            </w:pPr>
            <w:r>
              <w:rPr>
                <w:rFonts w:ascii="Arial" w:cs="Arial" w:eastAsia="Arial" w:hAnsi="Arial"/>
                <w:sz w:val="11"/>
                <w:szCs w:val="11"/>
                <w:color w:val="auto"/>
              </w:rPr>
              <w:t>TBD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41859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206" w:lineRule="exact"/>
        <w:rPr>
          <w:sz w:val="20"/>
          <w:szCs w:val="20"/>
          <w:color w:val="auto"/>
        </w:rPr>
      </w:pPr>
    </w:p>
    <w:p>
      <w:pPr>
        <w:ind w:left="88" w:hanging="88"/>
        <w:spacing w:after="0"/>
        <w:tabs>
          <w:tab w:leader="none" w:pos="88" w:val="left"/>
        </w:tabs>
        <w:numPr>
          <w:ilvl w:val="0"/>
          <w:numId w:val="3"/>
        </w:numPr>
        <w:rPr>
          <w:rFonts w:ascii="Arial" w:cs="Arial" w:eastAsia="Arial" w:hAnsi="Arial"/>
          <w:sz w:val="5"/>
          <w:szCs w:val="5"/>
          <w:color w:val="auto"/>
        </w:rPr>
      </w:pPr>
      <w:r>
        <w:rPr>
          <w:rFonts w:ascii="Arial" w:cs="Arial" w:eastAsia="Arial" w:hAnsi="Arial"/>
          <w:sz w:val="8"/>
          <w:szCs w:val="8"/>
          <w:color w:val="auto"/>
        </w:rPr>
        <w:t>On August 31, 2018, Clearway Energy Operating LLC and Clearway Energy Group executed a purchase agreement pursuant to which the Company will acquire effective equity ownership in 80 MW of utility-scale solar projects (Waipao, Mililani II and Kawailoa Solar) located in Oahu, Hawaii.</w:t>
      </w:r>
    </w:p>
    <w:p>
      <w:pPr>
        <w:spacing w:after="0" w:line="24" w:lineRule="exact"/>
        <w:rPr>
          <w:rFonts w:ascii="Arial" w:cs="Arial" w:eastAsia="Arial" w:hAnsi="Arial"/>
          <w:sz w:val="5"/>
          <w:szCs w:val="5"/>
          <w:color w:val="auto"/>
        </w:rPr>
      </w:pPr>
    </w:p>
    <w:p>
      <w:pPr>
        <w:ind w:left="88" w:hanging="88"/>
        <w:spacing w:after="0" w:line="225" w:lineRule="auto"/>
        <w:tabs>
          <w:tab w:leader="none" w:pos="88" w:val="left"/>
        </w:tabs>
        <w:numPr>
          <w:ilvl w:val="0"/>
          <w:numId w:val="3"/>
        </w:numPr>
        <w:rPr>
          <w:rFonts w:ascii="Arial" w:cs="Arial" w:eastAsia="Arial" w:hAnsi="Arial"/>
          <w:sz w:val="6"/>
          <w:szCs w:val="6"/>
          <w:color w:val="auto"/>
        </w:rPr>
      </w:pPr>
      <w:r>
        <w:rPr>
          <w:rFonts w:ascii="Arial" w:cs="Arial" w:eastAsia="Arial" w:hAnsi="Arial"/>
          <w:sz w:val="10"/>
          <w:szCs w:val="10"/>
          <w:color w:val="auto"/>
        </w:rPr>
        <w:t>On December 26, 2018, the Company and CEG amended the DGPV Holdco 3 partnership agreement to increase the capital commitment of $50 million to $70 million.</w:t>
      </w:r>
    </w:p>
    <w:p>
      <w:pPr>
        <w:ind w:left="88" w:hanging="88"/>
        <w:spacing w:after="0" w:line="225" w:lineRule="auto"/>
        <w:tabs>
          <w:tab w:leader="none" w:pos="88" w:val="left"/>
        </w:tabs>
        <w:numPr>
          <w:ilvl w:val="0"/>
          <w:numId w:val="3"/>
        </w:numPr>
        <w:rPr>
          <w:rFonts w:ascii="Arial" w:cs="Arial" w:eastAsia="Arial" w:hAnsi="Arial"/>
          <w:sz w:val="6"/>
          <w:szCs w:val="6"/>
          <w:color w:val="auto"/>
        </w:rPr>
      </w:pPr>
      <w:r>
        <w:rPr>
          <w:rFonts w:ascii="Arial" w:cs="Arial" w:eastAsia="Arial" w:hAnsi="Arial"/>
          <w:sz w:val="10"/>
          <w:szCs w:val="10"/>
          <w:color w:val="auto"/>
        </w:rPr>
        <w:t>Investment in the Repowering Partnership with CEG is contingent upon obtaining related construction and tax equity financing.</w:t>
      </w:r>
    </w:p>
    <w:p>
      <w:pPr>
        <w:ind w:left="8" w:right="160" w:hanging="8"/>
        <w:spacing w:after="0" w:line="231" w:lineRule="auto"/>
        <w:tabs>
          <w:tab w:leader="none" w:pos="99" w:val="left"/>
        </w:tabs>
        <w:numPr>
          <w:ilvl w:val="0"/>
          <w:numId w:val="3"/>
        </w:numPr>
        <w:rPr>
          <w:rFonts w:ascii="Arial" w:cs="Arial" w:eastAsia="Arial" w:hAnsi="Arial"/>
          <w:sz w:val="6"/>
          <w:szCs w:val="6"/>
          <w:color w:val="auto"/>
        </w:rPr>
      </w:pPr>
      <w:r>
        <w:rPr>
          <w:rFonts w:ascii="Arial" w:cs="Arial" w:eastAsia="Arial" w:hAnsi="Arial"/>
          <w:sz w:val="10"/>
          <w:szCs w:val="10"/>
          <w:color w:val="auto"/>
        </w:rPr>
        <w:t>The Company maintains the option to purchase Carlsbad from GIP at any time within 18 months after February 27, 2019 at the same economic terms at which it originally agreed to purchase the asset from NRG. Should the Company not acquire Carlsbad within such 18 months, Carlsbad will become a CEG ROFO Asset.</w:t>
      </w:r>
    </w:p>
    <w:p>
      <w:pPr>
        <w:spacing w:after="0" w:line="89"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The NRG ROFO Agreement was amended upon the closing of the GIP Transaction to (i) remove the Ivanpah solar facility and (ii) provide the Company and its subsidiaries a right of first offer on any proposed sale or transfer of 100% of the membership interest in Agua Caliente Borrower 1, LLC, which owns a 35% interest in Agua Caliente, a 290 MW utility-scale solar project located in Dateland, Arizona with PG&amp;E as the project’s customer. Pursuant to the terms of the NRG ROFO Agreement, the Company elected to forgo the acquisition. The Company continues to own a 16% interest in the project through Agua Caliente Borrower 2 LLC.</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Company entered into an agreement with NRG to purchase the Carlsbad project on February 6, 2018. The Company elected to exercise the Carlsbad backstop facility provided by GIP; as such, GIP purchased 100% of the membership interest in Carlsbad Energy Holdings LLC on February 27, 2019.</w:t>
      </w:r>
    </w:p>
    <w:p>
      <w:pPr>
        <w:spacing w:after="0" w:line="7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Additionally, the CEG ROFO Agreement was amended on February 14, 2019, to grant to the Company a right of first offer for Hawaii Solar Phase II, which consist of Mililani I and Waiawa solar and storage projects located in Oahu, Hawaii. The projects are expected to reach COD in 2021.</w:t>
      </w:r>
    </w:p>
    <w:p>
      <w:pPr>
        <w:spacing w:after="0" w:line="79"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b w:val="1"/>
          <w:bCs w:val="1"/>
          <w:i w:val="1"/>
          <w:iCs w:val="1"/>
          <w:color w:val="auto"/>
        </w:rPr>
        <w:t xml:space="preserve">Primary focus on North America. </w:t>
      </w:r>
      <w:r>
        <w:rPr>
          <w:rFonts w:ascii="Arial" w:cs="Arial" w:eastAsia="Arial" w:hAnsi="Arial"/>
          <w:sz w:val="11"/>
          <w:szCs w:val="11"/>
          <w:color w:val="auto"/>
        </w:rPr>
        <w:t>The Company intends to primarily focus its investments in North America (including the unincorporated territories of the U.S.). The Company believes that industry fundamentals in North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69"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b w:val="1"/>
          <w:bCs w:val="1"/>
          <w:i w:val="1"/>
          <w:iCs w:val="1"/>
          <w:color w:val="auto"/>
        </w:rPr>
        <w:t xml:space="preserve">Maintain sound financial practices to grow the dividend. </w:t>
      </w:r>
      <w:r>
        <w:rPr>
          <w:rFonts w:ascii="Arial" w:cs="Arial" w:eastAsia="Arial" w:hAnsi="Arial"/>
          <w:sz w:val="11"/>
          <w:szCs w:val="11"/>
          <w:color w:val="auto"/>
        </w:rPr>
        <w:t>The Company intends to maintain a commitment to disciplined financial analysis and a balanced capital structure to enable it to increase its quarterly dividend over time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 The Company intends to evaluate various alternatives for financing future acquisitions and refinancing of existing project-level debt, in each case, to reduce the cost of debt, extend maturities and maximize CAFD. The Company believes it has</w:t>
      </w: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8"/>
          </w:cols>
          <w:pgMar w:left="212" w:top="568"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t>additional flexibility to seek alternative financing arrangements, including, but not limited to, debt financings and equity-like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Strengths</w:t>
      </w:r>
    </w:p>
    <w:p>
      <w:pPr>
        <w:spacing w:after="0" w:line="118"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b w:val="1"/>
          <w:bCs w:val="1"/>
          <w:i w:val="1"/>
          <w:iCs w:val="1"/>
          <w:color w:val="auto"/>
        </w:rPr>
        <w:t xml:space="preserve">Stable, high quality cash flows. </w:t>
      </w:r>
      <w:r>
        <w:rPr>
          <w:rFonts w:ascii="Arial" w:cs="Arial" w:eastAsia="Arial" w:hAnsi="Arial"/>
          <w:sz w:val="10"/>
          <w:szCs w:val="10"/>
          <w:color w:val="auto"/>
        </w:rPr>
        <w:t>The Company's facilities have a stable, predictable cash flow profile consisting of predominantly long-life electric generation assets that sell electricity under long-term fixed priced contracts or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 xml:space="preserve">pursuant to regulated rates with investment grade and certain other credit-worthy counterparties. As discussed above, PG&amp;E, one of the Company's significant customers, filed for bankruptcy on January 29, 2019. Additionally, the Company's facilities have minimal fuel risk. For the Company's conventional assets, fuel is provided by the toll counterparty or the cost thereof is a pass-through cost under the Contract for Differences, or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w:t>
      </w:r>
      <w:r>
        <w:rPr>
          <w:rFonts w:ascii="Arial" w:cs="Arial" w:eastAsia="Arial" w:hAnsi="Arial"/>
          <w:sz w:val="10"/>
          <w:szCs w:val="10"/>
          <w:color w:val="231F20"/>
        </w:rPr>
        <w:t>15 years</w:t>
      </w:r>
      <w:r>
        <w:rPr>
          <w:rFonts w:ascii="Arial" w:cs="Arial" w:eastAsia="Arial" w:hAnsi="Arial"/>
          <w:sz w:val="10"/>
          <w:szCs w:val="10"/>
          <w:color w:val="auto"/>
        </w:rPr>
        <w:t xml:space="preserve"> as of December 31, 2018, providing long-term cash flow stability. The Company's generation offtake agreements with counterparties for whom credit ratings are available have a weighted-average Moody’s rating of Ba1 (post PG&amp;E Bankruptcy) based on rated capacity under contract. All of the Company's assets are in the U.S. and accordingly have no currency or repatriation risks.</w:t>
      </w:r>
    </w:p>
    <w:p>
      <w:pPr>
        <w:spacing w:after="0" w:line="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b w:val="1"/>
          <w:bCs w:val="1"/>
          <w:i w:val="1"/>
          <w:iCs w:val="1"/>
          <w:color w:val="auto"/>
        </w:rPr>
        <w:t xml:space="preserve">High quality, long-lived assets with low operating and capital requirements. </w:t>
      </w:r>
      <w:r>
        <w:rPr>
          <w:rFonts w:ascii="Arial" w:cs="Arial" w:eastAsia="Arial" w:hAnsi="Arial"/>
          <w:sz w:val="12"/>
          <w:szCs w:val="12"/>
          <w:color w:val="auto"/>
        </w:rPr>
        <w:t>The Company benefits from a portfolio of relatively younger assets, other than thermal infrastructure assets. The Company's assets are comprised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b w:val="1"/>
          <w:bCs w:val="1"/>
          <w:i w:val="1"/>
          <w:iCs w:val="1"/>
          <w:color w:val="auto"/>
        </w:rPr>
        <w:t xml:space="preserve">Significant scale and diversity. </w:t>
      </w:r>
      <w:r>
        <w:rPr>
          <w:rFonts w:ascii="Arial" w:cs="Arial" w:eastAsia="Arial" w:hAnsi="Arial"/>
          <w:sz w:val="11"/>
          <w:szCs w:val="11"/>
          <w:color w:val="auto"/>
        </w:rPr>
        <w:t>The Company owns and operates a large and diverse portfolio of contracted electric generation and thermal infrastructure assets. As of December 31, 2018, the Company's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231F20"/>
        </w:rPr>
        <w:t>5,272</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net MW contracted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generation portfolio benefits from significant diversification in terms of technology, fuel type, counterparty and geography. The Company's thermal business consists of thirteen operations, seven of which are district energy centers that provide steam and chilled water to approximately 695 customers, and six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518" w:right="199" w:bottom="1440" w:gutter="0" w:footer="0" w:header="0"/>
        </w:sectPr>
      </w:pPr>
    </w:p>
    <w:bookmarkStart w:id="11" w:name="page12"/>
    <w:bookmarkEnd w:id="11"/>
    <w:p>
      <w:pPr>
        <w:jc w:val="both"/>
        <w:ind w:firstLine="432"/>
        <w:spacing w:after="0" w:line="257" w:lineRule="auto"/>
        <w:rPr>
          <w:sz w:val="20"/>
          <w:szCs w:val="20"/>
          <w:color w:val="auto"/>
        </w:rPr>
      </w:pPr>
      <w:r>
        <w:rPr>
          <w:rFonts w:ascii="Arial" w:cs="Arial" w:eastAsia="Arial" w:hAnsi="Arial"/>
          <w:sz w:val="12"/>
          <w:szCs w:val="12"/>
          <w:b w:val="1"/>
          <w:bCs w:val="1"/>
          <w:i w:val="1"/>
          <w:iCs w:val="1"/>
          <w:color w:val="auto"/>
        </w:rPr>
        <w:t xml:space="preserve">Relationship with GIP and CEG. </w:t>
      </w:r>
      <w:r>
        <w:rPr>
          <w:rFonts w:ascii="Arial" w:cs="Arial" w:eastAsia="Arial" w:hAnsi="Arial"/>
          <w:sz w:val="12"/>
          <w:szCs w:val="12"/>
          <w:color w:val="auto"/>
        </w:rPr>
        <w:t>The Company believes that its relationship with GIP and CEG provides significant benefits. Global Infrastructure Management, LLC, or GIM, the manager of GIP, is an independent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infrastructure fund manager with over $51 billion in assets under management (as of September 30, 2018) that invests in infrastructure assets and businesses in both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12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i w:val="1"/>
          <w:iCs w:val="1"/>
          <w:color w:val="auto"/>
        </w:rPr>
        <w:t xml:space="preserve">Environmentally well-positioned portfolio of assets. </w:t>
      </w:r>
      <w:r>
        <w:rPr>
          <w:rFonts w:ascii="Arial" w:cs="Arial" w:eastAsia="Arial" w:hAnsi="Arial"/>
          <w:sz w:val="12"/>
          <w:szCs w:val="12"/>
          <w:color w:val="auto"/>
        </w:rPr>
        <w:t>The Company's portfolio of electric generation assets consists of 3,327 net MW of renewable generation capacity that are non-emitting sources of power generation.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9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b w:val="1"/>
          <w:bCs w:val="1"/>
          <w:i w:val="1"/>
          <w:iCs w:val="1"/>
          <w:color w:val="auto"/>
        </w:rPr>
        <w:t xml:space="preserve">Thermal infrastructure business has high entry costs. </w:t>
      </w:r>
      <w:r>
        <w:rPr>
          <w:rFonts w:ascii="Arial" w:cs="Arial" w:eastAsia="Arial" w:hAnsi="Arial"/>
          <w:sz w:val="11"/>
          <w:szCs w:val="11"/>
          <w:color w:val="auto"/>
        </w:rPr>
        <w:t>Significant capital has been invested to construct the Company's thermal infrastructure assets, serving as a barrier to entry in the markets in which such assets operate. As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December 31, 2018, the Company's thermal gross property, plant, and equipment was approximately $583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Review</w:t>
      </w:r>
    </w:p>
    <w:p>
      <w:pPr>
        <w:spacing w:after="0" w:line="11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The following tables summarize the Company's operating revenues, net income (loss) and assets by segment for the years ended December 31, 2018, 2017 and 2016, as discussed in Item 15 — Note 13, </w:t>
      </w:r>
      <w:r>
        <w:rPr>
          <w:rFonts w:ascii="Arial" w:cs="Arial" w:eastAsia="Arial" w:hAnsi="Arial"/>
          <w:sz w:val="11"/>
          <w:szCs w:val="11"/>
          <w:i w:val="1"/>
          <w:iCs w:val="1"/>
          <w:color w:val="auto"/>
        </w:rPr>
        <w:t>Segment Reporting</w:t>
      </w:r>
      <w:r>
        <w:rPr>
          <w:rFonts w:ascii="Arial" w:cs="Arial" w:eastAsia="Arial" w:hAnsi="Arial"/>
          <w:sz w:val="11"/>
          <w:szCs w:val="11"/>
          <w:color w:val="auto"/>
        </w:rPr>
        <w:t>, to the Consolidated Financial Statements. All amounts have been recast to include the effect of the acquisitions of the Drop Down Assets, which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89"/>
              </w:rPr>
              <w:t>Year ended December 31, 2018</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2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89"/>
              </w:rPr>
              <w:t>Conventional Generation</w:t>
            </w:r>
          </w:p>
        </w:tc>
        <w:tc>
          <w:tcPr>
            <w:tcW w:w="12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Thermal</w:t>
            </w: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Total</w:t>
            </w:r>
          </w:p>
        </w:tc>
      </w:tr>
      <w:tr>
        <w:trPr>
          <w:trHeight w:val="1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526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193</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1,053</w:t>
            </w:r>
          </w:p>
        </w:tc>
      </w:tr>
      <w:tr>
        <w:trPr>
          <w:trHeight w:val="158"/>
        </w:trPr>
        <w:tc>
          <w:tcPr>
            <w:tcW w:w="5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67"/>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67"/>
              <w:spacing w:after="0"/>
              <w:rPr>
                <w:sz w:val="20"/>
                <w:szCs w:val="20"/>
                <w:color w:val="auto"/>
              </w:rPr>
            </w:pPr>
            <w:r>
              <w:rPr>
                <w:rFonts w:ascii="Arial" w:cs="Arial" w:eastAsia="Arial" w:hAnsi="Arial"/>
                <w:sz w:val="11"/>
                <w:szCs w:val="11"/>
                <w:color w:val="auto"/>
              </w:rPr>
              <w:t>54</w:t>
            </w:r>
          </w:p>
        </w:tc>
      </w:tr>
      <w:tr>
        <w:trPr>
          <w:trHeight w:val="22"/>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assets</w:t>
            </w:r>
          </w:p>
        </w:tc>
        <w:tc>
          <w:tcPr>
            <w:tcW w:w="4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1,788</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5,836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360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8,500</w:t>
            </w:r>
          </w:p>
        </w:tc>
      </w:tr>
      <w:tr>
        <w:trPr>
          <w:trHeight w:val="302"/>
        </w:trPr>
        <w:tc>
          <w:tcPr>
            <w:tcW w:w="5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89"/>
              </w:rPr>
              <w:t>Year ended December 31, 2017</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6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89"/>
              </w:rPr>
              <w:t>Conventional Generation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Thermal</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Total</w:t>
            </w:r>
          </w:p>
        </w:tc>
      </w:tr>
      <w:tr>
        <w:trPr>
          <w:trHeight w:val="1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501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1,009</w:t>
            </w:r>
          </w:p>
        </w:tc>
      </w:tr>
      <w:tr>
        <w:trPr>
          <w:trHeight w:val="158"/>
        </w:trPr>
        <w:tc>
          <w:tcPr>
            <w:tcW w:w="5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(24)</w:t>
            </w:r>
          </w:p>
        </w:tc>
      </w:tr>
      <w:tr>
        <w:trPr>
          <w:trHeight w:val="22"/>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8"/>
        </w:trPr>
        <w:tc>
          <w:tcPr>
            <w:tcW w:w="5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assets</w:t>
            </w: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1,897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6,017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422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153</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8,489</w:t>
            </w:r>
          </w:p>
        </w:tc>
      </w:tr>
      <w:tr>
        <w:trPr>
          <w:trHeight w:val="22"/>
        </w:trPr>
        <w:tc>
          <w:tcPr>
            <w:tcW w:w="5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518" w:right="199" w:bottom="1440" w:gutter="0" w:footer="0" w:header="0"/>
        </w:sectPr>
      </w:pPr>
    </w:p>
    <w:bookmarkStart w:id="12" w:name="page13"/>
    <w:bookmarkEnd w:id="12"/>
    <w:tbl>
      <w:tblPr>
        <w:tblLayout w:type="fixed"/>
        <w:tblInd w:w="8" w:type="dxa"/>
        <w:tblCellMar>
          <w:top w:w="0" w:type="dxa"/>
          <w:left w:w="0" w:type="dxa"/>
          <w:bottom w:w="0" w:type="dxa"/>
          <w:right w:w="0" w:type="dxa"/>
        </w:tblCellMar>
      </w:tblPr>
      <w:tr>
        <w:trPr>
          <w:trHeight w:val="128"/>
        </w:trPr>
        <w:tc>
          <w:tcPr>
            <w:tcW w:w="52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89"/>
              </w:rPr>
              <w:t>Year ended December 31, 2016</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89"/>
              </w:rPr>
              <w:t>Conventional Generation</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Thermal</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Total</w:t>
            </w:r>
          </w:p>
        </w:tc>
      </w:tr>
      <w:tr>
        <w:trPr>
          <w:trHeight w:val="1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333</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709"/>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532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1,035</w:t>
            </w:r>
          </w:p>
        </w:tc>
      </w:tr>
      <w:tr>
        <w:trPr>
          <w:trHeight w:val="158"/>
        </w:trPr>
        <w:tc>
          <w:tcPr>
            <w:tcW w:w="5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6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jc w:val="right"/>
              <w:ind w:right="26"/>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8"/>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68"/>
              <w:spacing w:after="0"/>
              <w:rPr>
                <w:sz w:val="20"/>
                <w:szCs w:val="20"/>
                <w:color w:val="auto"/>
              </w:rPr>
            </w:pPr>
            <w:r>
              <w:rPr>
                <w:rFonts w:ascii="Arial" w:cs="Arial" w:eastAsia="Arial" w:hAnsi="Arial"/>
                <w:sz w:val="11"/>
                <w:szCs w:val="11"/>
                <w:color w:val="auto"/>
              </w:rPr>
              <w:t>2</w:t>
            </w:r>
          </w:p>
        </w:tc>
      </w:tr>
    </w:tbl>
    <w:p>
      <w:pPr>
        <w:spacing w:after="0" w:line="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Policy Incentives</w:t>
      </w:r>
    </w:p>
    <w:p>
      <w:pPr>
        <w:spacing w:after="0" w:line="118" w:lineRule="exact"/>
        <w:rPr>
          <w:sz w:val="20"/>
          <w:szCs w:val="20"/>
          <w:color w:val="auto"/>
        </w:rPr>
      </w:pPr>
    </w:p>
    <w:p>
      <w:pPr>
        <w:jc w:val="both"/>
        <w:ind w:left="8" w:firstLine="270"/>
        <w:spacing w:after="0" w:line="263" w:lineRule="auto"/>
        <w:rPr>
          <w:sz w:val="20"/>
          <w:szCs w:val="20"/>
          <w:color w:val="auto"/>
        </w:rPr>
      </w:pPr>
      <w:r>
        <w:rPr>
          <w:rFonts w:ascii="Arial" w:cs="Arial" w:eastAsia="Arial" w:hAnsi="Arial"/>
          <w:sz w:val="12"/>
          <w:szCs w:val="12"/>
          <w:color w:val="auto"/>
        </w:rPr>
        <w:t>Policy incentives in the U.S. have the effect of making the development of renewable energy projects more competitive by providing credits and other tax benefits for a portion of the development costs. A loss of or reduction in such incentives could decrease the attractiveness of renewable energy projects to developers, including CEG, which could reduce the Company's future acquisition opportunities. Such a loss or reduction could also reduce the Company's willingness to pursue or develop certain renewable energy projects due to higher operating costs or decreased revenues under its PPAs.</w:t>
      </w:r>
    </w:p>
    <w:p>
      <w:pPr>
        <w:spacing w:after="0" w:line="123" w:lineRule="exact"/>
        <w:rPr>
          <w:sz w:val="20"/>
          <w:szCs w:val="20"/>
          <w:color w:val="auto"/>
        </w:rPr>
      </w:pPr>
    </w:p>
    <w:p>
      <w:pPr>
        <w:jc w:val="both"/>
        <w:ind w:left="8" w:firstLine="270"/>
        <w:spacing w:after="0" w:line="340" w:lineRule="auto"/>
        <w:rPr>
          <w:sz w:val="20"/>
          <w:szCs w:val="20"/>
          <w:color w:val="auto"/>
        </w:rPr>
      </w:pPr>
      <w:r>
        <w:rPr>
          <w:rFonts w:ascii="Arial" w:cs="Arial" w:eastAsia="Arial" w:hAnsi="Arial"/>
          <w:sz w:val="10"/>
          <w:szCs w:val="10"/>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fully depreciated for tax purposes over a five-year period even though the useful life of such projects is generally much longer than five years. The Tax Act also provides the ability for wind and solar projects to claim immediate expensing for property acquired and placed in service after September 27, 2017, and before January 1, 2023.</w:t>
      </w:r>
    </w:p>
    <w:p>
      <w:pPr>
        <w:spacing w:after="0" w:line="88" w:lineRule="exact"/>
        <w:rPr>
          <w:sz w:val="20"/>
          <w:szCs w:val="20"/>
          <w:color w:val="auto"/>
        </w:rPr>
      </w:pPr>
    </w:p>
    <w:p>
      <w:pPr>
        <w:jc w:val="both"/>
        <w:ind w:left="8" w:firstLine="270"/>
        <w:spacing w:after="0" w:line="255" w:lineRule="auto"/>
        <w:rPr>
          <w:sz w:val="20"/>
          <w:szCs w:val="20"/>
          <w:color w:val="auto"/>
        </w:rPr>
      </w:pPr>
      <w:r>
        <w:rPr>
          <w:rFonts w:ascii="Arial" w:cs="Arial" w:eastAsia="Arial" w:hAnsi="Arial"/>
          <w:sz w:val="12"/>
          <w:szCs w:val="12"/>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30%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The IRS also confirmed that retrofitted wind facilities may re-qualify for PTCs or ITCs pursuant the begin construction requirement, as long as the cost basis of the new investment is at least 80% of the facility’s total fair value.</w:t>
      </w:r>
    </w:p>
    <w:p>
      <w:pPr>
        <w:spacing w:after="0" w:line="129" w:lineRule="exact"/>
        <w:rPr>
          <w:sz w:val="20"/>
          <w:szCs w:val="20"/>
          <w:color w:val="auto"/>
        </w:rPr>
      </w:pPr>
    </w:p>
    <w:p>
      <w:pPr>
        <w:jc w:val="both"/>
        <w:ind w:left="8" w:right="20" w:firstLine="270"/>
        <w:spacing w:after="0" w:line="323" w:lineRule="auto"/>
        <w:rPr>
          <w:sz w:val="20"/>
          <w:szCs w:val="20"/>
          <w:color w:val="auto"/>
        </w:rPr>
      </w:pPr>
      <w:r>
        <w:rPr>
          <w:rFonts w:ascii="Arial" w:cs="Arial" w:eastAsia="Arial" w:hAnsi="Arial"/>
          <w:sz w:val="11"/>
          <w:szCs w:val="11"/>
          <w:color w:val="auto"/>
        </w:rPr>
        <w:t>Owners of solar projects are eligible to claim a 30% ITC for new solar projects, or could have elected to receive an equivalent cash payment from the U.S. Department of Treasury for the value of the 30% ITC for qualifying solar projects where construction began before the end of 2011 and the projects were placed in service before 2017. Tax credits for qualifying wind and solar projects are subject to the following phase-down schedule.</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color w:val="auto"/>
              </w:rPr>
              <w:t>Year construction of project begins</w:t>
            </w: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r>
        <w:trPr>
          <w:trHeight w:val="169"/>
        </w:trPr>
        <w:tc>
          <w:tcPr>
            <w:tcW w:w="4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2015</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2016</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2017</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2020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2021</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2022</w:t>
            </w:r>
          </w:p>
        </w:tc>
      </w:tr>
      <w:tr>
        <w:trPr>
          <w:trHeight w:val="17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PTC</w:t>
            </w:r>
            <w:r>
              <w:rPr>
                <w:rFonts w:ascii="Arial" w:cs="Arial" w:eastAsia="Arial" w:hAnsi="Arial"/>
                <w:sz w:val="10"/>
                <w:szCs w:val="10"/>
                <w:color w:val="auto"/>
                <w:vertAlign w:val="superscript"/>
              </w:rPr>
              <w:t>(a)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100 %</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100 %</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80 %</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60 %</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0</w:t>
            </w:r>
          </w:p>
        </w:tc>
      </w:tr>
      <w:tr>
        <w:trPr>
          <w:trHeight w:val="176"/>
        </w:trPr>
        <w:tc>
          <w:tcPr>
            <w:tcW w:w="4480" w:type="dxa"/>
            <w:vAlign w:val="bottom"/>
          </w:tcPr>
          <w:p>
            <w:pPr>
              <w:ind w:left="20"/>
              <w:spacing w:after="0"/>
              <w:rPr>
                <w:sz w:val="20"/>
                <w:szCs w:val="20"/>
                <w:color w:val="auto"/>
              </w:rPr>
            </w:pPr>
            <w:r>
              <w:rPr>
                <w:rFonts w:ascii="Arial" w:cs="Arial" w:eastAsia="Arial" w:hAnsi="Arial"/>
                <w:sz w:val="10"/>
                <w:szCs w:val="10"/>
                <w:color w:val="auto"/>
              </w:rPr>
              <w:t>Wind ITC</w:t>
            </w: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30 %</w:t>
            </w:r>
          </w:p>
        </w:tc>
        <w:tc>
          <w:tcPr>
            <w:tcW w:w="1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30 %</w:t>
            </w:r>
          </w:p>
        </w:tc>
        <w:tc>
          <w:tcPr>
            <w:tcW w:w="1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24 %</w:t>
            </w:r>
          </w:p>
        </w:tc>
        <w:tc>
          <w:tcPr>
            <w:tcW w:w="12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18 %</w:t>
            </w:r>
          </w:p>
        </w:tc>
        <w:tc>
          <w:tcPr>
            <w:tcW w:w="12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0"/>
                <w:szCs w:val="10"/>
                <w:color w:val="auto"/>
              </w:rPr>
              <w:t>12 %</w:t>
            </w:r>
          </w:p>
        </w:tc>
        <w:tc>
          <w:tcPr>
            <w:tcW w:w="10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0"/>
                <w:szCs w:val="10"/>
                <w:color w:val="auto"/>
              </w:rPr>
              <w:t>0</w:t>
            </w:r>
          </w:p>
        </w:tc>
      </w:tr>
      <w:tr>
        <w:trPr>
          <w:trHeight w:val="184"/>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Solar ITC</w:t>
            </w:r>
            <w:r>
              <w:rPr>
                <w:rFonts w:ascii="Arial" w:cs="Arial" w:eastAsia="Arial" w:hAnsi="Arial"/>
                <w:sz w:val="4"/>
                <w:szCs w:val="4"/>
                <w:color w:val="auto"/>
              </w:rPr>
              <w:t>(b)</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30 %</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30 %</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30 %</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30 %</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26 %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22 %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10 %</w:t>
            </w:r>
          </w:p>
        </w:tc>
      </w:tr>
    </w:tbl>
    <w:p>
      <w:pPr>
        <w:spacing w:after="0" w:line="168" w:lineRule="exact"/>
        <w:rPr>
          <w:sz w:val="20"/>
          <w:szCs w:val="20"/>
          <w:color w:val="auto"/>
        </w:rPr>
      </w:pPr>
    </w:p>
    <w:p>
      <w:pPr>
        <w:ind w:left="88" w:hanging="88"/>
        <w:spacing w:after="0"/>
        <w:tabs>
          <w:tab w:leader="none" w:pos="88" w:val="left"/>
        </w:tabs>
        <w:numPr>
          <w:ilvl w:val="0"/>
          <w:numId w:val="4"/>
        </w:numPr>
        <w:rPr>
          <w:rFonts w:ascii="Arial" w:cs="Arial" w:eastAsia="Arial" w:hAnsi="Arial"/>
          <w:sz w:val="6"/>
          <w:szCs w:val="6"/>
          <w:color w:val="auto"/>
        </w:rPr>
      </w:pPr>
      <w:r>
        <w:rPr>
          <w:rFonts w:ascii="Arial" w:cs="Arial" w:eastAsia="Arial" w:hAnsi="Arial"/>
          <w:sz w:val="10"/>
          <w:szCs w:val="10"/>
          <w:color w:val="auto"/>
        </w:rPr>
        <w:t>Percentage of the full PTC available for wind projects that begin construction during the applicable year.</w:t>
      </w:r>
    </w:p>
    <w:p>
      <w:pPr>
        <w:spacing w:after="0" w:line="1" w:lineRule="exact"/>
        <w:rPr>
          <w:rFonts w:ascii="Arial" w:cs="Arial" w:eastAsia="Arial" w:hAnsi="Arial"/>
          <w:sz w:val="6"/>
          <w:szCs w:val="6"/>
          <w:color w:val="auto"/>
        </w:rPr>
      </w:pPr>
    </w:p>
    <w:p>
      <w:pPr>
        <w:ind w:left="88" w:hanging="88"/>
        <w:spacing w:after="0" w:line="236" w:lineRule="auto"/>
        <w:tabs>
          <w:tab w:leader="none" w:pos="88" w:val="left"/>
        </w:tabs>
        <w:numPr>
          <w:ilvl w:val="0"/>
          <w:numId w:val="4"/>
        </w:numPr>
        <w:rPr>
          <w:rFonts w:ascii="Arial" w:cs="Arial" w:eastAsia="Arial" w:hAnsi="Arial"/>
          <w:sz w:val="6"/>
          <w:szCs w:val="6"/>
          <w:color w:val="auto"/>
        </w:rPr>
      </w:pPr>
      <w:r>
        <w:rPr>
          <w:rFonts w:ascii="Arial" w:cs="Arial" w:eastAsia="Arial" w:hAnsi="Arial"/>
          <w:sz w:val="10"/>
          <w:szCs w:val="10"/>
          <w:color w:val="auto"/>
        </w:rPr>
        <w:t>ITC is limited to 10% for projects not placed in service before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4185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79" w:lineRule="exact"/>
        <w:rPr>
          <w:sz w:val="20"/>
          <w:szCs w:val="20"/>
          <w:color w:val="auto"/>
        </w:rPr>
      </w:pPr>
    </w:p>
    <w:p>
      <w:pPr>
        <w:ind w:left="268"/>
        <w:spacing w:after="0"/>
        <w:rPr>
          <w:sz w:val="20"/>
          <w:szCs w:val="20"/>
          <w:color w:val="auto"/>
        </w:rPr>
      </w:pPr>
      <w:r>
        <w:rPr>
          <w:rFonts w:ascii="Arial" w:cs="Arial" w:eastAsia="Arial" w:hAnsi="Arial"/>
          <w:sz w:val="11"/>
          <w:szCs w:val="11"/>
          <w:color w:val="auto"/>
        </w:rPr>
        <w:t>RPS, currently in place in certain states and territories, require electricity providers in the state or territory to meet a certain percentage of their retail sales with energy from renewable sources. Additionally, other states in the U.S.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have set renewable energy goals to reduce GHG emissions from historic levels. The Company believes that these standards and goals will create incremental demand for renewable energy in the future.</w:t>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8"/>
          </w:cols>
          <w:pgMar w:left="212" w:top="665"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Regulatory Matters</w:t>
      </w:r>
    </w:p>
    <w:p>
      <w:pPr>
        <w:spacing w:after="0" w:line="12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1"/>
          <w:szCs w:val="11"/>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FERC</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FERC, among other things, regulates the transmission and the wholesale sale of electricity in interstate commerce under the authority of the FPA. The transmission of electric energy occurring wholly within ERCOT is not subject to FERC’s jurisdiction. Under existing regulations, FERC determines whether an entity owning a generation facility is an EWG, as defined in the PUHCA. FERC also determines whether a generation facility meets the applicable criteria of a QF under the PURPA. Each of the Company’s generating facilities qualifies as either an EWG or QF.</w:t>
      </w:r>
    </w:p>
    <w:p>
      <w:pPr>
        <w:spacing w:after="0" w:line="87"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FERC will conduct a review of the market based rates of Company public utilities and potential market power every three years according to a regional schedule established by FERC.</w:t>
      </w:r>
    </w:p>
    <w:p>
      <w:pPr>
        <w:spacing w:after="0" w:line="87"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514" w:right="1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Environmental Matters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in the future.</w:t>
      </w:r>
    </w:p>
    <w:p>
      <w:pPr>
        <w:spacing w:after="0" w:line="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2015, the EPA finalized the Clean Power Plan, or CPP, addressing GHG emissions from existing EGUs. On February 9, 2016, the U.S. Supreme Court stayed the CPP. The D.C. Circuit heard oral argument on the legal challenges to the CPP in September 2016. At the EPA's request, the D.C. Circuit agreed on April 28, 2017 to hold the case in abeyance. On October 16, 2017, the EPA proposed a rule to repeal the CPP. Accordingly, the Company believes the CPP is not likely to survive. In August 21, 2018, the EPA proposed the Affordable Clean Energy (ACE) rule which would establish emission guidelines for states to develop plans to address greenhouse gas emissions from existing coal-fired power plants. The ACE rule would replace the 2015 Clean Power Plan. A public hearing on the proposed ACE rule was held on October 1, 2018. As currently written, the ACE focuses on reducing emissions from existing coal-fired power plants and therefore, would not be applicable to the Company’s EGUs.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Migratory Bird Treaty Act</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the 2018 California legislative sessions AB 2627 (Kalra), a bill designed to backstop the Migratory Bird Treaty Act, or MBTA, interpretation by the Obama Administration was introduced. AB 2627 provided legislative confirmation of the illegality of take of any MBTA species, unless the entity deployed Best Management Practices that had been approved by the California Department of Fish and Wildlife, or CDFW. The bill was pulled by the author at the end of session. However, on November 30, 2018, CDFW issued a legal advisory declaring that the state can still prohibit the unintentional killing of migratory birds even if the Department of the Interior says the federal government cannot. It is expected a revival of the MBTA bill will occur in 2019.</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11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Company sells its electricity and environmental attributes, including RECs, primarily to local utilities under long-term, fixed-price PPAs. During the year ended December 31, 2018, the Company derived approximately 40% of its consolidated revenue from Southern California Edison, or SCE, and approximately 23% of its consolidated revenue from Pacific Gas and Electric Company, or PG&amp;E. See </w:t>
      </w:r>
      <w:r>
        <w:rPr>
          <w:rFonts w:ascii="Arial" w:cs="Arial" w:eastAsia="Arial" w:hAnsi="Arial"/>
          <w:sz w:val="11"/>
          <w:szCs w:val="11"/>
          <w:i w:val="1"/>
          <w:iCs w:val="1"/>
          <w:color w:val="auto"/>
        </w:rPr>
        <w:t>Pacific Gas and Electric Company Bankruptcy</w:t>
      </w:r>
      <w:r>
        <w:rPr>
          <w:rFonts w:ascii="Arial" w:cs="Arial" w:eastAsia="Arial" w:hAnsi="Arial"/>
          <w:sz w:val="11"/>
          <w:szCs w:val="11"/>
          <w:color w:val="auto"/>
        </w:rPr>
        <w:t xml:space="preserve"> within this Item 1, Business and </w:t>
      </w:r>
      <w:r>
        <w:rPr>
          <w:rFonts w:ascii="Arial" w:cs="Arial" w:eastAsia="Arial" w:hAnsi="Arial"/>
          <w:sz w:val="11"/>
          <w:szCs w:val="11"/>
          <w:i w:val="1"/>
          <w:iCs w:val="1"/>
          <w:color w:val="auto"/>
        </w:rPr>
        <w:t>"Risks Related to the PG&amp;E Bankruptcy</w:t>
      </w:r>
      <w:r>
        <w:rPr>
          <w:rFonts w:ascii="Arial" w:cs="Arial" w:eastAsia="Arial" w:hAnsi="Arial"/>
          <w:sz w:val="11"/>
          <w:szCs w:val="11"/>
          <w:color w:val="auto"/>
        </w:rPr>
        <w:t xml:space="preserve">" found in Item 1A, </w:t>
      </w:r>
      <w:r>
        <w:rPr>
          <w:rFonts w:ascii="Arial" w:cs="Arial" w:eastAsia="Arial" w:hAnsi="Arial"/>
          <w:sz w:val="11"/>
          <w:szCs w:val="11"/>
          <w:i w:val="1"/>
          <w:iCs w:val="1"/>
          <w:color w:val="auto"/>
        </w:rPr>
        <w:t>Risk Factors</w:t>
      </w:r>
      <w:r>
        <w:rPr>
          <w:rFonts w:ascii="Arial" w:cs="Arial" w:eastAsia="Arial" w:hAnsi="Arial"/>
          <w:sz w:val="11"/>
          <w:szCs w:val="11"/>
          <w:color w:val="auto"/>
        </w:rPr>
        <w:t>, to this Annual Report on Form 10-K for additional information regarding the PG&amp;E Bankruptcy.</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2018, the Company and its consolidated subsidiaries had 269 employees.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18"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"Investor Relations" section of the Company's website, </w:t>
      </w:r>
      <w:r>
        <w:rPr>
          <w:rFonts w:ascii="Arial" w:cs="Arial" w:eastAsia="Arial" w:hAnsi="Arial"/>
          <w:sz w:val="11"/>
          <w:szCs w:val="11"/>
          <w:i w:val="1"/>
          <w:iCs w:val="1"/>
          <w:color w:val="auto"/>
        </w:rPr>
        <w:t>www.clearwayenergy.com</w:t>
      </w:r>
      <w:r>
        <w:rPr>
          <w:rFonts w:ascii="Arial" w:cs="Arial" w:eastAsia="Arial" w:hAnsi="Arial"/>
          <w:sz w:val="11"/>
          <w:szCs w:val="11"/>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568"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Item 1A —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PG&amp;E Bankruptcy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PG&amp;E bankruptcy could adversely affect the Company’s results of operations, financial condition and cash flows.</w:t>
      </w:r>
    </w:p>
    <w:p>
      <w:pPr>
        <w:spacing w:after="0" w:line="141" w:lineRule="exact"/>
        <w:rPr>
          <w:sz w:val="20"/>
          <w:szCs w:val="20"/>
          <w:color w:val="auto"/>
        </w:rPr>
      </w:pPr>
    </w:p>
    <w:p>
      <w:pPr>
        <w:jc w:val="both"/>
        <w:ind w:firstLine="270"/>
        <w:spacing w:after="0" w:line="333" w:lineRule="auto"/>
        <w:rPr>
          <w:sz w:val="20"/>
          <w:szCs w:val="20"/>
          <w:color w:val="auto"/>
        </w:rPr>
      </w:pPr>
      <w:r>
        <w:rPr>
          <w:rFonts w:ascii="Arial" w:cs="Arial" w:eastAsia="Arial" w:hAnsi="Arial"/>
          <w:sz w:val="11"/>
          <w:szCs w:val="11"/>
          <w:color w:val="auto"/>
        </w:rPr>
        <w:t>On January 29, 2019, PG&amp;E filed for reorganization under Chapter 11 of the U.S. Bankruptcy Code in the U.S. Bankruptcy Court for the Northern District of California. PG&amp;E is one of the Company's largest customers, representing approximately 23% of the Company's consolidated operating revenues during the year ended December 31, 2018 and 16% of total accounts receivable as of December 31, 2018, of which all has been collected as of January 31, 2019. Certain subsidiaries of the Company, which hold interests in six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Most of the PPAs with PG&amp;E have contract prices that are higher than currently estimated market prices. These contracts are subject to review by the bankruptcy court and FERC, pursuant to a January 2019 FERC order, or the FERC Order. PG&amp;E has commenced an adversary proceeding against FERC seeking, among other things, an injunction with respect to the FERC Order. If PG&amp;E does not have the financial means or refuses to pay the amounts owing to the Company under the PPAs, and if the Company cannot recover the amounts owed through other means, the Company may be required to write-off all, or a portion of, any outstanding accounts receivable, and to impair its fixed assets. Any such results would adversely affect the Company's financial results.</w:t>
      </w:r>
    </w:p>
    <w:p>
      <w:pPr>
        <w:spacing w:after="0" w:line="9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PG&amp;E bankruptcy filing has triggered defaults under the PPAs with PG&amp;E and under the related financing agreements for each respective facility, all of which have non-recourse project level debt and in certain cases, non-recourse holding company debt. The Company is currently negotiating forbearance agreements with the lenders for each respective financing arrangement, but the Company can provide no assurance that it will be able to successfully negotiate the forbearance agreements.</w:t>
      </w:r>
    </w:p>
    <w:p>
      <w:pPr>
        <w:spacing w:after="0" w:line="123" w:lineRule="exact"/>
        <w:rPr>
          <w:sz w:val="20"/>
          <w:szCs w:val="20"/>
          <w:color w:val="auto"/>
        </w:rPr>
      </w:pPr>
    </w:p>
    <w:p>
      <w:pPr>
        <w:jc w:val="both"/>
        <w:ind w:firstLine="261"/>
        <w:spacing w:after="0" w:line="323" w:lineRule="auto"/>
        <w:rPr>
          <w:sz w:val="20"/>
          <w:szCs w:val="20"/>
          <w:color w:val="auto"/>
        </w:rPr>
      </w:pPr>
      <w:r>
        <w:rPr>
          <w:rFonts w:ascii="Arial" w:cs="Arial" w:eastAsia="Arial" w:hAnsi="Arial"/>
          <w:sz w:val="11"/>
          <w:szCs w:val="11"/>
          <w:color w:val="auto"/>
        </w:rPr>
        <w:t>The Company continues to assess the potential future impacts of the PG&amp;E Bankruptcy on the Company’s operations. The realization of any of the above risks could significantly and adversely affect the Company's ability to meet its financial expectations, its financial condition, results of operations, and cash flows, its ability to make distributions to its stockholders, the market price of its common stock, and its ability to satisfy its debt service obligations.</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 significant portion of the electric power the Company generates is sold under long-term offtake agreements with public utilities or industrial or commercial end-users, with a weighted average remaining duration, based on CAFD, of approximately 15 years. As of December 31, 2018, the largest customers of the Company's power generation assets, including assets in which the Company has less than a 100% membership interest, were SCE and PG&amp;E, which represented 40% and 23%, respectively, of total consolidated revenues generated by the Company during the year ended December 31, 2018. As previously noted, on January 29, 2019, PG&amp;E filed for reorganization under Chapter 11 of the Bankruptcy Code.</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If, for any reason, any of the purchasers of power under these agreements, including PG&amp;E as a result of the PG&amp;E Bankruptcy,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514" w:right="199" w:bottom="1440" w:gutter="0" w:footer="0" w:header="0"/>
        </w:sectPr>
      </w:pPr>
    </w:p>
    <w:bookmarkStart w:id="16" w:name="page17"/>
    <w:bookmarkEnd w:id="16"/>
    <w:p>
      <w:pPr>
        <w:jc w:val="both"/>
        <w:ind w:firstLine="432"/>
        <w:spacing w:after="0" w:line="253" w:lineRule="auto"/>
        <w:rPr>
          <w:sz w:val="20"/>
          <w:szCs w:val="20"/>
          <w:color w:val="auto"/>
        </w:rPr>
      </w:pPr>
      <w:r>
        <w:rPr>
          <w:rFonts w:ascii="Arial" w:cs="Arial" w:eastAsia="Arial" w:hAnsi="Arial"/>
          <w:sz w:val="12"/>
          <w:szCs w:val="12"/>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9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Company's Business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facilities are newly constructed and may not perform as expected.</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dividends to holders of the Company's common stock.</w:t>
      </w:r>
    </w:p>
    <w:p>
      <w:pPr>
        <w:spacing w:after="0" w:line="6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could be limited.</w:t>
      </w:r>
    </w:p>
    <w:p>
      <w:pPr>
        <w:spacing w:after="0" w:line="7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not be able to effectively identify or consummate any future acquisitions on favorable terms, or at all.</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518" w:right="199" w:bottom="1440" w:gutter="0" w:footer="0" w:header="0"/>
        </w:sectPr>
      </w:pPr>
    </w:p>
    <w:bookmarkStart w:id="17" w:name="page18"/>
    <w:bookmarkEnd w:id="17"/>
    <w:p>
      <w:pPr>
        <w:jc w:val="both"/>
        <w:ind w:firstLine="432"/>
        <w:spacing w:after="0" w:line="259" w:lineRule="auto"/>
        <w:rPr>
          <w:sz w:val="20"/>
          <w:szCs w:val="20"/>
          <w:color w:val="auto"/>
        </w:rPr>
      </w:pPr>
      <w:r>
        <w:rPr>
          <w:rFonts w:ascii="Arial" w:cs="Arial" w:eastAsia="Arial" w:hAnsi="Arial"/>
          <w:sz w:val="12"/>
          <w:szCs w:val="12"/>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ability to effectively consummate future acquisitions will also depend on the Company’s ability to arrange the required or desired financing for acquisitions.</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 including, but not limited to, approval by FERC under Section 203 of the FPA.</w:t>
      </w:r>
    </w:p>
    <w:p>
      <w:pPr>
        <w:spacing w:after="0" w:line="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dividends to holders of the Company’s common stock.</w:t>
      </w:r>
    </w:p>
    <w:p>
      <w:pPr>
        <w:spacing w:after="0" w:line="11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Even if the Company consummates acquisitions that it believes will be accretive to CAFD per share of Class A common stock and Class C common stock, those acquisitions may decrease the CAFD per share of Class A common stock and Class C common stock as a result of incorrect assumptions in the Company’s evaluation of such acquisitions, unforeseen consequences or other external events beyond the Company’s control.</w:t>
      </w:r>
    </w:p>
    <w:p>
      <w:pPr>
        <w:spacing w:after="0" w:line="164"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Class A and Class C stockholders. Any failure of the Company’s acquired generation assets to be accretive or difficulty in integrating such acquisition into the Company’s business could have a material adverse effect on the Company’s ability to grow its business and make cash distributions to its Class A and Class C stockholders.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December 31, 2018, the Company had approximately $6,044 million of total consolidated indebtedness, $4,329 million of which was incurred by the Company's non-guarantor subsidiaries. In addition, the Company’s share of its unconsolidated affiliates’ total indebtedness and letters of credit outstanding as of December 31, 2018, totaled approximately $878 million and $80 million, respectively (calculated as the Company’s unconsolidated affiliates’ total indebtedness as of such date multiplied by the Company’s percentage membership interest in such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518" w:right="199" w:bottom="1440" w:gutter="0" w:footer="0" w:header="0"/>
        </w:sectPr>
      </w:pPr>
    </w:p>
    <w:bookmarkStart w:id="18" w:name="page19"/>
    <w:bookmarkEnd w:id="18"/>
    <w:p>
      <w:pPr>
        <w:ind w:left="420"/>
        <w:spacing w:after="0"/>
        <w:rPr>
          <w:sz w:val="20"/>
          <w:szCs w:val="20"/>
          <w:color w:val="auto"/>
        </w:rPr>
      </w:pPr>
      <w:r>
        <w:rPr>
          <w:rFonts w:ascii="Arial" w:cs="Arial" w:eastAsia="Arial" w:hAnsi="Arial"/>
          <w:sz w:val="12"/>
          <w:szCs w:val="12"/>
          <w:color w:val="auto"/>
        </w:rPr>
        <w:t>The Company’s substantial debt could have important negative consequences on the Company’s financial condition, including:</w:t>
      </w:r>
    </w:p>
    <w:p>
      <w:pPr>
        <w:spacing w:after="0" w:line="60"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increasing the Company’s vulnerability to general economic and industry conditions;</w:t>
      </w:r>
    </w:p>
    <w:p>
      <w:pPr>
        <w:spacing w:after="0" w:line="14" w:lineRule="exact"/>
        <w:rPr>
          <w:rFonts w:ascii="Arial" w:cs="Arial" w:eastAsia="Arial" w:hAnsi="Arial"/>
          <w:sz w:val="12"/>
          <w:szCs w:val="12"/>
          <w:color w:val="auto"/>
        </w:rPr>
      </w:pPr>
    </w:p>
    <w:p>
      <w:pPr>
        <w:ind w:left="420" w:hanging="212"/>
        <w:spacing w:after="0" w:line="273" w:lineRule="auto"/>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limiting the Company’s ability to enter into long-term power sales or fuel purchases which require credit support;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limiting the Company’s ability to fund operations or future acquisitions;</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exposing the Company to the risk of increased interest rates because certain of the Company’s borrowings, which may include borrowings under the Company’s revolving credit facility, are at variable rates of interest;</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limiting the Company’s ability to obtain additional financing for working capital including collateral postings, capital expenditures, debt service requirements, acquisitions and general corporate or other purposes; and</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limiting the Company’s ability to adjust to changing market conditions and placing it at a competitive disadvantage compared to the Company’s competitors who have less debt.</w:t>
      </w:r>
    </w:p>
    <w:p>
      <w:pPr>
        <w:spacing w:after="0" w:line="10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7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As previously discussed, the PG&amp;E bankruptcy filing has triggered defaults under the PPAs with PG&amp;E and under the related financing agreements for each respective facility, all of which have non-recourse project level debt and in certain cases, holding company debt. 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572" w:right="199" w:bottom="1440" w:gutter="0" w:footer="0" w:header="0"/>
        </w:sectPr>
      </w:pPr>
    </w:p>
    <w:bookmarkStart w:id="19" w:name="page20"/>
    <w:bookmarkEnd w:id="19"/>
    <w:p>
      <w:pPr>
        <w:jc w:val="both"/>
        <w:ind w:firstLine="432"/>
        <w:spacing w:after="0" w:line="259" w:lineRule="auto"/>
        <w:rPr>
          <w:sz w:val="20"/>
          <w:szCs w:val="20"/>
          <w:color w:val="auto"/>
        </w:rPr>
      </w:pPr>
      <w:r>
        <w:rPr>
          <w:rFonts w:ascii="Arial" w:cs="Arial" w:eastAsia="Arial" w:hAnsi="Arial"/>
          <w:sz w:val="12"/>
          <w:szCs w:val="12"/>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the Company’s ability to arrange financing, either at the corporate level or at a non-recourse project-level subsidiary, and the costs of such capital, are dependent on numerous factors, including:</w:t>
      </w:r>
    </w:p>
    <w:p>
      <w:pPr>
        <w:spacing w:after="0" w:line="78"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general economic and capital market conditions;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credit availability from banks and other financial institutions;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investor confidence in the Company, its partners, GIP, through CEG, as the Company’s principal stockholder (on a combined voting basis) and the regional wholesale power markets;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financial performance and the financial performance of the Company subsidiaries;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level of indebtedness and compliance with covenants in debt agreements;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maintenance of acceptable project credit ratings or credit quality;</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cash flow;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provisions of tax and securities laws that may impact raising capital.</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of the Company's long-term bilateral contracts result from state-mandated procurements and could be declared invalid by a court of competent jurisdiction.</w:t>
      </w:r>
    </w:p>
    <w:p>
      <w:pPr>
        <w:spacing w:after="0" w:line="11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generation of electric energy from solar and wind energy sources depends heavily on suitable meteorological conditions.</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518" w:right="199" w:bottom="1440" w:gutter="0" w:footer="0" w:header="0"/>
        </w:sectPr>
      </w:pPr>
    </w:p>
    <w:bookmarkStart w:id="20" w:name="page21"/>
    <w:bookmarkEnd w:id="20"/>
    <w:p>
      <w:pPr>
        <w:jc w:val="both"/>
        <w:ind w:firstLine="432"/>
        <w:spacing w:after="0" w:line="259" w:lineRule="auto"/>
        <w:rPr>
          <w:sz w:val="20"/>
          <w:szCs w:val="20"/>
          <w:color w:val="auto"/>
        </w:rPr>
      </w:pPr>
      <w:r>
        <w:rPr>
          <w:rFonts w:ascii="Arial" w:cs="Arial" w:eastAsia="Arial" w:hAnsi="Arial"/>
          <w:sz w:val="12"/>
          <w:szCs w:val="12"/>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7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2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Maintenance, expansion and refurbishment of electric generation facilities involve significant risks that could result in unplanned power outages or reduced output.</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518" w:right="199" w:bottom="1440" w:gutter="0" w:footer="0" w:header="0"/>
        </w:sectPr>
      </w:pPr>
    </w:p>
    <w:bookmarkStart w:id="21" w:name="page22"/>
    <w:bookmarkEnd w:id="21"/>
    <w:p>
      <w:pPr>
        <w:jc w:val="both"/>
        <w:ind w:firstLine="432"/>
        <w:spacing w:after="0" w:line="257" w:lineRule="auto"/>
        <w:rPr>
          <w:sz w:val="20"/>
          <w:szCs w:val="20"/>
          <w:color w:val="auto"/>
        </w:rPr>
      </w:pPr>
      <w:r>
        <w:rPr>
          <w:rFonts w:ascii="Arial" w:cs="Arial" w:eastAsia="Arial" w:hAnsi="Arial"/>
          <w:sz w:val="12"/>
          <w:szCs w:val="12"/>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facilities may operate, wholly or partially, without long-term power sales agreements.</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Approximately 451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Supplier and/or customer concentration at certain of the Company's facilities may expose the Company to significant financial credit or performance risks.</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9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 For instance, during the year ended December 31, 2018, the Company derived approximately 23% of its consolidated revenue from PG&amp;E, which filed for bankruptcy. For additional risks relating to the PG&amp;E Bankruptcy, see "</w:t>
      </w:r>
      <w:r>
        <w:rPr>
          <w:rFonts w:ascii="Arial" w:cs="Arial" w:eastAsia="Arial" w:hAnsi="Arial"/>
          <w:sz w:val="12"/>
          <w:szCs w:val="12"/>
          <w:i w:val="1"/>
          <w:iCs w:val="1"/>
          <w:color w:val="auto"/>
        </w:rPr>
        <w:t>Risks related to the PG&amp;E Bankruptcy</w:t>
      </w:r>
      <w:r>
        <w:rPr>
          <w:rFonts w:ascii="Arial" w:cs="Arial" w:eastAsia="Arial" w:hAnsi="Arial"/>
          <w:sz w:val="12"/>
          <w:szCs w:val="12"/>
          <w:color w:val="auto"/>
        </w:rPr>
        <w:t>" above.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518" w:right="199" w:bottom="1440" w:gutter="0" w:footer="0" w:header="0"/>
        </w:sectPr>
      </w:pPr>
    </w:p>
    <w:bookmarkStart w:id="22" w:name="page23"/>
    <w:bookmarkEnd w:id="22"/>
    <w:p>
      <w:pPr>
        <w:jc w:val="both"/>
        <w:ind w:firstLine="432"/>
        <w:spacing w:after="0" w:line="323" w:lineRule="auto"/>
        <w:rPr>
          <w:sz w:val="20"/>
          <w:szCs w:val="20"/>
          <w:color w:val="auto"/>
        </w:rPr>
      </w:pPr>
      <w:r>
        <w:rPr>
          <w:rFonts w:ascii="Arial" w:cs="Arial" w:eastAsia="Arial" w:hAnsi="Arial"/>
          <w:sz w:val="11"/>
          <w:szCs w:val="11"/>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5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3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As described in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9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business is subject to restrictions resulting from environmental, health and safety laws and regulations.</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518"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The Company does not own all of the land on which its power generation or thermal assets are located, which could result in disruption to its operations.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8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7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8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6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518" w:right="199" w:bottom="1440" w:gutter="0" w:footer="0" w:header="0"/>
        </w:sectPr>
      </w:pPr>
    </w:p>
    <w:bookmarkStart w:id="24" w:name="page25"/>
    <w:bookmarkEnd w:id="24"/>
    <w:p>
      <w:pPr>
        <w:jc w:val="both"/>
        <w:spacing w:after="0" w:line="283" w:lineRule="auto"/>
        <w:rPr>
          <w:sz w:val="20"/>
          <w:szCs w:val="20"/>
          <w:color w:val="auto"/>
        </w:rPr>
      </w:pPr>
      <w:r>
        <w:rPr>
          <w:rFonts w:ascii="Arial" w:cs="Arial" w:eastAsia="Arial" w:hAnsi="Arial"/>
          <w:sz w:val="11"/>
          <w:szCs w:val="11"/>
          <w:color w:val="auto"/>
        </w:rPr>
        <w:t>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3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businesses are subject to physical, market and economic risks relating to potential effects of climate change.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Climate change is producing changes in weather and other environmental conditions, including temperature and precipitation levels, and thus may affect consumer demand for electricity. In addition, the potential physical effects of climate change, such as increased frequency and severity of storms,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GHG regulation could increase the cost of electricity generated by fossil fuels, and such increases could reduce demand for the power the Company's conventional assets generate and market.</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79"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518" w:right="199" w:bottom="1440" w:gutter="0" w:footer="0" w:header="0"/>
        </w:sectPr>
      </w:pPr>
    </w:p>
    <w:bookmarkStart w:id="25" w:name="page26"/>
    <w:bookmarkEnd w:id="25"/>
    <w:p>
      <w:pPr>
        <w:jc w:val="both"/>
        <w:ind w:firstLine="432"/>
        <w:spacing w:after="0" w:line="255" w:lineRule="auto"/>
        <w:rPr>
          <w:sz w:val="20"/>
          <w:szCs w:val="20"/>
          <w:color w:val="auto"/>
        </w:rPr>
      </w:pPr>
      <w:r>
        <w:rPr>
          <w:rFonts w:ascii="Arial" w:cs="Arial" w:eastAsia="Arial" w:hAnsi="Arial"/>
          <w:sz w:val="12"/>
          <w:szCs w:val="12"/>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operation of the Company’s businesses is subject to cyber-based security and integrity risk.</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 regulations providing incentives for renewable generation could change at any time and such changes may negatively impact the Company's growth strategy.</w:t>
      </w:r>
    </w:p>
    <w:p>
      <w:pPr>
        <w:spacing w:after="0" w:line="11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years 2016 through 2019. Wind projects that began construction in 2018 and or begin construction in 2019 are eligible for PTC at 60% and 40% of the statutory rate per kWh, respectively.</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518" w:right="199" w:bottom="1440" w:gutter="0" w:footer="0" w:header="0"/>
        </w:sectPr>
      </w:pPr>
    </w:p>
    <w:bookmarkStart w:id="26" w:name="page27"/>
    <w:bookmarkEnd w:id="26"/>
    <w:p>
      <w:pPr>
        <w:jc w:val="both"/>
        <w:spacing w:after="0" w:line="323" w:lineRule="auto"/>
        <w:rPr>
          <w:sz w:val="20"/>
          <w:szCs w:val="20"/>
          <w:color w:val="auto"/>
        </w:rPr>
      </w:pPr>
      <w:r>
        <w:rPr>
          <w:rFonts w:ascii="Arial" w:cs="Arial" w:eastAsia="Arial" w:hAnsi="Arial"/>
          <w:sz w:val="11"/>
          <w:szCs w:val="11"/>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5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depends on key personnel, the loss of any of which could have a material adverse effect on the Company's financial condition and results of operations.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believes its current operations and future success depend largely on the continued services of key personnel that it employs. Although the Company currently has access to the resources of CEG, the loss of key personnel employed by the Company could have a material adverse effect on the Company’s financial condition and results of operations.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518" w:right="1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Risks Related to the Company's Relationships with GIP and CEG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GIP, through its ownership of CEG, is the Company's controlling stockholder and exercises substantial influence over the Company. The Company is highly dependent on GIP.</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GIP, through its ownership of CEG, owns all of the Company's outstanding Class B and Class D common stock. The Company's outstanding Class B and Class D common stock is entitled to one vote per share and 1/100th of a vote per share, respectively. As a result of its ownership of the Class B and Class D common stock, GIP indirectly owns 55.0% of the combined voting power of the Company's common stock as of December 31, 2018. As a result of this ownership, GIP has a substantial influence on the Company's affairs and its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GIP has the right to elect all of the Company's directors. GIP may cause corporate actions to be taken even if their interests conflict with the interests of the Company's other stockholders (including holders of the Company's Class A and Class C common stock).</w:t>
      </w:r>
    </w:p>
    <w:p>
      <w:pPr>
        <w:spacing w:after="0" w:line="9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Furthermore, the Company depends on certain services provided by or under the direction of CEG under the CEG Master Services Agreement.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9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also depends upon CEG and NRG for the provision of management, administration and certain other services at certain of the Company's facilities. Any failure by CEG or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connection with the GIP Transaction, GIP has agreed to enter into certain agreements with the Company relating to the provision of services and NRG has agreed to enter into certain agreements with the Company relating to transition services and ongoing commercial arrangements. It is uncertain whether, after the transition services end, GIP or its affiliates will continue to provide the same services, or offer the same capabilities and resources, to the Company that the Company currently receives from NRG or whether the Company may have to seek alternative service providers. The Company may not be able to replicate the same level of services, capabilities, experience and familiarity with the Company’s business offered by NRG either through GIP or through alternative service providers or on terms or costs similar to those provided by NRG. The loss of services provided by NRG and the benefits offered to the Company through its relationship with NRG could have an impact on the Company’s business, financial condition, results of operations and cash flows.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514" w:right="199" w:bottom="1440" w:gutter="0" w:footer="0" w:header="0"/>
        </w:sectPr>
      </w:pPr>
    </w:p>
    <w:bookmarkStart w:id="28" w:name="page29"/>
    <w:bookmarkEnd w:id="28"/>
    <w:p>
      <w:pPr>
        <w:ind w:left="8"/>
        <w:spacing w:after="0"/>
        <w:rPr>
          <w:sz w:val="20"/>
          <w:szCs w:val="20"/>
          <w:color w:val="auto"/>
        </w:rPr>
      </w:pPr>
      <w:r>
        <w:rPr>
          <w:rFonts w:ascii="Arial" w:cs="Arial" w:eastAsia="Arial" w:hAnsi="Arial"/>
          <w:sz w:val="12"/>
          <w:szCs w:val="12"/>
          <w:b w:val="1"/>
          <w:bCs w:val="1"/>
          <w:i w:val="1"/>
          <w:iCs w:val="1"/>
          <w:color w:val="auto"/>
        </w:rPr>
        <w:t>GIP and its affiliates control the Company and have the ability to designate a majority of the members of the Company’s Board.</w:t>
      </w:r>
    </w:p>
    <w:p>
      <w:pPr>
        <w:spacing w:after="0" w:line="150" w:lineRule="exact"/>
        <w:rPr>
          <w:sz w:val="20"/>
          <w:szCs w:val="20"/>
          <w:color w:val="auto"/>
        </w:rPr>
      </w:pPr>
    </w:p>
    <w:p>
      <w:pPr>
        <w:jc w:val="both"/>
        <w:ind w:left="8" w:firstLine="261"/>
        <w:spacing w:after="0" w:line="280" w:lineRule="auto"/>
        <w:rPr>
          <w:sz w:val="20"/>
          <w:szCs w:val="20"/>
          <w:color w:val="auto"/>
        </w:rPr>
      </w:pPr>
      <w:r>
        <w:rPr>
          <w:rFonts w:ascii="Arial" w:cs="Arial" w:eastAsia="Arial" w:hAnsi="Arial"/>
          <w:sz w:val="11"/>
          <w:szCs w:val="11"/>
          <w:color w:val="auto"/>
        </w:rPr>
        <w:t>The governance agreements entered into among NRG, the Company, GIP and its affiliates in connection with the GIP Transaction provide GIP the ability to designate a majority of the Company’s Board to the Company’s Corporate Governance, Conflicts and Nominating Committee for nomination for election by the Company’s stockholders and also require that the Company and GIP use their commercially reasonable efforts to submit to the Company’s stockholders at the Company’s 2019 Annual Meeting of Stockholders a charter amendment to classify the Company’s Board into two classes (with the independent directors and directors designated by GIP allocated across the two classes). Due to such agreements and GIP's approximate 55.0% combined voting power in the Company, the ability of other holders of the Company’s Class A and Class C common stock to exercise control over the corporate governance of the Company is limited. In addition, due to its approximate 55.0% combined voting power in the Company, GIP and its affiliates have a substantial influence on the Company’s affairs and its voting power constitutes a large percentage of any quorum of the Company’s stockholders voting on any matter requiring the approval of the Company’s stockholders, including the classification of the Board of Directors. GIP and its affiliates may hold certain interests that are different from those of the Company or other holders of the Company’s Class A and Class C common stock and there is no assurance that GIP and its affiliates will exercise its control over the Company in a manner that is consistent with the Company’s interests or those of the holders of the Company’s Class A and Class C common stock.</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The Company may not be able to consummate future acquisitions from CEG.</w:t>
      </w:r>
    </w:p>
    <w:p>
      <w:pPr>
        <w:spacing w:after="0" w:line="114"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The Company's ability to grow through acquisitions depends, in part, on CEG's ability to identify and present the Company with acquisition opportunities. Although CEG has agreed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The Company may be unable or unwilling to terminate the CEG Master Services Agreement.</w:t>
      </w:r>
    </w:p>
    <w:p>
      <w:pPr>
        <w:spacing w:after="0" w:line="114"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w:t>
      </w:r>
    </w:p>
    <w:p>
      <w:pPr>
        <w:jc w:val="both"/>
        <w:ind w:left="8" w:hanging="8"/>
        <w:spacing w:after="0" w:line="315" w:lineRule="auto"/>
        <w:tabs>
          <w:tab w:leader="none" w:pos="186" w:val="left"/>
        </w:tabs>
        <w:numPr>
          <w:ilvl w:val="0"/>
          <w:numId w:val="7"/>
        </w:numPr>
        <w:rPr>
          <w:rFonts w:ascii="Arial" w:cs="Arial" w:eastAsia="Arial" w:hAnsi="Arial"/>
          <w:sz w:val="10"/>
          <w:szCs w:val="10"/>
          <w:color w:val="auto"/>
        </w:rPr>
      </w:pPr>
      <w:r>
        <w:rPr>
          <w:rFonts w:ascii="Arial" w:cs="Arial" w:eastAsia="Arial" w:hAnsi="Arial"/>
          <w:sz w:val="10"/>
          <w:szCs w:val="10"/>
          <w:color w:val="auto"/>
        </w:rPr>
        <w:t>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8"/>
          </w:cols>
          <w:pgMar w:left="212" w:top="518" w:right="199" w:bottom="144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2"/>
          <w:szCs w:val="12"/>
          <w:b w:val="1"/>
          <w:bCs w:val="1"/>
          <w:i w:val="1"/>
          <w:iCs w:val="1"/>
          <w:color w:val="auto"/>
        </w:rPr>
        <w:t>If CEG terminates the CEG Master Services Agreement or defaults in the performance of its obligations under the agreement, or if the transition services to be provided by NRG to the Company are inadequate or end, the Company may be unable to contract with a substitute service provider on similar terms, or at all.</w:t>
      </w:r>
    </w:p>
    <w:p>
      <w:pPr>
        <w:spacing w:after="0" w:line="7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Company relies on CEG to provide certain services under the CEG Master Services Agreement. The CEG Master Services Agreement provides that CEG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Additionally, the Company relies on transition services provided by NRG under the NRG TSA. If the Company cannot locate a service provider that is able to provide substantially similar services as CEG does under the CEG Master Services Agreement, or the services provided by NRG under the NRG TSA, on similar terms, it could have a material adverse effect on the business, financial condition, results of operation and cash flows.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7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9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79" w:lineRule="exact"/>
        <w:rPr>
          <w:sz w:val="20"/>
          <w:szCs w:val="20"/>
          <w:color w:val="auto"/>
        </w:rPr>
      </w:pPr>
    </w:p>
    <w:p>
      <w:pPr>
        <w:jc w:val="both"/>
        <w:ind w:firstLine="414"/>
        <w:spacing w:after="0" w:line="286" w:lineRule="auto"/>
        <w:rPr>
          <w:sz w:val="20"/>
          <w:szCs w:val="20"/>
          <w:color w:val="auto"/>
        </w:rPr>
      </w:pPr>
      <w:r>
        <w:rPr>
          <w:rFonts w:ascii="Arial" w:cs="Arial" w:eastAsia="Arial" w:hAnsi="Arial"/>
          <w:sz w:val="11"/>
          <w:szCs w:val="11"/>
          <w:color w:val="auto"/>
        </w:rPr>
        <w:t>As of December 31, 2018, GIP indirectly controls 55.0%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Compensation Committee and a Corporate Governance, Conflicts and Nominating Committee consisting entirely of independent directors and to conduct an annual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518" w:right="19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2"/>
          <w:szCs w:val="12"/>
          <w:color w:val="auto"/>
        </w:rPr>
        <w:t>performance evaluation of these committees, the majority of the members of the Company’s board of directors are not considered independent. Therefore, the Company’s stockholders may not have the same protections afforded to stockholders of companies that are subject to all of the applicable NYSE listing requirements. It is also possible that the interests of GIP may in some circumstances conflict with the Company's interests and the interests of the holders of the Company's Class A and Class C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Inherent in an Investment in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not be able to continue paying comparable or growing cash dividends to holders of its common stock in the future.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amount of CAFD principally depends upon the amount of cash the Company generates from its operations, which will fluctuate from quarter to quarter based on, among other things:</w:t>
      </w:r>
    </w:p>
    <w:p>
      <w:pPr>
        <w:spacing w:after="0" w:line="114" w:lineRule="exact"/>
        <w:rPr>
          <w:sz w:val="20"/>
          <w:szCs w:val="20"/>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level and timing of capital expenditures the Company makes;</w:t>
      </w:r>
    </w:p>
    <w:p>
      <w:pPr>
        <w:spacing w:after="0" w:line="114" w:lineRule="exact"/>
        <w:rPr>
          <w:rFonts w:ascii="Arial" w:cs="Arial" w:eastAsia="Arial" w:hAnsi="Arial"/>
          <w:sz w:val="12"/>
          <w:szCs w:val="12"/>
          <w:color w:val="auto"/>
        </w:rPr>
      </w:pPr>
    </w:p>
    <w:p>
      <w:pPr>
        <w:ind w:left="1280" w:hanging="207"/>
        <w:spacing w:after="0"/>
        <w:tabs>
          <w:tab w:leader="none" w:pos="128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level of operating and general and administrative expenses, including reimbursements to CEG for services provided to the Company in accordance with the CEG Master Services Agreement;</w:t>
      </w:r>
    </w:p>
    <w:p>
      <w:pPr>
        <w:spacing w:after="0" w:line="125" w:lineRule="exact"/>
        <w:rPr>
          <w:rFonts w:ascii="Arial" w:cs="Arial" w:eastAsia="Arial" w:hAnsi="Arial"/>
          <w:sz w:val="11"/>
          <w:szCs w:val="11"/>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variations in revenues generated by the business, due to seasonality, weather, or otherwise;</w:t>
      </w:r>
    </w:p>
    <w:p>
      <w:pPr>
        <w:spacing w:after="0" w:line="114" w:lineRule="exact"/>
        <w:rPr>
          <w:rFonts w:ascii="Arial" w:cs="Arial" w:eastAsia="Arial" w:hAnsi="Arial"/>
          <w:sz w:val="12"/>
          <w:szCs w:val="12"/>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debt service requirements and other liabilities;</w:t>
      </w:r>
    </w:p>
    <w:p>
      <w:pPr>
        <w:spacing w:after="0" w:line="114" w:lineRule="exact"/>
        <w:rPr>
          <w:rFonts w:ascii="Arial" w:cs="Arial" w:eastAsia="Arial" w:hAnsi="Arial"/>
          <w:sz w:val="12"/>
          <w:szCs w:val="12"/>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fluctuations in working capital needs;</w:t>
      </w:r>
    </w:p>
    <w:p>
      <w:pPr>
        <w:spacing w:after="0" w:line="114" w:lineRule="exact"/>
        <w:rPr>
          <w:rFonts w:ascii="Arial" w:cs="Arial" w:eastAsia="Arial" w:hAnsi="Arial"/>
          <w:sz w:val="12"/>
          <w:szCs w:val="12"/>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Company's ability to borrow funds and access capital markets;</w:t>
      </w:r>
    </w:p>
    <w:p>
      <w:pPr>
        <w:spacing w:after="0" w:line="114" w:lineRule="exact"/>
        <w:rPr>
          <w:rFonts w:ascii="Arial" w:cs="Arial" w:eastAsia="Arial" w:hAnsi="Arial"/>
          <w:sz w:val="12"/>
          <w:szCs w:val="12"/>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restrictions contained in the Company's debt agreements (including project-level financing and, if applicable, corporate debt); and</w:t>
      </w:r>
    </w:p>
    <w:p>
      <w:pPr>
        <w:spacing w:after="0" w:line="114" w:lineRule="exact"/>
        <w:rPr>
          <w:rFonts w:ascii="Arial" w:cs="Arial" w:eastAsia="Arial" w:hAnsi="Arial"/>
          <w:sz w:val="12"/>
          <w:szCs w:val="12"/>
          <w:color w:val="auto"/>
        </w:rPr>
      </w:pPr>
    </w:p>
    <w:p>
      <w:pPr>
        <w:ind w:left="1280" w:hanging="207"/>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business risks affecting cash levels.</w:t>
      </w:r>
    </w:p>
    <w:p>
      <w:pPr>
        <w:spacing w:after="0" w:line="114" w:lineRule="exact"/>
        <w:rPr>
          <w:sz w:val="20"/>
          <w:szCs w:val="20"/>
          <w:color w:val="auto"/>
        </w:rPr>
      </w:pPr>
    </w:p>
    <w:p>
      <w:pPr>
        <w:jc w:val="both"/>
        <w:ind w:firstLine="468"/>
        <w:spacing w:after="0" w:line="323" w:lineRule="auto"/>
        <w:rPr>
          <w:sz w:val="20"/>
          <w:szCs w:val="20"/>
          <w:color w:val="auto"/>
        </w:rPr>
      </w:pPr>
      <w:r>
        <w:rPr>
          <w:rFonts w:ascii="Arial" w:cs="Arial" w:eastAsia="Arial" w:hAnsi="Arial"/>
          <w:sz w:val="11"/>
          <w:szCs w:val="11"/>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56" w:lineRule="exact"/>
        <w:rPr>
          <w:sz w:val="20"/>
          <w:szCs w:val="20"/>
          <w:color w:val="auto"/>
        </w:rPr>
      </w:pPr>
    </w:p>
    <w:p>
      <w:pPr>
        <w:jc w:val="both"/>
        <w:ind w:firstLine="133"/>
        <w:spacing w:after="0" w:line="286" w:lineRule="auto"/>
        <w:rPr>
          <w:sz w:val="20"/>
          <w:szCs w:val="20"/>
          <w:color w:val="auto"/>
        </w:rPr>
      </w:pPr>
      <w:r>
        <w:rPr>
          <w:rFonts w:ascii="Arial" w:cs="Arial" w:eastAsia="Arial" w:hAnsi="Arial"/>
          <w:sz w:val="11"/>
          <w:szCs w:val="11"/>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75"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1"/>
          <w:szCs w:val="11"/>
          <w:color w:val="auto"/>
        </w:rPr>
        <w:t>Clearway Energy LLC's CAFD will likely fluctuate from quarter to quarter, in some cases significantly, due to seasonality.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69" w:lineRule="exact"/>
        <w:rPr>
          <w:sz w:val="20"/>
          <w:szCs w:val="20"/>
          <w:color w:val="auto"/>
        </w:rPr>
      </w:pPr>
    </w:p>
    <w:p>
      <w:pPr>
        <w:jc w:val="both"/>
        <w:ind w:right="20" w:firstLine="433"/>
        <w:spacing w:after="0" w:line="276" w:lineRule="auto"/>
        <w:rPr>
          <w:sz w:val="20"/>
          <w:szCs w:val="20"/>
          <w:color w:val="auto"/>
        </w:rPr>
      </w:pPr>
      <w:r>
        <w:rPr>
          <w:rFonts w:ascii="Arial" w:cs="Arial" w:eastAsia="Arial" w:hAnsi="Arial"/>
          <w:sz w:val="12"/>
          <w:szCs w:val="12"/>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518" w:right="19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2"/>
          <w:szCs w:val="12"/>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7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2"/>
          <w:szCs w:val="12"/>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interest rates may have an effect on the value of the Company's Class A and Class C common stock.</w:t>
      </w:r>
    </w:p>
    <w:p>
      <w:pPr>
        <w:spacing w:after="0" w:line="114"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2"/>
          <w:szCs w:val="12"/>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which are currently at low levels relative to historical rates but are rising,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9" w:lineRule="exact"/>
        <w:rPr>
          <w:sz w:val="20"/>
          <w:szCs w:val="20"/>
          <w:color w:val="auto"/>
        </w:rPr>
      </w:pPr>
    </w:p>
    <w:p>
      <w:pPr>
        <w:jc w:val="both"/>
        <w:ind w:firstLine="511"/>
        <w:spacing w:after="0" w:line="257" w:lineRule="auto"/>
        <w:rPr>
          <w:sz w:val="20"/>
          <w:szCs w:val="20"/>
          <w:color w:val="auto"/>
        </w:rPr>
      </w:pPr>
      <w:r>
        <w:rPr>
          <w:rFonts w:ascii="Arial" w:cs="Arial" w:eastAsia="Arial" w:hAnsi="Arial"/>
          <w:sz w:val="12"/>
          <w:szCs w:val="12"/>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 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volatility may affect the price of the Company's Class A and Class C common stock.</w:t>
      </w:r>
    </w:p>
    <w:p>
      <w:pPr>
        <w:spacing w:after="0" w:line="114"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1"/>
          <w:szCs w:val="11"/>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GIP or CEG,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GIP or CEG.</w:t>
      </w:r>
    </w:p>
    <w:p>
      <w:pPr>
        <w:spacing w:after="0" w:line="75" w:lineRule="exact"/>
        <w:rPr>
          <w:sz w:val="20"/>
          <w:szCs w:val="20"/>
          <w:color w:val="auto"/>
        </w:rPr>
      </w:pPr>
    </w:p>
    <w:p>
      <w:pPr>
        <w:jc w:val="both"/>
        <w:ind w:firstLine="498"/>
        <w:spacing w:after="0" w:line="276" w:lineRule="auto"/>
        <w:rPr>
          <w:sz w:val="20"/>
          <w:szCs w:val="20"/>
          <w:color w:val="auto"/>
        </w:rPr>
      </w:pPr>
      <w:r>
        <w:rPr>
          <w:rFonts w:ascii="Arial" w:cs="Arial" w:eastAsia="Arial" w:hAnsi="Arial"/>
          <w:sz w:val="12"/>
          <w:szCs w:val="12"/>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518"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i w:val="1"/>
          <w:iCs w:val="1"/>
          <w:color w:val="auto"/>
        </w:rPr>
        <w:t>Volatility of market conditions may increase certain of the risks the Company faces.</w:t>
      </w:r>
    </w:p>
    <w:p>
      <w:pPr>
        <w:spacing w:after="0" w:line="1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2"/>
          <w:szCs w:val="12"/>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the Company faces. The Company and other companies may have to adjust their plans and priorities in light of such volatility.</w:t>
      </w:r>
    </w:p>
    <w:p>
      <w:pPr>
        <w:spacing w:after="0" w:line="87" w:lineRule="exact"/>
        <w:rPr>
          <w:sz w:val="20"/>
          <w:szCs w:val="20"/>
          <w:color w:val="auto"/>
        </w:rPr>
      </w:pPr>
    </w:p>
    <w:p>
      <w:pPr>
        <w:jc w:val="both"/>
        <w:ind w:firstLine="616"/>
        <w:spacing w:after="0" w:line="286" w:lineRule="auto"/>
        <w:rPr>
          <w:sz w:val="20"/>
          <w:szCs w:val="20"/>
          <w:color w:val="auto"/>
        </w:rPr>
      </w:pPr>
      <w:r>
        <w:rPr>
          <w:rFonts w:ascii="Arial" w:cs="Arial" w:eastAsia="Arial" w:hAnsi="Arial"/>
          <w:sz w:val="11"/>
          <w:szCs w:val="11"/>
          <w:color w:val="auto"/>
        </w:rPr>
        <w:t>Risks that may increase as a result of market volatility include, but are not limited to, risks related to access to capital and liquidity and risks related to the performance of third parties, GIP. The Company has significant relationships with, and in certain areas depends significantly on, GIP and CEG. In particular, CEG provides operational services and other support. The Company’s growth strategy depends on its ability to identify and acquire additional facilities from CEG and unaffiliated third parties. The Company interacts with or depends on CEG for assistance related to many third-party acquisition opportunities and for operations and maintenance support on various pending and completed transactions. As a result, the Company’s financial and operating performance and prospects, including the Company’s ability to grow its dividend per share, may be affected by the performance, prospects, and priorities of GIP and CEG, and material adverse developments at GIP or CEG or changes in their strategic priorities may materially affect the Company's business, financial condition and results of operations.</w:t>
      </w:r>
    </w:p>
    <w:p>
      <w:pPr>
        <w:spacing w:after="0" w:line="7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79" w:lineRule="exact"/>
        <w:rPr>
          <w:sz w:val="20"/>
          <w:szCs w:val="20"/>
          <w:color w:val="auto"/>
        </w:rPr>
      </w:pPr>
    </w:p>
    <w:p>
      <w:pPr>
        <w:jc w:val="both"/>
        <w:ind w:right="20" w:firstLine="571"/>
        <w:spacing w:after="0" w:line="263" w:lineRule="auto"/>
        <w:rPr>
          <w:sz w:val="20"/>
          <w:szCs w:val="20"/>
          <w:color w:val="auto"/>
        </w:rPr>
      </w:pPr>
      <w:r>
        <w:rPr>
          <w:rFonts w:ascii="Arial" w:cs="Arial" w:eastAsia="Arial" w:hAnsi="Arial"/>
          <w:sz w:val="12"/>
          <w:szCs w:val="12"/>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87" w:lineRule="exact"/>
        <w:rPr>
          <w:sz w:val="20"/>
          <w:szCs w:val="20"/>
          <w:color w:val="auto"/>
        </w:rPr>
      </w:pPr>
    </w:p>
    <w:p>
      <w:pPr>
        <w:ind w:left="640" w:hanging="16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prohibition on stockholder action through written consent;</w:t>
      </w:r>
    </w:p>
    <w:p>
      <w:pPr>
        <w:spacing w:after="0" w:line="114" w:lineRule="exact"/>
        <w:rPr>
          <w:rFonts w:ascii="Arial" w:cs="Arial" w:eastAsia="Arial" w:hAnsi="Arial"/>
          <w:sz w:val="12"/>
          <w:szCs w:val="12"/>
          <w:color w:val="auto"/>
        </w:rPr>
      </w:pPr>
    </w:p>
    <w:p>
      <w:pPr>
        <w:ind w:left="640" w:hanging="16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requirement that special meetings of stockholders be called upon a resolution approved by a majority of the Company's directors then in office;</w:t>
      </w:r>
    </w:p>
    <w:p>
      <w:pPr>
        <w:spacing w:after="0" w:line="114" w:lineRule="exact"/>
        <w:rPr>
          <w:rFonts w:ascii="Arial" w:cs="Arial" w:eastAsia="Arial" w:hAnsi="Arial"/>
          <w:sz w:val="12"/>
          <w:szCs w:val="12"/>
          <w:color w:val="auto"/>
        </w:rPr>
      </w:pPr>
    </w:p>
    <w:p>
      <w:pPr>
        <w:ind w:left="640" w:hanging="16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advance notice requirements for stockholder proposals and nominations; and</w:t>
      </w:r>
    </w:p>
    <w:p>
      <w:pPr>
        <w:spacing w:after="0" w:line="114" w:lineRule="exact"/>
        <w:rPr>
          <w:rFonts w:ascii="Arial" w:cs="Arial" w:eastAsia="Arial" w:hAnsi="Arial"/>
          <w:sz w:val="12"/>
          <w:szCs w:val="12"/>
          <w:color w:val="auto"/>
        </w:rPr>
      </w:pPr>
    </w:p>
    <w:p>
      <w:pPr>
        <w:ind w:left="640" w:hanging="16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authority of the board of directors to issue preferred stock with such terms as the board of directors may determine.</w:t>
      </w:r>
    </w:p>
    <w:p>
      <w:pPr>
        <w:spacing w:after="0" w:line="114" w:lineRule="exact"/>
        <w:rPr>
          <w:sz w:val="20"/>
          <w:szCs w:val="20"/>
          <w:color w:val="auto"/>
        </w:rPr>
      </w:pPr>
    </w:p>
    <w:p>
      <w:pPr>
        <w:jc w:val="both"/>
        <w:ind w:firstLine="502"/>
        <w:spacing w:after="0" w:line="254" w:lineRule="auto"/>
        <w:rPr>
          <w:sz w:val="20"/>
          <w:szCs w:val="20"/>
          <w:color w:val="auto"/>
        </w:rPr>
      </w:pPr>
      <w:r>
        <w:rPr>
          <w:rFonts w:ascii="Arial" w:cs="Arial" w:eastAsia="Arial" w:hAnsi="Arial"/>
          <w:sz w:val="12"/>
          <w:szCs w:val="12"/>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or NRG, in open market transactions or otherwise. A purchaser of the Company's securities which is a holding company will need to determine whether a given purchase of the Company's securities may require prior FERC approval.</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518"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i w:val="1"/>
          <w:iCs w:val="1"/>
          <w:color w:val="auto"/>
        </w:rPr>
        <w:t>Investors may experience dilution of ownership interest due to the future issuance of additional shares of the Company's Class A or Class C common stock.</w:t>
      </w:r>
    </w:p>
    <w:p>
      <w:pPr>
        <w:spacing w:after="0" w:line="114" w:lineRule="exact"/>
        <w:rPr>
          <w:sz w:val="20"/>
          <w:szCs w:val="20"/>
          <w:color w:val="auto"/>
        </w:rPr>
      </w:pPr>
    </w:p>
    <w:p>
      <w:pPr>
        <w:jc w:val="both"/>
        <w:ind w:firstLine="467"/>
        <w:spacing w:after="0" w:line="254" w:lineRule="auto"/>
        <w:rPr>
          <w:sz w:val="20"/>
          <w:szCs w:val="20"/>
          <w:color w:val="auto"/>
        </w:rPr>
      </w:pPr>
      <w:r>
        <w:rPr>
          <w:rFonts w:ascii="Arial" w:cs="Arial" w:eastAsia="Arial" w:hAnsi="Arial"/>
          <w:sz w:val="12"/>
          <w:szCs w:val="12"/>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95"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b w:val="1"/>
          <w:bCs w:val="1"/>
          <w:i w:val="1"/>
          <w:iCs w:val="1"/>
          <w:color w:val="auto"/>
        </w:rPr>
        <w:t>If securities or industry analysts do not publish or cease publishing research or reports about the Company, the Company's business or the Company's market, or if they change their recommendations regarding the Company's Class A and/or Class C common stock adversely, the stock price and trading volume of the Company's Class A and/or Class C common stock could decline.</w:t>
      </w:r>
    </w:p>
    <w:p>
      <w:pPr>
        <w:spacing w:after="0" w:line="56" w:lineRule="exact"/>
        <w:rPr>
          <w:sz w:val="20"/>
          <w:szCs w:val="20"/>
          <w:color w:val="auto"/>
        </w:rPr>
      </w:pPr>
    </w:p>
    <w:p>
      <w:pPr>
        <w:jc w:val="both"/>
        <w:ind w:firstLine="502"/>
        <w:spacing w:after="0" w:line="290" w:lineRule="auto"/>
        <w:rPr>
          <w:sz w:val="20"/>
          <w:szCs w:val="20"/>
          <w:color w:val="auto"/>
        </w:rPr>
      </w:pPr>
      <w:r>
        <w:rPr>
          <w:rFonts w:ascii="Arial" w:cs="Arial" w:eastAsia="Arial" w:hAnsi="Arial"/>
          <w:sz w:val="11"/>
          <w:szCs w:val="11"/>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would likely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the Company's Class A or Class C common stock by GIP may cause the price of the Company's Class A or Class C common stock to fall.</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market price of the Company's Class A or Class C common stock could decline as a result of sales by GIP of such shares (issuable to GIP upon the exchange of some or all of its Clearway Energy LLC Class B or Class D units, respectively) in the market, or the perception that these sales could occur.</w:t>
      </w:r>
    </w:p>
    <w:p>
      <w:pPr>
        <w:spacing w:after="0" w:line="79" w:lineRule="exact"/>
        <w:rPr>
          <w:sz w:val="20"/>
          <w:szCs w:val="20"/>
          <w:color w:val="auto"/>
        </w:rPr>
      </w:pPr>
    </w:p>
    <w:p>
      <w:pPr>
        <w:jc w:val="both"/>
        <w:ind w:firstLine="480"/>
        <w:spacing w:after="0" w:line="257" w:lineRule="auto"/>
        <w:rPr>
          <w:sz w:val="20"/>
          <w:szCs w:val="20"/>
          <w:color w:val="auto"/>
        </w:rPr>
      </w:pPr>
      <w:r>
        <w:rPr>
          <w:rFonts w:ascii="Arial" w:cs="Arial" w:eastAsia="Arial" w:hAnsi="Arial"/>
          <w:sz w:val="12"/>
          <w:szCs w:val="12"/>
          <w:color w:val="auto"/>
        </w:rPr>
        <w:t>The market price of the Company's Class A or Class C common stock may also decline as a result of GIP disposing or transferring some or all of the Company's outstanding Class B or Class D common stock, which disposals or transfers would reduce GIP's ownership interest in, and voting control over, the Company. These sales might also make it more difficult for the Company to sell equity securities at a time and price that the Company deems appropriate. GIP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may have a material adverse effect on the market price of the Company's securities.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Taxation</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79" w:lineRule="exact"/>
        <w:rPr>
          <w:sz w:val="20"/>
          <w:szCs w:val="20"/>
          <w:color w:val="auto"/>
        </w:rPr>
      </w:pPr>
    </w:p>
    <w:p>
      <w:pPr>
        <w:jc w:val="both"/>
        <w:ind w:firstLine="430"/>
        <w:spacing w:after="0" w:line="257" w:lineRule="auto"/>
        <w:rPr>
          <w:sz w:val="20"/>
          <w:szCs w:val="20"/>
          <w:color w:val="auto"/>
        </w:rPr>
      </w:pPr>
      <w:r>
        <w:rPr>
          <w:rFonts w:ascii="Arial" w:cs="Arial" w:eastAsia="Arial" w:hAnsi="Arial"/>
          <w:sz w:val="12"/>
          <w:szCs w:val="12"/>
          <w:color w:val="auto"/>
        </w:rPr>
        <w:t>The Company expects to generate NOLs and carryforward prior year NOL balances to offset future taxable income. Based on the Company's current portfolio of assets, which include renewable assets that benefit from accelerated tax depreciation deductions and federal tax credits, the Company does not expect to pay significant federal income tax for a period of approximately ten years. While the Company expects these losses will be available as a future benefit, in the event that they are not generated as expected, successfully challenged by the IRS or state and local jurisdictions (in a tax audit or otherwise) or subject to future limitations from a potential change in ownership, as discussed below, the Company's ability to realize these benefits may be limited. In addition, the Company’s ability to realize state and local tax exemptions, including property or sales and use tax exemptions, is subject to various tax laws. If these exemptions are successfully challenged by state and local jurisdictions or if a change in tax</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518" w:right="199" w:bottom="1440" w:gutter="0" w:footer="0" w:header="0"/>
        </w:sectPr>
      </w:pPr>
    </w:p>
    <w:bookmarkStart w:id="34" w:name="page35"/>
    <w:bookmarkEnd w:id="34"/>
    <w:p>
      <w:pPr>
        <w:jc w:val="both"/>
        <w:spacing w:after="0" w:line="323" w:lineRule="auto"/>
        <w:rPr>
          <w:sz w:val="20"/>
          <w:szCs w:val="20"/>
          <w:color w:val="auto"/>
        </w:rPr>
      </w:pPr>
      <w:r>
        <w:rPr>
          <w:rFonts w:ascii="Arial" w:cs="Arial" w:eastAsia="Arial" w:hAnsi="Arial"/>
          <w:sz w:val="11"/>
          <w:szCs w:val="11"/>
          <w:color w:val="auto"/>
        </w:rPr>
        <w:t>law occurs, the Company’s ability to realize these exemptions could be affected. A reduction in the Company's expected NOLs,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ability to use NOLs to offset future income may be limited.</w:t>
      </w:r>
    </w:p>
    <w:p>
      <w:pPr>
        <w:spacing w:after="0" w:line="114" w:lineRule="exact"/>
        <w:rPr>
          <w:sz w:val="20"/>
          <w:szCs w:val="20"/>
          <w:color w:val="auto"/>
        </w:rPr>
      </w:pPr>
    </w:p>
    <w:p>
      <w:pPr>
        <w:jc w:val="both"/>
        <w:ind w:firstLine="439"/>
        <w:spacing w:after="0" w:line="257" w:lineRule="auto"/>
        <w:rPr>
          <w:sz w:val="20"/>
          <w:szCs w:val="20"/>
          <w:color w:val="auto"/>
        </w:rPr>
      </w:pPr>
      <w:r>
        <w:rPr>
          <w:rFonts w:ascii="Arial" w:cs="Arial" w:eastAsia="Arial" w:hAnsi="Arial"/>
          <w:sz w:val="12"/>
          <w:szCs w:val="12"/>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the Company's common stock by GIP, as well as future issuances by the Company, could contribute to a potential ownership change.</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valuation allowance may be required for the Company's deferred tax assets.</w:t>
      </w:r>
    </w:p>
    <w:p>
      <w:pPr>
        <w:spacing w:after="0" w:line="114" w:lineRule="exact"/>
        <w:rPr>
          <w:sz w:val="20"/>
          <w:szCs w:val="20"/>
          <w:color w:val="auto"/>
        </w:rPr>
      </w:pPr>
    </w:p>
    <w:p>
      <w:pPr>
        <w:jc w:val="both"/>
        <w:ind w:firstLine="650"/>
        <w:spacing w:after="0" w:line="290" w:lineRule="auto"/>
        <w:rPr>
          <w:sz w:val="20"/>
          <w:szCs w:val="20"/>
          <w:color w:val="auto"/>
        </w:rPr>
      </w:pPr>
      <w:r>
        <w:rPr>
          <w:rFonts w:ascii="Arial" w:cs="Arial" w:eastAsia="Arial" w:hAnsi="Arial"/>
          <w:sz w:val="11"/>
          <w:szCs w:val="11"/>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the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 to holders of the Company's Class A and Class C common stock may be taxable.</w:t>
      </w:r>
    </w:p>
    <w:p>
      <w:pPr>
        <w:spacing w:after="0" w:line="11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amount of distributions that will be treated as taxable for U.S. federal income tax purposes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and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U.S. tax purposes, the Company's distributions to its stockholders in 2018 and 2017 are classified for U.S. federal income tax purposes as a nontaxable return of capital and reduction of a U.S. stockholder's tax basis, to the extent of a U.S. stockholder's tax basis in each of the Company's common shares, with any remaining amount being taxed as capital gain.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518" w:right="199" w:bottom="1440" w:gutter="0" w:footer="0" w:header="0"/>
        </w:sectPr>
      </w:pPr>
    </w:p>
    <w:bookmarkStart w:id="35" w:name="page36"/>
    <w:bookmarkEnd w:id="35"/>
    <w:p>
      <w:pPr>
        <w:jc w:val="center"/>
        <w:spacing w:after="0"/>
        <w:rPr>
          <w:sz w:val="20"/>
          <w:szCs w:val="20"/>
          <w:color w:val="auto"/>
        </w:rPr>
      </w:pPr>
      <w:r>
        <w:rPr>
          <w:rFonts w:ascii="Arial" w:cs="Arial" w:eastAsia="Arial" w:hAnsi="Arial"/>
          <w:sz w:val="12"/>
          <w:szCs w:val="12"/>
          <w:b w:val="1"/>
          <w:bCs w:val="1"/>
          <w:color w:val="auto"/>
        </w:rPr>
        <w:t>CAUTIONARY STATEMENT REGARDING FORWARD-LOOKING INFORMATION</w:t>
      </w:r>
    </w:p>
    <w:p>
      <w:pPr>
        <w:spacing w:after="0" w:line="118"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2"/>
          <w:szCs w:val="12"/>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and the following:</w:t>
      </w:r>
    </w:p>
    <w:p>
      <w:pPr>
        <w:spacing w:after="0" w:line="90"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Potential risks related to the PG&amp;E bankruptcy;</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maintain and grow its quarterly dividend;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Potential risks related to the Company's relationships with GIP and CEG;</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successfully identify, evaluate and consummate acquisitions from third parties;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acquire assets from GIP or CEG;</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raise additional capital due to its indebtedness, corporate structure, market conditions or otherwise;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law, including judicial decisions;</w:t>
      </w:r>
    </w:p>
    <w:p>
      <w:pPr>
        <w:spacing w:after="0" w:line="42" w:lineRule="exact"/>
        <w:rPr>
          <w:rFonts w:ascii="Arial" w:cs="Arial" w:eastAsia="Arial" w:hAnsi="Arial"/>
          <w:sz w:val="12"/>
          <w:szCs w:val="12"/>
          <w:color w:val="auto"/>
        </w:rPr>
      </w:pPr>
    </w:p>
    <w:p>
      <w:pPr>
        <w:jc w:val="both"/>
        <w:ind w:left="420" w:hanging="212"/>
        <w:spacing w:after="0" w:line="296" w:lineRule="auto"/>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ind w:left="420" w:hanging="212"/>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willingness and ability of counterparties to the Company's offtake agreements to fulfill their obligations under such agreements;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enter into contracts to sell power and procure fuel on acceptable terms and prices as current offtake agreements expire;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Government regulation, including compliance with regulatory requirements and changes in market rules, rates, tariffs and environmental laws;</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6"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engage in successful mergers and acquisitions activity;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Company's ability to borrow additional funds and access capital markets, as well as the Company's substantial indebtedness and the possibility that the Company may incur additional indebtedness going forward.</w:t>
      </w:r>
    </w:p>
    <w:p>
      <w:pPr>
        <w:spacing w:after="0" w:line="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 Unresolved Staff Comments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514" w:right="1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Item 2 — Properties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descriptions of the Company's interests in facilities, operations and/or projects owned or leased as of December 31,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right"/>
              <w:ind w:right="472"/>
              <w:spacing w:after="0"/>
              <w:rPr>
                <w:sz w:val="20"/>
                <w:szCs w:val="20"/>
                <w:color w:val="auto"/>
              </w:rPr>
            </w:pPr>
            <w:r>
              <w:rPr>
                <w:rFonts w:ascii="Arial" w:cs="Arial" w:eastAsia="Arial" w:hAnsi="Arial"/>
                <w:sz w:val="11"/>
                <w:szCs w:val="11"/>
                <w:b w:val="1"/>
                <w:bCs w:val="1"/>
                <w:color w:val="auto"/>
              </w:rPr>
              <w:t>Capacity</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7"/>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ind w:left="1280"/>
              <w:spacing w:after="0"/>
              <w:rPr>
                <w:sz w:val="20"/>
                <w:szCs w:val="20"/>
                <w:color w:val="auto"/>
              </w:rPr>
            </w:pPr>
            <w:r>
              <w:rPr>
                <w:rFonts w:ascii="Arial" w:cs="Arial" w:eastAsia="Arial" w:hAnsi="Arial"/>
                <w:sz w:val="11"/>
                <w:szCs w:val="11"/>
                <w:b w:val="1"/>
                <w:bCs w:val="1"/>
                <w:color w:val="auto"/>
              </w:rPr>
              <w:t>PPA Terms</w:t>
            </w:r>
          </w:p>
        </w:tc>
        <w:tc>
          <w:tcPr>
            <w:tcW w:w="1040" w:type="dxa"/>
            <w:vAlign w:val="bottom"/>
          </w:tcPr>
          <w:p>
            <w:pPr>
              <w:spacing w:after="0"/>
              <w:rPr>
                <w:sz w:val="12"/>
                <w:szCs w:val="12"/>
                <w:color w:val="auto"/>
              </w:rPr>
            </w:pPr>
          </w:p>
        </w:tc>
      </w:tr>
      <w:tr>
        <w:trPr>
          <w:trHeight w:val="22"/>
        </w:trPr>
        <w:tc>
          <w:tcPr>
            <w:tcW w:w="17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14"/>
                <w:szCs w:val="14"/>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Rated MW</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Net MW</w:t>
            </w:r>
            <w:r>
              <w:rPr>
                <w:rFonts w:ascii="Arial" w:cs="Arial" w:eastAsia="Arial" w:hAnsi="Arial"/>
                <w:sz w:val="14"/>
                <w:szCs w:val="14"/>
                <w:b w:val="1"/>
                <w:bCs w:val="1"/>
                <w:color w:val="auto"/>
                <w:vertAlign w:val="superscript"/>
              </w:rPr>
              <w:t>(a)</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Fuel</w:t>
            </w:r>
          </w:p>
        </w:tc>
        <w:tc>
          <w:tcPr>
            <w:tcW w:w="100" w:type="dxa"/>
            <w:vAlign w:val="bottom"/>
          </w:tcPr>
          <w:p>
            <w:pPr>
              <w:spacing w:after="0"/>
              <w:rPr>
                <w:sz w:val="14"/>
                <w:szCs w:val="14"/>
                <w:color w:val="auto"/>
              </w:rPr>
            </w:pP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COD</w:t>
            </w:r>
          </w:p>
        </w:tc>
        <w:tc>
          <w:tcPr>
            <w:tcW w:w="120" w:type="dxa"/>
            <w:vAlign w:val="bottom"/>
          </w:tcPr>
          <w:p>
            <w:pPr>
              <w:spacing w:after="0"/>
              <w:rPr>
                <w:sz w:val="14"/>
                <w:szCs w:val="14"/>
                <w:color w:val="auto"/>
              </w:rPr>
            </w:pPr>
          </w:p>
        </w:tc>
        <w:tc>
          <w:tcPr>
            <w:tcW w:w="19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Counterparty</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Expiration</w:t>
            </w:r>
          </w:p>
        </w:tc>
      </w:tr>
      <w:tr>
        <w:trPr>
          <w:trHeight w:val="147"/>
        </w:trPr>
        <w:tc>
          <w:tcPr>
            <w:tcW w:w="172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Conventional</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GenConn Devon</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Milford, CT</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190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95</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Natural Gas/Oil</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June 2010</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0"/>
                <w:szCs w:val="10"/>
                <w:color w:val="auto"/>
              </w:rPr>
              <w:t>2040</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GenConn Middletown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Middletown, CT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Gas/Oil</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Marsh Landing</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Antioch,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720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720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May 2013</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2023</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Walnut Creek</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City of Industry, CA</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485</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485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r>
      <w:tr>
        <w:trPr>
          <w:trHeight w:val="156"/>
        </w:trPr>
        <w:tc>
          <w:tcPr>
            <w:tcW w:w="1720" w:type="dxa"/>
            <w:vAlign w:val="bottom"/>
            <w:gridSpan w:val="2"/>
          </w:tcPr>
          <w:p>
            <w:pPr>
              <w:ind w:left="240"/>
              <w:spacing w:after="0"/>
              <w:rPr>
                <w:sz w:val="20"/>
                <w:szCs w:val="20"/>
                <w:color w:val="auto"/>
              </w:rPr>
            </w:pPr>
            <w:r>
              <w:rPr>
                <w:rFonts w:ascii="Arial" w:cs="Arial" w:eastAsia="Arial" w:hAnsi="Arial"/>
                <w:sz w:val="11"/>
                <w:szCs w:val="11"/>
                <w:b w:val="1"/>
                <w:bCs w:val="1"/>
                <w:i w:val="1"/>
                <w:iCs w:val="1"/>
                <w:color w:val="auto"/>
              </w:rPr>
              <w:t>Total Conventional</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2,135</w:t>
            </w:r>
          </w:p>
        </w:tc>
        <w:tc>
          <w:tcPr>
            <w:tcW w:w="12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1,945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Utility Scale Solar</w:t>
            </w: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Agua Caliente</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Dateland, AZ</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290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46</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June 2014</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Avenal</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Avenal,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23</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August 2011</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Avra Valley</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Pima County, AZ</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2012</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Tucson Electric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Blythe,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December 2009</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2029</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 Springs,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 Diego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Buckthorn 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City of Georgetown, TX</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154</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154</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July 2018</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City of Georgetown, TX</w:t>
            </w:r>
          </w:p>
        </w:tc>
        <w:tc>
          <w:tcPr>
            <w:tcW w:w="1040" w:type="dxa"/>
            <w:vAlign w:val="bottom"/>
          </w:tcPr>
          <w:p>
            <w:pPr>
              <w:jc w:val="right"/>
              <w:spacing w:after="0"/>
              <w:rPr>
                <w:sz w:val="20"/>
                <w:szCs w:val="20"/>
                <w:color w:val="auto"/>
              </w:rPr>
            </w:pPr>
            <w:r>
              <w:rPr>
                <w:rFonts w:ascii="Arial" w:cs="Arial" w:eastAsia="Arial" w:hAnsi="Arial"/>
                <w:sz w:val="10"/>
                <w:szCs w:val="10"/>
                <w:color w:val="auto"/>
              </w:rPr>
              <w:t>2043</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CVSR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 Luis Obispo,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Desert Sunlight 250</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Desert Center,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250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63</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2034</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Sunlight 300</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Center,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2039</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Four Brothers 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New Castle/Milford, UT</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320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160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July 2016 - August 2016</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2036</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Granite Mountain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September 2016</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Iron Springs</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40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August 2016</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2036</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Kansas South</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Lemoore,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Roadrunner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Santa Teresa, NM</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August 2011</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El Paso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 High Desert</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r>
      <w:tr>
        <w:trPr>
          <w:trHeight w:val="156"/>
        </w:trPr>
        <w:tc>
          <w:tcPr>
            <w:tcW w:w="1720" w:type="dxa"/>
            <w:vAlign w:val="bottom"/>
            <w:gridSpan w:val="2"/>
          </w:tcPr>
          <w:p>
            <w:pPr>
              <w:ind w:left="240"/>
              <w:spacing w:after="0"/>
              <w:rPr>
                <w:sz w:val="20"/>
                <w:szCs w:val="20"/>
                <w:color w:val="auto"/>
              </w:rPr>
            </w:pPr>
            <w:r>
              <w:rPr>
                <w:rFonts w:ascii="Arial" w:cs="Arial" w:eastAsia="Arial" w:hAnsi="Arial"/>
                <w:sz w:val="11"/>
                <w:szCs w:val="11"/>
                <w:b w:val="1"/>
                <w:bCs w:val="1"/>
                <w:i w:val="1"/>
                <w:iCs w:val="1"/>
                <w:color w:val="auto"/>
              </w:rPr>
              <w:t>Total Utility Scale Solar</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2,018</w:t>
            </w:r>
          </w:p>
        </w:tc>
        <w:tc>
          <w:tcPr>
            <w:tcW w:w="12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1,075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Distributed Solar</w:t>
            </w: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Apple I LLC Projects</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October 2012 - December 2012</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tcPr>
          <w:p>
            <w:pPr>
              <w:jc w:val="right"/>
              <w:spacing w:after="0"/>
              <w:rPr>
                <w:sz w:val="20"/>
                <w:szCs w:val="20"/>
                <w:color w:val="auto"/>
              </w:rPr>
            </w:pPr>
            <w:r>
              <w:rPr>
                <w:rFonts w:ascii="Arial" w:cs="Arial" w:eastAsia="Arial" w:hAnsi="Arial"/>
                <w:sz w:val="10"/>
                <w:szCs w:val="10"/>
                <w:color w:val="auto"/>
              </w:rPr>
              <w:t>2032</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AZ DG Solar Projects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AZ</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2010 - January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2025 - 2033</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SPP Projects</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25</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June 2008 - June 2012</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tcPr>
          <w:p>
            <w:pPr>
              <w:jc w:val="right"/>
              <w:spacing w:after="0"/>
              <w:rPr>
                <w:sz w:val="20"/>
                <w:szCs w:val="20"/>
                <w:color w:val="auto"/>
              </w:rPr>
            </w:pPr>
            <w:r>
              <w:rPr>
                <w:rFonts w:ascii="Arial" w:cs="Arial" w:eastAsia="Arial" w:hAnsi="Arial"/>
                <w:sz w:val="10"/>
                <w:szCs w:val="10"/>
                <w:color w:val="auto"/>
              </w:rPr>
              <w:t>2026 - 2037</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 DG Projects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2012 - October 2015</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2023 - 2039</w:t>
            </w:r>
          </w:p>
        </w:tc>
      </w:tr>
      <w:tr>
        <w:trPr>
          <w:trHeight w:val="156"/>
        </w:trPr>
        <w:tc>
          <w:tcPr>
            <w:tcW w:w="1720" w:type="dxa"/>
            <w:vAlign w:val="bottom"/>
            <w:gridSpan w:val="2"/>
          </w:tcPr>
          <w:p>
            <w:pPr>
              <w:ind w:left="240"/>
              <w:spacing w:after="0"/>
              <w:rPr>
                <w:sz w:val="20"/>
                <w:szCs w:val="20"/>
                <w:color w:val="auto"/>
              </w:rPr>
            </w:pPr>
            <w:r>
              <w:rPr>
                <w:rFonts w:ascii="Arial" w:cs="Arial" w:eastAsia="Arial" w:hAnsi="Arial"/>
                <w:sz w:val="11"/>
                <w:szCs w:val="11"/>
                <w:b w:val="1"/>
                <w:bCs w:val="1"/>
                <w:i w:val="1"/>
                <w:iCs w:val="1"/>
                <w:color w:val="auto"/>
              </w:rPr>
              <w:t>Total Distributed Solar</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52</w:t>
            </w:r>
          </w:p>
        </w:tc>
        <w:tc>
          <w:tcPr>
            <w:tcW w:w="12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52</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Wind</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2"/>
        </w:trPr>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514"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0"/>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right"/>
              <w:ind w:right="472"/>
              <w:spacing w:after="0"/>
              <w:rPr>
                <w:sz w:val="20"/>
                <w:szCs w:val="20"/>
                <w:color w:val="auto"/>
              </w:rPr>
            </w:pPr>
            <w:r>
              <w:rPr>
                <w:rFonts w:ascii="Arial" w:cs="Arial" w:eastAsia="Arial" w:hAnsi="Arial"/>
                <w:sz w:val="11"/>
                <w:szCs w:val="11"/>
                <w:b w:val="1"/>
                <w:bCs w:val="1"/>
                <w:color w:val="auto"/>
              </w:rPr>
              <w:t>Capacity</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7"/>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ind w:left="1280"/>
              <w:spacing w:after="0"/>
              <w:rPr>
                <w:sz w:val="20"/>
                <w:szCs w:val="20"/>
                <w:color w:val="auto"/>
              </w:rPr>
            </w:pPr>
            <w:r>
              <w:rPr>
                <w:rFonts w:ascii="Arial" w:cs="Arial" w:eastAsia="Arial" w:hAnsi="Arial"/>
                <w:sz w:val="11"/>
                <w:szCs w:val="11"/>
                <w:b w:val="1"/>
                <w:bCs w:val="1"/>
                <w:color w:val="auto"/>
              </w:rPr>
              <w:t>PPA Terms</w:t>
            </w:r>
          </w:p>
        </w:tc>
        <w:tc>
          <w:tcPr>
            <w:tcW w:w="1040" w:type="dxa"/>
            <w:vAlign w:val="bottom"/>
          </w:tcPr>
          <w:p>
            <w:pPr>
              <w:spacing w:after="0"/>
              <w:rPr>
                <w:sz w:val="12"/>
                <w:szCs w:val="12"/>
                <w:color w:val="auto"/>
              </w:rPr>
            </w:pPr>
          </w:p>
        </w:tc>
      </w:tr>
      <w:tr>
        <w:trPr>
          <w:trHeight w:val="22"/>
        </w:trPr>
        <w:tc>
          <w:tcPr>
            <w:tcW w:w="17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14"/>
                <w:szCs w:val="14"/>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Rated MW</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Net MW</w:t>
            </w:r>
            <w:r>
              <w:rPr>
                <w:rFonts w:ascii="Arial" w:cs="Arial" w:eastAsia="Arial" w:hAnsi="Arial"/>
                <w:sz w:val="14"/>
                <w:szCs w:val="14"/>
                <w:b w:val="1"/>
                <w:bCs w:val="1"/>
                <w:color w:val="auto"/>
                <w:vertAlign w:val="superscript"/>
              </w:rPr>
              <w:t>(a)</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Fuel</w:t>
            </w:r>
          </w:p>
        </w:tc>
        <w:tc>
          <w:tcPr>
            <w:tcW w:w="100" w:type="dxa"/>
            <w:vAlign w:val="bottom"/>
          </w:tcPr>
          <w:p>
            <w:pPr>
              <w:spacing w:after="0"/>
              <w:rPr>
                <w:sz w:val="14"/>
                <w:szCs w:val="14"/>
                <w:color w:val="auto"/>
              </w:rPr>
            </w:pP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COD</w:t>
            </w:r>
          </w:p>
        </w:tc>
        <w:tc>
          <w:tcPr>
            <w:tcW w:w="120" w:type="dxa"/>
            <w:vAlign w:val="bottom"/>
          </w:tcPr>
          <w:p>
            <w:pPr>
              <w:spacing w:after="0"/>
              <w:rPr>
                <w:sz w:val="14"/>
                <w:szCs w:val="14"/>
                <w:color w:val="auto"/>
              </w:rPr>
            </w:pPr>
          </w:p>
        </w:tc>
        <w:tc>
          <w:tcPr>
            <w:tcW w:w="19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Counterparty</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Expiration</w:t>
            </w:r>
          </w:p>
        </w:tc>
      </w:tr>
      <w:tr>
        <w:trPr>
          <w:trHeight w:val="15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Alta I</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December 2010</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II</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2010</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Alta III</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February 2011</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IV</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Alta V</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168</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168</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April 2011</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Alta X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137</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Alta XI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February 2014</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Buffalo Bear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Buffalo, OK</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2008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Western Farmers Electric Co-operative</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Crosswinds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Ayrshire, IA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21</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99%</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June 2007</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Corn Belt Power 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2027</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Elbow Creek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Howard County, TX</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2008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NRG Power Marketing LLC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2022</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Elkhorn Ridge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Bloomfield, NE</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81</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54</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66.7%</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March 2009</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Nebraska Public Power District</w:t>
            </w:r>
          </w:p>
        </w:tc>
        <w:tc>
          <w:tcPr>
            <w:tcW w:w="1040" w:type="dxa"/>
            <w:vAlign w:val="bottom"/>
          </w:tcPr>
          <w:p>
            <w:pPr>
              <w:jc w:val="right"/>
              <w:spacing w:after="0"/>
              <w:rPr>
                <w:sz w:val="20"/>
                <w:szCs w:val="20"/>
                <w:color w:val="auto"/>
              </w:rPr>
            </w:pPr>
            <w:r>
              <w:rPr>
                <w:rFonts w:ascii="Arial" w:cs="Arial" w:eastAsia="Arial" w:hAnsi="Arial"/>
                <w:sz w:val="10"/>
                <w:szCs w:val="10"/>
                <w:color w:val="auto"/>
              </w:rPr>
              <w:t>2029</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Forward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2008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Constellation NewEnergy, Inc.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2022</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Goat Wind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Sterling City, TX</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150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April 2008/June 2009</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Dow Pipeline Company</w:t>
            </w:r>
          </w:p>
        </w:tc>
        <w:tc>
          <w:tcPr>
            <w:tcW w:w="1040" w:type="dxa"/>
            <w:vAlign w:val="bottom"/>
          </w:tcPr>
          <w:p>
            <w:pPr>
              <w:jc w:val="right"/>
              <w:spacing w:after="0"/>
              <w:rPr>
                <w:sz w:val="20"/>
                <w:szCs w:val="20"/>
                <w:color w:val="auto"/>
              </w:rPr>
            </w:pPr>
            <w:r>
              <w:rPr>
                <w:rFonts w:ascii="Arial" w:cs="Arial" w:eastAsia="Arial" w:hAnsi="Arial"/>
                <w:sz w:val="10"/>
                <w:szCs w:val="10"/>
                <w:color w:val="auto"/>
              </w:rPr>
              <w:t>2025</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Hardin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Jefferson, IA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2007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Interstate Power and Light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2027</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Laredo Ridge</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Petersburg, NE</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80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February 2011</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Nebraska Public Power District</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Lookout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2008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Maryland Electric Cooperative</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2030</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Odin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Odin, MN</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99.9%</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June 2008</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Missouri River Energy Services</w:t>
            </w:r>
          </w:p>
        </w:tc>
        <w:tc>
          <w:tcPr>
            <w:tcW w:w="1040" w:type="dxa"/>
            <w:vAlign w:val="bottom"/>
          </w:tcPr>
          <w:p>
            <w:pPr>
              <w:jc w:val="right"/>
              <w:spacing w:after="0"/>
              <w:rPr>
                <w:sz w:val="20"/>
                <w:szCs w:val="20"/>
                <w:color w:val="auto"/>
              </w:rPr>
            </w:pPr>
            <w:r>
              <w:rPr>
                <w:rFonts w:ascii="Arial" w:cs="Arial" w:eastAsia="Arial" w:hAnsi="Arial"/>
                <w:sz w:val="10"/>
                <w:szCs w:val="10"/>
                <w:color w:val="auto"/>
              </w:rPr>
              <w:t>2028</w:t>
            </w:r>
          </w:p>
        </w:tc>
      </w:tr>
      <w:tr>
        <w:trPr>
          <w:trHeight w:val="109"/>
        </w:trPr>
        <w:tc>
          <w:tcPr>
            <w:tcW w:w="1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40" w:type="dxa"/>
            <w:vAlign w:val="bottom"/>
            <w:gridSpan w:val="2"/>
            <w:shd w:val="clear" w:color="auto" w:fill="CCEEFF"/>
          </w:tcPr>
          <w:p>
            <w:pPr>
              <w:ind w:left="20"/>
              <w:spacing w:after="0" w:line="109" w:lineRule="exact"/>
              <w:rPr>
                <w:sz w:val="20"/>
                <w:szCs w:val="20"/>
                <w:color w:val="auto"/>
              </w:rPr>
            </w:pPr>
            <w:r>
              <w:rPr>
                <w:rFonts w:ascii="Arial" w:cs="Arial" w:eastAsia="Arial" w:hAnsi="Arial"/>
                <w:sz w:val="10"/>
                <w:szCs w:val="10"/>
                <w:color w:val="auto"/>
                <w:w w:val="96"/>
              </w:rPr>
              <w:t>Maryland Department of General Services and</w:t>
            </w:r>
          </w:p>
        </w:tc>
        <w:tc>
          <w:tcPr>
            <w:tcW w:w="1040" w:type="dxa"/>
            <w:vAlign w:val="bottom"/>
            <w:shd w:val="clear" w:color="auto" w:fill="CCEEFF"/>
          </w:tcPr>
          <w:p>
            <w:pPr>
              <w:spacing w:after="0"/>
              <w:rPr>
                <w:sz w:val="9"/>
                <w:szCs w:val="9"/>
                <w:color w:val="auto"/>
              </w:rPr>
            </w:pPr>
          </w:p>
        </w:tc>
      </w:tr>
      <w:tr>
        <w:trPr>
          <w:trHeight w:val="130"/>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Pinnacle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Keyser, WV</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System of Maryland</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San Juan Mesa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Elida, NM</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120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90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December 2005</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tcPr>
          <w:p>
            <w:pPr>
              <w:jc w:val="right"/>
              <w:spacing w:after="0"/>
              <w:rPr>
                <w:sz w:val="20"/>
                <w:szCs w:val="20"/>
                <w:color w:val="auto"/>
              </w:rPr>
            </w:pPr>
            <w:r>
              <w:rPr>
                <w:rFonts w:ascii="Arial" w:cs="Arial" w:eastAsia="Arial" w:hAnsi="Arial"/>
                <w:sz w:val="10"/>
                <w:szCs w:val="10"/>
                <w:color w:val="auto"/>
              </w:rPr>
              <w:t>2025</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Sleeping Bear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Woodward, OK</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2007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Public Service Company of Oklahoma</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South Trent</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Sweetwater, TX</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101</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101</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January 2009</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AEP Energy Partners</w:t>
            </w:r>
          </w:p>
        </w:tc>
        <w:tc>
          <w:tcPr>
            <w:tcW w:w="1040" w:type="dxa"/>
            <w:vAlign w:val="bottom"/>
          </w:tcPr>
          <w:p>
            <w:pPr>
              <w:jc w:val="right"/>
              <w:spacing w:after="0"/>
              <w:rPr>
                <w:sz w:val="20"/>
                <w:szCs w:val="20"/>
                <w:color w:val="auto"/>
              </w:rPr>
            </w:pPr>
            <w:r>
              <w:rPr>
                <w:rFonts w:ascii="Arial" w:cs="Arial" w:eastAsia="Arial" w:hAnsi="Arial"/>
                <w:sz w:val="10"/>
                <w:szCs w:val="10"/>
                <w:color w:val="auto"/>
              </w:rPr>
              <w:t>2029</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Spanish Fork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Spanish Fork, UT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2008</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2028</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 xml:space="preserve">Spring Canyon II </w:t>
            </w:r>
            <w:r>
              <w:rPr>
                <w:rFonts w:ascii="Arial" w:cs="Arial" w:eastAsia="Arial" w:hAnsi="Arial"/>
                <w:sz w:val="5"/>
                <w:szCs w:val="5"/>
                <w:color w:val="auto"/>
              </w:rPr>
              <w:t>(b)</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32</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29</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90.1%</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October 2014</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Spring Canyon III</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2014</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2039</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Taloga</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Putnam, OK</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130</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July 2011</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Oklahoma Gas &amp;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Wildorado </w:t>
            </w:r>
            <w:r>
              <w:rPr>
                <w:rFonts w:ascii="Arial" w:cs="Arial" w:eastAsia="Arial" w:hAnsi="Arial"/>
                <w:sz w:val="5"/>
                <w:szCs w:val="5"/>
                <w:color w:val="auto"/>
              </w:rPr>
              <w:t>(b)</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Vega, TX</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161</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2007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2027</w:t>
            </w:r>
          </w:p>
        </w:tc>
      </w:tr>
      <w:tr>
        <w:trPr>
          <w:trHeight w:val="156"/>
        </w:trPr>
        <w:tc>
          <w:tcPr>
            <w:tcW w:w="1720" w:type="dxa"/>
            <w:vAlign w:val="bottom"/>
            <w:gridSpan w:val="2"/>
          </w:tcPr>
          <w:p>
            <w:pPr>
              <w:ind w:left="240"/>
              <w:spacing w:after="0"/>
              <w:rPr>
                <w:sz w:val="20"/>
                <w:szCs w:val="20"/>
                <w:color w:val="auto"/>
              </w:rPr>
            </w:pPr>
            <w:r>
              <w:rPr>
                <w:rFonts w:ascii="Arial" w:cs="Arial" w:eastAsia="Arial" w:hAnsi="Arial"/>
                <w:sz w:val="11"/>
                <w:szCs w:val="11"/>
                <w:b w:val="1"/>
                <w:bCs w:val="1"/>
                <w:i w:val="1"/>
                <w:iCs w:val="1"/>
                <w:color w:val="auto"/>
              </w:rPr>
              <w:t>Total Wind</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2,263</w:t>
            </w:r>
          </w:p>
        </w:tc>
        <w:tc>
          <w:tcPr>
            <w:tcW w:w="12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2,200</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Thermal Generation</w:t>
            </w: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CA Fuel Cell</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Tulare, CA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3</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May 2018</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City of Tulare</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 DE</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NRG Power Marketing LLC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2018</w:t>
            </w:r>
          </w:p>
        </w:tc>
      </w:tr>
      <w:tr>
        <w:trPr>
          <w:trHeight w:val="176"/>
        </w:trPr>
        <w:tc>
          <w:tcPr>
            <w:tcW w:w="1720" w:type="dxa"/>
            <w:vAlign w:val="bottom"/>
            <w:gridSpan w:val="2"/>
          </w:tcPr>
          <w:p>
            <w:pPr>
              <w:ind w:left="20"/>
              <w:spacing w:after="0"/>
              <w:rPr>
                <w:sz w:val="20"/>
                <w:szCs w:val="20"/>
                <w:color w:val="auto"/>
              </w:rPr>
            </w:pPr>
            <w:r>
              <w:rPr>
                <w:rFonts w:ascii="Arial" w:cs="Arial" w:eastAsia="Arial" w:hAnsi="Arial"/>
                <w:sz w:val="10"/>
                <w:szCs w:val="10"/>
                <w:color w:val="auto"/>
              </w:rPr>
              <w:t>Energy Center - Pittsburgh</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Pittsburgh, PA</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Diesel</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January 2019</w:t>
            </w:r>
          </w:p>
        </w:tc>
        <w:tc>
          <w:tcPr>
            <w:tcW w:w="2040" w:type="dxa"/>
            <w:vAlign w:val="bottom"/>
            <w:gridSpan w:val="2"/>
          </w:tcPr>
          <w:p>
            <w:pPr>
              <w:ind w:left="20"/>
              <w:spacing w:after="0"/>
              <w:rPr>
                <w:sz w:val="20"/>
                <w:szCs w:val="20"/>
                <w:color w:val="auto"/>
              </w:rPr>
            </w:pPr>
            <w:r>
              <w:rPr>
                <w:rFonts w:ascii="Arial" w:cs="Arial" w:eastAsia="Arial" w:hAnsi="Arial"/>
                <w:sz w:val="10"/>
                <w:szCs w:val="10"/>
                <w:color w:val="auto"/>
              </w:rPr>
              <w:t>University of Pittsburgh Medical Center</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r>
      <w:tr>
        <w:trPr>
          <w:trHeight w:val="18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Paxton Creek Cogen</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Harrisburg, PA</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November 1986</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Power sold into PJM markets</w:t>
            </w:r>
          </w:p>
        </w:tc>
        <w:tc>
          <w:tcPr>
            <w:tcW w:w="1040" w:type="dxa"/>
            <w:vAlign w:val="bottom"/>
            <w:shd w:val="clear" w:color="auto" w:fill="CCEEFF"/>
          </w:tcPr>
          <w:p>
            <w:pPr>
              <w:spacing w:after="0"/>
              <w:rPr>
                <w:sz w:val="16"/>
                <w:szCs w:val="16"/>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635" w:right="199" w:bottom="1440" w:gutter="0" w:footer="0" w:header="0"/>
        </w:sectPr>
      </w:pPr>
    </w:p>
    <w:bookmarkStart w:id="38" w:name="page39"/>
    <w:bookmarkEnd w:id="38"/>
    <w:tbl>
      <w:tblPr>
        <w:tblLayout w:type="fixed"/>
        <w:tblInd w:w="8" w:type="dxa"/>
        <w:tblCellMar>
          <w:top w:w="0" w:type="dxa"/>
          <w:left w:w="0" w:type="dxa"/>
          <w:bottom w:w="0" w:type="dxa"/>
          <w:right w:w="0" w:type="dxa"/>
        </w:tblCellMar>
      </w:tblPr>
      <w:tr>
        <w:trPr>
          <w:trHeight w:val="140"/>
        </w:trPr>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right"/>
              <w:ind w:right="471"/>
              <w:spacing w:after="0"/>
              <w:rPr>
                <w:sz w:val="20"/>
                <w:szCs w:val="20"/>
                <w:color w:val="auto"/>
              </w:rPr>
            </w:pPr>
            <w:r>
              <w:rPr>
                <w:rFonts w:ascii="Arial" w:cs="Arial" w:eastAsia="Arial" w:hAnsi="Arial"/>
                <w:sz w:val="11"/>
                <w:szCs w:val="11"/>
                <w:b w:val="1"/>
                <w:bCs w:val="1"/>
                <w:color w:val="auto"/>
              </w:rPr>
              <w:t>Capacity</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7"/>
        </w:trPr>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jc w:val="right"/>
              <w:ind w:right="210"/>
              <w:spacing w:after="0"/>
              <w:rPr>
                <w:sz w:val="20"/>
                <w:szCs w:val="20"/>
                <w:color w:val="auto"/>
              </w:rPr>
            </w:pPr>
            <w:r>
              <w:rPr>
                <w:rFonts w:ascii="Arial" w:cs="Arial" w:eastAsia="Arial" w:hAnsi="Arial"/>
                <w:sz w:val="11"/>
                <w:szCs w:val="11"/>
                <w:b w:val="1"/>
                <w:bCs w:val="1"/>
                <w:color w:val="auto"/>
              </w:rPr>
              <w:t>PPA Terms</w:t>
            </w:r>
          </w:p>
        </w:tc>
        <w:tc>
          <w:tcPr>
            <w:tcW w:w="1020" w:type="dxa"/>
            <w:vAlign w:val="bottom"/>
          </w:tcPr>
          <w:p>
            <w:pPr>
              <w:spacing w:after="0"/>
              <w:rPr>
                <w:sz w:val="12"/>
                <w:szCs w:val="12"/>
                <w:color w:val="auto"/>
              </w:rPr>
            </w:pPr>
          </w:p>
        </w:tc>
      </w:tr>
      <w:tr>
        <w:trPr>
          <w:trHeight w:val="22"/>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Assets</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Rated MW</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Net MW</w:t>
            </w:r>
            <w:r>
              <w:rPr>
                <w:rFonts w:ascii="Arial" w:cs="Arial" w:eastAsia="Arial" w:hAnsi="Arial"/>
                <w:sz w:val="14"/>
                <w:szCs w:val="14"/>
                <w:b w:val="1"/>
                <w:bCs w:val="1"/>
                <w:color w:val="auto"/>
                <w:vertAlign w:val="superscript"/>
              </w:rPr>
              <w:t>(a)</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4"/>
                <w:szCs w:val="14"/>
                <w:color w:val="auto"/>
              </w:rPr>
            </w:pP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Fuel</w:t>
            </w:r>
          </w:p>
        </w:tc>
        <w:tc>
          <w:tcPr>
            <w:tcW w:w="100" w:type="dxa"/>
            <w:vAlign w:val="bottom"/>
          </w:tcPr>
          <w:p>
            <w:pPr>
              <w:spacing w:after="0"/>
              <w:rPr>
                <w:sz w:val="14"/>
                <w:szCs w:val="14"/>
                <w:color w:val="auto"/>
              </w:rPr>
            </w:pP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COD</w:t>
            </w:r>
          </w:p>
        </w:tc>
        <w:tc>
          <w:tcPr>
            <w:tcW w:w="120" w:type="dxa"/>
            <w:vAlign w:val="bottom"/>
          </w:tcPr>
          <w:p>
            <w:pPr>
              <w:spacing w:after="0"/>
              <w:rPr>
                <w:sz w:val="14"/>
                <w:szCs w:val="14"/>
                <w:color w:val="auto"/>
              </w:rPr>
            </w:pPr>
          </w:p>
        </w:tc>
        <w:tc>
          <w:tcPr>
            <w:tcW w:w="2060" w:type="dxa"/>
            <w:vAlign w:val="bottom"/>
            <w:tcBorders>
              <w:bottom w:val="single" w:sz="8" w:color="auto"/>
            </w:tcBorders>
          </w:tcPr>
          <w:p>
            <w:pPr>
              <w:jc w:val="right"/>
              <w:ind w:right="730"/>
              <w:spacing w:after="0"/>
              <w:rPr>
                <w:sz w:val="20"/>
                <w:szCs w:val="20"/>
                <w:color w:val="auto"/>
              </w:rPr>
            </w:pPr>
            <w:r>
              <w:rPr>
                <w:rFonts w:ascii="Arial" w:cs="Arial" w:eastAsia="Arial" w:hAnsi="Arial"/>
                <w:sz w:val="11"/>
                <w:szCs w:val="11"/>
                <w:b w:val="1"/>
                <w:bCs w:val="1"/>
                <w:color w:val="auto"/>
              </w:rPr>
              <w:t>Counterparty</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Expiration</w:t>
            </w:r>
          </w:p>
        </w:tc>
      </w:tr>
      <w:tr>
        <w:trPr>
          <w:trHeight w:val="156"/>
        </w:trPr>
        <w:tc>
          <w:tcPr>
            <w:tcW w:w="1460" w:type="dxa"/>
            <w:vAlign w:val="bottom"/>
          </w:tcPr>
          <w:p>
            <w:pPr>
              <w:ind w:left="20"/>
              <w:spacing w:after="0"/>
              <w:rPr>
                <w:sz w:val="20"/>
                <w:szCs w:val="20"/>
                <w:color w:val="auto"/>
              </w:rPr>
            </w:pPr>
            <w:r>
              <w:rPr>
                <w:rFonts w:ascii="Arial" w:cs="Arial" w:eastAsia="Arial" w:hAnsi="Arial"/>
                <w:sz w:val="10"/>
                <w:szCs w:val="10"/>
                <w:color w:val="auto"/>
              </w:rPr>
              <w:t>Princeton Hospital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Princeton, NJ</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3"/>
                <w:szCs w:val="13"/>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5</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tcPr>
          <w:p>
            <w:pPr>
              <w:ind w:left="20"/>
              <w:spacing w:after="0"/>
              <w:rPr>
                <w:sz w:val="20"/>
                <w:szCs w:val="20"/>
                <w:color w:val="auto"/>
              </w:rPr>
            </w:pPr>
            <w:r>
              <w:rPr>
                <w:rFonts w:ascii="Arial" w:cs="Arial" w:eastAsia="Arial" w:hAnsi="Arial"/>
                <w:sz w:val="10"/>
                <w:szCs w:val="10"/>
                <w:color w:val="auto"/>
              </w:rPr>
              <w:t>January 2012</w:t>
            </w:r>
          </w:p>
        </w:tc>
        <w:tc>
          <w:tcPr>
            <w:tcW w:w="2060" w:type="dxa"/>
            <w:vAlign w:val="bottom"/>
          </w:tcPr>
          <w:p>
            <w:pPr>
              <w:jc w:val="right"/>
              <w:ind w:right="710"/>
              <w:spacing w:after="0"/>
              <w:rPr>
                <w:sz w:val="20"/>
                <w:szCs w:val="20"/>
                <w:color w:val="auto"/>
              </w:rPr>
            </w:pPr>
            <w:r>
              <w:rPr>
                <w:rFonts w:ascii="Arial" w:cs="Arial" w:eastAsia="Arial" w:hAnsi="Arial"/>
                <w:sz w:val="10"/>
                <w:szCs w:val="10"/>
                <w:color w:val="auto"/>
                <w:w w:val="89"/>
              </w:rPr>
              <w:t>Excess power sold to local utility</w:t>
            </w:r>
          </w:p>
        </w:tc>
        <w:tc>
          <w:tcPr>
            <w:tcW w:w="1020" w:type="dxa"/>
            <w:vAlign w:val="bottom"/>
          </w:tcPr>
          <w:p>
            <w:pPr>
              <w:spacing w:after="0"/>
              <w:rPr>
                <w:sz w:val="13"/>
                <w:szCs w:val="13"/>
                <w:color w:val="auto"/>
              </w:rPr>
            </w:pPr>
          </w:p>
        </w:tc>
      </w:tr>
      <w:tr>
        <w:trPr>
          <w:trHeight w:val="184"/>
        </w:trPr>
        <w:tc>
          <w:tcPr>
            <w:tcW w:w="1460" w:type="dxa"/>
            <w:vAlign w:val="bottom"/>
            <w:shd w:val="clear" w:color="auto" w:fill="CCEEFF"/>
          </w:tcPr>
          <w:p>
            <w:pPr>
              <w:ind w:left="20"/>
              <w:spacing w:after="0"/>
              <w:rPr>
                <w:sz w:val="20"/>
                <w:szCs w:val="20"/>
                <w:color w:val="auto"/>
              </w:rPr>
            </w:pPr>
            <w:r>
              <w:rPr>
                <w:rFonts w:ascii="Arial" w:cs="Arial" w:eastAsia="Arial" w:hAnsi="Arial"/>
                <w:sz w:val="10"/>
                <w:szCs w:val="10"/>
                <w:color w:val="auto"/>
              </w:rPr>
              <w:t>Tucson Convention Center</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Tucson, AZ</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2003</w:t>
            </w:r>
          </w:p>
        </w:tc>
        <w:tc>
          <w:tcPr>
            <w:tcW w:w="2060" w:type="dxa"/>
            <w:vAlign w:val="bottom"/>
            <w:shd w:val="clear" w:color="auto" w:fill="CCEEFF"/>
          </w:tcPr>
          <w:p>
            <w:pPr>
              <w:jc w:val="right"/>
              <w:ind w:right="710"/>
              <w:spacing w:after="0"/>
              <w:rPr>
                <w:sz w:val="20"/>
                <w:szCs w:val="20"/>
                <w:color w:val="auto"/>
              </w:rPr>
            </w:pPr>
            <w:r>
              <w:rPr>
                <w:rFonts w:ascii="Arial" w:cs="Arial" w:eastAsia="Arial" w:hAnsi="Arial"/>
                <w:sz w:val="10"/>
                <w:szCs w:val="10"/>
                <w:color w:val="auto"/>
                <w:w w:val="89"/>
              </w:rPr>
              <w:t>Excess power sold to local utility</w:t>
            </w:r>
          </w:p>
        </w:tc>
        <w:tc>
          <w:tcPr>
            <w:tcW w:w="1020" w:type="dxa"/>
            <w:vAlign w:val="bottom"/>
            <w:shd w:val="clear" w:color="auto" w:fill="CCEEFF"/>
          </w:tcPr>
          <w:p>
            <w:pPr>
              <w:spacing w:after="0"/>
              <w:rPr>
                <w:sz w:val="16"/>
                <w:szCs w:val="16"/>
                <w:color w:val="auto"/>
              </w:rPr>
            </w:pPr>
          </w:p>
        </w:tc>
      </w:tr>
      <w:tr>
        <w:trPr>
          <w:trHeight w:val="176"/>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University of Bridgeport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Bridgeport, CT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Natural Gas</w:t>
            </w: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April 2015</w:t>
            </w:r>
          </w:p>
        </w:tc>
        <w:tc>
          <w:tcPr>
            <w:tcW w:w="2060" w:type="dxa"/>
            <w:vAlign w:val="bottom"/>
            <w:tcBorders>
              <w:bottom w:val="single" w:sz="8" w:color="CCEEFF"/>
            </w:tcBorders>
          </w:tcPr>
          <w:p>
            <w:pPr>
              <w:jc w:val="right"/>
              <w:ind w:right="1050"/>
              <w:spacing w:after="0"/>
              <w:rPr>
                <w:sz w:val="20"/>
                <w:szCs w:val="20"/>
                <w:color w:val="auto"/>
              </w:rPr>
            </w:pPr>
            <w:r>
              <w:rPr>
                <w:rFonts w:ascii="Arial" w:cs="Arial" w:eastAsia="Arial" w:hAnsi="Arial"/>
                <w:sz w:val="10"/>
                <w:szCs w:val="10"/>
                <w:color w:val="auto"/>
                <w:w w:val="90"/>
              </w:rPr>
              <w:t>University of Bridgeport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2034</w:t>
            </w:r>
          </w:p>
        </w:tc>
      </w:tr>
      <w:tr>
        <w:trPr>
          <w:trHeight w:val="164"/>
        </w:trPr>
        <w:tc>
          <w:tcPr>
            <w:tcW w:w="1460" w:type="dxa"/>
            <w:vAlign w:val="bottom"/>
            <w:shd w:val="clear" w:color="auto" w:fill="CCEEFF"/>
          </w:tcPr>
          <w:p>
            <w:pPr>
              <w:ind w:left="240"/>
              <w:spacing w:after="0"/>
              <w:rPr>
                <w:sz w:val="20"/>
                <w:szCs w:val="20"/>
                <w:color w:val="auto"/>
              </w:rPr>
            </w:pPr>
            <w:r>
              <w:rPr>
                <w:rFonts w:ascii="Arial" w:cs="Arial" w:eastAsia="Arial" w:hAnsi="Arial"/>
                <w:sz w:val="11"/>
                <w:szCs w:val="11"/>
                <w:b w:val="1"/>
                <w:bCs w:val="1"/>
                <w:i w:val="1"/>
                <w:iCs w:val="1"/>
                <w:color w:val="auto"/>
                <w:w w:val="90"/>
              </w:rPr>
              <w:t>Total Thermal Generation</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133</w:t>
            </w:r>
          </w:p>
        </w:tc>
        <w:tc>
          <w:tcPr>
            <w:tcW w:w="12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133</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8"/>
        </w:trPr>
        <w:tc>
          <w:tcPr>
            <w:tcW w:w="1460" w:type="dxa"/>
            <w:vAlign w:val="bottom"/>
          </w:tcPr>
          <w:p>
            <w:pPr>
              <w:spacing w:after="0"/>
              <w:rPr>
                <w:sz w:val="13"/>
                <w:szCs w:val="13"/>
                <w:color w:val="auto"/>
              </w:rPr>
            </w:pPr>
          </w:p>
        </w:tc>
        <w:tc>
          <w:tcPr>
            <w:tcW w:w="1760" w:type="dxa"/>
            <w:vAlign w:val="bottom"/>
            <w:gridSpan w:val="4"/>
          </w:tcPr>
          <w:p>
            <w:pPr>
              <w:ind w:left="60"/>
              <w:spacing w:after="0" w:line="151" w:lineRule="exact"/>
              <w:rPr>
                <w:sz w:val="20"/>
                <w:szCs w:val="20"/>
                <w:color w:val="auto"/>
              </w:rPr>
            </w:pPr>
            <w:r>
              <w:rPr>
                <w:rFonts w:ascii="Arial" w:cs="Arial" w:eastAsia="Arial" w:hAnsi="Arial"/>
                <w:sz w:val="11"/>
                <w:szCs w:val="11"/>
                <w:b w:val="1"/>
                <w:bCs w:val="1"/>
                <w:color w:val="auto"/>
              </w:rPr>
              <w:t xml:space="preserve">Total Clearway Energy, Inc. </w:t>
            </w:r>
            <w:r>
              <w:rPr>
                <w:rFonts w:ascii="Arial" w:cs="Arial" w:eastAsia="Arial" w:hAnsi="Arial"/>
                <w:sz w:val="14"/>
                <w:szCs w:val="14"/>
                <w:b w:val="1"/>
                <w:bCs w:val="1"/>
                <w:color w:val="auto"/>
                <w:vertAlign w:val="superscript"/>
              </w:rPr>
              <w:t>(c)</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6,601</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5,405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168" w:lineRule="exact"/>
        <w:rPr>
          <w:sz w:val="20"/>
          <w:szCs w:val="20"/>
          <w:color w:val="auto"/>
        </w:rPr>
      </w:pPr>
    </w:p>
    <w:p>
      <w:pPr>
        <w:ind w:left="88" w:hanging="88"/>
        <w:spacing w:after="0"/>
        <w:tabs>
          <w:tab w:leader="none" w:pos="88" w:val="left"/>
        </w:tabs>
        <w:numPr>
          <w:ilvl w:val="0"/>
          <w:numId w:val="11"/>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2018.</w:t>
      </w:r>
    </w:p>
    <w:p>
      <w:pPr>
        <w:spacing w:after="0" w:line="29" w:lineRule="exact"/>
        <w:rPr>
          <w:rFonts w:ascii="Arial" w:cs="Arial" w:eastAsia="Arial" w:hAnsi="Arial"/>
          <w:sz w:val="6"/>
          <w:szCs w:val="6"/>
          <w:color w:val="auto"/>
        </w:rPr>
      </w:pPr>
    </w:p>
    <w:p>
      <w:pPr>
        <w:ind w:left="88" w:hanging="88"/>
        <w:spacing w:after="0"/>
        <w:tabs>
          <w:tab w:leader="none" w:pos="88" w:val="left"/>
        </w:tabs>
        <w:numPr>
          <w:ilvl w:val="0"/>
          <w:numId w:val="11"/>
        </w:numPr>
        <w:rPr>
          <w:rFonts w:ascii="Arial" w:cs="Arial" w:eastAsia="Arial" w:hAnsi="Arial"/>
          <w:sz w:val="6"/>
          <w:szCs w:val="6"/>
          <w:color w:val="auto"/>
        </w:rPr>
      </w:pPr>
      <w:r>
        <w:rPr>
          <w:rFonts w:ascii="Arial" w:cs="Arial" w:eastAsia="Arial" w:hAnsi="Arial"/>
          <w:sz w:val="10"/>
          <w:szCs w:val="10"/>
          <w:color w:val="auto"/>
        </w:rPr>
        <w:t xml:space="preserve">Projects are part of tax equity arrangements, as further described in Note 2, </w:t>
      </w:r>
      <w:r>
        <w:rPr>
          <w:rFonts w:ascii="Arial" w:cs="Arial" w:eastAsia="Arial" w:hAnsi="Arial"/>
          <w:sz w:val="10"/>
          <w:szCs w:val="10"/>
          <w:i w:val="1"/>
          <w:iCs w:val="1"/>
          <w:color w:val="auto"/>
        </w:rPr>
        <w:t>Summary of Significant Accounting Policies</w:t>
      </w:r>
      <w:r>
        <w:rPr>
          <w:rFonts w:ascii="Arial" w:cs="Arial" w:eastAsia="Arial" w:hAnsi="Arial"/>
          <w:sz w:val="10"/>
          <w:szCs w:val="10"/>
          <w:color w:val="auto"/>
        </w:rPr>
        <w:t>.</w:t>
      </w:r>
    </w:p>
    <w:p>
      <w:pPr>
        <w:spacing w:after="0" w:line="29" w:lineRule="exact"/>
        <w:rPr>
          <w:rFonts w:ascii="Arial" w:cs="Arial" w:eastAsia="Arial" w:hAnsi="Arial"/>
          <w:sz w:val="6"/>
          <w:szCs w:val="6"/>
          <w:color w:val="auto"/>
        </w:rPr>
      </w:pPr>
    </w:p>
    <w:p>
      <w:pPr>
        <w:ind w:left="88" w:hanging="88"/>
        <w:spacing w:after="0"/>
        <w:tabs>
          <w:tab w:leader="none" w:pos="88" w:val="left"/>
        </w:tabs>
        <w:numPr>
          <w:ilvl w:val="0"/>
          <w:numId w:val="11"/>
        </w:numPr>
        <w:rPr>
          <w:rFonts w:ascii="Arial" w:cs="Arial" w:eastAsia="Arial" w:hAnsi="Arial"/>
          <w:sz w:val="6"/>
          <w:szCs w:val="6"/>
          <w:color w:val="auto"/>
        </w:rPr>
      </w:pPr>
      <w:r>
        <w:rPr>
          <w:rFonts w:ascii="Arial" w:cs="Arial" w:eastAsia="Arial" w:hAnsi="Arial"/>
          <w:sz w:val="10"/>
          <w:szCs w:val="10"/>
          <w:color w:val="auto"/>
        </w:rPr>
        <w:t>Clearway Energy, Inc.'s total generation capacity is net of 6 MWs for noncontrolling interest for Spring Canyon II and III. Clearway Energy Inc.'s generation capacity including this noncontrolling interest was 5,411 MWs.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14243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49" w:lineRule="exact"/>
        <w:rPr>
          <w:sz w:val="20"/>
          <w:szCs w:val="20"/>
          <w:color w:val="auto"/>
        </w:rPr>
      </w:pPr>
    </w:p>
    <w:p>
      <w:pPr>
        <w:jc w:val="both"/>
        <w:ind w:left="8" w:firstLine="270"/>
        <w:spacing w:after="0" w:line="263"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For further discussions, refer to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123"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summarizes the Company's thermal steam and chilled water facilities as of December 31, 2018:</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Rated Megawatt</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3"/>
              </w:rPr>
              <w:t>Net Megawatt</w:t>
            </w: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Thermal</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3"/>
              </w:rPr>
              <w:t>Thermal</w:t>
            </w: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Equivalent</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9"/>
              </w:rPr>
              <w:t>Equivalent</w:t>
            </w:r>
          </w:p>
        </w:tc>
        <w:tc>
          <w:tcPr>
            <w:tcW w:w="120" w:type="dxa"/>
            <w:vAlign w:val="bottom"/>
          </w:tcPr>
          <w:p>
            <w:pPr>
              <w:spacing w:after="0"/>
              <w:rPr>
                <w:sz w:val="11"/>
                <w:szCs w:val="11"/>
                <w:color w:val="auto"/>
              </w:rPr>
            </w:pPr>
          </w:p>
        </w:tc>
        <w:tc>
          <w:tcPr>
            <w:tcW w:w="2400" w:type="dxa"/>
            <w:vAlign w:val="bottom"/>
          </w:tcPr>
          <w:p>
            <w:pPr>
              <w:ind w:left="940"/>
              <w:spacing w:after="0"/>
              <w:rPr>
                <w:sz w:val="20"/>
                <w:szCs w:val="20"/>
                <w:color w:val="auto"/>
              </w:rPr>
            </w:pPr>
            <w:r>
              <w:rPr>
                <w:rFonts w:ascii="Arial" w:cs="Arial" w:eastAsia="Arial" w:hAnsi="Arial"/>
                <w:sz w:val="11"/>
                <w:szCs w:val="11"/>
                <w:b w:val="1"/>
                <w:bCs w:val="1"/>
                <w:color w:val="auto"/>
              </w:rPr>
              <w:t>Generating</w:t>
            </w:r>
          </w:p>
        </w:tc>
        <w:tc>
          <w:tcPr>
            <w:tcW w:w="0" w:type="dxa"/>
            <w:vAlign w:val="bottom"/>
          </w:tcPr>
          <w:p>
            <w:pPr>
              <w:spacing w:after="0"/>
              <w:rPr>
                <w:sz w:val="1"/>
                <w:szCs w:val="1"/>
                <w:color w:val="auto"/>
              </w:rPr>
            </w:pPr>
          </w:p>
        </w:tc>
      </w:tr>
      <w:tr>
        <w:trPr>
          <w:trHeight w:val="140"/>
        </w:trPr>
        <w:tc>
          <w:tcPr>
            <w:tcW w:w="2300" w:type="dxa"/>
            <w:vAlign w:val="bottom"/>
            <w:gridSpan w:val="2"/>
          </w:tcPr>
          <w:p>
            <w:pPr>
              <w:ind w:left="380"/>
              <w:spacing w:after="0"/>
              <w:rPr>
                <w:sz w:val="20"/>
                <w:szCs w:val="20"/>
                <w:color w:val="auto"/>
              </w:rPr>
            </w:pPr>
            <w:r>
              <w:rPr>
                <w:rFonts w:ascii="Arial" w:cs="Arial" w:eastAsia="Arial" w:hAnsi="Arial"/>
                <w:sz w:val="11"/>
                <w:szCs w:val="11"/>
                <w:b w:val="1"/>
                <w:bCs w:val="1"/>
                <w:color w:val="auto"/>
              </w:rPr>
              <w:t>Name and Location of Facility</w:t>
            </w:r>
          </w:p>
        </w:tc>
        <w:tc>
          <w:tcPr>
            <w:tcW w:w="2420" w:type="dxa"/>
            <w:vAlign w:val="bottom"/>
            <w:gridSpan w:val="2"/>
          </w:tcPr>
          <w:p>
            <w:pPr>
              <w:ind w:left="520"/>
              <w:spacing w:after="0"/>
              <w:rPr>
                <w:sz w:val="20"/>
                <w:szCs w:val="20"/>
                <w:color w:val="auto"/>
              </w:rPr>
            </w:pPr>
            <w:r>
              <w:rPr>
                <w:rFonts w:ascii="Arial" w:cs="Arial" w:eastAsia="Arial" w:hAnsi="Arial"/>
                <w:sz w:val="11"/>
                <w:szCs w:val="11"/>
                <w:b w:val="1"/>
                <w:bCs w:val="1"/>
                <w:color w:val="auto"/>
              </w:rPr>
              <w:t>Thermal Energy Purchaser</w:t>
            </w: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 Owned</w:t>
            </w: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Capacity (MWt)</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5"/>
              </w:rPr>
              <w:t>Capacity (MWt)</w:t>
            </w:r>
          </w:p>
        </w:tc>
        <w:tc>
          <w:tcPr>
            <w:tcW w:w="120" w:type="dxa"/>
            <w:vAlign w:val="bottom"/>
          </w:tcPr>
          <w:p>
            <w:pPr>
              <w:spacing w:after="0"/>
              <w:rPr>
                <w:sz w:val="12"/>
                <w:szCs w:val="12"/>
                <w:color w:val="auto"/>
              </w:rPr>
            </w:pPr>
          </w:p>
        </w:tc>
        <w:tc>
          <w:tcPr>
            <w:tcW w:w="2400" w:type="dxa"/>
            <w:vAlign w:val="bottom"/>
          </w:tcPr>
          <w:p>
            <w:pPr>
              <w:ind w:left="980"/>
              <w:spacing w:after="0"/>
              <w:rPr>
                <w:sz w:val="20"/>
                <w:szCs w:val="20"/>
                <w:color w:val="auto"/>
              </w:rPr>
            </w:pPr>
            <w:r>
              <w:rPr>
                <w:rFonts w:ascii="Arial" w:cs="Arial" w:eastAsia="Arial" w:hAnsi="Arial"/>
                <w:sz w:val="11"/>
                <w:szCs w:val="11"/>
                <w:b w:val="1"/>
                <w:bCs w:val="1"/>
                <w:color w:val="auto"/>
              </w:rPr>
              <w:t>Capacity</w:t>
            </w: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Energy Center Minneapolis, MN</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w w:val="98"/>
              </w:rPr>
              <w:t>Approx. 95 steam and 55 chilled water customers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Steam: 1,075 MMBtu/hr.</w:t>
            </w:r>
          </w:p>
        </w:tc>
        <w:tc>
          <w:tcPr>
            <w:tcW w:w="0" w:type="dxa"/>
            <w:vAlign w:val="bottom"/>
          </w:tcPr>
          <w:p>
            <w:pPr>
              <w:spacing w:after="0"/>
              <w:rPr>
                <w:sz w:val="1"/>
                <w:szCs w:val="1"/>
                <w:color w:val="auto"/>
              </w:rPr>
            </w:pPr>
          </w:p>
        </w:tc>
      </w:tr>
      <w:tr>
        <w:trPr>
          <w:trHeight w:val="64"/>
        </w:trPr>
        <w:tc>
          <w:tcPr>
            <w:tcW w:w="2300" w:type="dxa"/>
            <w:vAlign w:val="bottom"/>
            <w:gridSpan w:val="2"/>
            <w:vMerge w:val="continue"/>
            <w:shd w:val="clear" w:color="auto" w:fill="CCEEFF"/>
          </w:tcPr>
          <w:p>
            <w:pPr>
              <w:spacing w:after="0"/>
              <w:rPr>
                <w:sz w:val="5"/>
                <w:szCs w:val="5"/>
                <w:color w:val="auto"/>
              </w:rPr>
            </w:pPr>
          </w:p>
        </w:tc>
        <w:tc>
          <w:tcPr>
            <w:tcW w:w="242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136</w:t>
            </w:r>
          </w:p>
        </w:tc>
        <w:tc>
          <w:tcPr>
            <w:tcW w:w="10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136</w:t>
            </w:r>
          </w:p>
        </w:tc>
        <w:tc>
          <w:tcPr>
            <w:tcW w:w="120" w:type="dxa"/>
            <w:vAlign w:val="bottom"/>
            <w:shd w:val="clear" w:color="auto" w:fill="CCEEFF"/>
          </w:tcPr>
          <w:p>
            <w:pPr>
              <w:spacing w:after="0"/>
              <w:rPr>
                <w:sz w:val="5"/>
                <w:szCs w:val="5"/>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Chilled water: 38,700 tons</w:t>
            </w:r>
          </w:p>
        </w:tc>
        <w:tc>
          <w:tcPr>
            <w:tcW w:w="0" w:type="dxa"/>
            <w:vAlign w:val="bottom"/>
          </w:tcPr>
          <w:p>
            <w:pPr>
              <w:spacing w:after="0"/>
              <w:rPr>
                <w:sz w:val="1"/>
                <w:szCs w:val="1"/>
                <w:color w:val="auto"/>
              </w:rPr>
            </w:pPr>
          </w:p>
        </w:tc>
      </w:tr>
      <w:tr>
        <w:trPr>
          <w:trHeight w:val="74"/>
        </w:trPr>
        <w:tc>
          <w:tcPr>
            <w:tcW w:w="21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20"/>
              <w:spacing w:after="0"/>
              <w:rPr>
                <w:sz w:val="20"/>
                <w:szCs w:val="20"/>
                <w:color w:val="auto"/>
              </w:rPr>
            </w:pPr>
            <w:r>
              <w:rPr>
                <w:rFonts w:ascii="Arial" w:cs="Arial" w:eastAsia="Arial" w:hAnsi="Arial"/>
                <w:sz w:val="11"/>
                <w:szCs w:val="11"/>
                <w:color w:val="auto"/>
              </w:rPr>
              <w:t>Energy Center</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rPr>
              <w:t>Approx. 180 steam customers</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1620" w:type="dxa"/>
            <w:vAlign w:val="bottom"/>
            <w:vMerge w:val="restart"/>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2"/>
                <w:szCs w:val="12"/>
                <w:color w:val="auto"/>
              </w:rPr>
            </w:pPr>
          </w:p>
        </w:tc>
        <w:tc>
          <w:tcPr>
            <w:tcW w:w="1600" w:type="dxa"/>
            <w:vAlign w:val="bottom"/>
            <w:vMerge w:val="restart"/>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2"/>
                <w:szCs w:val="12"/>
                <w:color w:val="auto"/>
              </w:rPr>
            </w:pPr>
          </w:p>
        </w:tc>
        <w:tc>
          <w:tcPr>
            <w:tcW w:w="2400" w:type="dxa"/>
            <w:vAlign w:val="bottom"/>
            <w:vMerge w:val="restart"/>
          </w:tcPr>
          <w:p>
            <w:pPr>
              <w:spacing w:after="0"/>
              <w:rPr>
                <w:sz w:val="20"/>
                <w:szCs w:val="20"/>
                <w:color w:val="auto"/>
              </w:rPr>
            </w:pPr>
            <w:r>
              <w:rPr>
                <w:rFonts w:ascii="Arial" w:cs="Arial" w:eastAsia="Arial" w:hAnsi="Arial"/>
                <w:sz w:val="11"/>
                <w:szCs w:val="11"/>
                <w:color w:val="auto"/>
              </w:rPr>
              <w:t>Steam: 454 MMBtu/hr.</w:t>
            </w:r>
          </w:p>
        </w:tc>
        <w:tc>
          <w:tcPr>
            <w:tcW w:w="0" w:type="dxa"/>
            <w:vAlign w:val="bottom"/>
          </w:tcPr>
          <w:p>
            <w:pPr>
              <w:spacing w:after="0"/>
              <w:rPr>
                <w:sz w:val="1"/>
                <w:szCs w:val="1"/>
                <w:color w:val="auto"/>
              </w:rPr>
            </w:pPr>
          </w:p>
        </w:tc>
      </w:tr>
      <w:tr>
        <w:trPr>
          <w:trHeight w:val="64"/>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San Francisco, CA</w:t>
            </w:r>
          </w:p>
        </w:tc>
        <w:tc>
          <w:tcPr>
            <w:tcW w:w="24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300" w:type="dxa"/>
            <w:vAlign w:val="bottom"/>
            <w:gridSpan w:val="2"/>
            <w:vMerge w:val="continue"/>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142</w:t>
            </w: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Steam: 485 MMBtu/hr</w:t>
            </w:r>
          </w:p>
        </w:tc>
        <w:tc>
          <w:tcPr>
            <w:tcW w:w="0" w:type="dxa"/>
            <w:vAlign w:val="bottom"/>
          </w:tcPr>
          <w:p>
            <w:pPr>
              <w:spacing w:after="0"/>
              <w:rPr>
                <w:sz w:val="1"/>
                <w:szCs w:val="1"/>
                <w:color w:val="auto"/>
              </w:rPr>
            </w:pPr>
          </w:p>
        </w:tc>
      </w:tr>
      <w:tr>
        <w:trPr>
          <w:trHeight w:val="13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Energy Center</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w w:val="98"/>
              </w:rPr>
              <w:t>Approx. 60 steam and 65 chilled water customers</w:t>
            </w:r>
          </w:p>
        </w:tc>
        <w:tc>
          <w:tcPr>
            <w:tcW w:w="9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5"/>
                <w:szCs w:val="15"/>
                <w:color w:val="auto"/>
                <w:vertAlign w:val="subscript"/>
              </w:rPr>
              <w:t>16</w:t>
            </w:r>
            <w:r>
              <w:rPr>
                <w:rFonts w:ascii="Arial" w:cs="Arial" w:eastAsia="Arial" w:hAnsi="Arial"/>
                <w:sz w:val="6"/>
                <w:szCs w:val="6"/>
                <w:color w:val="auto"/>
              </w:rPr>
              <w:t>(a)</w:t>
            </w: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Steam: 190 MMBtu/hr</w:t>
            </w:r>
          </w:p>
        </w:tc>
        <w:tc>
          <w:tcPr>
            <w:tcW w:w="0" w:type="dxa"/>
            <w:vAlign w:val="bottom"/>
          </w:tcPr>
          <w:p>
            <w:pPr>
              <w:spacing w:after="0"/>
              <w:rPr>
                <w:sz w:val="1"/>
                <w:szCs w:val="1"/>
                <w:color w:val="auto"/>
              </w:rPr>
            </w:pPr>
          </w:p>
        </w:tc>
      </w:tr>
      <w:tr>
        <w:trPr>
          <w:trHeight w:val="64"/>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Omaha, NE</w:t>
            </w:r>
          </w:p>
        </w:tc>
        <w:tc>
          <w:tcPr>
            <w:tcW w:w="2420" w:type="dxa"/>
            <w:vAlign w:val="bottom"/>
            <w:gridSpan w:val="2"/>
            <w:vMerge w:val="continue"/>
            <w:shd w:val="clear" w:color="auto" w:fill="CCEEFF"/>
          </w:tcPr>
          <w:p>
            <w:pPr>
              <w:spacing w:after="0"/>
              <w:rPr>
                <w:sz w:val="5"/>
                <w:szCs w:val="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5"/>
                <w:szCs w:val="5"/>
                <w:color w:val="auto"/>
              </w:rPr>
            </w:pPr>
          </w:p>
        </w:tc>
        <w:tc>
          <w:tcPr>
            <w:tcW w:w="1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shd w:val="clear" w:color="auto" w:fill="CCEEFF"/>
          </w:tcPr>
          <w:p>
            <w:pPr>
              <w:spacing w:after="0"/>
              <w:rPr>
                <w:sz w:val="5"/>
                <w:szCs w:val="5"/>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Chilled water: 22,000 tons</w:t>
            </w:r>
          </w:p>
        </w:tc>
        <w:tc>
          <w:tcPr>
            <w:tcW w:w="0" w:type="dxa"/>
            <w:vAlign w:val="bottom"/>
          </w:tcPr>
          <w:p>
            <w:pPr>
              <w:spacing w:after="0"/>
              <w:rPr>
                <w:sz w:val="1"/>
                <w:szCs w:val="1"/>
                <w:color w:val="auto"/>
              </w:rPr>
            </w:pPr>
          </w:p>
        </w:tc>
      </w:tr>
      <w:tr>
        <w:trPr>
          <w:trHeight w:val="69"/>
        </w:trPr>
        <w:tc>
          <w:tcPr>
            <w:tcW w:w="2300" w:type="dxa"/>
            <w:vAlign w:val="bottom"/>
            <w:gridSpan w:val="2"/>
            <w:vMerge w:val="continue"/>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8"/>
                <w:szCs w:val="18"/>
                <w:color w:val="auto"/>
                <w:vertAlign w:val="subscript"/>
              </w:rPr>
              <w:t>0</w:t>
            </w:r>
            <w:r>
              <w:rPr>
                <w:rFonts w:ascii="Arial" w:cs="Arial" w:eastAsia="Arial" w:hAnsi="Arial"/>
                <w:sz w:val="7"/>
                <w:szCs w:val="7"/>
                <w:color w:val="auto"/>
              </w:rPr>
              <w:t>(a)</w:t>
            </w: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Chilled water: 6,000 tons</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Energy Center Harrisburg, PA</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w w:val="98"/>
              </w:rPr>
              <w:t>Approx. 125 steam and 5 chilled water customers</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162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2"/>
                <w:szCs w:val="12"/>
                <w:color w:val="auto"/>
              </w:rPr>
            </w:pPr>
          </w:p>
        </w:tc>
        <w:tc>
          <w:tcPr>
            <w:tcW w:w="1600" w:type="dxa"/>
            <w:vAlign w:val="bottom"/>
          </w:tcPr>
          <w:p>
            <w:pPr>
              <w:jc w:val="right"/>
              <w:ind w:right="46"/>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1"/>
                <w:szCs w:val="11"/>
                <w:color w:val="auto"/>
              </w:rPr>
              <w:t>Steam: 370 MMBtu/hr.</w:t>
            </w:r>
          </w:p>
        </w:tc>
        <w:tc>
          <w:tcPr>
            <w:tcW w:w="0" w:type="dxa"/>
            <w:vAlign w:val="bottom"/>
          </w:tcPr>
          <w:p>
            <w:pPr>
              <w:spacing w:after="0"/>
              <w:rPr>
                <w:sz w:val="1"/>
                <w:szCs w:val="1"/>
                <w:color w:val="auto"/>
              </w:rPr>
            </w:pPr>
          </w:p>
        </w:tc>
      </w:tr>
      <w:tr>
        <w:trPr>
          <w:trHeight w:val="64"/>
        </w:trPr>
        <w:tc>
          <w:tcPr>
            <w:tcW w:w="2300" w:type="dxa"/>
            <w:vAlign w:val="bottom"/>
            <w:gridSpan w:val="2"/>
            <w:vMerge w:val="continue"/>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restart"/>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5"/>
                <w:szCs w:val="5"/>
                <w:color w:val="auto"/>
              </w:rPr>
            </w:pPr>
          </w:p>
        </w:tc>
        <w:tc>
          <w:tcPr>
            <w:tcW w:w="1600" w:type="dxa"/>
            <w:vAlign w:val="bottom"/>
            <w:vMerge w:val="restart"/>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5"/>
                <w:szCs w:val="5"/>
                <w:color w:val="auto"/>
              </w:rPr>
            </w:pPr>
          </w:p>
        </w:tc>
        <w:tc>
          <w:tcPr>
            <w:tcW w:w="2400" w:type="dxa"/>
            <w:vAlign w:val="bottom"/>
            <w:vMerge w:val="restart"/>
          </w:tcPr>
          <w:p>
            <w:pPr>
              <w:spacing w:after="0"/>
              <w:rPr>
                <w:sz w:val="20"/>
                <w:szCs w:val="20"/>
                <w:color w:val="auto"/>
              </w:rPr>
            </w:pPr>
            <w:r>
              <w:rPr>
                <w:rFonts w:ascii="Arial" w:cs="Arial" w:eastAsia="Arial" w:hAnsi="Arial"/>
                <w:sz w:val="11"/>
                <w:szCs w:val="11"/>
                <w:color w:val="auto"/>
              </w:rPr>
              <w:t>Chilled water: 3,600 tons</w:t>
            </w:r>
          </w:p>
        </w:tc>
        <w:tc>
          <w:tcPr>
            <w:tcW w:w="0" w:type="dxa"/>
            <w:vAlign w:val="bottom"/>
          </w:tcPr>
          <w:p>
            <w:pPr>
              <w:spacing w:after="0"/>
              <w:rPr>
                <w:sz w:val="1"/>
                <w:szCs w:val="1"/>
                <w:color w:val="auto"/>
              </w:rPr>
            </w:pPr>
          </w:p>
        </w:tc>
      </w:tr>
      <w:tr>
        <w:trPr>
          <w:trHeight w:val="72"/>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7"/>
                <w:szCs w:val="17"/>
                <w:color w:val="auto"/>
                <w:vertAlign w:val="subscript"/>
              </w:rPr>
              <w:t>24</w:t>
            </w:r>
            <w:r>
              <w:rPr>
                <w:rFonts w:ascii="Arial" w:cs="Arial" w:eastAsia="Arial" w:hAnsi="Arial"/>
                <w:sz w:val="6"/>
                <w:szCs w:val="6"/>
                <w:color w:val="auto"/>
              </w:rPr>
              <w:t>(a)</w:t>
            </w: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Steam: 17 MMBtu/hr</w:t>
            </w:r>
          </w:p>
        </w:tc>
        <w:tc>
          <w:tcPr>
            <w:tcW w:w="0" w:type="dxa"/>
            <w:vAlign w:val="bottom"/>
          </w:tcPr>
          <w:p>
            <w:pPr>
              <w:spacing w:after="0"/>
              <w:rPr>
                <w:sz w:val="1"/>
                <w:szCs w:val="1"/>
                <w:color w:val="auto"/>
              </w:rPr>
            </w:pPr>
          </w:p>
        </w:tc>
      </w:tr>
      <w:tr>
        <w:trPr>
          <w:trHeight w:val="133"/>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Energy Center Phoenix, AZ</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Approx. 40 chilled water customers</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104</w:t>
            </w:r>
          </w:p>
        </w:tc>
        <w:tc>
          <w:tcPr>
            <w:tcW w:w="12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Chilled water: 29,600 tons</w:t>
            </w:r>
          </w:p>
        </w:tc>
        <w:tc>
          <w:tcPr>
            <w:tcW w:w="0" w:type="dxa"/>
            <w:vAlign w:val="bottom"/>
          </w:tcPr>
          <w:p>
            <w:pPr>
              <w:spacing w:after="0"/>
              <w:rPr>
                <w:sz w:val="1"/>
                <w:szCs w:val="1"/>
                <w:color w:val="auto"/>
              </w:rPr>
            </w:pPr>
          </w:p>
        </w:tc>
      </w:tr>
      <w:tr>
        <w:trPr>
          <w:trHeight w:val="66"/>
        </w:trPr>
        <w:tc>
          <w:tcPr>
            <w:tcW w:w="2300" w:type="dxa"/>
            <w:vAlign w:val="bottom"/>
            <w:gridSpan w:val="2"/>
            <w:vMerge w:val="continue"/>
            <w:shd w:val="clear" w:color="auto" w:fill="CCEEFF"/>
          </w:tcPr>
          <w:p>
            <w:pPr>
              <w:spacing w:after="0"/>
              <w:rPr>
                <w:sz w:val="5"/>
                <w:szCs w:val="5"/>
                <w:color w:val="auto"/>
              </w:rPr>
            </w:pPr>
          </w:p>
        </w:tc>
        <w:tc>
          <w:tcPr>
            <w:tcW w:w="2420" w:type="dxa"/>
            <w:vAlign w:val="bottom"/>
            <w:gridSpan w:val="2"/>
            <w:vMerge w:val="continue"/>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vertAlign w:val="subscript"/>
              </w:rPr>
              <w:t>12</w:t>
            </w:r>
            <w:r>
              <w:rPr>
                <w:rFonts w:ascii="Arial" w:cs="Arial" w:eastAsia="Arial" w:hAnsi="Arial"/>
                <w:sz w:val="6"/>
                <w:szCs w:val="6"/>
                <w:color w:val="auto"/>
              </w:rPr>
              <w:t>(a)</w:t>
            </w:r>
          </w:p>
        </w:tc>
        <w:tc>
          <w:tcPr>
            <w:tcW w:w="1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5"/>
                <w:szCs w:val="5"/>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Chilled water: 3,920 tons</w:t>
            </w:r>
          </w:p>
        </w:tc>
        <w:tc>
          <w:tcPr>
            <w:tcW w:w="0" w:type="dxa"/>
            <w:vAlign w:val="bottom"/>
          </w:tcPr>
          <w:p>
            <w:pPr>
              <w:spacing w:after="0"/>
              <w:rPr>
                <w:sz w:val="1"/>
                <w:szCs w:val="1"/>
                <w:color w:val="auto"/>
              </w:rPr>
            </w:pPr>
          </w:p>
        </w:tc>
      </w:tr>
      <w:tr>
        <w:trPr>
          <w:trHeight w:val="69"/>
        </w:trPr>
        <w:tc>
          <w:tcPr>
            <w:tcW w:w="2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8"/>
                <w:szCs w:val="18"/>
                <w:color w:val="auto"/>
                <w:vertAlign w:val="subscript"/>
              </w:rPr>
              <w:t>0</w:t>
            </w:r>
            <w:r>
              <w:rPr>
                <w:rFonts w:ascii="Arial" w:cs="Arial" w:eastAsia="Arial" w:hAnsi="Arial"/>
                <w:sz w:val="7"/>
                <w:szCs w:val="7"/>
                <w:color w:val="auto"/>
              </w:rPr>
              <w:t>(a)</w:t>
            </w: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Chilled water: 8,000 tons</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Energy Center Pittsburgh, PA</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w w:val="98"/>
              </w:rPr>
              <w:t>Approx. 25 steam and 25 chilled water customers</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1620" w:type="dxa"/>
            <w:vAlign w:val="bottom"/>
          </w:tcPr>
          <w:p>
            <w:pPr>
              <w:jc w:val="right"/>
              <w:ind w:right="66"/>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2"/>
                <w:szCs w:val="12"/>
                <w:color w:val="auto"/>
              </w:rPr>
            </w:pPr>
          </w:p>
        </w:tc>
        <w:tc>
          <w:tcPr>
            <w:tcW w:w="1600" w:type="dxa"/>
            <w:vAlign w:val="bottom"/>
          </w:tcPr>
          <w:p>
            <w:pPr>
              <w:jc w:val="right"/>
              <w:ind w:right="4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1"/>
                <w:szCs w:val="11"/>
                <w:color w:val="auto"/>
              </w:rPr>
              <w:t>Steam: 452 MMBtu/hr.</w:t>
            </w:r>
          </w:p>
        </w:tc>
        <w:tc>
          <w:tcPr>
            <w:tcW w:w="0" w:type="dxa"/>
            <w:vAlign w:val="bottom"/>
          </w:tcPr>
          <w:p>
            <w:pPr>
              <w:spacing w:after="0"/>
              <w:rPr>
                <w:sz w:val="1"/>
                <w:szCs w:val="1"/>
                <w:color w:val="auto"/>
              </w:rPr>
            </w:pPr>
          </w:p>
        </w:tc>
      </w:tr>
      <w:tr>
        <w:trPr>
          <w:trHeight w:val="64"/>
        </w:trPr>
        <w:tc>
          <w:tcPr>
            <w:tcW w:w="2300" w:type="dxa"/>
            <w:vAlign w:val="bottom"/>
            <w:gridSpan w:val="2"/>
            <w:vMerge w:val="continue"/>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restart"/>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5"/>
                <w:szCs w:val="5"/>
                <w:color w:val="auto"/>
              </w:rPr>
            </w:pPr>
          </w:p>
        </w:tc>
        <w:tc>
          <w:tcPr>
            <w:tcW w:w="1600" w:type="dxa"/>
            <w:vAlign w:val="bottom"/>
            <w:vMerge w:val="restart"/>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5"/>
                <w:szCs w:val="5"/>
                <w:color w:val="auto"/>
              </w:rPr>
            </w:pPr>
          </w:p>
        </w:tc>
        <w:tc>
          <w:tcPr>
            <w:tcW w:w="2400" w:type="dxa"/>
            <w:vAlign w:val="bottom"/>
            <w:vMerge w:val="restart"/>
          </w:tcPr>
          <w:p>
            <w:pPr>
              <w:spacing w:after="0"/>
              <w:rPr>
                <w:sz w:val="20"/>
                <w:szCs w:val="20"/>
                <w:color w:val="auto"/>
              </w:rPr>
            </w:pPr>
            <w:r>
              <w:rPr>
                <w:rFonts w:ascii="Arial" w:cs="Arial" w:eastAsia="Arial" w:hAnsi="Arial"/>
                <w:sz w:val="11"/>
                <w:szCs w:val="11"/>
                <w:color w:val="auto"/>
              </w:rPr>
              <w:t>Chilled water: 22,224 tons</w:t>
            </w:r>
          </w:p>
        </w:tc>
        <w:tc>
          <w:tcPr>
            <w:tcW w:w="0" w:type="dxa"/>
            <w:vAlign w:val="bottom"/>
          </w:tcPr>
          <w:p>
            <w:pPr>
              <w:spacing w:after="0"/>
              <w:rPr>
                <w:sz w:val="1"/>
                <w:szCs w:val="1"/>
                <w:color w:val="auto"/>
              </w:rPr>
            </w:pPr>
          </w:p>
        </w:tc>
      </w:tr>
      <w:tr>
        <w:trPr>
          <w:trHeight w:val="72"/>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Energy Center</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Approx. 20 chilled water customers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CEEFF"/>
          </w:tcPr>
          <w:p>
            <w:pPr>
              <w:spacing w:after="0"/>
              <w:rPr>
                <w:sz w:val="12"/>
                <w:szCs w:val="12"/>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Chilled water: 8,825 tons</w:t>
            </w:r>
          </w:p>
        </w:tc>
        <w:tc>
          <w:tcPr>
            <w:tcW w:w="0" w:type="dxa"/>
            <w:vAlign w:val="bottom"/>
          </w:tcPr>
          <w:p>
            <w:pPr>
              <w:spacing w:after="0"/>
              <w:rPr>
                <w:sz w:val="1"/>
                <w:szCs w:val="1"/>
                <w:color w:val="auto"/>
              </w:rPr>
            </w:pPr>
          </w:p>
        </w:tc>
      </w:tr>
      <w:tr>
        <w:trPr>
          <w:trHeight w:val="64"/>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San Diego, CA</w:t>
            </w:r>
          </w:p>
        </w:tc>
        <w:tc>
          <w:tcPr>
            <w:tcW w:w="242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300" w:type="dxa"/>
            <w:vAlign w:val="bottom"/>
            <w:tcBorders>
              <w:bottom w:val="single" w:sz="8" w:color="CCEEFF"/>
            </w:tcBorders>
            <w:gridSpan w:val="2"/>
            <w:vMerge w:val="continue"/>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0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20"/>
              <w:spacing w:after="0"/>
              <w:rPr>
                <w:sz w:val="20"/>
                <w:szCs w:val="20"/>
                <w:color w:val="auto"/>
              </w:rPr>
            </w:pPr>
            <w:r>
              <w:rPr>
                <w:rFonts w:ascii="Arial" w:cs="Arial" w:eastAsia="Arial" w:hAnsi="Arial"/>
                <w:sz w:val="11"/>
                <w:szCs w:val="11"/>
                <w:color w:val="auto"/>
              </w:rPr>
              <w:t>Energy Center</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rPr>
              <w:t>Kraft Heinz Company; Proctor and Gamble</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1620" w:type="dxa"/>
            <w:vAlign w:val="bottom"/>
            <w:vMerge w:val="restart"/>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2"/>
                <w:szCs w:val="12"/>
                <w:color w:val="auto"/>
              </w:rPr>
            </w:pPr>
          </w:p>
        </w:tc>
        <w:tc>
          <w:tcPr>
            <w:tcW w:w="1600" w:type="dxa"/>
            <w:vAlign w:val="bottom"/>
            <w:vMerge w:val="restart"/>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2"/>
                <w:szCs w:val="12"/>
                <w:color w:val="auto"/>
              </w:rPr>
            </w:pPr>
          </w:p>
        </w:tc>
        <w:tc>
          <w:tcPr>
            <w:tcW w:w="2400" w:type="dxa"/>
            <w:vAlign w:val="bottom"/>
            <w:vMerge w:val="restart"/>
          </w:tcPr>
          <w:p>
            <w:pPr>
              <w:spacing w:after="0"/>
              <w:rPr>
                <w:sz w:val="20"/>
                <w:szCs w:val="20"/>
                <w:color w:val="auto"/>
              </w:rPr>
            </w:pPr>
            <w:r>
              <w:rPr>
                <w:rFonts w:ascii="Arial" w:cs="Arial" w:eastAsia="Arial" w:hAnsi="Arial"/>
                <w:sz w:val="11"/>
                <w:szCs w:val="11"/>
                <w:color w:val="auto"/>
              </w:rPr>
              <w:t>Steam: 225 MMBtu/hr.</w:t>
            </w:r>
          </w:p>
        </w:tc>
        <w:tc>
          <w:tcPr>
            <w:tcW w:w="0" w:type="dxa"/>
            <w:vAlign w:val="bottom"/>
          </w:tcPr>
          <w:p>
            <w:pPr>
              <w:spacing w:after="0"/>
              <w:rPr>
                <w:sz w:val="1"/>
                <w:szCs w:val="1"/>
                <w:color w:val="auto"/>
              </w:rPr>
            </w:pPr>
          </w:p>
        </w:tc>
      </w:tr>
      <w:tr>
        <w:trPr>
          <w:trHeight w:val="64"/>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Dover, DE</w:t>
            </w:r>
          </w:p>
        </w:tc>
        <w:tc>
          <w:tcPr>
            <w:tcW w:w="24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300" w:type="dxa"/>
            <w:vAlign w:val="bottom"/>
            <w:gridSpan w:val="2"/>
            <w:vMerge w:val="continue"/>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Energy Center Princeton, NJ</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Princeton HealthCare System</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1"/>
                <w:szCs w:val="11"/>
                <w:color w:val="auto"/>
              </w:rPr>
              <w:t>Steam: 72 MMBtu/hr.</w:t>
            </w:r>
          </w:p>
        </w:tc>
        <w:tc>
          <w:tcPr>
            <w:tcW w:w="0" w:type="dxa"/>
            <w:vAlign w:val="bottom"/>
          </w:tcPr>
          <w:p>
            <w:pPr>
              <w:spacing w:after="0"/>
              <w:rPr>
                <w:sz w:val="1"/>
                <w:szCs w:val="1"/>
                <w:color w:val="auto"/>
              </w:rPr>
            </w:pPr>
          </w:p>
        </w:tc>
      </w:tr>
      <w:tr>
        <w:trPr>
          <w:trHeight w:val="64"/>
        </w:trPr>
        <w:tc>
          <w:tcPr>
            <w:tcW w:w="2300" w:type="dxa"/>
            <w:vAlign w:val="bottom"/>
            <w:gridSpan w:val="2"/>
            <w:vMerge w:val="continue"/>
            <w:shd w:val="clear" w:color="auto" w:fill="CCEEFF"/>
          </w:tcPr>
          <w:p>
            <w:pPr>
              <w:spacing w:after="0"/>
              <w:rPr>
                <w:sz w:val="5"/>
                <w:szCs w:val="5"/>
                <w:color w:val="auto"/>
              </w:rPr>
            </w:pPr>
          </w:p>
        </w:tc>
        <w:tc>
          <w:tcPr>
            <w:tcW w:w="242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5"/>
                <w:szCs w:val="5"/>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Chilled water: 4,700 tons</w:t>
            </w:r>
          </w:p>
        </w:tc>
        <w:tc>
          <w:tcPr>
            <w:tcW w:w="0" w:type="dxa"/>
            <w:vAlign w:val="bottom"/>
          </w:tcPr>
          <w:p>
            <w:pPr>
              <w:spacing w:after="0"/>
              <w:rPr>
                <w:sz w:val="1"/>
                <w:szCs w:val="1"/>
                <w:color w:val="auto"/>
              </w:rPr>
            </w:pPr>
          </w:p>
        </w:tc>
      </w:tr>
      <w:tr>
        <w:trPr>
          <w:trHeight w:val="94"/>
        </w:trPr>
        <w:tc>
          <w:tcPr>
            <w:tcW w:w="21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3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4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ind w:left="20"/>
              <w:spacing w:after="0"/>
              <w:rPr>
                <w:sz w:val="20"/>
                <w:szCs w:val="20"/>
                <w:color w:val="auto"/>
              </w:rPr>
            </w:pPr>
            <w:r>
              <w:rPr>
                <w:rFonts w:ascii="Arial" w:cs="Arial" w:eastAsia="Arial" w:hAnsi="Arial"/>
                <w:sz w:val="11"/>
                <w:szCs w:val="11"/>
                <w:color w:val="auto"/>
              </w:rPr>
              <w:t>Total Generating Capacity (MWt)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1,497</w:t>
            </w:r>
          </w:p>
        </w:tc>
        <w:tc>
          <w:tcPr>
            <w:tcW w:w="100" w:type="dxa"/>
            <w:vAlign w:val="bottom"/>
          </w:tcPr>
          <w:p>
            <w:pPr>
              <w:spacing w:after="0"/>
              <w:rPr>
                <w:sz w:val="12"/>
                <w:szCs w:val="12"/>
                <w:color w:val="auto"/>
              </w:rPr>
            </w:pPr>
          </w:p>
        </w:tc>
        <w:tc>
          <w:tcPr>
            <w:tcW w:w="1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1,385</w:t>
            </w: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84" w:lineRule="exact"/>
        <w:rPr>
          <w:sz w:val="20"/>
          <w:szCs w:val="20"/>
          <w:color w:val="auto"/>
        </w:rPr>
      </w:pPr>
    </w:p>
    <w:p>
      <w:pPr>
        <w:ind w:left="88" w:hanging="88"/>
        <w:spacing w:after="0"/>
        <w:tabs>
          <w:tab w:leader="none" w:pos="88" w:val="left"/>
        </w:tabs>
        <w:numPr>
          <w:ilvl w:val="0"/>
          <w:numId w:val="12"/>
        </w:numPr>
        <w:rPr>
          <w:rFonts w:ascii="Arial" w:cs="Arial" w:eastAsia="Arial" w:hAnsi="Arial"/>
          <w:sz w:val="6"/>
          <w:szCs w:val="6"/>
          <w:color w:val="auto"/>
        </w:rPr>
      </w:pPr>
      <w:r>
        <w:rPr>
          <w:rFonts w:ascii="Arial" w:cs="Arial" w:eastAsia="Arial" w:hAnsi="Arial"/>
          <w:sz w:val="10"/>
          <w:szCs w:val="10"/>
          <w:color w:val="auto"/>
        </w:rPr>
        <w:t>Net MWt capacity excludes 112 MWt available under the right-to-use provisions contained in agreements between two of the Company's thermal facilities and certain of its customers.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8"/>
          </w:cols>
          <w:pgMar w:left="212" w:top="635"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Item 3 — Legal Proceedings</w:t>
      </w:r>
    </w:p>
    <w:p>
      <w:pPr>
        <w:spacing w:after="0" w:line="114"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See "Pacific Gas and Electric Company Bankruptcy" found in Item 1, Business, of this Annual Report on Form 10-K and Item 15 </w:t>
      </w:r>
      <w:r>
        <w:rPr>
          <w:rFonts w:ascii="Arial" w:cs="Arial" w:eastAsia="Arial" w:hAnsi="Arial"/>
          <w:sz w:val="12"/>
          <w:szCs w:val="12"/>
          <w:b w:val="1"/>
          <w:bCs w:val="1"/>
          <w:color w:val="auto"/>
        </w:rPr>
        <w:t>—</w:t>
      </w:r>
      <w:r>
        <w:rPr>
          <w:rFonts w:ascii="Arial" w:cs="Arial" w:eastAsia="Arial" w:hAnsi="Arial"/>
          <w:sz w:val="12"/>
          <w:szCs w:val="12"/>
          <w:color w:val="auto"/>
        </w:rPr>
        <w:t xml:space="preserve">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to the Consolidated Financial Statements for discussion of the material legal proceedings to which the Company is a party or of which any of its properties is subject.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 Mine Safety Disclosures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514" w:right="199" w:bottom="1440" w:gutter="0" w:footer="0" w:header="0"/>
        </w:sectPr>
      </w:pPr>
    </w:p>
    <w:bookmarkStart w:id="40" w:name="page41"/>
    <w:bookmarkEnd w:id="40"/>
    <w:p>
      <w:pPr>
        <w:ind w:left="5528"/>
        <w:spacing w:after="0"/>
        <w:rPr>
          <w:sz w:val="20"/>
          <w:szCs w:val="20"/>
          <w:color w:val="auto"/>
        </w:rPr>
      </w:pPr>
      <w:r>
        <w:rPr>
          <w:rFonts w:ascii="Arial" w:cs="Arial" w:eastAsia="Arial" w:hAnsi="Arial"/>
          <w:sz w:val="12"/>
          <w:szCs w:val="12"/>
          <w:b w:val="1"/>
          <w:bCs w:val="1"/>
          <w:color w:val="auto"/>
        </w:rPr>
        <w:t>PART II</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 — Market for Registrant's Common Equity, Related Stockholder Matters and Issuer Purchases of Equity Securities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 Information, Equity Holders, and Dividends</w:t>
      </w:r>
    </w:p>
    <w:p>
      <w:pPr>
        <w:spacing w:after="0" w:line="11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4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As of January 31, 2019, there were two holders of record of the Class A common stock, one holder of record of the Class B common stock, two holders of record of the Class C common stock and one holder of record of the Class D common stock.</w:t>
      </w:r>
    </w:p>
    <w:p>
      <w:pPr>
        <w:spacing w:after="0" w:line="7"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On February 12, 2019, the Company declared a quarterly dividend on its Class A and Class C common stock of $0.20 per share payable on March 15, 2019, to stockholders of record as of March 1, 2019. This is a reduction from the prior quarterly dividend of $0.331 per share.</w:t>
      </w:r>
    </w:p>
    <w:p>
      <w:pPr>
        <w:spacing w:after="0" w:line="4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 As discussed in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the Company will continue to monitor events related to the PG&amp;E bankruptcy in determining its capital allocation strategy in the future.</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Performance Graph</w:t>
      </w:r>
    </w:p>
    <w:p>
      <w:pPr>
        <w:spacing w:after="0" w:line="82"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performance graph below compares the Company's cumulative total stockholder return on the Company's Class A common stock for the period from July 16, 2013 through May 14, 2015, the date of the Recapitalization, and the Company's Class A common stock and Class C common stock from May 15, 2015 through December 31, 2018, with the cumulative total return of the Standard &amp; Poor's 500 Composite Stock Price Index, or S&amp;P 500, and the Philadelphia Utility Sector Index, or UTY.</w:t>
      </w:r>
    </w:p>
    <w:p>
      <w:pPr>
        <w:spacing w:after="0" w:line="6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performance graph shown below is being furnished and compares each period assuming that $100 was invested on the initial public offering date in each of the Class A common stock of the Company, the Class C common stock of the Company, the stocks included in the S&amp;P 500 and the stocks included in the UTY, and that all dividends were reinvested.</w:t>
      </w:r>
    </w:p>
    <w:p>
      <w:pPr>
        <w:spacing w:after="0" w:line="4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80645</wp:posOffset>
            </wp:positionV>
            <wp:extent cx="3820795" cy="1675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20795"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0"/>
                <w:szCs w:val="10"/>
                <w:b w:val="1"/>
                <w:bCs w:val="1"/>
                <w:color w:val="auto"/>
              </w:rPr>
              <w:t>July 16, 2013</w:t>
            </w:r>
          </w:p>
        </w:tc>
        <w:tc>
          <w:tcPr>
            <w:tcW w:w="12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2014</w:t>
            </w:r>
          </w:p>
        </w:tc>
        <w:tc>
          <w:tcPr>
            <w:tcW w:w="12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2015</w:t>
            </w:r>
          </w:p>
        </w:tc>
        <w:tc>
          <w:tcPr>
            <w:tcW w:w="120" w:type="dxa"/>
            <w:vAlign w:val="bottom"/>
          </w:tcPr>
          <w:p>
            <w:pPr>
              <w:spacing w:after="0"/>
              <w:rPr>
                <w:sz w:val="11"/>
                <w:szCs w:val="11"/>
                <w:color w:val="auto"/>
              </w:rPr>
            </w:pPr>
          </w:p>
        </w:tc>
        <w:tc>
          <w:tcPr>
            <w:tcW w:w="940" w:type="dxa"/>
            <w:vAlign w:val="bottom"/>
          </w:tcPr>
          <w:p>
            <w:pPr>
              <w:jc w:val="right"/>
              <w:ind w:right="82"/>
              <w:spacing w:after="0"/>
              <w:rPr>
                <w:sz w:val="20"/>
                <w:szCs w:val="20"/>
                <w:color w:val="auto"/>
              </w:rPr>
            </w:pPr>
            <w:r>
              <w:rPr>
                <w:rFonts w:ascii="Arial" w:cs="Arial" w:eastAsia="Arial" w:hAnsi="Arial"/>
                <w:sz w:val="10"/>
                <w:szCs w:val="10"/>
                <w:b w:val="1"/>
                <w:bCs w:val="1"/>
                <w:color w:val="auto"/>
                <w:w w:val="86"/>
              </w:rPr>
              <w:t>December 31, 2016</w:t>
            </w:r>
          </w:p>
        </w:tc>
        <w:tc>
          <w:tcPr>
            <w:tcW w:w="200" w:type="dxa"/>
            <w:vAlign w:val="bottom"/>
          </w:tcPr>
          <w:p>
            <w:pPr>
              <w:spacing w:after="0"/>
              <w:rPr>
                <w:sz w:val="11"/>
                <w:szCs w:val="11"/>
                <w:color w:val="auto"/>
              </w:rPr>
            </w:pPr>
          </w:p>
        </w:tc>
        <w:tc>
          <w:tcPr>
            <w:tcW w:w="920" w:type="dxa"/>
            <w:vAlign w:val="bottom"/>
          </w:tcPr>
          <w:p>
            <w:pPr>
              <w:jc w:val="right"/>
              <w:ind w:right="82"/>
              <w:spacing w:after="0"/>
              <w:rPr>
                <w:sz w:val="20"/>
                <w:szCs w:val="20"/>
                <w:color w:val="auto"/>
              </w:rPr>
            </w:pPr>
            <w:r>
              <w:rPr>
                <w:rFonts w:ascii="Arial" w:cs="Arial" w:eastAsia="Arial" w:hAnsi="Arial"/>
                <w:sz w:val="10"/>
                <w:szCs w:val="10"/>
                <w:b w:val="1"/>
                <w:bCs w:val="1"/>
                <w:color w:val="auto"/>
                <w:w w:val="84"/>
              </w:rPr>
              <w:t>December 31, 2017</w:t>
            </w:r>
          </w:p>
        </w:tc>
        <w:tc>
          <w:tcPr>
            <w:tcW w:w="200" w:type="dxa"/>
            <w:vAlign w:val="bottom"/>
          </w:tcPr>
          <w:p>
            <w:pPr>
              <w:spacing w:after="0"/>
              <w:rPr>
                <w:sz w:val="11"/>
                <w:szCs w:val="11"/>
                <w:color w:val="auto"/>
              </w:rPr>
            </w:pPr>
          </w:p>
        </w:tc>
        <w:tc>
          <w:tcPr>
            <w:tcW w:w="920" w:type="dxa"/>
            <w:vAlign w:val="bottom"/>
          </w:tcPr>
          <w:p>
            <w:pPr>
              <w:jc w:val="right"/>
              <w:ind w:right="62"/>
              <w:spacing w:after="0"/>
              <w:rPr>
                <w:sz w:val="20"/>
                <w:szCs w:val="20"/>
                <w:color w:val="auto"/>
              </w:rPr>
            </w:pPr>
            <w:r>
              <w:rPr>
                <w:rFonts w:ascii="Arial" w:cs="Arial" w:eastAsia="Arial" w:hAnsi="Arial"/>
                <w:sz w:val="10"/>
                <w:szCs w:val="10"/>
                <w:b w:val="1"/>
                <w:bCs w:val="1"/>
                <w:color w:val="auto"/>
                <w:w w:val="86"/>
              </w:rPr>
              <w:t>December 31, 2018</w:t>
            </w:r>
          </w:p>
        </w:tc>
      </w:tr>
      <w:tr>
        <w:trPr>
          <w:trHeight w:val="17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Clearway Energy, Inc. Class A common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222.39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137.17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161.81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211.13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199.79</w:t>
            </w:r>
          </w:p>
        </w:tc>
      </w:tr>
      <w:tr>
        <w:trPr>
          <w:trHeight w:val="180"/>
        </w:trPr>
        <w:tc>
          <w:tcPr>
            <w:tcW w:w="482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Clearway Energy, Inc. Class C common stock </w:t>
            </w:r>
            <w:r>
              <w:rPr>
                <w:rFonts w:ascii="Arial" w:cs="Arial" w:eastAsia="Arial" w:hAnsi="Arial"/>
                <w:sz w:val="16"/>
                <w:szCs w:val="16"/>
                <w:color w:val="auto"/>
                <w:vertAlign w:val="superscript"/>
              </w:rPr>
              <w:t>(a)</w:t>
            </w:r>
          </w:p>
        </w:tc>
        <w:tc>
          <w:tcPr>
            <w:tcW w:w="140" w:type="dxa"/>
            <w:vAlign w:val="bottom"/>
          </w:tcPr>
          <w:p>
            <w:pPr>
              <w:spacing w:after="0"/>
              <w:rPr>
                <w:sz w:val="15"/>
                <w:szCs w:val="15"/>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222.39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144.60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164.80</w:t>
            </w:r>
          </w:p>
        </w:tc>
        <w:tc>
          <w:tcPr>
            <w:tcW w:w="200" w:type="dxa"/>
            <w:vAlign w:val="bottom"/>
          </w:tcPr>
          <w:p>
            <w:pPr>
              <w:spacing w:after="0"/>
              <w:rPr>
                <w:sz w:val="15"/>
                <w:szCs w:val="15"/>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209.31</w:t>
            </w:r>
          </w:p>
        </w:tc>
        <w:tc>
          <w:tcPr>
            <w:tcW w:w="200" w:type="dxa"/>
            <w:vAlign w:val="bottom"/>
          </w:tcPr>
          <w:p>
            <w:pPr>
              <w:spacing w:after="0"/>
              <w:rPr>
                <w:sz w:val="15"/>
                <w:szCs w:val="15"/>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204.95</w:t>
            </w: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S&amp;P 500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126.61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143.71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175.09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167.41</w:t>
            </w:r>
          </w:p>
        </w:tc>
      </w:tr>
      <w:tr>
        <w:trPr>
          <w:trHeight w:val="162"/>
        </w:trPr>
        <w:tc>
          <w:tcPr>
            <w:tcW w:w="4820" w:type="dxa"/>
            <w:vAlign w:val="bottom"/>
          </w:tcPr>
          <w:p>
            <w:pPr>
              <w:ind w:left="20"/>
              <w:spacing w:after="0"/>
              <w:rPr>
                <w:sz w:val="20"/>
                <w:szCs w:val="20"/>
                <w:color w:val="auto"/>
              </w:rPr>
            </w:pPr>
            <w:r>
              <w:rPr>
                <w:rFonts w:ascii="Arial" w:cs="Arial" w:eastAsia="Arial" w:hAnsi="Arial"/>
                <w:sz w:val="12"/>
                <w:szCs w:val="12"/>
                <w:color w:val="auto"/>
              </w:rPr>
              <w:t>UTY</w:t>
            </w:r>
          </w:p>
        </w:tc>
        <w:tc>
          <w:tcPr>
            <w:tcW w:w="14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126.06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118.18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138.73</w:t>
            </w:r>
          </w:p>
        </w:tc>
        <w:tc>
          <w:tcPr>
            <w:tcW w:w="20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156.52</w:t>
            </w:r>
          </w:p>
        </w:tc>
        <w:tc>
          <w:tcPr>
            <w:tcW w:w="20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162.03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4243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56" w:lineRule="exact"/>
        <w:rPr>
          <w:sz w:val="20"/>
          <w:szCs w:val="20"/>
          <w:color w:val="auto"/>
        </w:rPr>
      </w:pPr>
    </w:p>
    <w:p>
      <w:pPr>
        <w:ind w:left="108" w:hanging="108"/>
        <w:spacing w:after="0"/>
        <w:tabs>
          <w:tab w:leader="none" w:pos="108" w:val="left"/>
        </w:tabs>
        <w:numPr>
          <w:ilvl w:val="0"/>
          <w:numId w:val="13"/>
        </w:numPr>
        <w:rPr>
          <w:rFonts w:ascii="Arial" w:cs="Arial" w:eastAsia="Arial" w:hAnsi="Arial"/>
          <w:sz w:val="13"/>
          <w:szCs w:val="13"/>
          <w:color w:val="auto"/>
          <w:vertAlign w:val="superscript"/>
        </w:rPr>
      </w:pPr>
      <w:r>
        <w:rPr>
          <w:rFonts w:ascii="Arial" w:cs="Arial" w:eastAsia="Arial" w:hAnsi="Arial"/>
          <w:sz w:val="8"/>
          <w:szCs w:val="8"/>
          <w:color w:val="auto"/>
        </w:rPr>
        <w:t>Class C common stock price has been indexed to the Class A common stock price from the Company's initial public offering date until the Recapitalization, and reflects the Class C common stock Total Return Performance beginning on May 15, 2015.</w:t>
      </w:r>
    </w:p>
    <w:p>
      <w:pPr>
        <w:spacing w:after="0" w:line="2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8"/>
          </w:cols>
          <w:pgMar w:left="212" w:top="514"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Item 6 — Selected Financial Data</w:t>
      </w:r>
    </w:p>
    <w:p>
      <w:pPr>
        <w:spacing w:after="0" w:line="11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The following table presents the Company's historical selected financial data, which has been recast to include the Buckthorn Solar Drop Down Asset, as if the transfer had taken place at the beginning of the common control, which was November 9, 2016. The drop down is further described in </w:t>
      </w:r>
      <w:r>
        <w:rPr>
          <w:rFonts w:ascii="Arial" w:cs="Arial" w:eastAsia="Arial" w:hAnsi="Arial"/>
          <w:sz w:val="12"/>
          <w:szCs w:val="12"/>
          <w:color w:val="231F20"/>
        </w:rPr>
        <w:t>Item 15</w:t>
      </w:r>
      <w:r>
        <w:rPr>
          <w:rFonts w:ascii="Arial" w:cs="Arial" w:eastAsia="Arial" w:hAnsi="Arial"/>
          <w:sz w:val="12"/>
          <w:szCs w:val="12"/>
          <w:color w:val="auto"/>
        </w:rPr>
        <w:t xml:space="preserve"> — </w:t>
      </w:r>
      <w:r>
        <w:rPr>
          <w:rFonts w:ascii="Arial" w:cs="Arial" w:eastAsia="Arial" w:hAnsi="Arial"/>
          <w:sz w:val="12"/>
          <w:szCs w:val="12"/>
          <w:color w:val="231F20"/>
        </w:rPr>
        <w:t>Note 3,</w:t>
      </w:r>
      <w:r>
        <w:rPr>
          <w:rFonts w:ascii="Arial" w:cs="Arial" w:eastAsia="Arial" w:hAnsi="Arial"/>
          <w:sz w:val="12"/>
          <w:szCs w:val="12"/>
          <w:color w:val="auto"/>
        </w:rPr>
        <w:t xml:space="preserve"> </w:t>
      </w:r>
      <w:r>
        <w:rPr>
          <w:rFonts w:ascii="Arial" w:cs="Arial" w:eastAsia="Arial" w:hAnsi="Arial"/>
          <w:sz w:val="12"/>
          <w:szCs w:val="12"/>
          <w:i w:val="1"/>
          <w:iCs w:val="1"/>
          <w:color w:val="231F20"/>
        </w:rPr>
        <w:t>Business Acquisitions</w:t>
      </w:r>
      <w:r>
        <w:rPr>
          <w:rFonts w:ascii="Arial" w:cs="Arial" w:eastAsia="Arial" w:hAnsi="Arial"/>
          <w:sz w:val="12"/>
          <w:szCs w:val="12"/>
          <w:color w:val="auto"/>
        </w:rPr>
        <w:t>, to the Consolidated Financial Statements.</w:t>
      </w:r>
    </w:p>
    <w:p>
      <w:pPr>
        <w:spacing w:after="0" w:line="7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This historical data should be read in conjunction with the Consolidated Financial Statements and the related notes thereto in Item 15 and Item 7, </w:t>
      </w:r>
      <w:r>
        <w:rPr>
          <w:rFonts w:ascii="Arial" w:cs="Arial" w:eastAsia="Arial" w:hAnsi="Arial"/>
          <w:sz w:val="12"/>
          <w:szCs w:val="12"/>
          <w:i w:val="1"/>
          <w:iCs w:val="1"/>
          <w:color w:val="auto"/>
        </w:rPr>
        <w:t>Management's Discussion and Analysis of Financial Condition and Results of</w:t>
      </w:r>
      <w:r>
        <w:rPr>
          <w:rFonts w:ascii="Arial" w:cs="Arial" w:eastAsia="Arial" w:hAnsi="Arial"/>
          <w:sz w:val="12"/>
          <w:szCs w:val="12"/>
          <w:color w:val="auto"/>
        </w:rPr>
        <w:t xml:space="preserve"> </w:t>
      </w:r>
      <w:r>
        <w:rPr>
          <w:rFonts w:ascii="Arial" w:cs="Arial" w:eastAsia="Arial" w:hAnsi="Arial"/>
          <w:sz w:val="12"/>
          <w:szCs w:val="12"/>
          <w:i w:val="1"/>
          <w:iCs w:val="1"/>
          <w:color w:val="auto"/>
        </w:rPr>
        <w:t>Operations.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514" w:right="199" w:bottom="1440" w:gutter="0" w:footer="0" w:header="0"/>
        </w:sectPr>
      </w:pPr>
    </w:p>
    <w:bookmarkStart w:id="42" w:name="page43"/>
    <w:bookmarkEnd w:id="42"/>
    <w:tbl>
      <w:tblPr>
        <w:tblLayout w:type="fixed"/>
        <w:tblInd w:w="28" w:type="dxa"/>
        <w:tblCellMar>
          <w:top w:w="0" w:type="dxa"/>
          <w:left w:w="0" w:type="dxa"/>
          <w:bottom w:w="0" w:type="dxa"/>
          <w:right w:w="0" w:type="dxa"/>
        </w:tblCellMar>
      </w:tblPr>
      <w:tr>
        <w:trPr>
          <w:trHeight w:val="140"/>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6"/>
          </w:tcPr>
          <w:p>
            <w:pPr>
              <w:jc w:val="right"/>
              <w:ind w:right="91"/>
              <w:spacing w:after="0"/>
              <w:rPr>
                <w:sz w:val="20"/>
                <w:szCs w:val="20"/>
                <w:color w:val="auto"/>
              </w:rPr>
            </w:pPr>
            <w:r>
              <w:rPr>
                <w:rFonts w:ascii="Arial" w:cs="Arial" w:eastAsia="Arial" w:hAnsi="Arial"/>
                <w:sz w:val="11"/>
                <w:szCs w:val="11"/>
                <w:b w:val="1"/>
                <w:bCs w:val="1"/>
                <w:color w:val="auto"/>
              </w:rPr>
              <w:t>Fiscal year ended 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2"/>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7"/>
        </w:trPr>
        <w:tc>
          <w:tcPr>
            <w:tcW w:w="6520" w:type="dxa"/>
            <w:vAlign w:val="bottom"/>
          </w:tcPr>
          <w:p>
            <w:pPr>
              <w:spacing w:after="0"/>
              <w:rPr>
                <w:sz w:val="20"/>
                <w:szCs w:val="20"/>
                <w:color w:val="auto"/>
              </w:rPr>
            </w:pPr>
            <w:r>
              <w:rPr>
                <w:rFonts w:ascii="Arial" w:cs="Arial" w:eastAsia="Arial" w:hAnsi="Arial"/>
                <w:sz w:val="11"/>
                <w:szCs w:val="11"/>
                <w:b w:val="1"/>
                <w:bCs w:val="1"/>
                <w:color w:val="auto"/>
              </w:rPr>
              <w:t>(In millions, except per share data)</w:t>
            </w:r>
          </w:p>
        </w:tc>
        <w:tc>
          <w:tcPr>
            <w:tcW w:w="220" w:type="dxa"/>
            <w:vAlign w:val="bottom"/>
          </w:tcPr>
          <w:p>
            <w:pPr>
              <w:spacing w:after="0"/>
              <w:rPr>
                <w:sz w:val="12"/>
                <w:szCs w:val="12"/>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306"/>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2014</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9"/>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Statement of Income Data:</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r>
      <w:tr>
        <w:trPr>
          <w:trHeight w:val="158"/>
        </w:trPr>
        <w:tc>
          <w:tcPr>
            <w:tcW w:w="6520" w:type="dxa"/>
            <w:vAlign w:val="bottom"/>
          </w:tcPr>
          <w:p>
            <w:pPr>
              <w:spacing w:after="0"/>
              <w:rPr>
                <w:sz w:val="20"/>
                <w:szCs w:val="20"/>
                <w:color w:val="auto"/>
              </w:rPr>
            </w:pPr>
            <w:r>
              <w:rPr>
                <w:rFonts w:ascii="Arial" w:cs="Arial" w:eastAsia="Arial" w:hAnsi="Arial"/>
                <w:sz w:val="11"/>
                <w:szCs w:val="11"/>
                <w:b w:val="1"/>
                <w:bCs w:val="1"/>
                <w:color w:val="auto"/>
              </w:rPr>
              <w:t>Operating Revenues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Total operating revenues</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844</w:t>
            </w:r>
          </w:p>
        </w:tc>
      </w:tr>
      <w:tr>
        <w:trPr>
          <w:trHeight w:val="158"/>
        </w:trPr>
        <w:tc>
          <w:tcPr>
            <w:tcW w:w="6520" w:type="dxa"/>
            <w:vAlign w:val="bottom"/>
          </w:tcPr>
          <w:p>
            <w:pPr>
              <w:spacing w:after="0"/>
              <w:rPr>
                <w:sz w:val="20"/>
                <w:szCs w:val="20"/>
                <w:color w:val="auto"/>
              </w:rPr>
            </w:pPr>
            <w:r>
              <w:rPr>
                <w:rFonts w:ascii="Arial" w:cs="Arial" w:eastAsia="Arial" w:hAnsi="Arial"/>
                <w:sz w:val="11"/>
                <w:szCs w:val="11"/>
                <w:b w:val="1"/>
                <w:bCs w:val="1"/>
                <w:color w:val="auto"/>
              </w:rPr>
              <w:t>Operating Costs and Expenses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Cost of operations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308</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279</w:t>
            </w: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Depreciation and amortization</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240</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Impairment losses</w:t>
            </w:r>
          </w:p>
        </w:tc>
        <w:tc>
          <w:tcPr>
            <w:tcW w:w="2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General and administrative</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8</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Acquisition-related transaction and integration costs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Development costs</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Total operating costs and expenses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531</w:t>
            </w:r>
          </w:p>
        </w:tc>
      </w:tr>
      <w:tr>
        <w:trPr>
          <w:trHeight w:val="138"/>
        </w:trPr>
        <w:tc>
          <w:tcPr>
            <w:tcW w:w="6520" w:type="dxa"/>
            <w:vAlign w:val="bottom"/>
          </w:tcPr>
          <w:p>
            <w:pPr>
              <w:spacing w:after="0"/>
              <w:rPr>
                <w:sz w:val="20"/>
                <w:szCs w:val="20"/>
                <w:color w:val="auto"/>
              </w:rPr>
            </w:pPr>
            <w:r>
              <w:rPr>
                <w:rFonts w:ascii="Arial" w:cs="Arial" w:eastAsia="Arial" w:hAnsi="Arial"/>
                <w:sz w:val="11"/>
                <w:szCs w:val="11"/>
                <w:b w:val="1"/>
                <w:bCs w:val="1"/>
                <w:color w:val="auto"/>
              </w:rPr>
              <w:t>Operating Income</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326</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313</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Other Income (Expense)</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Equity in earnings of unconsolidated affiliates</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22</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income, net</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Loss on debt extinguishment</w:t>
            </w:r>
          </w:p>
        </w:tc>
        <w:tc>
          <w:tcPr>
            <w:tcW w:w="22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Interest expense</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(222)</w:t>
            </w:r>
          </w:p>
        </w:tc>
      </w:tr>
      <w:tr>
        <w:trPr>
          <w:trHeight w:val="138"/>
        </w:trPr>
        <w:tc>
          <w:tcPr>
            <w:tcW w:w="6520" w:type="dxa"/>
            <w:vAlign w:val="bottom"/>
          </w:tcPr>
          <w:p>
            <w:pPr>
              <w:ind w:left="240"/>
              <w:spacing w:after="0"/>
              <w:rPr>
                <w:sz w:val="20"/>
                <w:szCs w:val="20"/>
                <w:color w:val="auto"/>
              </w:rPr>
            </w:pPr>
            <w:r>
              <w:rPr>
                <w:rFonts w:ascii="Arial" w:cs="Arial" w:eastAsia="Arial" w:hAnsi="Arial"/>
                <w:sz w:val="11"/>
                <w:szCs w:val="11"/>
                <w:color w:val="auto"/>
              </w:rPr>
              <w:t>Total other expense, net</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(195)</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Income Before Income Taxes</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Income tax expense (benefit)</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114</w:t>
            </w:r>
          </w:p>
        </w:tc>
      </w:tr>
      <w:tr>
        <w:trPr>
          <w:trHeight w:val="138"/>
        </w:trPr>
        <w:tc>
          <w:tcPr>
            <w:tcW w:w="6520" w:type="dxa"/>
            <w:vAlign w:val="bottom"/>
          </w:tcPr>
          <w:p>
            <w:pPr>
              <w:ind w:left="100"/>
              <w:spacing w:after="0"/>
              <w:rPr>
                <w:sz w:val="20"/>
                <w:szCs w:val="20"/>
                <w:color w:val="auto"/>
              </w:rPr>
            </w:pPr>
            <w:r>
              <w:rPr>
                <w:rFonts w:ascii="Arial" w:cs="Arial" w:eastAsia="Arial" w:hAnsi="Arial"/>
                <w:sz w:val="11"/>
                <w:szCs w:val="11"/>
                <w:color w:val="auto"/>
              </w:rPr>
              <w:t>Less: Pre-acquisition net income (loss) of Drop Down Assets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(Loss) Income Excluding Pre-acquisition Net (Loss) Income of Drop Down Assets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r>
      <w:tr>
        <w:trPr>
          <w:trHeight w:val="138"/>
        </w:trPr>
        <w:tc>
          <w:tcPr>
            <w:tcW w:w="6520" w:type="dxa"/>
            <w:vAlign w:val="bottom"/>
          </w:tcPr>
          <w:p>
            <w:pPr>
              <w:ind w:left="100"/>
              <w:spacing w:after="0"/>
              <w:rPr>
                <w:sz w:val="20"/>
                <w:szCs w:val="20"/>
                <w:color w:val="auto"/>
              </w:rPr>
            </w:pPr>
            <w:r>
              <w:rPr>
                <w:rFonts w:ascii="Arial" w:cs="Arial" w:eastAsia="Arial" w:hAnsi="Arial"/>
                <w:sz w:val="11"/>
                <w:szCs w:val="11"/>
                <w:color w:val="auto"/>
              </w:rPr>
              <w:t>Less: Net income (loss) attributable to noncontrolling interests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4"/>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Income (Loss) Attributable to Clearway Energy, Inc.</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r>
      <w:tr>
        <w:trPr>
          <w:trHeight w:val="152"/>
        </w:trPr>
        <w:tc>
          <w:tcPr>
            <w:tcW w:w="6520" w:type="dxa"/>
            <w:vAlign w:val="bottom"/>
          </w:tcPr>
          <w:p>
            <w:pPr>
              <w:spacing w:after="0"/>
              <w:rPr>
                <w:sz w:val="20"/>
                <w:szCs w:val="20"/>
                <w:color w:val="auto"/>
              </w:rPr>
            </w:pPr>
            <w:r>
              <w:rPr>
                <w:rFonts w:ascii="Arial" w:cs="Arial" w:eastAsia="Arial" w:hAnsi="Arial"/>
                <w:sz w:val="11"/>
                <w:szCs w:val="11"/>
                <w:b w:val="1"/>
                <w:bCs w:val="1"/>
                <w:color w:val="auto"/>
              </w:rPr>
              <w:t>Earnings Per Share Attributable to Clearway Energy, Inc. Class A and Class C Common Stockholders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b w:val="1"/>
                <w:bCs w:val="1"/>
                <w:color w:val="auto"/>
              </w:rPr>
              <w:t>(Loss) Earnings per Weighted Average Class A and Class C Common Share - Basic and Diluted</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(0.16)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0.58</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0.30</w:t>
            </w:r>
          </w:p>
        </w:tc>
      </w:tr>
      <w:tr>
        <w:trPr>
          <w:trHeight w:val="158"/>
        </w:trPr>
        <w:tc>
          <w:tcPr>
            <w:tcW w:w="6520" w:type="dxa"/>
            <w:vAlign w:val="bottom"/>
          </w:tcPr>
          <w:p>
            <w:pPr>
              <w:ind w:left="100"/>
              <w:spacing w:after="0"/>
              <w:rPr>
                <w:sz w:val="20"/>
                <w:szCs w:val="20"/>
                <w:color w:val="auto"/>
              </w:rPr>
            </w:pPr>
            <w:r>
              <w:rPr>
                <w:rFonts w:ascii="Arial" w:cs="Arial" w:eastAsia="Arial" w:hAnsi="Arial"/>
                <w:sz w:val="11"/>
                <w:szCs w:val="11"/>
                <w:color w:val="auto"/>
              </w:rPr>
              <w:t>Dividends per Class A common share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1.258</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1.098</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0.945</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1.015</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1.42</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Dividends per Class C common share </w:t>
            </w:r>
            <w:r>
              <w:rPr>
                <w:rFonts w:ascii="Arial" w:cs="Arial" w:eastAsia="Arial" w:hAnsi="Arial"/>
                <w:sz w:val="14"/>
                <w:szCs w:val="14"/>
                <w:color w:val="auto"/>
                <w:vertAlign w:val="superscript"/>
              </w:rPr>
              <w:t>(a)</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1.258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1.098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0.945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0.625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N/A</w:t>
            </w:r>
          </w:p>
        </w:tc>
      </w:tr>
      <w:tr>
        <w:trPr>
          <w:trHeight w:val="158"/>
        </w:trPr>
        <w:tc>
          <w:tcPr>
            <w:tcW w:w="6520" w:type="dxa"/>
            <w:vAlign w:val="bottom"/>
          </w:tcPr>
          <w:p>
            <w:pPr>
              <w:spacing w:after="0"/>
              <w:rPr>
                <w:sz w:val="20"/>
                <w:szCs w:val="20"/>
                <w:color w:val="auto"/>
              </w:rPr>
            </w:pPr>
            <w:r>
              <w:rPr>
                <w:rFonts w:ascii="Arial" w:cs="Arial" w:eastAsia="Arial" w:hAnsi="Arial"/>
                <w:sz w:val="11"/>
                <w:szCs w:val="11"/>
                <w:b w:val="1"/>
                <w:bCs w:val="1"/>
                <w:color w:val="auto"/>
              </w:rPr>
              <w:t>Other Financial Data:</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Capital expenditures</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r>
      <w:tr>
        <w:trPr>
          <w:trHeight w:val="158"/>
        </w:trPr>
        <w:tc>
          <w:tcPr>
            <w:tcW w:w="6520" w:type="dxa"/>
            <w:vAlign w:val="bottom"/>
          </w:tcPr>
          <w:p>
            <w:pPr>
              <w:spacing w:after="0"/>
              <w:rPr>
                <w:sz w:val="20"/>
                <w:szCs w:val="20"/>
                <w:color w:val="auto"/>
              </w:rPr>
            </w:pPr>
            <w:r>
              <w:rPr>
                <w:rFonts w:ascii="Arial" w:cs="Arial" w:eastAsia="Arial" w:hAnsi="Arial"/>
                <w:sz w:val="11"/>
                <w:szCs w:val="11"/>
                <w:b w:val="1"/>
                <w:bCs w:val="1"/>
                <w:color w:val="auto"/>
              </w:rPr>
              <w:t>Cash Flow Data:</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cash provided by (used in):</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58"/>
        </w:trPr>
        <w:tc>
          <w:tcPr>
            <w:tcW w:w="6520" w:type="dxa"/>
            <w:vAlign w:val="bottom"/>
          </w:tcPr>
          <w:p>
            <w:pPr>
              <w:ind w:left="120"/>
              <w:spacing w:after="0"/>
              <w:rPr>
                <w:sz w:val="20"/>
                <w:szCs w:val="20"/>
                <w:color w:val="auto"/>
              </w:rPr>
            </w:pPr>
            <w:r>
              <w:rPr>
                <w:rFonts w:ascii="Arial" w:cs="Arial" w:eastAsia="Arial" w:hAnsi="Arial"/>
                <w:sz w:val="11"/>
                <w:szCs w:val="11"/>
                <w:color w:val="auto"/>
              </w:rPr>
              <w:t>Operating activities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498</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517</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577</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363</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Investing activities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(442)</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(1,098)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(760)</w:t>
            </w:r>
          </w:p>
        </w:tc>
      </w:tr>
      <w:tr>
        <w:trPr>
          <w:trHeight w:val="158"/>
        </w:trPr>
        <w:tc>
          <w:tcPr>
            <w:tcW w:w="6520" w:type="dxa"/>
            <w:vAlign w:val="bottom"/>
          </w:tcPr>
          <w:p>
            <w:pPr>
              <w:ind w:left="120"/>
              <w:spacing w:after="0"/>
              <w:rPr>
                <w:sz w:val="20"/>
                <w:szCs w:val="20"/>
                <w:color w:val="auto"/>
              </w:rPr>
            </w:pPr>
            <w:r>
              <w:rPr>
                <w:rFonts w:ascii="Arial" w:cs="Arial" w:eastAsia="Arial" w:hAnsi="Arial"/>
                <w:sz w:val="11"/>
                <w:szCs w:val="11"/>
                <w:color w:val="auto"/>
              </w:rPr>
              <w:t>Financing activities</w:t>
            </w:r>
          </w:p>
        </w:tc>
        <w:tc>
          <w:tcPr>
            <w:tcW w:w="22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(257)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767</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Sheet Data (at period end):</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58"/>
        </w:trPr>
        <w:tc>
          <w:tcPr>
            <w:tcW w:w="6520" w:type="dxa"/>
            <w:vAlign w:val="bottom"/>
          </w:tcPr>
          <w:p>
            <w:pPr>
              <w:ind w:left="60"/>
              <w:spacing w:after="0"/>
              <w:rPr>
                <w:sz w:val="20"/>
                <w:szCs w:val="20"/>
                <w:color w:val="auto"/>
              </w:rPr>
            </w:pPr>
            <w:r>
              <w:rPr>
                <w:rFonts w:ascii="Arial" w:cs="Arial" w:eastAsia="Arial" w:hAnsi="Arial"/>
                <w:sz w:val="11"/>
                <w:szCs w:val="11"/>
                <w:color w:val="auto"/>
              </w:rPr>
              <w:t>Cash and cash equivalents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407</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430</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Property, plant and equipment, net</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5,245</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5,410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5,579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5,980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6,119</w:t>
            </w:r>
          </w:p>
        </w:tc>
      </w:tr>
      <w:tr>
        <w:trPr>
          <w:trHeight w:val="158"/>
        </w:trPr>
        <w:tc>
          <w:tcPr>
            <w:tcW w:w="6520" w:type="dxa"/>
            <w:vAlign w:val="bottom"/>
          </w:tcPr>
          <w:p>
            <w:pPr>
              <w:ind w:left="60"/>
              <w:spacing w:after="0"/>
              <w:rPr>
                <w:sz w:val="20"/>
                <w:szCs w:val="20"/>
                <w:color w:val="auto"/>
              </w:rPr>
            </w:pPr>
            <w:r>
              <w:rPr>
                <w:rFonts w:ascii="Arial" w:cs="Arial" w:eastAsia="Arial" w:hAnsi="Arial"/>
                <w:sz w:val="11"/>
                <w:szCs w:val="11"/>
                <w:color w:val="auto"/>
              </w:rPr>
              <w:t>Total assets</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8,500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8,489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8,988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8,926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9,063</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Long-term debt, including current maturities</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5,982</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5,998</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6,049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5,660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5,811</w:t>
            </w:r>
          </w:p>
        </w:tc>
      </w:tr>
      <w:tr>
        <w:trPr>
          <w:trHeight w:val="158"/>
        </w:trPr>
        <w:tc>
          <w:tcPr>
            <w:tcW w:w="6520" w:type="dxa"/>
            <w:vAlign w:val="bottom"/>
          </w:tcPr>
          <w:p>
            <w:pPr>
              <w:ind w:left="60"/>
              <w:spacing w:after="0"/>
              <w:rPr>
                <w:sz w:val="20"/>
                <w:szCs w:val="20"/>
                <w:color w:val="auto"/>
              </w:rPr>
            </w:pPr>
            <w:r>
              <w:rPr>
                <w:rFonts w:ascii="Arial" w:cs="Arial" w:eastAsia="Arial" w:hAnsi="Arial"/>
                <w:sz w:val="11"/>
                <w:szCs w:val="11"/>
                <w:color w:val="auto"/>
              </w:rPr>
              <w:t>Total liabilities</w:t>
            </w:r>
          </w:p>
        </w:tc>
        <w:tc>
          <w:tcPr>
            <w:tcW w:w="2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6,276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6,365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6,157</w:t>
            </w:r>
          </w:p>
        </w:tc>
      </w:tr>
      <w:tr>
        <w:trPr>
          <w:trHeight w:val="22"/>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8"/>
        </w:trPr>
        <w:tc>
          <w:tcPr>
            <w:tcW w:w="6520" w:type="dxa"/>
            <w:vAlign w:val="bottom"/>
            <w:shd w:val="clear" w:color="auto" w:fill="CCEEFF"/>
          </w:tcPr>
          <w:p>
            <w:pPr>
              <w:ind w:left="60"/>
              <w:spacing w:after="0"/>
              <w:rPr>
                <w:sz w:val="20"/>
                <w:szCs w:val="20"/>
                <w:color w:val="auto"/>
              </w:rPr>
            </w:pPr>
            <w:r>
              <w:rPr>
                <w:rFonts w:ascii="Arial" w:cs="Arial" w:eastAsia="Arial" w:hAnsi="Arial"/>
                <w:sz w:val="11"/>
                <w:szCs w:val="11"/>
                <w:color w:val="auto"/>
              </w:rPr>
              <w:t>Total stockholders' equity</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2,159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2,623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2,906</w:t>
            </w:r>
          </w:p>
        </w:tc>
      </w:tr>
      <w:tr>
        <w:trPr>
          <w:trHeight w:val="22"/>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91" w:lineRule="exact"/>
        <w:rPr>
          <w:sz w:val="20"/>
          <w:szCs w:val="20"/>
          <w:color w:val="auto"/>
        </w:rPr>
      </w:pPr>
    </w:p>
    <w:p>
      <w:pPr>
        <w:ind w:left="88" w:hanging="88"/>
        <w:spacing w:after="0"/>
        <w:tabs>
          <w:tab w:leader="none" w:pos="88" w:val="left"/>
        </w:tabs>
        <w:numPr>
          <w:ilvl w:val="0"/>
          <w:numId w:val="14"/>
        </w:numPr>
        <w:rPr>
          <w:rFonts w:ascii="Arial" w:cs="Arial" w:eastAsia="Arial" w:hAnsi="Arial"/>
          <w:sz w:val="10"/>
          <w:szCs w:val="10"/>
          <w:color w:val="auto"/>
          <w:vertAlign w:val="superscript"/>
        </w:rPr>
      </w:pPr>
      <w:r>
        <w:rPr>
          <w:rFonts w:ascii="Arial" w:cs="Arial" w:eastAsia="Arial" w:hAnsi="Arial"/>
          <w:sz w:val="9"/>
          <w:szCs w:val="9"/>
          <w:color w:val="auto"/>
        </w:rPr>
        <w:t>The Company began paying dividends on Class C common stock after the Recapitalization on May 14, 2015.</w:t>
      </w:r>
    </w:p>
    <w:p>
      <w:pPr>
        <w:spacing w:after="0" w:line="3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8"/>
          </w:cols>
          <w:pgMar w:left="212" w:top="635" w:right="21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Item 7 — Management's Discussion and Analysis of Financial Condition and the Results of Operations</w:t>
      </w:r>
    </w:p>
    <w:p>
      <w:pPr>
        <w:spacing w:after="0" w:line="118"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 xml:space="preserve">The following discussion analyzes the Company's historical financial condition and results of operations, which have been recast to include the Buckthorn Solar Drop Down Asset, as if the transfer had taken place at the beginning of the common control, which was November 9, 2016. As further discussed in Item 15 —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 to the Consolidated Financial Statements, the purchases of these assets were accounted for in accordance with ASC 805-50</w:t>
      </w:r>
      <w:r>
        <w:rPr>
          <w:rFonts w:ascii="Arial" w:cs="Arial" w:eastAsia="Arial" w:hAnsi="Arial"/>
          <w:sz w:val="10"/>
          <w:szCs w:val="10"/>
          <w:i w:val="1"/>
          <w:iCs w:val="1"/>
          <w:color w:val="auto"/>
        </w:rPr>
        <w:t>, Business Combinations - Related Issues</w:t>
      </w:r>
      <w:r>
        <w:rPr>
          <w:rFonts w:ascii="Arial" w:cs="Arial" w:eastAsia="Arial" w:hAnsi="Arial"/>
          <w:sz w:val="10"/>
          <w:szCs w:val="10"/>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to the noncontrolling interest on the Company's consolidated balance sheet. In accordance with GAAP, the Company prepares its consolidated financial statements to reflect the transfers as if they had taken place from the beginning of the financial statements period, or from the date the entities were under common control (if later than the beginning of the financial statements period). The Company reduces net income attributable to its Class A and Class C common stockholders by the pre-acquisition net income for the Drop Down Assets, as it was not available to the stockholders.</w:t>
      </w:r>
    </w:p>
    <w:p>
      <w:pPr>
        <w:spacing w:after="0" w:line="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As you read this discussion and analysis, refer to the Company's Consolidated Statements of Operations to this Form 10-K, which present the results of operations for the years ended December 31, 2018, 2017 and 2016. Also refer to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and Item 1A — </w:t>
      </w:r>
      <w:r>
        <w:rPr>
          <w:rFonts w:ascii="Arial" w:cs="Arial" w:eastAsia="Arial" w:hAnsi="Arial"/>
          <w:sz w:val="12"/>
          <w:szCs w:val="12"/>
          <w:i w:val="1"/>
          <w:iCs w:val="1"/>
          <w:color w:val="auto"/>
        </w:rPr>
        <w:t>Risk Factors</w:t>
      </w:r>
      <w:r>
        <w:rPr>
          <w:rFonts w:ascii="Arial" w:cs="Arial" w:eastAsia="Arial" w:hAnsi="Arial"/>
          <w:sz w:val="12"/>
          <w:szCs w:val="12"/>
          <w:color w:val="auto"/>
        </w:rPr>
        <w:t>, which include detailed discussions of various items impacting the Company's business, results of operations and financial condition.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2"/>
          <w:szCs w:val="12"/>
          <w:color w:val="231F20"/>
        </w:rPr>
        <w:t>The discussion and analysis below has been organized as follows:</w:t>
      </w:r>
    </w:p>
    <w:p>
      <w:pPr>
        <w:spacing w:after="0" w:line="78" w:lineRule="exact"/>
        <w:rPr>
          <w:sz w:val="20"/>
          <w:szCs w:val="20"/>
          <w:color w:val="auto"/>
        </w:rPr>
      </w:pPr>
    </w:p>
    <w:p>
      <w:pPr>
        <w:ind w:left="860" w:hanging="219"/>
        <w:spacing w:after="0"/>
        <w:tabs>
          <w:tab w:leader="none" w:pos="86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Executive Summary, including a description of the business and significant events that are important to understanding the results of operations and financial condition;</w:t>
      </w:r>
    </w:p>
    <w:p>
      <w:pPr>
        <w:spacing w:after="0" w:line="42" w:lineRule="exact"/>
        <w:rPr>
          <w:rFonts w:ascii="Arial" w:cs="Arial" w:eastAsia="Arial" w:hAnsi="Arial"/>
          <w:sz w:val="12"/>
          <w:szCs w:val="12"/>
          <w:color w:val="231F20"/>
        </w:rPr>
      </w:pPr>
    </w:p>
    <w:p>
      <w:pPr>
        <w:ind w:left="860" w:hanging="219"/>
        <w:spacing w:after="0"/>
        <w:tabs>
          <w:tab w:leader="none" w:pos="86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Results of operations, including an explanation of significant differences between the periods in the specific line items of the consolidated statements of operations;</w:t>
      </w:r>
    </w:p>
    <w:p>
      <w:pPr>
        <w:spacing w:after="0" w:line="42" w:lineRule="exact"/>
        <w:rPr>
          <w:rFonts w:ascii="Arial" w:cs="Arial" w:eastAsia="Arial" w:hAnsi="Arial"/>
          <w:sz w:val="12"/>
          <w:szCs w:val="12"/>
          <w:color w:val="231F20"/>
        </w:rPr>
      </w:pPr>
    </w:p>
    <w:p>
      <w:pPr>
        <w:ind w:left="860" w:hanging="219"/>
        <w:spacing w:after="0"/>
        <w:tabs>
          <w:tab w:leader="none" w:pos="86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Financial condition addressing liquidity position, sources and uses of cash, capital resources and requirements, commitments, and off-balance sheet arrangements;</w:t>
      </w:r>
    </w:p>
    <w:p>
      <w:pPr>
        <w:spacing w:after="0" w:line="42" w:lineRule="exact"/>
        <w:rPr>
          <w:rFonts w:ascii="Arial" w:cs="Arial" w:eastAsia="Arial" w:hAnsi="Arial"/>
          <w:sz w:val="12"/>
          <w:szCs w:val="12"/>
          <w:color w:val="231F20"/>
        </w:rPr>
      </w:pPr>
    </w:p>
    <w:p>
      <w:pPr>
        <w:ind w:left="860" w:hanging="219"/>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Known trends that may affect the Company’s results of operations and financial condition in the future; and</w:t>
      </w:r>
    </w:p>
    <w:p>
      <w:pPr>
        <w:spacing w:after="0" w:line="42" w:lineRule="exact"/>
        <w:rPr>
          <w:rFonts w:ascii="Arial" w:cs="Arial" w:eastAsia="Arial" w:hAnsi="Arial"/>
          <w:sz w:val="12"/>
          <w:szCs w:val="12"/>
          <w:color w:val="auto"/>
        </w:rPr>
      </w:pPr>
    </w:p>
    <w:p>
      <w:pPr>
        <w:ind w:left="860" w:hanging="219"/>
        <w:spacing w:after="0"/>
        <w:tabs>
          <w:tab w:leader="none" w:pos="8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Critical accounting policies which are most important to both the portrayal of the Company's financial condition and results of operations, and which require management's most difficult, subjective or complex judgment.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514" w:right="1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Executive Summary</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Introduction and Overview</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Clearway Energy, Inc., together with its consolidated subsidiaries, or the Company, is a publicly-traded energy infrastructure investor in and owner of modern, sustainable and long-term contracted assets across North America.</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sponsored by GIP through GIP's portfolio company, CEG.</w:t>
      </w:r>
    </w:p>
    <w:p>
      <w:pPr>
        <w:spacing w:after="0" w:line="10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The Company’s environmentally-sound asset portfolio includes over </w:t>
      </w:r>
      <w:r>
        <w:rPr>
          <w:rFonts w:ascii="Arial" w:cs="Arial" w:eastAsia="Arial" w:hAnsi="Arial"/>
          <w:sz w:val="11"/>
          <w:szCs w:val="11"/>
          <w:color w:val="231F20"/>
        </w:rPr>
        <w:t>5,272</w:t>
      </w:r>
      <w:r>
        <w:rPr>
          <w:rFonts w:ascii="Arial" w:cs="Arial" w:eastAsia="Arial" w:hAnsi="Arial"/>
          <w:sz w:val="11"/>
          <w:szCs w:val="11"/>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w:t>
      </w:r>
      <w:r>
        <w:rPr>
          <w:rFonts w:ascii="Arial" w:cs="Arial" w:eastAsia="Arial" w:hAnsi="Arial"/>
          <w:sz w:val="11"/>
          <w:szCs w:val="11"/>
          <w:color w:val="231F20"/>
        </w:rPr>
        <w:t>Nearly all</w:t>
      </w:r>
      <w:r>
        <w:rPr>
          <w:rFonts w:ascii="Arial" w:cs="Arial" w:eastAsia="Arial" w:hAnsi="Arial"/>
          <w:sz w:val="11"/>
          <w:szCs w:val="11"/>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1"/>
          <w:szCs w:val="11"/>
          <w:color w:val="231F20"/>
        </w:rPr>
        <w:t>15 years as of December 31, 2018 based on CAFD. The Company also owns thermal infrastructure assets with an aggregate steam and chilled</w:t>
      </w:r>
      <w:r>
        <w:rPr>
          <w:rFonts w:ascii="Arial" w:cs="Arial" w:eastAsia="Arial" w:hAnsi="Arial"/>
          <w:sz w:val="11"/>
          <w:szCs w:val="11"/>
          <w:color w:val="auto"/>
        </w:rPr>
        <w:t xml:space="preserve"> </w:t>
      </w:r>
      <w:r>
        <w:rPr>
          <w:rFonts w:ascii="Arial" w:cs="Arial" w:eastAsia="Arial" w:hAnsi="Arial"/>
          <w:sz w:val="11"/>
          <w:szCs w:val="11"/>
          <w:color w:val="231F20"/>
        </w:rPr>
        <w:t>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Events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Pacific Gas and Electric Company Bankruptcy</w:t>
      </w:r>
    </w:p>
    <w:p>
      <w:pPr>
        <w:spacing w:after="0" w:line="60" w:lineRule="exact"/>
        <w:rPr>
          <w:sz w:val="20"/>
          <w:szCs w:val="20"/>
          <w:color w:val="auto"/>
        </w:rPr>
      </w:pPr>
    </w:p>
    <w:p>
      <w:pPr>
        <w:jc w:val="both"/>
        <w:ind w:left="420" w:hanging="212"/>
        <w:spacing w:after="0" w:line="254"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December 31, 2018, the Company had $1.5 billion of property, plant and equipment, net, $352 million investments in unconsolidated affiliates and $1.4 billion of long - term debt related to these facilities. The related subsidiaries of the Company have entered into financing agreements consisting of non-recourse project level debt and, in certain cases, non-recourse holding company debt. The PG&amp;E bankruptcy filing has triggered defaults under the PPAs with PG&amp;E and such related financing agreements. The Company is currently negotiating forbearance agreements with the lenders for each respective financing arrangement. The Company continues to assess the potential future impacts of the PG&amp;E bankruptcy filing as events occur, however, no impact to the Company’s immediate operating activities has occurred as of December 31, 2018.</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Reduction</w:t>
      </w:r>
    </w:p>
    <w:p>
      <w:pPr>
        <w:spacing w:after="0" w:line="114" w:lineRule="exact"/>
        <w:rPr>
          <w:sz w:val="20"/>
          <w:szCs w:val="20"/>
          <w:color w:val="auto"/>
        </w:rPr>
      </w:pPr>
    </w:p>
    <w:p>
      <w:pPr>
        <w:jc w:val="both"/>
        <w:ind w:left="420" w:hanging="212"/>
        <w:spacing w:after="0" w:line="263"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February 12, 2019, and as a result of impacts related to the PG&amp;E Bankruptcy, the Company's Board of Directors declared a quarterly dividend on Class A and Class C common stock of $0.20 per share payable on March 15, 2019, to stockholders of record as of March 1, 2019. This dividend is reduced from the last quarterly dividend paid in December 2018 of $0.331 per share. The Company will continue to assess the level of the dividend pending developments in the PG&amp;E bankruptcy, including the Company’s ability to receive unrestricted project distributions.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Forgoing Agua Caliente Drop Down</w:t>
      </w:r>
    </w:p>
    <w:p>
      <w:pPr>
        <w:spacing w:after="0" w:line="114" w:lineRule="exact"/>
        <w:rPr>
          <w:sz w:val="20"/>
          <w:szCs w:val="20"/>
          <w:color w:val="auto"/>
        </w:rPr>
      </w:pPr>
    </w:p>
    <w:p>
      <w:pPr>
        <w:jc w:val="both"/>
        <w:ind w:left="420" w:hanging="212"/>
        <w:spacing w:after="0" w:line="263" w:lineRule="auto"/>
        <w:tabs>
          <w:tab w:leader="none" w:pos="420" w:val="left"/>
        </w:tabs>
        <w:numPr>
          <w:ilvl w:val="0"/>
          <w:numId w:val="18"/>
        </w:numPr>
        <w:rPr>
          <w:rFonts w:ascii="Arial" w:cs="Arial" w:eastAsia="Arial" w:hAnsi="Arial"/>
          <w:sz w:val="12"/>
          <w:szCs w:val="12"/>
          <w:i w:val="1"/>
          <w:iCs w:val="1"/>
          <w:color w:val="auto"/>
        </w:rPr>
      </w:pPr>
      <w:r>
        <w:rPr>
          <w:rFonts w:ascii="Arial" w:cs="Arial" w:eastAsia="Arial" w:hAnsi="Arial"/>
          <w:sz w:val="12"/>
          <w:szCs w:val="12"/>
          <w:color w:val="auto"/>
        </w:rPr>
        <w:t>On November 1, 2018, NRG offered the Company the opportunity to acquire Agua Caliente Borrower 1 LLC, which owns a 35% interest in Agua Caliente, a 290 MW utility-scale solar project located in Dateland, Arizona with PG&amp;E as the project’s customer. Pursuant to the terms of the NRG ROFO Agreement, the Company elected to forgo the acquisition. The Company continues to own a 16% interest in the project through Agua Caliente Borrower 2 LLC.</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Carlsbad Equity Backstop</w:t>
      </w:r>
    </w:p>
    <w:p>
      <w:pPr>
        <w:spacing w:after="0" w:line="114" w:lineRule="exact"/>
        <w:rPr>
          <w:sz w:val="20"/>
          <w:szCs w:val="20"/>
          <w:color w:val="auto"/>
        </w:rPr>
      </w:pPr>
    </w:p>
    <w:p>
      <w:pPr>
        <w:jc w:val="both"/>
        <w:ind w:left="420" w:hanging="212"/>
        <w:spacing w:after="0" w:line="286" w:lineRule="auto"/>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On February 6, 2018, the Company entered into an agreement with NRG to purchase 100% of the membership interests in Carlsbad Energy Holdings LLC, which indirectly owns the Carlsbad project, a 527 MW natural gas fired project in Carlsbad, CA, pursuant to the NRG ROFO Agreement. Following the COD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and other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the project will become a CEG ROFO Asset.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514" w:right="199" w:bottom="1440" w:gutter="0" w:footer="0" w:header="0"/>
        </w:sectPr>
      </w:pPr>
    </w:p>
    <w:bookmarkStart w:id="45" w:name="page46"/>
    <w:bookmarkEnd w:id="45"/>
    <w:p>
      <w:pPr>
        <w:spacing w:after="0"/>
        <w:rPr>
          <w:sz w:val="20"/>
          <w:szCs w:val="20"/>
          <w:color w:val="auto"/>
        </w:rPr>
      </w:pPr>
      <w:r>
        <w:rPr>
          <w:rFonts w:ascii="Arial" w:cs="Arial" w:eastAsia="Arial" w:hAnsi="Arial"/>
          <w:sz w:val="12"/>
          <w:szCs w:val="12"/>
          <w:i w:val="1"/>
          <w:iCs w:val="1"/>
          <w:color w:val="auto"/>
        </w:rPr>
        <w:t>Strategic Sponsorship with GIP</w:t>
      </w:r>
    </w:p>
    <w:p>
      <w:pPr>
        <w:spacing w:after="0" w:line="114" w:lineRule="exact"/>
        <w:rPr>
          <w:sz w:val="20"/>
          <w:szCs w:val="20"/>
          <w:color w:val="auto"/>
        </w:rPr>
      </w:pPr>
    </w:p>
    <w:p>
      <w:pPr>
        <w:ind w:left="420" w:hanging="212"/>
        <w:spacing w:after="0" w:line="323" w:lineRule="auto"/>
        <w:tabs>
          <w:tab w:leader="none" w:pos="4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On August 31, 2018, NRG transferred its full ownership interest in the Company to CEG, the holder of NRG's renewable energy development and operations platform, and subsequently sold 100% of its interest in CEG to an affiliate of GIP. As a result of the GIP Transaction, GIP indirectly acquired a 45.2% economic interest in Clearway Energy LLC and a 55.0% voting interest in the Company as of August 31, 2018.</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Drop Down Asset Acquisitions</w:t>
      </w:r>
    </w:p>
    <w:p>
      <w:pPr>
        <w:spacing w:after="0" w:line="114" w:lineRule="exact"/>
        <w:rPr>
          <w:sz w:val="20"/>
          <w:szCs w:val="20"/>
          <w:color w:val="auto"/>
        </w:rPr>
      </w:pPr>
    </w:p>
    <w:p>
      <w:pPr>
        <w:ind w:left="420" w:hanging="212"/>
        <w:spacing w:after="0" w:line="323" w:lineRule="auto"/>
        <w:tabs>
          <w:tab w:leader="none" w:pos="4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On August 31, 2018, the Company entered into a binding agreement with CEG to acquire the effective equity interest in 80 MW of utility-scale solar projects located in Kawailoa and Oahu, Hawaii for approximately $28 million in cash consideration, subject to customary working capital and other adjustments, as well as the assumption of non-recourse debt of $169 million. The transaction is expected to close in summer of 2019.</w:t>
      </w:r>
    </w:p>
    <w:p>
      <w:pPr>
        <w:spacing w:after="0" w:line="55" w:lineRule="exact"/>
        <w:rPr>
          <w:rFonts w:ascii="Arial" w:cs="Arial" w:eastAsia="Arial" w:hAnsi="Arial"/>
          <w:sz w:val="11"/>
          <w:szCs w:val="11"/>
          <w:color w:val="auto"/>
        </w:rPr>
      </w:pPr>
    </w:p>
    <w:p>
      <w:pPr>
        <w:jc w:val="both"/>
        <w:ind w:left="420" w:hanging="212"/>
        <w:spacing w:after="0" w:line="263"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On March 30, 2018, the Company acquired 100% of NRG’s interests in Buckthorn Renewables, LLC, or Buckthorn Solar, which owned a 154 MW utility-scale solar generation project for cash consideration of $42 million, plus assumed non-recourse debt of approximately $132 million as of September 30, 2018. The Buckthorn Solar project sells power under a 25-year power purchase agreement to the City of Georgetown, Texas. On July 1, 2018, the project achieved commercial operation.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and Equity Activities</w:t>
      </w:r>
    </w:p>
    <w:p>
      <w:pPr>
        <w:spacing w:after="0" w:line="114" w:lineRule="exact"/>
        <w:rPr>
          <w:sz w:val="20"/>
          <w:szCs w:val="20"/>
          <w:color w:val="auto"/>
        </w:rPr>
      </w:pPr>
    </w:p>
    <w:p>
      <w:pPr>
        <w:ind w:left="420" w:hanging="212"/>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78" w:lineRule="exact"/>
        <w:rPr>
          <w:rFonts w:ascii="Arial" w:cs="Arial" w:eastAsia="Arial" w:hAnsi="Arial"/>
          <w:sz w:val="12"/>
          <w:szCs w:val="12"/>
          <w:color w:val="auto"/>
        </w:rPr>
      </w:pPr>
    </w:p>
    <w:p>
      <w:pPr>
        <w:jc w:val="both"/>
        <w:ind w:left="420" w:hanging="212"/>
        <w:spacing w:after="0" w:line="290" w:lineRule="auto"/>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On September 10, 2018, pursuant to the terms of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An aggregate principal amount of $109 million of the 2019 Convertible Notes and $243 million of the 2020 Convertible Notes were tendered on or prior to the expiration date of October 10, 2018 and accepted by the Company for purchase. After the expiration of the tender offer, $220 million aggregate principal amount of the 2019 Convertible Notes and $45 million aggregate principal amount of the 2020 Convertible Notes remained outstanding as of December 31, 2018.</w:t>
      </w:r>
    </w:p>
    <w:p>
      <w:pPr>
        <w:spacing w:after="0" w:line="73" w:lineRule="exact"/>
        <w:rPr>
          <w:rFonts w:ascii="Arial" w:cs="Arial" w:eastAsia="Arial" w:hAnsi="Arial"/>
          <w:sz w:val="11"/>
          <w:szCs w:val="11"/>
          <w:color w:val="auto"/>
        </w:rPr>
      </w:pPr>
    </w:p>
    <w:p>
      <w:pPr>
        <w:ind w:left="420" w:hanging="212"/>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August 2018 and January 2019, the Company completed a series of open market repurchases of 2019 Convertible Notes in aggregate principal amount of $66 million. During the first quarter of 2019, the Company paid off the remaining balance of aggregate principal amount of $220 million</w:t>
      </w:r>
      <w:r>
        <w:rPr>
          <w:rFonts w:ascii="Arial" w:cs="Arial" w:eastAsia="Arial" w:hAnsi="Arial"/>
          <w:sz w:val="12"/>
          <w:szCs w:val="12"/>
          <w:color w:val="231F20"/>
        </w:rPr>
        <w:t>.</w:t>
      </w:r>
    </w:p>
    <w:p>
      <w:pPr>
        <w:spacing w:after="0" w:line="78"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October 9, 2018, the Company received a notice of conversion with respect to $395,000 aggregate principal amount of the 2020 Convertible Notes. The Company elected, pursuant to the terms of the 2020 Convertible Notes indenture, to settle the conversion of such 2020 Convertible Notes in Class C common stock, par value $0.01 per share. The conversion of the 2020 Convertible Notes resulted in the issuance by the Company on October 12, 2018 of 14,363 shares of Class C common stock.</w:t>
      </w:r>
    </w:p>
    <w:p>
      <w:pPr>
        <w:spacing w:after="0" w:line="86"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September 27, 2018, Clearway Energy, Inc. issued and sold an additional 3,916,449 shares of Class C common stock for net proceeds of $75 million. The Company utilized the proceeds of the offering to acquire additional 3,916,449 Class C units of Clearway Energy LLC.</w:t>
      </w:r>
    </w:p>
    <w:p>
      <w:pPr>
        <w:spacing w:after="0" w:line="78"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October 1, 2018, Clearway Energy Operating LLC issued $600 million of senior unsecured notes, or the 2025 Senior Notes. 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86"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During the year ended December 31, 2018, Clearway Energy, Inc. issued 4,492,473 shares of Class C common stock under the ATM Program for gross proceeds of $79 million and incurred commission fees of $790 thousand, as described in </w:t>
      </w:r>
      <w:r>
        <w:rPr>
          <w:rFonts w:ascii="Arial" w:cs="Arial" w:eastAsia="Arial" w:hAnsi="Arial"/>
          <w:sz w:val="12"/>
          <w:szCs w:val="12"/>
          <w:i w:val="1"/>
          <w:iCs w:val="1"/>
          <w:color w:val="auto"/>
        </w:rPr>
        <w:t>Sources of Liquidity</w:t>
      </w:r>
      <w:r>
        <w:rPr>
          <w:rFonts w:ascii="Arial" w:cs="Arial" w:eastAsia="Arial" w:hAnsi="Arial"/>
          <w:sz w:val="12"/>
          <w:szCs w:val="12"/>
          <w:color w:val="auto"/>
        </w:rPr>
        <w:t xml:space="preserve"> in this Item 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518" w:right="199" w:bottom="1440" w:gutter="0" w:footer="0" w:header="0"/>
        </w:sectPr>
      </w:pPr>
    </w:p>
    <w:bookmarkStart w:id="46" w:name="page47"/>
    <w:bookmarkEnd w:id="46"/>
    <w:p>
      <w:pPr>
        <w:spacing w:after="0"/>
        <w:rPr>
          <w:sz w:val="20"/>
          <w:szCs w:val="20"/>
          <w:color w:val="auto"/>
        </w:rPr>
      </w:pPr>
      <w:r>
        <w:rPr>
          <w:rFonts w:ascii="Arial" w:cs="Arial" w:eastAsia="Arial" w:hAnsi="Arial"/>
          <w:sz w:val="12"/>
          <w:szCs w:val="12"/>
          <w:i w:val="1"/>
          <w:iCs w:val="1"/>
          <w:color w:val="auto"/>
        </w:rPr>
        <w:t>Repowering Partnership</w:t>
      </w:r>
    </w:p>
    <w:p>
      <w:pPr>
        <w:spacing w:after="0" w:line="114" w:lineRule="exact"/>
        <w:rPr>
          <w:sz w:val="20"/>
          <w:szCs w:val="20"/>
          <w:color w:val="auto"/>
        </w:rPr>
      </w:pPr>
    </w:p>
    <w:p>
      <w:pPr>
        <w:ind w:left="420" w:right="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On August 30, 2018, Wind TE Holdco entered into a partnership with CEG in order to facilitate the repowering of the Elbow Creek and Wildorado facilities. As part of the repowering partnership, the Company bought out an existing tax equity partner of Wind TE Holdco for $19 million on January 2, 2019.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Thermal Activities</w:t>
      </w:r>
    </w:p>
    <w:p>
      <w:pPr>
        <w:spacing w:after="0" w:line="141" w:lineRule="exact"/>
        <w:rPr>
          <w:sz w:val="20"/>
          <w:szCs w:val="20"/>
          <w:color w:val="auto"/>
        </w:rPr>
      </w:pPr>
    </w:p>
    <w:p>
      <w:pPr>
        <w:jc w:val="both"/>
        <w:ind w:left="420" w:hanging="212"/>
        <w:spacing w:after="0" w:line="298" w:lineRule="auto"/>
        <w:tabs>
          <w:tab w:leader="none" w:pos="4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On June 19, 2018, upon reaching substantial completion, the Company acquired from NRG the UPMC Thermal Project for cash consideration of $84 million, subject to working capital adjustments. The Company had a payable of $4 million to NRG as of December 31,2018, $3 million of which was paid in January 2019 upon final completion of the project pursuant to the EPC agreement. The project adds 73 MWt of thermal equivalent capacity and 7.5 MW of emergency backup electrical capacity to the Company's portfolio. The transaction was accounted for as an asset acquisition and is reflected in the Company's Thermal segment.</w:t>
      </w:r>
    </w:p>
    <w:p>
      <w:pPr>
        <w:spacing w:after="0" w:line="69" w:lineRule="exact"/>
        <w:rPr>
          <w:rFonts w:ascii="Arial" w:cs="Arial" w:eastAsia="Arial" w:hAnsi="Arial"/>
          <w:sz w:val="11"/>
          <w:szCs w:val="11"/>
          <w:color w:val="auto"/>
        </w:rPr>
      </w:pPr>
    </w:p>
    <w:p>
      <w:pPr>
        <w:ind w:left="420" w:right="20" w:hanging="212"/>
        <w:spacing w:after="0" w:line="323" w:lineRule="auto"/>
        <w:tabs>
          <w:tab w:leader="none" w:pos="4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As further described in Note 10, Long-term Debt, on June 19, 2018, Energy Center Minneapolis LLC, a subsidiary of the Company, entered into an amended and restated Thermal note purchase and private shelf agreement under which it authorized the issuance of the Series E Notes, Series F Notes, Series G Notes, and Series H Notes and established a private shelf facility for the further issuance of $40 million in notes.</w:t>
      </w:r>
    </w:p>
    <w:p>
      <w:pPr>
        <w:spacing w:after="0" w:line="55" w:lineRule="exact"/>
        <w:rPr>
          <w:rFonts w:ascii="Arial" w:cs="Arial" w:eastAsia="Arial" w:hAnsi="Arial"/>
          <w:sz w:val="11"/>
          <w:szCs w:val="11"/>
          <w:color w:val="auto"/>
        </w:rPr>
      </w:pPr>
    </w:p>
    <w:p>
      <w:pPr>
        <w:ind w:left="420" w:hanging="212"/>
        <w:spacing w:after="0" w:line="323" w:lineRule="auto"/>
        <w:tabs>
          <w:tab w:leader="none" w:pos="4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On November 1, 2018, the Company entered into an Energy Services Agreement with Mylan LLC to supply chilled water, hot water and electricity through a dedicated combined heat and power facility to be constructed at Mylan's Caguas, Puerto Rico facility. The Company anticipates the project to total $11 million in capital expenditures and is expected to commence commercial operations in the second quarter of 2019.</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 and Regulatory Matters</w:t>
      </w:r>
    </w:p>
    <w:p>
      <w:pPr>
        <w:spacing w:after="0" w:line="118"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 xml:space="preserve">Details of environmental matters and regulatory matters are presented in Item 1 — </w:t>
      </w:r>
      <w:r>
        <w:rPr>
          <w:rFonts w:ascii="Arial" w:cs="Arial" w:eastAsia="Arial" w:hAnsi="Arial"/>
          <w:sz w:val="12"/>
          <w:szCs w:val="12"/>
          <w:i w:val="1"/>
          <w:iCs w:val="1"/>
          <w:color w:val="auto"/>
        </w:rPr>
        <w:t>Business, Regulatory Matters</w:t>
      </w:r>
      <w:r>
        <w:rPr>
          <w:rFonts w:ascii="Arial" w:cs="Arial" w:eastAsia="Arial" w:hAnsi="Arial"/>
          <w:sz w:val="12"/>
          <w:szCs w:val="12"/>
          <w:color w:val="auto"/>
        </w:rPr>
        <w:t xml:space="preserve"> and Item 1A— </w:t>
      </w:r>
      <w:r>
        <w:rPr>
          <w:rFonts w:ascii="Arial" w:cs="Arial" w:eastAsia="Arial" w:hAnsi="Arial"/>
          <w:sz w:val="12"/>
          <w:szCs w:val="12"/>
          <w:i w:val="1"/>
          <w:iCs w:val="1"/>
          <w:color w:val="auto"/>
        </w:rPr>
        <w:t>Risk Factors</w:t>
      </w:r>
      <w:r>
        <w:rPr>
          <w:rFonts w:ascii="Arial" w:cs="Arial" w:eastAsia="Arial" w:hAnsi="Arial"/>
          <w:sz w:val="12"/>
          <w:szCs w:val="12"/>
          <w:color w:val="auto"/>
        </w:rPr>
        <w:t>. Details of some of this information relate to costs that may impact the Company's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or Matters Affecting Results of Operations and Future Business Performance</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PG&amp;E Bankruptcy</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As discussed above, the Company continues to assess the potential future impacts of the PG&amp;E bankruptcy filing as events occur. However, no impact to the Company’s immediate operating activities has occurred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2018.</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Wind and Solar Resource Availability</w:t>
      </w:r>
    </w:p>
    <w:p>
      <w:pPr>
        <w:spacing w:after="0" w:line="16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Capital Market Conditions</w:t>
      </w:r>
    </w:p>
    <w:p>
      <w:pPr>
        <w:spacing w:after="0" w:line="16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capital markets in general are often subject to volatility that is unrelated to the operating performance of particular companies. The Company’s growth strategy depends on its ability to identify and acquire additional renewable facilities from CEG and additional conventional and renewable facilities from unaffiliated third parties, which will require access to debt and equity financing to complete such acquisitions or replenish capital for future acquisitions. Any broad market fluctuations may affect the Company’s ability to access such capital through debt or equity financings.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518" w:right="199" w:bottom="1440" w:gutter="0" w:footer="0" w:header="0"/>
        </w:sectPr>
      </w:pPr>
    </w:p>
    <w:bookmarkStart w:id="47" w:name="page48"/>
    <w:bookmarkEnd w:id="47"/>
    <w:p>
      <w:pPr>
        <w:ind w:left="8"/>
        <w:spacing w:after="0"/>
        <w:rPr>
          <w:sz w:val="20"/>
          <w:szCs w:val="20"/>
          <w:color w:val="auto"/>
        </w:rPr>
      </w:pPr>
      <w:r>
        <w:rPr>
          <w:rFonts w:ascii="Arial" w:cs="Arial" w:eastAsia="Arial" w:hAnsi="Arial"/>
          <w:sz w:val="12"/>
          <w:szCs w:val="12"/>
          <w:b w:val="1"/>
          <w:bCs w:val="1"/>
          <w:color w:val="auto"/>
        </w:rPr>
        <w:t>Consolidated Results of Operations</w:t>
      </w:r>
    </w:p>
    <w:p>
      <w:pPr>
        <w:spacing w:after="0" w:line="118" w:lineRule="exact"/>
        <w:rPr>
          <w:sz w:val="20"/>
          <w:szCs w:val="20"/>
          <w:color w:val="auto"/>
        </w:rPr>
      </w:pPr>
    </w:p>
    <w:p>
      <w:pPr>
        <w:ind w:left="108"/>
        <w:spacing w:after="0"/>
        <w:rPr>
          <w:sz w:val="20"/>
          <w:szCs w:val="20"/>
          <w:color w:val="auto"/>
        </w:rPr>
      </w:pPr>
      <w:r>
        <w:rPr>
          <w:rFonts w:ascii="Arial" w:cs="Arial" w:eastAsia="Arial" w:hAnsi="Arial"/>
          <w:sz w:val="12"/>
          <w:szCs w:val="12"/>
          <w:b w:val="1"/>
          <w:bCs w:val="1"/>
          <w:i w:val="1"/>
          <w:iCs w:val="1"/>
          <w:color w:val="auto"/>
        </w:rPr>
        <w:t>2018 compared to 2017</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selected financial information:</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8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87"/>
              </w:rPr>
              <w:t>Year ended December 31,</w:t>
            </w: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6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21"/>
              <w:spacing w:after="0"/>
              <w:rPr>
                <w:sz w:val="20"/>
                <w:szCs w:val="20"/>
                <w:color w:val="auto"/>
              </w:rPr>
            </w:pPr>
            <w:r>
              <w:rPr>
                <w:rFonts w:ascii="Arial" w:cs="Arial" w:eastAsia="Arial" w:hAnsi="Arial"/>
                <w:sz w:val="10"/>
                <w:szCs w:val="10"/>
                <w:b w:val="1"/>
                <w:bCs w:val="1"/>
                <w:color w:val="auto"/>
                <w:w w:val="89"/>
              </w:rPr>
              <w:t>2017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Change</w:t>
            </w:r>
          </w:p>
        </w:tc>
      </w:tr>
      <w:tr>
        <w:trPr>
          <w:trHeight w:val="173"/>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1,084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144"/>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1,038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46</w:t>
            </w: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revenues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r>
      <w:tr>
        <w:trPr>
          <w:trHeight w:val="171"/>
        </w:trPr>
        <w:tc>
          <w:tcPr>
            <w:tcW w:w="78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r>
      <w:tr>
        <w:trPr>
          <w:trHeight w:val="178"/>
        </w:trPr>
        <w:tc>
          <w:tcPr>
            <w:tcW w:w="7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revenues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1,053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1,009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w:t>
            </w:r>
          </w:p>
        </w:tc>
      </w:tr>
      <w:tr>
        <w:trPr>
          <w:trHeight w:val="160"/>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w:t>
            </w: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Operations and maintenance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189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(8)</w:t>
            </w: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costs of operations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334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(3)</w:t>
            </w: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Impairment losses</w:t>
            </w:r>
          </w:p>
        </w:tc>
        <w:tc>
          <w:tcPr>
            <w:tcW w:w="2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(44)</w:t>
            </w: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General and administrative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w:t>
            </w: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Acquisition-related transaction and integration costs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w:t>
            </w: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Development costs</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w:t>
            </w:r>
          </w:p>
        </w:tc>
      </w:tr>
      <w:tr>
        <w:trPr>
          <w:trHeight w:val="178"/>
        </w:trPr>
        <w:tc>
          <w:tcPr>
            <w:tcW w:w="7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operating costs and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706</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726</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(20)</w:t>
            </w:r>
          </w:p>
        </w:tc>
      </w:tr>
      <w:tr>
        <w:trPr>
          <w:trHeight w:val="16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Operating Income</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347</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283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w:t>
            </w:r>
          </w:p>
        </w:tc>
      </w:tr>
      <w:tr>
        <w:trPr>
          <w:trHeight w:val="178"/>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w:t>
            </w: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income, net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4</w:t>
            </w:r>
          </w:p>
        </w:tc>
      </w:tr>
      <w:tr>
        <w:trPr>
          <w:trHeight w:val="180"/>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(306)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r>
      <w:tr>
        <w:trPr>
          <w:trHeight w:val="169"/>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other expense, net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w:t>
            </w:r>
          </w:p>
        </w:tc>
      </w:tr>
      <w:tr>
        <w:trPr>
          <w:trHeight w:val="178"/>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w:t>
            </w:r>
          </w:p>
        </w:tc>
      </w:tr>
      <w:tr>
        <w:trPr>
          <w:trHeight w:val="171"/>
        </w:trPr>
        <w:tc>
          <w:tcPr>
            <w:tcW w:w="78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Income tax expense</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w:t>
            </w:r>
          </w:p>
        </w:tc>
      </w:tr>
      <w:tr>
        <w:trPr>
          <w:trHeight w:val="16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78</w:t>
            </w:r>
          </w:p>
        </w:tc>
      </w:tr>
      <w:tr>
        <w:trPr>
          <w:trHeight w:val="169"/>
        </w:trPr>
        <w:tc>
          <w:tcPr>
            <w:tcW w:w="78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Pre-acquisition net income of Drop Down Assets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w:t>
            </w:r>
          </w:p>
        </w:tc>
      </w:tr>
      <w:tr>
        <w:trPr>
          <w:trHeight w:val="16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Excluding Pre-acquisition Net Income of Drop Down Assets</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81</w:t>
            </w:r>
          </w:p>
        </w:tc>
      </w:tr>
      <w:tr>
        <w:trPr>
          <w:trHeight w:val="169"/>
        </w:trPr>
        <w:tc>
          <w:tcPr>
            <w:tcW w:w="78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Net income (loss) attributable to noncontrolling interests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w:t>
            </w:r>
          </w:p>
        </w:tc>
      </w:tr>
      <w:tr>
        <w:trPr>
          <w:trHeight w:val="17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Attributable to Clearway Energy, Inc.</w:t>
            </w: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64</w:t>
            </w:r>
          </w:p>
        </w:tc>
      </w:tr>
      <w:tr>
        <w:trPr>
          <w:trHeight w:val="20"/>
        </w:trPr>
        <w:tc>
          <w:tcPr>
            <w:tcW w:w="7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r>
      <w:tr>
        <w:trPr>
          <w:trHeight w:val="287"/>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10"/>
                <w:szCs w:val="10"/>
                <w:b w:val="1"/>
                <w:bCs w:val="1"/>
                <w:color w:val="auto"/>
              </w:rPr>
              <w:t>Year ended December 31,</w:t>
            </w:r>
          </w:p>
        </w:tc>
      </w:tr>
      <w:tr>
        <w:trPr>
          <w:trHeight w:val="17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Business metrics:</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61"/>
              <w:spacing w:after="0"/>
              <w:rPr>
                <w:sz w:val="20"/>
                <w:szCs w:val="20"/>
                <w:color w:val="auto"/>
              </w:rPr>
            </w:pPr>
            <w:r>
              <w:rPr>
                <w:rFonts w:ascii="Arial" w:cs="Arial" w:eastAsia="Arial" w:hAnsi="Arial"/>
                <w:sz w:val="10"/>
                <w:szCs w:val="10"/>
                <w:b w:val="1"/>
                <w:bCs w:val="1"/>
                <w:color w:val="auto"/>
                <w:w w:val="89"/>
              </w:rPr>
              <w:t>2018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2017</w:t>
            </w:r>
          </w:p>
        </w:tc>
      </w:tr>
      <w:tr>
        <w:trPr>
          <w:trHeight w:val="173"/>
        </w:trPr>
        <w:tc>
          <w:tcPr>
            <w:tcW w:w="7820" w:type="dxa"/>
            <w:vAlign w:val="bottom"/>
            <w:shd w:val="clear" w:color="auto" w:fill="CCEEFF"/>
          </w:tcPr>
          <w:p>
            <w:pPr>
              <w:ind w:left="20"/>
              <w:spacing w:after="0" w:line="173" w:lineRule="exact"/>
              <w:rPr>
                <w:sz w:val="20"/>
                <w:szCs w:val="20"/>
                <w:color w:val="auto"/>
              </w:rPr>
            </w:pPr>
            <w:r>
              <w:rPr>
                <w:rFonts w:ascii="Arial" w:cs="Arial" w:eastAsia="Arial" w:hAnsi="Arial"/>
                <w:sz w:val="12"/>
                <w:szCs w:val="12"/>
                <w:color w:val="auto"/>
              </w:rPr>
              <w:t xml:space="preserve">Renewables MWh generated/sold (in thousands) </w:t>
            </w:r>
            <w:r>
              <w:rPr>
                <w:rFonts w:ascii="Arial" w:cs="Arial" w:eastAsia="Arial" w:hAnsi="Arial"/>
                <w:sz w:val="16"/>
                <w:szCs w:val="16"/>
                <w:color w:val="auto"/>
                <w:vertAlign w:val="superscript"/>
              </w:rPr>
              <w:t>(a)</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7,197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6,844</w:t>
            </w:r>
          </w:p>
        </w:tc>
      </w:tr>
      <w:tr>
        <w:trPr>
          <w:trHeight w:val="171"/>
        </w:trPr>
        <w:tc>
          <w:tcPr>
            <w:tcW w:w="7820" w:type="dxa"/>
            <w:vAlign w:val="bottom"/>
          </w:tcPr>
          <w:p>
            <w:pPr>
              <w:ind w:left="20"/>
              <w:spacing w:after="0"/>
              <w:rPr>
                <w:sz w:val="20"/>
                <w:szCs w:val="20"/>
                <w:color w:val="auto"/>
              </w:rPr>
            </w:pPr>
            <w:r>
              <w:rPr>
                <w:rFonts w:ascii="Arial" w:cs="Arial" w:eastAsia="Arial" w:hAnsi="Arial"/>
                <w:sz w:val="12"/>
                <w:szCs w:val="12"/>
                <w:color w:val="auto"/>
              </w:rPr>
              <w:t>Thermal MWt sold (in thousands)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2,042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1,926</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Thermal MWh sold (in thousands) </w:t>
            </w:r>
            <w:r>
              <w:rPr>
                <w:rFonts w:ascii="Arial" w:cs="Arial" w:eastAsia="Arial" w:hAnsi="Arial"/>
                <w:sz w:val="16"/>
                <w:szCs w:val="16"/>
                <w:color w:val="auto"/>
                <w:vertAlign w:val="superscript"/>
              </w:rPr>
              <w:t>(c)</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35</w:t>
            </w:r>
          </w:p>
        </w:tc>
      </w:tr>
      <w:tr>
        <w:trPr>
          <w:trHeight w:val="180"/>
        </w:trPr>
        <w:tc>
          <w:tcPr>
            <w:tcW w:w="782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Conventional MWh generated (in thousands) </w:t>
            </w:r>
            <w:r>
              <w:rPr>
                <w:rFonts w:ascii="Arial" w:cs="Arial" w:eastAsia="Arial" w:hAnsi="Arial"/>
                <w:sz w:val="16"/>
                <w:szCs w:val="16"/>
                <w:color w:val="auto"/>
                <w:vertAlign w:val="superscript"/>
              </w:rPr>
              <w:t>(a)(b)</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1,656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1,809</w:t>
            </w: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Conventional equivalent availability factor</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94.3%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108585</wp:posOffset>
            </wp:positionV>
            <wp:extent cx="13957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184" w:lineRule="exact"/>
        <w:rPr>
          <w:sz w:val="20"/>
          <w:szCs w:val="20"/>
          <w:color w:val="auto"/>
        </w:rPr>
      </w:pPr>
    </w:p>
    <w:p>
      <w:pPr>
        <w:ind w:left="88" w:hanging="88"/>
        <w:spacing w:after="0"/>
        <w:tabs>
          <w:tab w:leader="none" w:pos="88" w:val="left"/>
        </w:tabs>
        <w:numPr>
          <w:ilvl w:val="0"/>
          <w:numId w:val="25"/>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spacing w:after="0" w:line="1" w:lineRule="exact"/>
        <w:rPr>
          <w:rFonts w:ascii="Arial" w:cs="Arial" w:eastAsia="Arial" w:hAnsi="Arial"/>
          <w:sz w:val="6"/>
          <w:szCs w:val="6"/>
          <w:color w:val="auto"/>
        </w:rPr>
      </w:pPr>
    </w:p>
    <w:p>
      <w:pPr>
        <w:ind w:left="88" w:hanging="88"/>
        <w:spacing w:after="0" w:line="225" w:lineRule="auto"/>
        <w:tabs>
          <w:tab w:leader="none" w:pos="88" w:val="left"/>
        </w:tabs>
        <w:numPr>
          <w:ilvl w:val="0"/>
          <w:numId w:val="25"/>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ind w:left="8" w:hanging="8"/>
        <w:spacing w:after="0" w:line="231" w:lineRule="auto"/>
        <w:tabs>
          <w:tab w:leader="none" w:pos="99" w:val="left"/>
        </w:tabs>
        <w:numPr>
          <w:ilvl w:val="0"/>
          <w:numId w:val="25"/>
        </w:numPr>
        <w:rPr>
          <w:rFonts w:ascii="Arial" w:cs="Arial" w:eastAsia="Arial" w:hAnsi="Arial"/>
          <w:sz w:val="6"/>
          <w:szCs w:val="6"/>
          <w:color w:val="auto"/>
        </w:rPr>
      </w:pPr>
      <w:r>
        <w:rPr>
          <w:rFonts w:ascii="Arial" w:cs="Arial" w:eastAsia="Arial" w:hAnsi="Arial"/>
          <w:sz w:val="10"/>
          <w:szCs w:val="10"/>
          <w:color w:val="auto"/>
        </w:rPr>
        <w:t xml:space="preserve">MWh sold do not include 108 and 72 MWh generated by NRG Dover, a subsidiary of the Company, under the PPA with NRG Power Marketing during the years ended December 31, 2018 and December 31, 2017, respectively, as further described in Item 15 — Note 15, </w:t>
      </w:r>
      <w:r>
        <w:rPr>
          <w:rFonts w:ascii="Arial" w:cs="Arial" w:eastAsia="Arial" w:hAnsi="Arial"/>
          <w:sz w:val="10"/>
          <w:szCs w:val="10"/>
          <w:i w:val="1"/>
          <w:iCs w:val="1"/>
          <w:color w:val="auto"/>
        </w:rPr>
        <w:t>Related Party</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Transactions, </w:t>
      </w:r>
      <w:r>
        <w:rPr>
          <w:rFonts w:ascii="Arial" w:cs="Arial" w:eastAsia="Arial" w:hAnsi="Arial"/>
          <w:sz w:val="10"/>
          <w:szCs w:val="10"/>
          <w:color w:val="auto"/>
        </w:rPr>
        <w:t>to the Consolidated Financial Statements</w:t>
      </w:r>
      <w:r>
        <w:rPr>
          <w:rFonts w:ascii="Arial" w:cs="Arial" w:eastAsia="Arial" w:hAnsi="Arial"/>
          <w:sz w:val="10"/>
          <w:szCs w:val="10"/>
          <w:i w:val="1"/>
          <w:iCs w:val="1"/>
          <w:color w:val="auto"/>
        </w:rPr>
        <w:t>.</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8"/>
          </w:cols>
          <w:pgMar w:left="212" w:top="514" w:right="19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Management’s discussion of the results of operations for the years ended December 31, 2018 and 2017</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w:t>
      </w:r>
    </w:p>
    <w:p>
      <w:pPr>
        <w:spacing w:after="0" w:line="7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Gross Margin</w:t>
      </w:r>
    </w:p>
    <w:p>
      <w:pPr>
        <w:spacing w:after="0" w:line="1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below tables present the composition of gross margin, as well as the reconciliation to economic gross margin for the years ended December 31, 2018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280" w:type="dxa"/>
            <w:vAlign w:val="bottom"/>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Conventional</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Renewables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Eliminations</w:t>
            </w: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Total</w:t>
            </w:r>
          </w:p>
        </w:tc>
      </w:tr>
      <w:tr>
        <w:trPr>
          <w:trHeight w:val="173"/>
        </w:trPr>
        <w:tc>
          <w:tcPr>
            <w:tcW w:w="52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2018</w:t>
            </w: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528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94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ind w:right="60"/>
              <w:spacing w:after="0"/>
              <w:rPr>
                <w:sz w:val="20"/>
                <w:szCs w:val="20"/>
                <w:color w:val="auto"/>
              </w:rPr>
            </w:pPr>
            <w:r>
              <w:rPr>
                <w:rFonts w:ascii="Arial" w:cs="Arial" w:eastAsia="Arial" w:hAnsi="Arial"/>
                <w:sz w:val="12"/>
                <w:szCs w:val="12"/>
                <w:color w:val="auto"/>
                <w:w w:val="89"/>
              </w:rPr>
              <w:t>342</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572</w:t>
            </w:r>
          </w:p>
        </w:tc>
        <w:tc>
          <w:tcPr>
            <w:tcW w:w="120" w:type="dxa"/>
            <w:vAlign w:val="bottom"/>
          </w:tcPr>
          <w:p>
            <w:pPr>
              <w:spacing w:after="0"/>
              <w:rPr>
                <w:sz w:val="14"/>
                <w:szCs w:val="14"/>
                <w:color w:val="auto"/>
              </w:rPr>
            </w:pPr>
          </w:p>
        </w:tc>
        <w:tc>
          <w:tcPr>
            <w:tcW w:w="720" w:type="dxa"/>
            <w:vAlign w:val="bottom"/>
          </w:tcPr>
          <w:p>
            <w:pPr>
              <w:jc w:val="right"/>
              <w:ind w:right="582"/>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60"/>
              <w:spacing w:after="0"/>
              <w:rPr>
                <w:sz w:val="20"/>
                <w:szCs w:val="20"/>
                <w:color w:val="auto"/>
              </w:rPr>
            </w:pPr>
            <w:r>
              <w:rPr>
                <w:rFonts w:ascii="Arial" w:cs="Arial" w:eastAsia="Arial" w:hAnsi="Arial"/>
                <w:sz w:val="12"/>
                <w:szCs w:val="12"/>
                <w:color w:val="auto"/>
                <w:w w:val="89"/>
              </w:rPr>
              <w:t>170</w:t>
            </w:r>
          </w:p>
        </w:tc>
        <w:tc>
          <w:tcPr>
            <w:tcW w:w="120" w:type="dxa"/>
            <w:vAlign w:val="bottom"/>
          </w:tcPr>
          <w:p>
            <w:pPr>
              <w:spacing w:after="0"/>
              <w:rPr>
                <w:sz w:val="14"/>
                <w:szCs w:val="14"/>
                <w:color w:val="auto"/>
              </w:rPr>
            </w:pPr>
          </w:p>
        </w:tc>
        <w:tc>
          <w:tcPr>
            <w:tcW w:w="940" w:type="dxa"/>
            <w:vAlign w:val="bottom"/>
          </w:tcPr>
          <w:p>
            <w:pPr>
              <w:jc w:val="right"/>
              <w:ind w:right="802"/>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1,084</w:t>
            </w:r>
          </w:p>
        </w:tc>
      </w:tr>
      <w:tr>
        <w:trPr>
          <w:trHeight w:val="189"/>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revenues</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r>
      <w:tr>
        <w:trPr>
          <w:trHeight w:val="171"/>
        </w:trPr>
        <w:tc>
          <w:tcPr>
            <w:tcW w:w="5280" w:type="dxa"/>
            <w:vAlign w:val="bottom"/>
          </w:tcPr>
          <w:p>
            <w:pPr>
              <w:ind w:left="100"/>
              <w:spacing w:after="0"/>
              <w:rPr>
                <w:sz w:val="20"/>
                <w:szCs w:val="20"/>
                <w:color w:val="auto"/>
              </w:rPr>
            </w:pPr>
            <w:r>
              <w:rPr>
                <w:rFonts w:ascii="Arial" w:cs="Arial" w:eastAsia="Arial" w:hAnsi="Arial"/>
                <w:sz w:val="12"/>
                <w:szCs w:val="12"/>
                <w:color w:val="auto"/>
              </w:rPr>
              <w:t>Cost of fuels</w:t>
            </w:r>
          </w:p>
        </w:tc>
        <w:tc>
          <w:tcPr>
            <w:tcW w:w="940" w:type="dxa"/>
            <w:vAlign w:val="bottom"/>
          </w:tcPr>
          <w:p>
            <w:pPr>
              <w:spacing w:after="0"/>
              <w:rPr>
                <w:sz w:val="14"/>
                <w:szCs w:val="14"/>
                <w:color w:val="auto"/>
              </w:rPr>
            </w:pP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4"/>
                <w:szCs w:val="14"/>
                <w:color w:val="auto"/>
              </w:rPr>
            </w:pP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(74)</w:t>
            </w:r>
          </w:p>
        </w:tc>
      </w:tr>
      <w:tr>
        <w:trPr>
          <w:trHeight w:val="189"/>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9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(70)</w:t>
            </w:r>
          </w:p>
        </w:tc>
      </w:tr>
      <w:tr>
        <w:trPr>
          <w:trHeight w:val="160"/>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2"/>
                <w:szCs w:val="12"/>
                <w:b w:val="1"/>
                <w:bCs w:val="1"/>
                <w:color w:val="auto"/>
              </w:rPr>
              <w:t>Gross margin</w:t>
            </w:r>
          </w:p>
        </w:tc>
        <w:tc>
          <w:tcPr>
            <w:tcW w:w="9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334</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526</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122</w:t>
            </w: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979</w:t>
            </w:r>
          </w:p>
        </w:tc>
      </w:tr>
      <w:tr>
        <w:trPr>
          <w:trHeight w:val="169"/>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9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w:t>
            </w:r>
          </w:p>
        </w:tc>
      </w:tr>
      <w:tr>
        <w:trPr>
          <w:trHeight w:val="185"/>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339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588</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125</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02"/>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w:t>
            </w:r>
          </w:p>
        </w:tc>
        <w:tc>
          <w:tcPr>
            <w:tcW w:w="3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1,049</w:t>
            </w:r>
          </w:p>
        </w:tc>
      </w:tr>
      <w:tr>
        <w:trPr>
          <w:trHeight w:val="180"/>
        </w:trPr>
        <w:tc>
          <w:tcPr>
            <w:tcW w:w="5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5280" w:type="dxa"/>
            <w:vAlign w:val="bottom"/>
          </w:tcPr>
          <w:p>
            <w:pPr>
              <w:ind w:left="20"/>
              <w:spacing w:after="0"/>
              <w:rPr>
                <w:sz w:val="20"/>
                <w:szCs w:val="20"/>
                <w:color w:val="auto"/>
              </w:rPr>
            </w:pPr>
            <w:r>
              <w:rPr>
                <w:rFonts w:ascii="Arial" w:cs="Arial" w:eastAsia="Arial" w:hAnsi="Arial"/>
                <w:sz w:val="12"/>
                <w:szCs w:val="12"/>
                <w:color w:val="auto"/>
              </w:rPr>
              <w:t>Year ended December 31, 2017</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Energy and capacity revenues</w:t>
            </w:r>
          </w:p>
        </w:tc>
        <w:tc>
          <w:tcPr>
            <w:tcW w:w="940" w:type="dxa"/>
            <w:vAlign w:val="bottom"/>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341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2"/>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150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02"/>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1,038</w:t>
            </w:r>
          </w:p>
        </w:tc>
      </w:tr>
      <w:tr>
        <w:trPr>
          <w:trHeight w:val="171"/>
        </w:trPr>
        <w:tc>
          <w:tcPr>
            <w:tcW w:w="5280" w:type="dxa"/>
            <w:vAlign w:val="bottom"/>
          </w:tcPr>
          <w:p>
            <w:pPr>
              <w:ind w:left="100"/>
              <w:spacing w:after="0"/>
              <w:rPr>
                <w:sz w:val="20"/>
                <w:szCs w:val="20"/>
                <w:color w:val="auto"/>
              </w:rPr>
            </w:pPr>
            <w:r>
              <w:rPr>
                <w:rFonts w:ascii="Arial" w:cs="Arial" w:eastAsia="Arial" w:hAnsi="Arial"/>
                <w:sz w:val="12"/>
                <w:szCs w:val="12"/>
                <w:color w:val="auto"/>
              </w:rPr>
              <w:t>Other revenues</w:t>
            </w:r>
          </w:p>
        </w:tc>
        <w:tc>
          <w:tcPr>
            <w:tcW w:w="9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40</w:t>
            </w:r>
          </w:p>
        </w:tc>
      </w:tr>
      <w:tr>
        <w:trPr>
          <w:trHeight w:val="189"/>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(63)</w:t>
            </w:r>
          </w:p>
        </w:tc>
      </w:tr>
      <w:tr>
        <w:trPr>
          <w:trHeight w:val="171"/>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(69)</w:t>
            </w:r>
          </w:p>
        </w:tc>
      </w:tr>
      <w:tr>
        <w:trPr>
          <w:trHeight w:val="169"/>
        </w:trPr>
        <w:tc>
          <w:tcPr>
            <w:tcW w:w="528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Gross margin</w:t>
            </w:r>
          </w:p>
        </w:tc>
        <w:tc>
          <w:tcPr>
            <w:tcW w:w="9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335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501</w:t>
            </w: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110</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946</w:t>
            </w:r>
          </w:p>
        </w:tc>
      </w:tr>
      <w:tr>
        <w:trPr>
          <w:trHeight w:val="169"/>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69</w:t>
            </w:r>
          </w:p>
        </w:tc>
      </w:tr>
      <w:tr>
        <w:trPr>
          <w:trHeight w:val="185"/>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9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340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563</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112</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1,015</w:t>
            </w:r>
          </w:p>
        </w:tc>
      </w:tr>
    </w:tbl>
    <w:p>
      <w:pPr>
        <w:spacing w:after="0" w:line="9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Gross margin increased by $33 million during the year ended December 31, 2018, compared to the same period in 2017, primarily due to: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20" w:type="dxa"/>
            <w:vAlign w:val="bottom"/>
            <w:gridSpan w:val="2"/>
          </w:tcPr>
          <w:p>
            <w:pPr>
              <w:ind w:left="20"/>
              <w:spacing w:after="0"/>
              <w:rPr>
                <w:sz w:val="20"/>
                <w:szCs w:val="20"/>
                <w:color w:val="auto"/>
              </w:rPr>
            </w:pPr>
            <w:r>
              <w:rPr>
                <w:rFonts w:ascii="Arial" w:cs="Arial" w:eastAsia="Arial" w:hAnsi="Arial"/>
                <w:sz w:val="11"/>
                <w:szCs w:val="11"/>
                <w:b w:val="1"/>
                <w:bCs w:val="1"/>
                <w:color w:val="auto"/>
              </w:rPr>
              <w:t>Segment</w:t>
            </w:r>
          </w:p>
        </w:tc>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Increase (Decrease)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40" w:type="dxa"/>
            <w:vAlign w:val="bottom"/>
          </w:tcPr>
          <w:p>
            <w:pPr>
              <w:ind w:left="20"/>
              <w:spacing w:after="0"/>
              <w:rPr>
                <w:sz w:val="20"/>
                <w:szCs w:val="20"/>
                <w:color w:val="auto"/>
              </w:rPr>
            </w:pPr>
            <w:r>
              <w:rPr>
                <w:rFonts w:ascii="Arial" w:cs="Arial" w:eastAsia="Arial" w:hAnsi="Arial"/>
                <w:sz w:val="11"/>
                <w:szCs w:val="11"/>
                <w:b w:val="1"/>
                <w:bCs w:val="1"/>
                <w:color w:val="auto"/>
              </w:rPr>
              <w:t>Reason for Increase</w:t>
            </w: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62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Renewables:</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40" w:type="dxa"/>
            <w:vAlign w:val="bottom"/>
          </w:tcPr>
          <w:p>
            <w:pPr>
              <w:ind w:left="20"/>
              <w:spacing w:after="0"/>
              <w:rPr>
                <w:sz w:val="20"/>
                <w:szCs w:val="20"/>
                <w:color w:val="auto"/>
              </w:rPr>
            </w:pPr>
            <w:r>
              <w:rPr>
                <w:rFonts w:ascii="Arial" w:cs="Arial" w:eastAsia="Arial" w:hAnsi="Arial"/>
                <w:sz w:val="11"/>
                <w:szCs w:val="11"/>
                <w:color w:val="auto"/>
                <w:w w:val="90"/>
              </w:rPr>
              <w:t>An increase of $15 million related to higher wind generation, primarily at the Alta Wind projects, and higher insolation, and a $7 million increase due to the Buckthorn Solar project reaching</w:t>
            </w:r>
          </w:p>
        </w:tc>
        <w:tc>
          <w:tcPr>
            <w:tcW w:w="0" w:type="dxa"/>
            <w:vAlign w:val="bottom"/>
          </w:tcPr>
          <w:p>
            <w:pPr>
              <w:spacing w:after="0"/>
              <w:rPr>
                <w:sz w:val="1"/>
                <w:szCs w:val="1"/>
                <w:color w:val="auto"/>
              </w:rPr>
            </w:pPr>
          </w:p>
        </w:tc>
      </w:tr>
      <w:tr>
        <w:trPr>
          <w:trHeight w:val="136"/>
        </w:trPr>
        <w:tc>
          <w:tcPr>
            <w:tcW w:w="1620" w:type="dxa"/>
            <w:vAlign w:val="bottom"/>
            <w:gridSpan w:val="2"/>
            <w:vMerge w:val="continue"/>
          </w:tcPr>
          <w:p>
            <w:pPr>
              <w:spacing w:after="0"/>
              <w:rPr>
                <w:sz w:val="11"/>
                <w:szCs w:val="11"/>
                <w:color w:val="auto"/>
              </w:rPr>
            </w:pPr>
          </w:p>
        </w:tc>
        <w:tc>
          <w:tcPr>
            <w:tcW w:w="1100" w:type="dxa"/>
            <w:vAlign w:val="bottom"/>
          </w:tcPr>
          <w:p>
            <w:pPr>
              <w:ind w:left="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1"/>
                <w:szCs w:val="11"/>
                <w:color w:val="auto"/>
              </w:rPr>
            </w:pPr>
          </w:p>
        </w:tc>
        <w:tc>
          <w:tcPr>
            <w:tcW w:w="8240" w:type="dxa"/>
            <w:vAlign w:val="bottom"/>
          </w:tcPr>
          <w:p>
            <w:pPr>
              <w:ind w:left="120"/>
              <w:spacing w:after="0"/>
              <w:rPr>
                <w:sz w:val="20"/>
                <w:szCs w:val="20"/>
                <w:color w:val="auto"/>
              </w:rPr>
            </w:pPr>
            <w:r>
              <w:rPr>
                <w:rFonts w:ascii="Arial" w:cs="Arial" w:eastAsia="Arial" w:hAnsi="Arial"/>
                <w:sz w:val="11"/>
                <w:szCs w:val="11"/>
                <w:color w:val="auto"/>
              </w:rPr>
              <w:t>COD in July 2018</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Thermal:</w:t>
            </w: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$7 million increase due to the acquisition of the UPMC Thermal Project, which was completed in 2018, as well as an increase of $5 million due to higher steam and chilled water usage</w:t>
            </w:r>
          </w:p>
        </w:tc>
        <w:tc>
          <w:tcPr>
            <w:tcW w:w="0" w:type="dxa"/>
            <w:vAlign w:val="bottom"/>
          </w:tcPr>
          <w:p>
            <w:pPr>
              <w:spacing w:after="0"/>
              <w:rPr>
                <w:sz w:val="1"/>
                <w:szCs w:val="1"/>
                <w:color w:val="auto"/>
              </w:rPr>
            </w:pPr>
          </w:p>
        </w:tc>
      </w:tr>
      <w:tr>
        <w:trPr>
          <w:trHeight w:val="138"/>
        </w:trPr>
        <w:tc>
          <w:tcPr>
            <w:tcW w:w="1620" w:type="dxa"/>
            <w:vAlign w:val="bottom"/>
            <w:tcBorders>
              <w:bottom w:val="single" w:sz="8" w:color="CCEEFF"/>
            </w:tcBorders>
            <w:gridSpan w:val="2"/>
            <w:vMerge w:val="continue"/>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2"/>
                <w:szCs w:val="12"/>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across the portfolio in 2018</w:t>
            </w:r>
          </w:p>
        </w:tc>
        <w:tc>
          <w:tcPr>
            <w:tcW w:w="0" w:type="dxa"/>
            <w:vAlign w:val="bottom"/>
          </w:tcPr>
          <w:p>
            <w:pPr>
              <w:spacing w:after="0"/>
              <w:rPr>
                <w:sz w:val="1"/>
                <w:szCs w:val="1"/>
                <w:color w:val="auto"/>
              </w:rPr>
            </w:pPr>
          </w:p>
        </w:tc>
      </w:tr>
      <w:tr>
        <w:trPr>
          <w:trHeight w:val="158"/>
        </w:trPr>
        <w:tc>
          <w:tcPr>
            <w:tcW w:w="1620" w:type="dxa"/>
            <w:vAlign w:val="bottom"/>
            <w:gridSpan w:val="2"/>
          </w:tcPr>
          <w:p>
            <w:pPr>
              <w:ind w:left="20"/>
              <w:spacing w:after="0"/>
              <w:rPr>
                <w:sz w:val="20"/>
                <w:szCs w:val="20"/>
                <w:color w:val="auto"/>
              </w:rPr>
            </w:pPr>
            <w:r>
              <w:rPr>
                <w:rFonts w:ascii="Arial" w:cs="Arial" w:eastAsia="Arial" w:hAnsi="Arial"/>
                <w:sz w:val="11"/>
                <w:szCs w:val="11"/>
                <w:b w:val="1"/>
                <w:bCs w:val="1"/>
                <w:color w:val="auto"/>
              </w:rPr>
              <w:t>Conventional:</w:t>
            </w:r>
          </w:p>
        </w:tc>
        <w:tc>
          <w:tcPr>
            <w:tcW w:w="110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240" w:type="dxa"/>
            <w:vAlign w:val="bottom"/>
          </w:tcPr>
          <w:p>
            <w:pPr>
              <w:ind w:left="20"/>
              <w:spacing w:after="0"/>
              <w:rPr>
                <w:sz w:val="20"/>
                <w:szCs w:val="20"/>
                <w:color w:val="auto"/>
              </w:rPr>
            </w:pPr>
            <w:r>
              <w:rPr>
                <w:rFonts w:ascii="Arial" w:cs="Arial" w:eastAsia="Arial" w:hAnsi="Arial"/>
                <w:sz w:val="11"/>
                <w:szCs w:val="11"/>
                <w:color w:val="auto"/>
              </w:rPr>
              <w:t>Decrease due to an emission credit reimbursement in 2017</w:t>
            </w:r>
          </w:p>
        </w:tc>
        <w:tc>
          <w:tcPr>
            <w:tcW w:w="0" w:type="dxa"/>
            <w:vAlign w:val="bottom"/>
          </w:tcPr>
          <w:p>
            <w:pPr>
              <w:spacing w:after="0"/>
              <w:rPr>
                <w:sz w:val="1"/>
                <w:szCs w:val="1"/>
                <w:color w:val="auto"/>
              </w:rPr>
            </w:pPr>
          </w:p>
        </w:tc>
      </w:tr>
      <w:tr>
        <w:trPr>
          <w:trHeight w:val="22"/>
        </w:trPr>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12"/>
                <w:szCs w:val="12"/>
                <w:color w:val="auto"/>
              </w:rPr>
            </w:pPr>
          </w:p>
        </w:tc>
        <w:tc>
          <w:tcPr>
            <w:tcW w:w="8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514" w:right="1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i w:val="1"/>
          <w:iCs w:val="1"/>
          <w:color w:val="auto"/>
        </w:rPr>
        <w:t>Operations and Maintenance Expense</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Operations and maintenance expense decreased by $8 million during the year ended December 31, 2018 compared to the same period in 2017, primarily due 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Segment</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w w:val="96"/>
              </w:rPr>
              <w:t>Increase (Decrease)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80" w:type="dxa"/>
            <w:vAlign w:val="bottom"/>
          </w:tcPr>
          <w:p>
            <w:pPr>
              <w:ind w:left="20"/>
              <w:spacing w:after="0"/>
              <w:rPr>
                <w:sz w:val="20"/>
                <w:szCs w:val="20"/>
                <w:color w:val="auto"/>
              </w:rPr>
            </w:pPr>
            <w:r>
              <w:rPr>
                <w:rFonts w:ascii="Arial" w:cs="Arial" w:eastAsia="Arial" w:hAnsi="Arial"/>
                <w:sz w:val="11"/>
                <w:szCs w:val="11"/>
                <w:b w:val="1"/>
                <w:bCs w:val="1"/>
                <w:color w:val="auto"/>
              </w:rPr>
              <w:t>Reason for Increase (Decrease)</w:t>
            </w:r>
          </w:p>
        </w:tc>
      </w:tr>
      <w:tr>
        <w:trPr>
          <w:trHeight w:val="22"/>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r>
      <w:tr>
        <w:trPr>
          <w:trHeight w:val="147"/>
        </w:trPr>
        <w:tc>
          <w:tcPr>
            <w:tcW w:w="1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80" w:type="dxa"/>
            <w:vAlign w:val="bottom"/>
          </w:tcPr>
          <w:p>
            <w:pPr>
              <w:spacing w:after="0"/>
              <w:rPr>
                <w:sz w:val="12"/>
                <w:szCs w:val="12"/>
                <w:color w:val="auto"/>
              </w:rPr>
            </w:pPr>
          </w:p>
        </w:tc>
      </w:tr>
      <w:tr>
        <w:trPr>
          <w:trHeight w:val="22"/>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60"/>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Renewables</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Increase primarily driven by the Buckthorn Solar project being placed in service in July 2018</w:t>
            </w:r>
          </w:p>
        </w:tc>
      </w:tr>
      <w:tr>
        <w:trPr>
          <w:trHeight w:val="158"/>
        </w:trPr>
        <w:tc>
          <w:tcPr>
            <w:tcW w:w="1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Conventional</w:t>
            </w:r>
          </w:p>
        </w:tc>
        <w:tc>
          <w:tcPr>
            <w:tcW w:w="1040" w:type="dxa"/>
            <w:vAlign w:val="bottom"/>
          </w:tcPr>
          <w:p>
            <w:pPr>
              <w:spacing w:after="0"/>
              <w:rPr>
                <w:sz w:val="13"/>
                <w:szCs w:val="13"/>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6780" w:type="dxa"/>
            <w:vAlign w:val="bottom"/>
          </w:tcPr>
          <w:p>
            <w:pPr>
              <w:ind w:left="20"/>
              <w:spacing w:after="0"/>
              <w:rPr>
                <w:sz w:val="20"/>
                <w:szCs w:val="20"/>
                <w:color w:val="auto"/>
              </w:rPr>
            </w:pPr>
            <w:r>
              <w:rPr>
                <w:rFonts w:ascii="Arial" w:cs="Arial" w:eastAsia="Arial" w:hAnsi="Arial"/>
                <w:sz w:val="11"/>
                <w:szCs w:val="11"/>
                <w:color w:val="auto"/>
              </w:rPr>
              <w:t>Lower outages in 2018 compared to 2017</w:t>
            </w: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r>
      <w:tr>
        <w:trPr>
          <w:trHeight w:val="149"/>
        </w:trPr>
        <w:tc>
          <w:tcPr>
            <w:tcW w:w="1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shd w:val="clear" w:color="auto" w:fill="CCEEFF"/>
          </w:tcPr>
          <w:p>
            <w:pPr>
              <w:spacing w:after="0"/>
              <w:rPr>
                <w:sz w:val="12"/>
                <w:szCs w:val="12"/>
                <w:color w:val="auto"/>
              </w:rPr>
            </w:pPr>
          </w:p>
        </w:tc>
        <w:tc>
          <w:tcPr>
            <w:tcW w:w="6780" w:type="dxa"/>
            <w:vAlign w:val="bottom"/>
            <w:tcBorders>
              <w:bottom w:val="single" w:sz="8" w:color="CCEEFF"/>
            </w:tcBorders>
            <w:shd w:val="clear" w:color="auto" w:fill="CCEEFF"/>
          </w:tcPr>
          <w:p>
            <w:pPr>
              <w:spacing w:after="0"/>
              <w:rPr>
                <w:sz w:val="12"/>
                <w:szCs w:val="12"/>
                <w:color w:val="auto"/>
              </w:rPr>
            </w:pPr>
          </w:p>
        </w:tc>
      </w:tr>
      <w:tr>
        <w:trPr>
          <w:trHeight w:val="27"/>
        </w:trPr>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78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Losses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recorded impairment losses of $44 million for the years ended December 31, 2017.</w:t>
      </w:r>
    </w:p>
    <w:p>
      <w:pPr>
        <w:spacing w:after="0" w:line="114"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56"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For further discussion see Item 15 </w:t>
      </w:r>
      <w:r>
        <w:rPr>
          <w:rFonts w:ascii="Arial" w:cs="Arial" w:eastAsia="Arial" w:hAnsi="Arial"/>
          <w:sz w:val="12"/>
          <w:szCs w:val="12"/>
          <w:i w:val="1"/>
          <w:iCs w:val="1"/>
          <w:color w:val="auto"/>
        </w:rPr>
        <w:t>—</w:t>
      </w:r>
      <w:r>
        <w:rPr>
          <w:rFonts w:ascii="Arial" w:cs="Arial" w:eastAsia="Arial" w:hAnsi="Arial"/>
          <w:sz w:val="12"/>
          <w:szCs w:val="12"/>
          <w:color w:val="auto"/>
        </w:rPr>
        <w:t xml:space="preserve"> Note 9, </w:t>
      </w:r>
      <w:r>
        <w:rPr>
          <w:rFonts w:ascii="Arial" w:cs="Arial" w:eastAsia="Arial" w:hAnsi="Arial"/>
          <w:sz w:val="12"/>
          <w:szCs w:val="12"/>
          <w:i w:val="1"/>
          <w:iCs w:val="1"/>
          <w:color w:val="auto"/>
        </w:rPr>
        <w:t>Asset Impairments</w:t>
      </w:r>
      <w:r>
        <w:rPr>
          <w:rFonts w:ascii="Arial" w:cs="Arial" w:eastAsia="Arial" w:hAnsi="Arial"/>
          <w:sz w:val="12"/>
          <w:szCs w:val="12"/>
          <w:color w:val="auto"/>
        </w:rPr>
        <w:t xml:space="preserve">, to the Consolidated Financial Statements, as well as in </w:t>
      </w:r>
      <w:r>
        <w:rPr>
          <w:rFonts w:ascii="Arial" w:cs="Arial" w:eastAsia="Arial" w:hAnsi="Arial"/>
          <w:sz w:val="12"/>
          <w:szCs w:val="12"/>
          <w:i w:val="1"/>
          <w:iCs w:val="1"/>
          <w:color w:val="auto"/>
        </w:rPr>
        <w:t>Critical Accounting Policies and Estimates</w:t>
      </w:r>
      <w:r>
        <w:rPr>
          <w:rFonts w:ascii="Arial" w:cs="Arial" w:eastAsia="Arial" w:hAnsi="Arial"/>
          <w:sz w:val="12"/>
          <w:szCs w:val="12"/>
          <w:color w:val="auto"/>
        </w:rPr>
        <w:t xml:space="preserve"> in this Item 7.</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Acquisition-Related Transaction and Integration Costs</w:t>
      </w:r>
    </w:p>
    <w:p>
      <w:pPr>
        <w:spacing w:after="0" w:line="114" w:lineRule="exact"/>
        <w:rPr>
          <w:sz w:val="20"/>
          <w:szCs w:val="20"/>
          <w:color w:val="auto"/>
        </w:rPr>
      </w:pPr>
    </w:p>
    <w:p>
      <w:pPr>
        <w:ind w:right="140" w:firstLine="270"/>
        <w:spacing w:after="0" w:line="276" w:lineRule="auto"/>
        <w:rPr>
          <w:sz w:val="20"/>
          <w:szCs w:val="20"/>
          <w:color w:val="auto"/>
        </w:rPr>
      </w:pPr>
      <w:r>
        <w:rPr>
          <w:rFonts w:ascii="Arial" w:cs="Arial" w:eastAsia="Arial" w:hAnsi="Arial"/>
          <w:sz w:val="12"/>
          <w:szCs w:val="12"/>
          <w:color w:val="auto"/>
        </w:rPr>
        <w:t xml:space="preserve">Acquisition-related transaction and integration costs of $20 million during the year ended December 31, 2018, reflect fees paid to advisors and other costs associated with the GIP Transaction, as well as fees paid in connection with the acquisitions that took place in 2018, as further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 Costs</w:t>
      </w:r>
    </w:p>
    <w:p>
      <w:pPr>
        <w:spacing w:after="0" w:line="141" w:lineRule="exact"/>
        <w:rPr>
          <w:sz w:val="20"/>
          <w:szCs w:val="20"/>
          <w:color w:val="auto"/>
        </w:rPr>
      </w:pPr>
    </w:p>
    <w:p>
      <w:pPr>
        <w:ind w:right="240" w:firstLine="270"/>
        <w:spacing w:after="0" w:line="276" w:lineRule="auto"/>
        <w:rPr>
          <w:sz w:val="20"/>
          <w:szCs w:val="20"/>
          <w:color w:val="auto"/>
        </w:rPr>
      </w:pPr>
      <w:r>
        <w:rPr>
          <w:rFonts w:ascii="Arial" w:cs="Arial" w:eastAsia="Arial" w:hAnsi="Arial"/>
          <w:sz w:val="12"/>
          <w:szCs w:val="12"/>
          <w:color w:val="auto"/>
        </w:rPr>
        <w:t>The Company incurred $3 million of development cost expense during the year ended December 31, 2018. A total of $2 million of it was for the business development, personnel and benefits costs related to development projects within the Company's Thermal segment.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of Unconsolidated Affiliates</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Equity in earnings of unconsolidated affiliates increased by $3 million during the year ended December 31, 2018, compared to the same period in 2017, primarily due to income allocated to the Company in DGPV Holdco 3, which was formed in September 2017, partially offset by losses allocated to the company in RPV Holdco and the Utah Solar Portfolio. The HLBV method of accounting generally allocates more losses to the tax equity investors in the first several years after fund formation, and conversely, more income to the Company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518" w:right="19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Interest expense decreased by $1 million during the year ended December 31, 2018 compared to the same period in 2017 due to:</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970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140" w:type="dxa"/>
            <w:vAlign w:val="bottom"/>
          </w:tcPr>
          <w:p>
            <w:pPr>
              <w:ind w:left="20"/>
              <w:spacing w:after="0"/>
              <w:rPr>
                <w:sz w:val="20"/>
                <w:szCs w:val="20"/>
                <w:color w:val="auto"/>
              </w:rPr>
            </w:pPr>
            <w:r>
              <w:rPr>
                <w:rFonts w:ascii="Arial" w:cs="Arial" w:eastAsia="Arial" w:hAnsi="Arial"/>
                <w:sz w:val="10"/>
                <w:szCs w:val="10"/>
                <w:b w:val="1"/>
                <w:bCs w:val="1"/>
                <w:color w:val="auto"/>
              </w:rPr>
              <w:t>Increase (Decrease)</w:t>
            </w:r>
          </w:p>
        </w:tc>
        <w:tc>
          <w:tcPr>
            <w:tcW w:w="580" w:type="dxa"/>
            <w:vAlign w:val="bottom"/>
          </w:tcPr>
          <w:p>
            <w:pPr>
              <w:spacing w:after="0"/>
              <w:rPr>
                <w:sz w:val="11"/>
                <w:szCs w:val="11"/>
                <w:color w:val="auto"/>
              </w:rPr>
            </w:pPr>
          </w:p>
        </w:tc>
      </w:tr>
      <w:tr>
        <w:trPr>
          <w:trHeight w:val="164"/>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Normal amortization of project-level debt</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r>
      <w:tr>
        <w:trPr>
          <w:trHeight w:val="158"/>
        </w:trPr>
        <w:tc>
          <w:tcPr>
            <w:tcW w:w="9700" w:type="dxa"/>
            <w:vAlign w:val="bottom"/>
          </w:tcPr>
          <w:p>
            <w:pPr>
              <w:ind w:left="20"/>
              <w:spacing w:after="0"/>
              <w:rPr>
                <w:sz w:val="20"/>
                <w:szCs w:val="20"/>
                <w:color w:val="auto"/>
              </w:rPr>
            </w:pPr>
            <w:r>
              <w:rPr>
                <w:rFonts w:ascii="Arial" w:cs="Arial" w:eastAsia="Arial" w:hAnsi="Arial"/>
                <w:sz w:val="11"/>
                <w:szCs w:val="11"/>
                <w:color w:val="auto"/>
                <w:w w:val="93"/>
              </w:rPr>
              <w:t>Issuance of 2025 Senior Notes, partially offset by lower interest expense for the 2019 Convertible Notes and 2020 Convertible Notes, which were partially repaid in connection with the tender offer in October 2018</w:t>
            </w:r>
          </w:p>
        </w:tc>
        <w:tc>
          <w:tcPr>
            <w:tcW w:w="11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r>
      <w:tr>
        <w:trPr>
          <w:trHeight w:val="22"/>
        </w:trPr>
        <w:tc>
          <w:tcPr>
            <w:tcW w:w="9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Change in mark-market of interest rate swaps</w:t>
            </w:r>
          </w:p>
        </w:tc>
        <w:tc>
          <w:tcPr>
            <w:tcW w:w="1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r>
      <w:tr>
        <w:trPr>
          <w:trHeight w:val="158"/>
        </w:trPr>
        <w:tc>
          <w:tcPr>
            <w:tcW w:w="9700" w:type="dxa"/>
            <w:vAlign w:val="bottom"/>
          </w:tcPr>
          <w:p>
            <w:pPr>
              <w:ind w:left="20"/>
              <w:spacing w:after="0"/>
              <w:rPr>
                <w:sz w:val="20"/>
                <w:szCs w:val="20"/>
                <w:color w:val="auto"/>
              </w:rPr>
            </w:pPr>
            <w:r>
              <w:rPr>
                <w:rFonts w:ascii="Arial" w:cs="Arial" w:eastAsia="Arial" w:hAnsi="Arial"/>
                <w:sz w:val="11"/>
                <w:szCs w:val="11"/>
                <w:color w:val="auto"/>
              </w:rPr>
              <w:t>Issuance of Energy Center Minneapolis Series E, F, G, H Notes in June 2018 and additional interest expense for the Buckthorn Solar project-level debt</w:t>
            </w:r>
          </w:p>
        </w:tc>
        <w:tc>
          <w:tcPr>
            <w:tcW w:w="11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r>
      <w:tr>
        <w:trPr>
          <w:trHeight w:val="22"/>
        </w:trPr>
        <w:tc>
          <w:tcPr>
            <w:tcW w:w="9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8"/>
        </w:trPr>
        <w:tc>
          <w:tcPr>
            <w:tcW w:w="9700" w:type="dxa"/>
            <w:vAlign w:val="bottom"/>
          </w:tcPr>
          <w:p>
            <w:pPr>
              <w:spacing w:after="0"/>
              <w:rPr>
                <w:sz w:val="12"/>
                <w:szCs w:val="12"/>
                <w:color w:val="auto"/>
              </w:rPr>
            </w:pPr>
          </w:p>
        </w:tc>
        <w:tc>
          <w:tcPr>
            <w:tcW w:w="114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w:t>
            </w:r>
          </w:p>
        </w:tc>
      </w:tr>
      <w:tr>
        <w:trPr>
          <w:trHeight w:val="29"/>
        </w:trPr>
        <w:tc>
          <w:tcPr>
            <w:tcW w:w="9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1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For the year ended December 31, 2018, the Company recorded an income tax expense of $62 million on pretax income of $116 million. For the same period in 2017, the Company recorded an income tax expense of $72 million on pretax income of $48 million. For the year ended December 31, 2018, the overall effective tax rate was different than the statutory rate of 21% primarily due to higher state income tax rates following the Company’s separation from NRG as well as taxable earnings and losses allocated to partners’ interest in Clearway Energy LLC which includes the effects of applying the hypothetical liquidation at book value , or HLBV, method of accounting for book purposes to certain partnerships. The Company has completed the accounting for all of the income tax effects related to the Tax Cuts and Jobs Act which resulted in no material adjustments in 2018 to the provisional amounts recorded as of December 31, 2017.</w:t>
      </w:r>
    </w:p>
    <w:p>
      <w:pPr>
        <w:spacing w:after="0" w:line="9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For the year ended December 31, 2017, the overall effective tax rate was different than the statutory rate of 35% primarily due to tax expense recorded from the revaluation of the existing net deferred tax asset pursuant to the reduction in the corporate income tax rate to 21% in accordance with the Tax Cuts and Jobs Act. In December 2017, the SEC staff issued Staff Accounting Bulletin No. 118, which addresses how a company may recognize provisional amounts for the effect of the changes related to the Tax Act. Consistent with that guidance, the Company recognized provisional amounts at December 31, 2017, based upon our interpretation of the tax laws and estimates which require significant judgments.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 reconciliation of the U.S. federal statutory rate of 21% and 35% to the Company's effective rate is as follows: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28"/>
        </w:trPr>
        <w:tc>
          <w:tcPr>
            <w:tcW w:w="77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w w:val="92"/>
              </w:rPr>
              <w:t>Year Ended December 31,</w:t>
            </w:r>
          </w:p>
        </w:tc>
        <w:tc>
          <w:tcPr>
            <w:tcW w:w="940" w:type="dxa"/>
            <w:vAlign w:val="bottom"/>
            <w:tcBorders>
              <w:bottom w:val="single" w:sz="8" w:color="auto"/>
            </w:tcBorders>
          </w:tcPr>
          <w:p>
            <w:pPr>
              <w:spacing w:after="0"/>
              <w:rPr>
                <w:sz w:val="11"/>
                <w:szCs w:val="1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rPr>
              <w:t>2017</w:t>
            </w:r>
          </w:p>
        </w:tc>
      </w:tr>
      <w:tr>
        <w:trPr>
          <w:trHeight w:val="124"/>
        </w:trPr>
        <w:tc>
          <w:tcPr>
            <w:tcW w:w="7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(In millions)</w:t>
            </w:r>
          </w:p>
        </w:tc>
        <w:tc>
          <w:tcPr>
            <w:tcW w:w="940" w:type="dxa"/>
            <w:vAlign w:val="bottom"/>
          </w:tcPr>
          <w:p>
            <w:pPr>
              <w:spacing w:after="0"/>
              <w:rPr>
                <w:sz w:val="10"/>
                <w:szCs w:val="10"/>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96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116</w:t>
            </w:r>
          </w:p>
        </w:tc>
        <w:tc>
          <w:tcPr>
            <w:tcW w:w="6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r>
      <w:tr>
        <w:trPr>
          <w:trHeight w:val="138"/>
        </w:trPr>
        <w:tc>
          <w:tcPr>
            <w:tcW w:w="7720" w:type="dxa"/>
            <w:vAlign w:val="bottom"/>
          </w:tcPr>
          <w:p>
            <w:pPr>
              <w:ind w:left="20"/>
              <w:spacing w:after="0"/>
              <w:rPr>
                <w:sz w:val="20"/>
                <w:szCs w:val="20"/>
                <w:color w:val="auto"/>
              </w:rPr>
            </w:pPr>
            <w:r>
              <w:rPr>
                <w:rFonts w:ascii="Arial" w:cs="Arial" w:eastAsia="Arial" w:hAnsi="Arial"/>
                <w:sz w:val="11"/>
                <w:szCs w:val="11"/>
                <w:color w:val="auto"/>
              </w:rPr>
              <w:t>Tax at 21%/35%</w:t>
            </w:r>
          </w:p>
        </w:tc>
        <w:tc>
          <w:tcPr>
            <w:tcW w:w="9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w:t>
            </w:r>
          </w:p>
        </w:tc>
      </w:tr>
      <w:tr>
        <w:trPr>
          <w:trHeight w:val="22"/>
        </w:trPr>
        <w:tc>
          <w:tcPr>
            <w:tcW w:w="7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State taxes, net of federal benefit</w:t>
            </w:r>
          </w:p>
        </w:tc>
        <w:tc>
          <w:tcPr>
            <w:tcW w:w="9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r>
      <w:tr>
        <w:trPr>
          <w:trHeight w:val="158"/>
        </w:trPr>
        <w:tc>
          <w:tcPr>
            <w:tcW w:w="7720" w:type="dxa"/>
            <w:vAlign w:val="bottom"/>
          </w:tcPr>
          <w:p>
            <w:pPr>
              <w:ind w:left="120"/>
              <w:spacing w:after="0"/>
              <w:rPr>
                <w:sz w:val="20"/>
                <w:szCs w:val="20"/>
                <w:color w:val="auto"/>
              </w:rPr>
            </w:pPr>
            <w:r>
              <w:rPr>
                <w:rFonts w:ascii="Arial" w:cs="Arial" w:eastAsia="Arial" w:hAnsi="Arial"/>
                <w:sz w:val="11"/>
                <w:szCs w:val="11"/>
                <w:color w:val="auto"/>
              </w:rPr>
              <w:t>Deferred state rate change due to deconsolidation from NRG</w:t>
            </w:r>
          </w:p>
        </w:tc>
        <w:tc>
          <w:tcPr>
            <w:tcW w:w="960" w:type="dxa"/>
            <w:vAlign w:val="bottom"/>
          </w:tcPr>
          <w:p>
            <w:pPr>
              <w:spacing w:after="0"/>
              <w:rPr>
                <w:sz w:val="13"/>
                <w:szCs w:val="13"/>
                <w:color w:val="auto"/>
              </w:rPr>
            </w:pPr>
          </w:p>
        </w:tc>
        <w:tc>
          <w:tcPr>
            <w:tcW w:w="560" w:type="dxa"/>
            <w:vAlign w:val="bottom"/>
          </w:tcPr>
          <w:p>
            <w:pPr>
              <w:jc w:val="right"/>
              <w:ind w:right="47"/>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7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Tax Cuts and Jobs Act - tax rate change</w:t>
            </w:r>
          </w:p>
        </w:tc>
        <w:tc>
          <w:tcPr>
            <w:tcW w:w="9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r>
      <w:tr>
        <w:trPr>
          <w:trHeight w:val="158"/>
        </w:trPr>
        <w:tc>
          <w:tcPr>
            <w:tcW w:w="7720" w:type="dxa"/>
            <w:vAlign w:val="bottom"/>
          </w:tcPr>
          <w:p>
            <w:pPr>
              <w:ind w:left="120"/>
              <w:spacing w:after="0"/>
              <w:rPr>
                <w:sz w:val="20"/>
                <w:szCs w:val="20"/>
                <w:color w:val="auto"/>
              </w:rPr>
            </w:pPr>
            <w:r>
              <w:rPr>
                <w:rFonts w:ascii="Arial" w:cs="Arial" w:eastAsia="Arial" w:hAnsi="Arial"/>
                <w:sz w:val="11"/>
                <w:szCs w:val="11"/>
                <w:color w:val="auto"/>
              </w:rPr>
              <w:t>Impact of non-taxable partnership earnings</w:t>
            </w:r>
          </w:p>
        </w:tc>
        <w:tc>
          <w:tcPr>
            <w:tcW w:w="960" w:type="dxa"/>
            <w:vAlign w:val="bottom"/>
          </w:tcPr>
          <w:p>
            <w:pPr>
              <w:spacing w:after="0"/>
              <w:rPr>
                <w:sz w:val="13"/>
                <w:szCs w:val="13"/>
                <w:color w:val="auto"/>
              </w:rPr>
            </w:pPr>
          </w:p>
        </w:tc>
        <w:tc>
          <w:tcPr>
            <w:tcW w:w="560" w:type="dxa"/>
            <w:vAlign w:val="bottom"/>
          </w:tcPr>
          <w:p>
            <w:pPr>
              <w:jc w:val="right"/>
              <w:ind w:right="47"/>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(9)</w:t>
            </w:r>
          </w:p>
        </w:tc>
      </w:tr>
      <w:tr>
        <w:trPr>
          <w:trHeight w:val="22"/>
        </w:trPr>
        <w:tc>
          <w:tcPr>
            <w:tcW w:w="7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Investment tax credits</w:t>
            </w:r>
          </w:p>
        </w:tc>
        <w:tc>
          <w:tcPr>
            <w:tcW w:w="9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r>
      <w:tr>
        <w:trPr>
          <w:trHeight w:val="158"/>
        </w:trPr>
        <w:tc>
          <w:tcPr>
            <w:tcW w:w="7720" w:type="dxa"/>
            <w:vAlign w:val="bottom"/>
          </w:tcPr>
          <w:p>
            <w:pPr>
              <w:ind w:left="120"/>
              <w:spacing w:after="0"/>
              <w:rPr>
                <w:sz w:val="20"/>
                <w:szCs w:val="20"/>
                <w:color w:val="auto"/>
              </w:rPr>
            </w:pPr>
            <w:r>
              <w:rPr>
                <w:rFonts w:ascii="Arial" w:cs="Arial" w:eastAsia="Arial" w:hAnsi="Arial"/>
                <w:sz w:val="11"/>
                <w:szCs w:val="11"/>
                <w:color w:val="auto"/>
              </w:rPr>
              <w:t>Production tax credits, including prior year true-up</w:t>
            </w:r>
          </w:p>
        </w:tc>
        <w:tc>
          <w:tcPr>
            <w:tcW w:w="96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22"/>
        </w:trPr>
        <w:tc>
          <w:tcPr>
            <w:tcW w:w="7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Valuation allowance adjustment</w:t>
            </w:r>
          </w:p>
        </w:tc>
        <w:tc>
          <w:tcPr>
            <w:tcW w:w="9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7720" w:type="dxa"/>
            <w:vAlign w:val="bottom"/>
          </w:tcPr>
          <w:p>
            <w:pPr>
              <w:ind w:left="120"/>
              <w:spacing w:after="0"/>
              <w:rPr>
                <w:sz w:val="20"/>
                <w:szCs w:val="20"/>
                <w:color w:val="auto"/>
              </w:rPr>
            </w:pPr>
            <w:r>
              <w:rPr>
                <w:rFonts w:ascii="Arial" w:cs="Arial" w:eastAsia="Arial" w:hAnsi="Arial"/>
                <w:sz w:val="11"/>
                <w:szCs w:val="11"/>
                <w:color w:val="auto"/>
              </w:rPr>
              <w:t>Other</w:t>
            </w:r>
          </w:p>
        </w:tc>
        <w:tc>
          <w:tcPr>
            <w:tcW w:w="960" w:type="dxa"/>
            <w:vAlign w:val="bottom"/>
          </w:tcPr>
          <w:p>
            <w:pPr>
              <w:spacing w:after="0"/>
              <w:rPr>
                <w:sz w:val="13"/>
                <w:szCs w:val="13"/>
                <w:color w:val="auto"/>
              </w:rPr>
            </w:pPr>
          </w:p>
        </w:tc>
        <w:tc>
          <w:tcPr>
            <w:tcW w:w="560" w:type="dxa"/>
            <w:vAlign w:val="bottom"/>
          </w:tcPr>
          <w:p>
            <w:pPr>
              <w:jc w:val="right"/>
              <w:ind w:right="47"/>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7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7"/>
        </w:trPr>
        <w:tc>
          <w:tcPr>
            <w:tcW w:w="7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960" w:type="dxa"/>
            <w:vAlign w:val="bottom"/>
            <w:shd w:val="clear" w:color="auto" w:fill="CCEEFF"/>
          </w:tcPr>
          <w:p>
            <w:pPr>
              <w:jc w:val="right"/>
              <w:ind w:right="828"/>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62</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r>
      <w:tr>
        <w:trPr>
          <w:trHeight w:val="149"/>
        </w:trPr>
        <w:tc>
          <w:tcPr>
            <w:tcW w:w="772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Effective income tax rate</w:t>
            </w:r>
          </w:p>
        </w:tc>
        <w:tc>
          <w:tcPr>
            <w:tcW w:w="9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53%</w:t>
            </w: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w:t>
            </w:r>
          </w:p>
        </w:tc>
      </w:tr>
    </w:tbl>
    <w:p>
      <w:pPr>
        <w:spacing w:after="0" w:line="22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518"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i w:val="1"/>
          <w:iCs w:val="1"/>
          <w:color w:val="auto"/>
        </w:rPr>
        <w:t>Net (Loss) Income Attributable to Noncontrolling Interests</w:t>
      </w:r>
    </w:p>
    <w:p>
      <w:pPr>
        <w:spacing w:after="0" w:line="1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2"/>
          <w:szCs w:val="12"/>
          <w:color w:val="auto"/>
        </w:rPr>
        <w:t>For the year ended December 31, 2018, income attributable to noncontrolling interests of $2 million was comprised of income of $106 million, of which $104 million was attributable to NRG for the period prior to the GIP Transaction and $2 million was attributable to CEG for the period after the GIP Transaction, and losses of $104 million attributable to tax equity investors. These losses were attributable to the application of HLBV, which generally allocates losses to the investors for the first several years after fund formation, including $55 million for the Buckthorn Solar project which generated tax credits allocated primarily to the tax equity investor when it reached COD in July 2018.</w:t>
      </w:r>
    </w:p>
    <w:p>
      <w:pPr>
        <w:spacing w:after="0" w:line="89"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For the year ended December 31, 2017, the Company had income of $60 million attributable to NRG's interest in the Company and a loss of $75 million attributable to noncontrolling interests with respect to its tax equity financing arrangements and the application of the HLBV method, which was primarily related to the impairment losses described above.</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80"/>
          </w:cols>
          <w:pgMar w:left="220" w:top="518" w:right="299" w:bottom="1440" w:gutter="0" w:footer="0" w:header="0"/>
        </w:sectPr>
      </w:pPr>
    </w:p>
    <w:bookmarkStart w:id="52" w:name="page53"/>
    <w:bookmarkEnd w:id="52"/>
    <w:p>
      <w:pPr>
        <w:ind w:left="168"/>
        <w:spacing w:after="0"/>
        <w:rPr>
          <w:sz w:val="20"/>
          <w:szCs w:val="20"/>
          <w:color w:val="auto"/>
        </w:rPr>
      </w:pPr>
      <w:r>
        <w:rPr>
          <w:rFonts w:ascii="Arial" w:cs="Arial" w:eastAsia="Arial" w:hAnsi="Arial"/>
          <w:sz w:val="12"/>
          <w:szCs w:val="12"/>
          <w:b w:val="1"/>
          <w:bCs w:val="1"/>
          <w:color w:val="auto"/>
        </w:rPr>
        <w:t>Consolidated Results of Operations</w:t>
      </w:r>
    </w:p>
    <w:p>
      <w:pPr>
        <w:spacing w:after="0" w:line="118" w:lineRule="exact"/>
        <w:rPr>
          <w:sz w:val="20"/>
          <w:szCs w:val="20"/>
          <w:color w:val="auto"/>
        </w:rPr>
      </w:pPr>
    </w:p>
    <w:p>
      <w:pPr>
        <w:ind w:left="228"/>
        <w:spacing w:after="0"/>
        <w:rPr>
          <w:sz w:val="20"/>
          <w:szCs w:val="20"/>
          <w:color w:val="auto"/>
        </w:rPr>
      </w:pPr>
      <w:r>
        <w:rPr>
          <w:rFonts w:ascii="Arial" w:cs="Arial" w:eastAsia="Arial" w:hAnsi="Arial"/>
          <w:sz w:val="12"/>
          <w:szCs w:val="12"/>
          <w:b w:val="1"/>
          <w:bCs w:val="1"/>
          <w:i w:val="1"/>
          <w:iCs w:val="1"/>
          <w:color w:val="auto"/>
        </w:rPr>
        <w:t>2017 compared to 2016</w:t>
      </w:r>
    </w:p>
    <w:p>
      <w:pPr>
        <w:spacing w:after="0" w:line="114" w:lineRule="exact"/>
        <w:rPr>
          <w:sz w:val="20"/>
          <w:szCs w:val="20"/>
          <w:color w:val="auto"/>
        </w:rPr>
      </w:pPr>
    </w:p>
    <w:p>
      <w:pPr>
        <w:ind w:left="388"/>
        <w:spacing w:after="0"/>
        <w:rPr>
          <w:sz w:val="20"/>
          <w:szCs w:val="20"/>
          <w:color w:val="auto"/>
        </w:rPr>
      </w:pPr>
      <w:r>
        <w:rPr>
          <w:rFonts w:ascii="Arial" w:cs="Arial" w:eastAsia="Arial" w:hAnsi="Arial"/>
          <w:sz w:val="12"/>
          <w:szCs w:val="12"/>
          <w:color w:val="auto"/>
        </w:rPr>
        <w:t>The following table provides selected financial information:</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w w:val="93"/>
              </w:rPr>
              <w:t>Year ended December 31,</w:t>
            </w: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6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w w:val="81"/>
              </w:rPr>
              <w:t>Change</w:t>
            </w:r>
          </w:p>
        </w:tc>
      </w:tr>
      <w:tr>
        <w:trPr>
          <w:trHeight w:val="173"/>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1,038</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1,065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(27)</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revenues</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r>
      <w:tr>
        <w:trPr>
          <w:trHeight w:val="171"/>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(69)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78"/>
        </w:trPr>
        <w:tc>
          <w:tcPr>
            <w:tcW w:w="8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revenues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1,035</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(26)</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Emissions credit amortization</w:t>
            </w:r>
          </w:p>
        </w:tc>
        <w:tc>
          <w:tcPr>
            <w:tcW w:w="2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(6)</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Operations and maintenance</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Other costs of operations</w:t>
            </w:r>
          </w:p>
        </w:tc>
        <w:tc>
          <w:tcPr>
            <w:tcW w:w="2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65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Impairment losses</w:t>
            </w:r>
          </w:p>
        </w:tc>
        <w:tc>
          <w:tcPr>
            <w:tcW w:w="2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185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(141)</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1"/>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Acquisition-related transaction and integration costs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w:t>
            </w:r>
          </w:p>
        </w:tc>
      </w:tr>
      <w:tr>
        <w:trPr>
          <w:trHeight w:val="178"/>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operating costs and expenses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813</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(87)</w:t>
            </w:r>
          </w:p>
        </w:tc>
      </w:tr>
      <w:tr>
        <w:trPr>
          <w:trHeight w:val="16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Operating Income</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283</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222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w:t>
            </w:r>
          </w:p>
        </w:tc>
      </w:tr>
      <w:tr>
        <w:trPr>
          <w:trHeight w:val="178"/>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60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11</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income, net</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Loss on debt extinguishment</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3</w:t>
            </w:r>
          </w:p>
        </w:tc>
      </w:tr>
      <w:tr>
        <w:trPr>
          <w:trHeight w:val="180"/>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(284)</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r>
      <w:tr>
        <w:trPr>
          <w:trHeight w:val="169"/>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other expense, net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(235)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(221)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(14)</w:t>
            </w:r>
          </w:p>
        </w:tc>
      </w:tr>
      <w:tr>
        <w:trPr>
          <w:trHeight w:val="178"/>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w:t>
            </w:r>
          </w:p>
        </w:tc>
      </w:tr>
      <w:tr>
        <w:trPr>
          <w:trHeight w:val="171"/>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Income tax expense (benefit)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73</w:t>
            </w:r>
          </w:p>
        </w:tc>
      </w:tr>
      <w:tr>
        <w:trPr>
          <w:trHeight w:val="16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(26)</w:t>
            </w:r>
          </w:p>
        </w:tc>
      </w:tr>
      <w:tr>
        <w:trPr>
          <w:trHeight w:val="169"/>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Pre-acquisition net income (loss) of Drop Down Assets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w:t>
            </w:r>
          </w:p>
        </w:tc>
      </w:tr>
      <w:tr>
        <w:trPr>
          <w:trHeight w:val="16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Excluding Pre-acquisition Net (Loss) Income of Drop Down Assets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(37)</w:t>
            </w:r>
          </w:p>
        </w:tc>
      </w:tr>
      <w:tr>
        <w:trPr>
          <w:trHeight w:val="169"/>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Net loss attributable to noncontrolling interests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(36)</w:t>
            </w: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Clearway Energy, Inc.</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(73)</w:t>
            </w:r>
          </w:p>
        </w:tc>
      </w:tr>
      <w:tr>
        <w:trPr>
          <w:trHeight w:val="323"/>
        </w:trPr>
        <w:tc>
          <w:tcPr>
            <w:tcW w:w="8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17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Business metrics:</w:t>
            </w:r>
          </w:p>
        </w:tc>
        <w:tc>
          <w:tcPr>
            <w:tcW w:w="2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w w:val="80"/>
              </w:rPr>
              <w:t>2016</w:t>
            </w:r>
          </w:p>
        </w:tc>
      </w:tr>
      <w:tr>
        <w:trPr>
          <w:trHeight w:val="173"/>
        </w:trPr>
        <w:tc>
          <w:tcPr>
            <w:tcW w:w="8160" w:type="dxa"/>
            <w:vAlign w:val="bottom"/>
            <w:shd w:val="clear" w:color="auto" w:fill="CCEEFF"/>
          </w:tcPr>
          <w:p>
            <w:pPr>
              <w:ind w:left="20"/>
              <w:spacing w:after="0" w:line="173" w:lineRule="exact"/>
              <w:rPr>
                <w:sz w:val="20"/>
                <w:szCs w:val="20"/>
                <w:color w:val="auto"/>
              </w:rPr>
            </w:pPr>
            <w:r>
              <w:rPr>
                <w:rFonts w:ascii="Arial" w:cs="Arial" w:eastAsia="Arial" w:hAnsi="Arial"/>
                <w:sz w:val="12"/>
                <w:szCs w:val="12"/>
                <w:color w:val="auto"/>
              </w:rPr>
              <w:t xml:space="preserve">Renewables MWh generated/sold (in thousands) </w:t>
            </w:r>
            <w:r>
              <w:rPr>
                <w:rFonts w:ascii="Arial" w:cs="Arial" w:eastAsia="Arial" w:hAnsi="Arial"/>
                <w:sz w:val="16"/>
                <w:szCs w:val="16"/>
                <w:color w:val="auto"/>
                <w:vertAlign w:val="superscript"/>
              </w:rPr>
              <w:t>(a)</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7,291</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Thermal MWt sold (in thousands)</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81"/>
              <w:spacing w:after="0"/>
              <w:rPr>
                <w:sz w:val="20"/>
                <w:szCs w:val="20"/>
                <w:color w:val="auto"/>
              </w:rPr>
            </w:pPr>
            <w:r>
              <w:rPr>
                <w:rFonts w:ascii="Arial" w:cs="Arial" w:eastAsia="Arial" w:hAnsi="Arial"/>
                <w:sz w:val="12"/>
                <w:szCs w:val="12"/>
                <w:color w:val="auto"/>
              </w:rPr>
              <w:t>1,926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1"/>
              <w:spacing w:after="0"/>
              <w:rPr>
                <w:sz w:val="20"/>
                <w:szCs w:val="20"/>
                <w:color w:val="auto"/>
              </w:rPr>
            </w:pPr>
            <w:r>
              <w:rPr>
                <w:rFonts w:ascii="Arial" w:cs="Arial" w:eastAsia="Arial" w:hAnsi="Arial"/>
                <w:sz w:val="12"/>
                <w:szCs w:val="12"/>
                <w:color w:val="auto"/>
              </w:rPr>
              <w:t>1,966</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Thermal MWh sold (in thousands) </w:t>
            </w:r>
            <w:r>
              <w:rPr>
                <w:rFonts w:ascii="Arial" w:cs="Arial" w:eastAsia="Arial" w:hAnsi="Arial"/>
                <w:sz w:val="16"/>
                <w:szCs w:val="16"/>
                <w:color w:val="auto"/>
                <w:vertAlign w:val="superscript"/>
              </w:rPr>
              <w:t>(c)</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71</w:t>
            </w:r>
          </w:p>
        </w:tc>
      </w:tr>
      <w:tr>
        <w:trPr>
          <w:trHeight w:val="180"/>
        </w:trPr>
        <w:tc>
          <w:tcPr>
            <w:tcW w:w="816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Conventional MWh generated (in thousands) </w:t>
            </w:r>
            <w:r>
              <w:rPr>
                <w:rFonts w:ascii="Arial" w:cs="Arial" w:eastAsia="Arial" w:hAnsi="Arial"/>
                <w:sz w:val="16"/>
                <w:szCs w:val="16"/>
                <w:color w:val="auto"/>
                <w:vertAlign w:val="superscript"/>
              </w:rPr>
              <w:t>(a)(b)</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1"/>
              <w:spacing w:after="0"/>
              <w:rPr>
                <w:sz w:val="20"/>
                <w:szCs w:val="20"/>
                <w:color w:val="auto"/>
              </w:rPr>
            </w:pPr>
            <w:r>
              <w:rPr>
                <w:rFonts w:ascii="Arial" w:cs="Arial" w:eastAsia="Arial" w:hAnsi="Arial"/>
                <w:sz w:val="12"/>
                <w:szCs w:val="12"/>
                <w:color w:val="auto"/>
              </w:rPr>
              <w:t>1,809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81"/>
              <w:spacing w:after="0"/>
              <w:rPr>
                <w:sz w:val="20"/>
                <w:szCs w:val="20"/>
                <w:color w:val="auto"/>
              </w:rPr>
            </w:pPr>
            <w:r>
              <w:rPr>
                <w:rFonts w:ascii="Arial" w:cs="Arial" w:eastAsia="Arial" w:hAnsi="Arial"/>
                <w:sz w:val="12"/>
                <w:szCs w:val="12"/>
                <w:color w:val="auto"/>
              </w:rPr>
              <w:t>1,697</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Conventional equivalent availability factor</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108585</wp:posOffset>
            </wp:positionV>
            <wp:extent cx="13957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184" w:lineRule="exact"/>
        <w:rPr>
          <w:sz w:val="20"/>
          <w:szCs w:val="20"/>
          <w:color w:val="auto"/>
        </w:rPr>
      </w:pPr>
    </w:p>
    <w:p>
      <w:pPr>
        <w:ind w:left="88" w:hanging="88"/>
        <w:spacing w:after="0"/>
        <w:tabs>
          <w:tab w:leader="none" w:pos="88" w:val="left"/>
        </w:tabs>
        <w:numPr>
          <w:ilvl w:val="0"/>
          <w:numId w:val="26"/>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spacing w:after="0" w:line="1" w:lineRule="exact"/>
        <w:rPr>
          <w:rFonts w:ascii="Arial" w:cs="Arial" w:eastAsia="Arial" w:hAnsi="Arial"/>
          <w:sz w:val="6"/>
          <w:szCs w:val="6"/>
          <w:color w:val="auto"/>
        </w:rPr>
      </w:pPr>
    </w:p>
    <w:p>
      <w:pPr>
        <w:ind w:left="88" w:hanging="88"/>
        <w:spacing w:after="0" w:line="236" w:lineRule="auto"/>
        <w:tabs>
          <w:tab w:leader="none" w:pos="88" w:val="left"/>
        </w:tabs>
        <w:numPr>
          <w:ilvl w:val="0"/>
          <w:numId w:val="26"/>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ind w:left="88" w:hanging="88"/>
        <w:spacing w:after="0"/>
        <w:tabs>
          <w:tab w:leader="none" w:pos="88" w:val="left"/>
        </w:tabs>
        <w:numPr>
          <w:ilvl w:val="0"/>
          <w:numId w:val="26"/>
        </w:numPr>
        <w:rPr>
          <w:rFonts w:ascii="Arial" w:cs="Arial" w:eastAsia="Arial" w:hAnsi="Arial"/>
          <w:sz w:val="10"/>
          <w:szCs w:val="10"/>
          <w:color w:val="auto"/>
          <w:vertAlign w:val="superscript"/>
        </w:rPr>
      </w:pPr>
      <w:r>
        <w:rPr>
          <w:rFonts w:ascii="Arial" w:cs="Arial" w:eastAsia="Arial" w:hAnsi="Arial"/>
          <w:sz w:val="8"/>
          <w:szCs w:val="8"/>
          <w:color w:val="auto"/>
        </w:rPr>
        <w:t xml:space="preserve">MWh sold do not include 72 and 204 MWh generated by NRG Dover, a subsidiary of the Company, under the PPA with NRG Power Marketing during the years ended December 31, 2017 and 2016, respectively, as further described in Item 15 — Note 15, </w:t>
      </w:r>
      <w:r>
        <w:rPr>
          <w:rFonts w:ascii="Arial" w:cs="Arial" w:eastAsia="Arial" w:hAnsi="Arial"/>
          <w:sz w:val="8"/>
          <w:szCs w:val="8"/>
          <w:i w:val="1"/>
          <w:iCs w:val="1"/>
          <w:color w:val="auto"/>
        </w:rPr>
        <w:t>Related Party Transactions,</w:t>
      </w:r>
      <w:r>
        <w:rPr>
          <w:rFonts w:ascii="Arial" w:cs="Arial" w:eastAsia="Arial" w:hAnsi="Arial"/>
          <w:sz w:val="8"/>
          <w:szCs w:val="8"/>
          <w:color w:val="auto"/>
        </w:rPr>
        <w:t xml:space="preserve"> to the</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0"/>
          <w:szCs w:val="10"/>
          <w:color w:val="auto"/>
        </w:rPr>
        <w:t>Consolidated Financial Statements</w:t>
      </w:r>
      <w:r>
        <w:rPr>
          <w:rFonts w:ascii="Arial" w:cs="Arial" w:eastAsia="Arial" w:hAnsi="Arial"/>
          <w:sz w:val="10"/>
          <w:szCs w:val="10"/>
          <w:i w:val="1"/>
          <w:iCs w:val="1"/>
          <w:color w:val="auto"/>
        </w:rPr>
        <w:t>.</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8"/>
          </w:cols>
          <w:pgMar w:left="212" w:top="514" w:right="19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Management’s discussion of the results of operations for the years ended December 31, 2017 and 2016</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w:t>
      </w:r>
    </w:p>
    <w:p>
      <w:pPr>
        <w:spacing w:after="0" w:line="7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Gross Margin</w:t>
      </w:r>
    </w:p>
    <w:p>
      <w:pPr>
        <w:spacing w:after="0" w:line="1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present the composition of gross margin, as well as the reconciliation to economic gross margin for the years ended December 31, 2017 and 2016: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300" w:type="dxa"/>
            <w:vAlign w:val="bottom"/>
          </w:tcPr>
          <w:p>
            <w:pPr>
              <w:spacing w:after="0"/>
              <w:rPr>
                <w:sz w:val="10"/>
                <w:szCs w:val="10"/>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b w:val="1"/>
                <w:bCs w:val="1"/>
                <w:color w:val="auto"/>
              </w:rPr>
              <w:t>Thermal</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55"/>
        </w:trPr>
        <w:tc>
          <w:tcPr>
            <w:tcW w:w="6300" w:type="dxa"/>
            <w:vAlign w:val="bottom"/>
          </w:tcPr>
          <w:p>
            <w:pPr>
              <w:ind w:left="40"/>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Year ended December 31, 2017</w:t>
            </w: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58"/>
        </w:trPr>
        <w:tc>
          <w:tcPr>
            <w:tcW w:w="6300" w:type="dxa"/>
            <w:vAlign w:val="bottom"/>
          </w:tcPr>
          <w:p>
            <w:pPr>
              <w:ind w:left="100"/>
              <w:spacing w:after="0"/>
              <w:rPr>
                <w:sz w:val="20"/>
                <w:szCs w:val="20"/>
                <w:color w:val="auto"/>
              </w:rPr>
            </w:pPr>
            <w:r>
              <w:rPr>
                <w:rFonts w:ascii="Arial" w:cs="Arial" w:eastAsia="Arial" w:hAnsi="Arial"/>
                <w:sz w:val="11"/>
                <w:szCs w:val="11"/>
                <w:color w:val="auto"/>
              </w:rPr>
              <w:t>Energy and capacity revenues</w:t>
            </w:r>
          </w:p>
        </w:tc>
        <w:tc>
          <w:tcPr>
            <w:tcW w:w="1040" w:type="dxa"/>
            <w:vAlign w:val="bottom"/>
          </w:tcPr>
          <w:p>
            <w:pPr>
              <w:jc w:val="right"/>
              <w:ind w:right="90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341</w:t>
            </w:r>
          </w:p>
        </w:tc>
        <w:tc>
          <w:tcPr>
            <w:tcW w:w="120" w:type="dxa"/>
            <w:vAlign w:val="bottom"/>
          </w:tcPr>
          <w:p>
            <w:pPr>
              <w:spacing w:after="0"/>
              <w:rPr>
                <w:sz w:val="13"/>
                <w:szCs w:val="13"/>
                <w:color w:val="auto"/>
              </w:rPr>
            </w:pPr>
          </w:p>
        </w:tc>
        <w:tc>
          <w:tcPr>
            <w:tcW w:w="840" w:type="dxa"/>
            <w:vAlign w:val="bottom"/>
          </w:tcPr>
          <w:p>
            <w:pPr>
              <w:jc w:val="right"/>
              <w:ind w:right="731"/>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w w:val="86"/>
              </w:rPr>
              <w:t>547</w:t>
            </w:r>
          </w:p>
        </w:tc>
        <w:tc>
          <w:tcPr>
            <w:tcW w:w="120" w:type="dxa"/>
            <w:vAlign w:val="bottom"/>
          </w:tcPr>
          <w:p>
            <w:pPr>
              <w:spacing w:after="0"/>
              <w:rPr>
                <w:sz w:val="13"/>
                <w:szCs w:val="13"/>
                <w:color w:val="auto"/>
              </w:rPr>
            </w:pP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1,038</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revenues</w:t>
            </w:r>
          </w:p>
        </w:tc>
        <w:tc>
          <w:tcPr>
            <w:tcW w:w="10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r>
      <w:tr>
        <w:trPr>
          <w:trHeight w:val="158"/>
        </w:trPr>
        <w:tc>
          <w:tcPr>
            <w:tcW w:w="6300" w:type="dxa"/>
            <w:vAlign w:val="bottom"/>
          </w:tcPr>
          <w:p>
            <w:pPr>
              <w:ind w:left="100"/>
              <w:spacing w:after="0"/>
              <w:rPr>
                <w:sz w:val="20"/>
                <w:szCs w:val="20"/>
                <w:color w:val="auto"/>
              </w:rPr>
            </w:pPr>
            <w:r>
              <w:rPr>
                <w:rFonts w:ascii="Arial" w:cs="Arial" w:eastAsia="Arial" w:hAnsi="Arial"/>
                <w:sz w:val="11"/>
                <w:szCs w:val="11"/>
                <w:color w:val="auto"/>
              </w:rPr>
              <w:t>Cost of fuels</w:t>
            </w:r>
          </w:p>
        </w:tc>
        <w:tc>
          <w:tcPr>
            <w:tcW w:w="1040" w:type="dxa"/>
            <w:vAlign w:val="bottom"/>
          </w:tcPr>
          <w:p>
            <w:pPr>
              <w:spacing w:after="0"/>
              <w:rPr>
                <w:sz w:val="13"/>
                <w:szCs w:val="13"/>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(63)</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amortization</w:t>
            </w:r>
          </w:p>
        </w:tc>
        <w:tc>
          <w:tcPr>
            <w:tcW w:w="10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w:t>
            </w:r>
          </w:p>
        </w:tc>
      </w:tr>
      <w:tr>
        <w:trPr>
          <w:trHeight w:val="138"/>
        </w:trPr>
        <w:tc>
          <w:tcPr>
            <w:tcW w:w="6300" w:type="dxa"/>
            <w:vAlign w:val="bottom"/>
          </w:tcPr>
          <w:p>
            <w:pPr>
              <w:ind w:left="180"/>
              <w:spacing w:after="0"/>
              <w:rPr>
                <w:sz w:val="20"/>
                <w:szCs w:val="20"/>
                <w:color w:val="auto"/>
              </w:rPr>
            </w:pPr>
            <w:r>
              <w:rPr>
                <w:rFonts w:ascii="Arial" w:cs="Arial" w:eastAsia="Arial" w:hAnsi="Arial"/>
                <w:sz w:val="11"/>
                <w:szCs w:val="11"/>
                <w:b w:val="1"/>
                <w:bCs w:val="1"/>
                <w:color w:val="auto"/>
              </w:rPr>
              <w:t>Gross margin</w:t>
            </w:r>
          </w:p>
        </w:tc>
        <w:tc>
          <w:tcPr>
            <w:tcW w:w="1040" w:type="dxa"/>
            <w:vAlign w:val="bottom"/>
            <w:tcBorders>
              <w:top w:val="single" w:sz="8" w:color="auto"/>
            </w:tcBorders>
          </w:tcPr>
          <w:p>
            <w:pPr>
              <w:jc w:val="right"/>
              <w:ind w:right="907"/>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335</w:t>
            </w:r>
          </w:p>
        </w:tc>
        <w:tc>
          <w:tcPr>
            <w:tcW w:w="120" w:type="dxa"/>
            <w:vAlign w:val="bottom"/>
          </w:tcPr>
          <w:p>
            <w:pPr>
              <w:spacing w:after="0"/>
              <w:rPr>
                <w:sz w:val="12"/>
                <w:szCs w:val="12"/>
                <w:color w:val="auto"/>
              </w:rPr>
            </w:pPr>
          </w:p>
        </w:tc>
        <w:tc>
          <w:tcPr>
            <w:tcW w:w="840" w:type="dxa"/>
            <w:vAlign w:val="bottom"/>
            <w:tcBorders>
              <w:top w:val="single" w:sz="8" w:color="auto"/>
            </w:tcBorders>
          </w:tcPr>
          <w:p>
            <w:pPr>
              <w:jc w:val="right"/>
              <w:ind w:right="73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86"/>
              </w:rPr>
              <w:t>501</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right"/>
              <w:ind w:right="687"/>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946</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amortization</w:t>
            </w: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r>
      <w:tr>
        <w:trPr>
          <w:trHeight w:val="167"/>
        </w:trPr>
        <w:tc>
          <w:tcPr>
            <w:tcW w:w="6300" w:type="dxa"/>
            <w:vAlign w:val="bottom"/>
            <w:tcBorders>
              <w:bottom w:val="single" w:sz="8" w:color="CCEEFF"/>
            </w:tcBorders>
          </w:tcPr>
          <w:p>
            <w:pPr>
              <w:ind w:left="240"/>
              <w:spacing w:after="0"/>
              <w:rPr>
                <w:sz w:val="20"/>
                <w:szCs w:val="20"/>
                <w:color w:val="auto"/>
              </w:rPr>
            </w:pPr>
            <w:r>
              <w:rPr>
                <w:rFonts w:ascii="Arial" w:cs="Arial" w:eastAsia="Arial" w:hAnsi="Arial"/>
                <w:sz w:val="11"/>
                <w:szCs w:val="11"/>
                <w:b w:val="1"/>
                <w:bCs w:val="1"/>
                <w:color w:val="auto"/>
              </w:rPr>
              <w:t>Economic gross margin</w:t>
            </w:r>
          </w:p>
        </w:tc>
        <w:tc>
          <w:tcPr>
            <w:tcW w:w="104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340</w:t>
            </w:r>
          </w:p>
        </w:tc>
        <w:tc>
          <w:tcPr>
            <w:tcW w:w="1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6"/>
              </w:rPr>
              <w:t>563</w:t>
            </w:r>
          </w:p>
        </w:tc>
        <w:tc>
          <w:tcPr>
            <w:tcW w:w="12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1,015</w:t>
            </w:r>
          </w:p>
        </w:tc>
      </w:tr>
      <w:tr>
        <w:trPr>
          <w:trHeight w:val="189"/>
        </w:trPr>
        <w:tc>
          <w:tcPr>
            <w:tcW w:w="6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58"/>
        </w:trPr>
        <w:tc>
          <w:tcPr>
            <w:tcW w:w="6300" w:type="dxa"/>
            <w:vAlign w:val="bottom"/>
          </w:tcPr>
          <w:p>
            <w:pPr>
              <w:ind w:left="20"/>
              <w:spacing w:after="0"/>
              <w:rPr>
                <w:sz w:val="20"/>
                <w:szCs w:val="20"/>
                <w:color w:val="auto"/>
              </w:rPr>
            </w:pPr>
            <w:r>
              <w:rPr>
                <w:rFonts w:ascii="Arial" w:cs="Arial" w:eastAsia="Arial" w:hAnsi="Arial"/>
                <w:sz w:val="11"/>
                <w:szCs w:val="11"/>
                <w:color w:val="auto"/>
              </w:rPr>
              <w:t>Year ended December 31, 2016</w:t>
            </w: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Energy and capacity revenues</w:t>
            </w:r>
          </w:p>
        </w:tc>
        <w:tc>
          <w:tcPr>
            <w:tcW w:w="1040" w:type="dxa"/>
            <w:vAlign w:val="bottom"/>
            <w:tcBorders>
              <w:bottom w:val="single" w:sz="8" w:color="CCEEFF"/>
            </w:tcBorders>
            <w:shd w:val="clear" w:color="auto" w:fill="CCEEFF"/>
          </w:tcPr>
          <w:p>
            <w:pPr>
              <w:jc w:val="right"/>
              <w:ind w:right="90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6"/>
              </w:rPr>
              <w:t>577</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1,065</w:t>
            </w:r>
          </w:p>
        </w:tc>
      </w:tr>
      <w:tr>
        <w:trPr>
          <w:trHeight w:val="158"/>
        </w:trPr>
        <w:tc>
          <w:tcPr>
            <w:tcW w:w="6300" w:type="dxa"/>
            <w:vAlign w:val="bottom"/>
          </w:tcPr>
          <w:p>
            <w:pPr>
              <w:ind w:left="100"/>
              <w:spacing w:after="0"/>
              <w:rPr>
                <w:sz w:val="20"/>
                <w:szCs w:val="20"/>
                <w:color w:val="auto"/>
              </w:rPr>
            </w:pPr>
            <w:r>
              <w:rPr>
                <w:rFonts w:ascii="Arial" w:cs="Arial" w:eastAsia="Arial" w:hAnsi="Arial"/>
                <w:sz w:val="11"/>
                <w:szCs w:val="11"/>
                <w:color w:val="auto"/>
              </w:rPr>
              <w:t>Other revenues</w:t>
            </w:r>
          </w:p>
        </w:tc>
        <w:tc>
          <w:tcPr>
            <w:tcW w:w="104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3"/>
                <w:szCs w:val="13"/>
                <w:color w:val="auto"/>
              </w:rPr>
            </w:pP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39</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Cost of fuels</w:t>
            </w: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(61)</w:t>
            </w:r>
          </w:p>
        </w:tc>
      </w:tr>
      <w:tr>
        <w:trPr>
          <w:trHeight w:val="158"/>
        </w:trPr>
        <w:tc>
          <w:tcPr>
            <w:tcW w:w="6300" w:type="dxa"/>
            <w:vAlign w:val="bottom"/>
          </w:tcPr>
          <w:p>
            <w:pPr>
              <w:ind w:left="100"/>
              <w:spacing w:after="0"/>
              <w:rPr>
                <w:sz w:val="20"/>
                <w:szCs w:val="20"/>
                <w:color w:val="auto"/>
              </w:rPr>
            </w:pPr>
            <w:r>
              <w:rPr>
                <w:rFonts w:ascii="Arial" w:cs="Arial" w:eastAsia="Arial" w:hAnsi="Arial"/>
                <w:sz w:val="11"/>
                <w:szCs w:val="11"/>
                <w:color w:val="auto"/>
              </w:rPr>
              <w:t>Contract amortization</w:t>
            </w:r>
          </w:p>
        </w:tc>
        <w:tc>
          <w:tcPr>
            <w:tcW w:w="1040" w:type="dxa"/>
            <w:vAlign w:val="bottom"/>
          </w:tcPr>
          <w:p>
            <w:pPr>
              <w:spacing w:after="0"/>
              <w:rPr>
                <w:sz w:val="13"/>
                <w:szCs w:val="13"/>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(69)</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Emissions credit amortization</w:t>
            </w:r>
          </w:p>
        </w:tc>
        <w:tc>
          <w:tcPr>
            <w:tcW w:w="10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r>
      <w:tr>
        <w:trPr>
          <w:trHeight w:val="138"/>
        </w:trPr>
        <w:tc>
          <w:tcPr>
            <w:tcW w:w="6300" w:type="dxa"/>
            <w:vAlign w:val="bottom"/>
          </w:tcPr>
          <w:p>
            <w:pPr>
              <w:ind w:left="180"/>
              <w:spacing w:after="0"/>
              <w:rPr>
                <w:sz w:val="20"/>
                <w:szCs w:val="20"/>
                <w:color w:val="auto"/>
              </w:rPr>
            </w:pPr>
            <w:r>
              <w:rPr>
                <w:rFonts w:ascii="Arial" w:cs="Arial" w:eastAsia="Arial" w:hAnsi="Arial"/>
                <w:sz w:val="11"/>
                <w:szCs w:val="11"/>
                <w:b w:val="1"/>
                <w:bCs w:val="1"/>
                <w:color w:val="auto"/>
              </w:rPr>
              <w:t>Gross margin</w:t>
            </w:r>
          </w:p>
        </w:tc>
        <w:tc>
          <w:tcPr>
            <w:tcW w:w="1040" w:type="dxa"/>
            <w:vAlign w:val="bottom"/>
            <w:tcBorders>
              <w:top w:val="single" w:sz="8" w:color="auto"/>
            </w:tcBorders>
          </w:tcPr>
          <w:p>
            <w:pPr>
              <w:jc w:val="right"/>
              <w:ind w:right="907"/>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326</w:t>
            </w:r>
          </w:p>
        </w:tc>
        <w:tc>
          <w:tcPr>
            <w:tcW w:w="120" w:type="dxa"/>
            <w:vAlign w:val="bottom"/>
          </w:tcPr>
          <w:p>
            <w:pPr>
              <w:spacing w:after="0"/>
              <w:rPr>
                <w:sz w:val="12"/>
                <w:szCs w:val="12"/>
                <w:color w:val="auto"/>
              </w:rPr>
            </w:pPr>
          </w:p>
        </w:tc>
        <w:tc>
          <w:tcPr>
            <w:tcW w:w="840" w:type="dxa"/>
            <w:vAlign w:val="bottom"/>
            <w:tcBorders>
              <w:top w:val="single" w:sz="8" w:color="auto"/>
            </w:tcBorders>
          </w:tcPr>
          <w:p>
            <w:pPr>
              <w:jc w:val="right"/>
              <w:ind w:right="73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86"/>
              </w:rPr>
              <w:t>532</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right"/>
              <w:ind w:right="687"/>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968</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0"/>
        </w:trPr>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amortization</w:t>
            </w:r>
          </w:p>
        </w:tc>
        <w:tc>
          <w:tcPr>
            <w:tcW w:w="10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r>
      <w:tr>
        <w:trPr>
          <w:trHeight w:val="158"/>
        </w:trPr>
        <w:tc>
          <w:tcPr>
            <w:tcW w:w="6300" w:type="dxa"/>
            <w:vAlign w:val="bottom"/>
          </w:tcPr>
          <w:p>
            <w:pPr>
              <w:ind w:left="100"/>
              <w:spacing w:after="0"/>
              <w:rPr>
                <w:sz w:val="20"/>
                <w:szCs w:val="20"/>
                <w:color w:val="auto"/>
              </w:rPr>
            </w:pPr>
            <w:r>
              <w:rPr>
                <w:rFonts w:ascii="Arial" w:cs="Arial" w:eastAsia="Arial" w:hAnsi="Arial"/>
                <w:sz w:val="11"/>
                <w:szCs w:val="11"/>
                <w:color w:val="auto"/>
              </w:rPr>
              <w:t>Emissions credit amortization</w:t>
            </w:r>
          </w:p>
        </w:tc>
        <w:tc>
          <w:tcPr>
            <w:tcW w:w="104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6</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7"/>
        </w:trPr>
        <w:tc>
          <w:tcPr>
            <w:tcW w:w="6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b w:val="1"/>
                <w:bCs w:val="1"/>
                <w:color w:val="auto"/>
              </w:rPr>
              <w:t>Economic gross margin</w:t>
            </w:r>
          </w:p>
        </w:tc>
        <w:tc>
          <w:tcPr>
            <w:tcW w:w="104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337</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86"/>
              </w:rPr>
              <w:t>594</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1,043</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514" w:right="199" w:bottom="1440" w:gutter="0" w:footer="0" w:header="0"/>
        </w:sectPr>
      </w:pPr>
    </w:p>
    <w:bookmarkStart w:id="54" w:name="page55"/>
    <w:bookmarkEnd w:id="54"/>
    <w:p>
      <w:pPr>
        <w:ind w:left="260"/>
        <w:spacing w:after="0"/>
        <w:rPr>
          <w:sz w:val="20"/>
          <w:szCs w:val="20"/>
          <w:color w:val="auto"/>
        </w:rPr>
      </w:pPr>
      <w:r>
        <w:rPr>
          <w:rFonts w:ascii="Arial" w:cs="Arial" w:eastAsia="Arial" w:hAnsi="Arial"/>
          <w:sz w:val="12"/>
          <w:szCs w:val="12"/>
          <w:color w:val="auto"/>
        </w:rPr>
        <w:t>Gross margin decreased by $22 million and economic gross margin decreased by $28 million during the year ended December 31, 2017, compared to the same period in 2016, primarily due to:</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760" w:type="dxa"/>
            <w:vAlign w:val="bottom"/>
          </w:tcPr>
          <w:p>
            <w:pPr>
              <w:ind w:left="20"/>
              <w:spacing w:after="0"/>
              <w:rPr>
                <w:sz w:val="20"/>
                <w:szCs w:val="20"/>
                <w:color w:val="auto"/>
              </w:rPr>
            </w:pPr>
            <w:r>
              <w:rPr>
                <w:rFonts w:ascii="Arial" w:cs="Arial" w:eastAsia="Arial" w:hAnsi="Arial"/>
                <w:sz w:val="11"/>
                <w:szCs w:val="11"/>
                <w:b w:val="1"/>
                <w:bCs w:val="1"/>
                <w:color w:val="auto"/>
              </w:rPr>
              <w:t>Segment</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(Decrease)Increase</w:t>
            </w:r>
          </w:p>
        </w:tc>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Reason for Increase (Decrease)</w:t>
            </w: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r>
      <w:tr>
        <w:trPr>
          <w:trHeight w:val="147"/>
        </w:trPr>
        <w:tc>
          <w:tcPr>
            <w:tcW w:w="276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60" w:type="dxa"/>
            <w:vAlign w:val="bottom"/>
          </w:tcPr>
          <w:p>
            <w:pPr>
              <w:spacing w:after="0"/>
              <w:rPr>
                <w:sz w:val="12"/>
                <w:szCs w:val="12"/>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1"/>
                <w:szCs w:val="11"/>
                <w:b w:val="1"/>
                <w:bCs w:val="1"/>
                <w:color w:val="auto"/>
              </w:rPr>
              <w:t>Renewables:</w:t>
            </w:r>
          </w:p>
        </w:tc>
        <w:tc>
          <w:tcPr>
            <w:tcW w:w="4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7660" w:type="dxa"/>
            <w:vAlign w:val="bottom"/>
          </w:tcPr>
          <w:p>
            <w:pPr>
              <w:ind w:left="180"/>
              <w:spacing w:after="0"/>
              <w:rPr>
                <w:sz w:val="20"/>
                <w:szCs w:val="20"/>
                <w:color w:val="auto"/>
              </w:rPr>
            </w:pPr>
            <w:r>
              <w:rPr>
                <w:rFonts w:ascii="Arial" w:cs="Arial" w:eastAsia="Arial" w:hAnsi="Arial"/>
                <w:sz w:val="11"/>
                <w:szCs w:val="11"/>
                <w:color w:val="auto"/>
              </w:rPr>
              <w:t>A 7% decrease in volume generated by wind projects, due to lower wind resources at the Alta Wind and Wind TE Holdco projects</w:t>
            </w:r>
          </w:p>
        </w:tc>
      </w:tr>
      <w:tr>
        <w:trPr>
          <w:trHeight w:val="22"/>
        </w:trPr>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171"/>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Conventional:</w:t>
            </w:r>
          </w:p>
        </w:tc>
        <w:tc>
          <w:tcPr>
            <w:tcW w:w="4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Higher revenues due to 2016 higher peak season forced outages, as well as additional start-up revenue from Marsh Landing in 2017</w:t>
            </w:r>
          </w:p>
        </w:tc>
      </w:tr>
      <w:tr>
        <w:trPr>
          <w:trHeight w:val="138"/>
        </w:trPr>
        <w:tc>
          <w:tcPr>
            <w:tcW w:w="2760" w:type="dxa"/>
            <w:vAlign w:val="bottom"/>
          </w:tcPr>
          <w:p>
            <w:pPr>
              <w:ind w:left="180"/>
              <w:spacing w:after="0"/>
              <w:rPr>
                <w:sz w:val="20"/>
                <w:szCs w:val="20"/>
                <w:color w:val="auto"/>
              </w:rPr>
            </w:pPr>
            <w:r>
              <w:rPr>
                <w:rFonts w:ascii="Arial" w:cs="Arial" w:eastAsia="Arial" w:hAnsi="Arial"/>
                <w:sz w:val="11"/>
                <w:szCs w:val="11"/>
                <w:b w:val="1"/>
                <w:bCs w:val="1"/>
                <w:color w:val="auto"/>
              </w:rPr>
              <w:t>Economic gross margin</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(28)</w:t>
            </w:r>
          </w:p>
        </w:tc>
        <w:tc>
          <w:tcPr>
            <w:tcW w:w="7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80910" cy="194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194310"/>
                    </a:xfrm>
                    <a:prstGeom prst="rect">
                      <a:avLst/>
                    </a:prstGeom>
                    <a:noFill/>
                  </pic:spPr>
                </pic:pic>
              </a:graphicData>
            </a:graphic>
          </wp:anchor>
        </w:drawing>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9"/>
          <w:szCs w:val="9"/>
          <w:color w:val="auto"/>
        </w:rPr>
        <w:t>Emissions credit amortization of NOx allowances at Walnut Creek and El Segundo in compliance with amendments to the Regional Clean Air Incentives Market program in</w:t>
      </w:r>
    </w:p>
    <w:p>
      <w:pPr>
        <w:spacing w:after="0" w:line="33" w:lineRule="exact"/>
        <w:rPr>
          <w:sz w:val="20"/>
          <w:szCs w:val="20"/>
          <w:color w:val="auto"/>
        </w:rPr>
      </w:pPr>
    </w:p>
    <w:p>
      <w:pPr>
        <w:ind w:left="4080" w:hanging="449"/>
        <w:spacing w:after="0"/>
        <w:tabs>
          <w:tab w:leader="none" w:pos="40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19685</wp:posOffset>
            </wp:positionV>
            <wp:extent cx="6578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32" w:lineRule="exact"/>
        <w:rPr>
          <w:sz w:val="20"/>
          <w:szCs w:val="20"/>
          <w:color w:val="auto"/>
        </w:rPr>
      </w:pPr>
    </w:p>
    <w:p>
      <w:pPr>
        <w:ind w:left="180"/>
        <w:spacing w:after="0"/>
        <w:tabs>
          <w:tab w:leader="none" w:pos="2760" w:val="left"/>
          <w:tab w:leader="none" w:pos="3520" w:val="left"/>
        </w:tabs>
        <w:rPr>
          <w:sz w:val="20"/>
          <w:szCs w:val="20"/>
          <w:color w:val="auto"/>
        </w:rPr>
      </w:pPr>
      <w:r>
        <w:rPr>
          <w:rFonts w:ascii="Arial" w:cs="Arial" w:eastAsia="Arial" w:hAnsi="Arial"/>
          <w:sz w:val="11"/>
          <w:szCs w:val="11"/>
          <w:b w:val="1"/>
          <w:bCs w:val="1"/>
          <w:color w:val="auto"/>
        </w:rPr>
        <w:t>Gross margin</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1750695</wp:posOffset>
            </wp:positionH>
            <wp:positionV relativeFrom="paragraph">
              <wp:posOffset>20320</wp:posOffset>
            </wp:positionV>
            <wp:extent cx="6578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860" cy="5715"/>
                    </a:xfrm>
                    <a:prstGeom prst="rect">
                      <a:avLst/>
                    </a:prstGeom>
                    <a:noFill/>
                  </pic:spPr>
                </pic:pic>
              </a:graphicData>
            </a:graphic>
          </wp:anchor>
        </w:drawing>
        <w:drawing>
          <wp:anchor simplePos="0" relativeHeight="251657728" behindDoc="1" locked="0" layoutInCell="0" allowOverlap="1">
            <wp:simplePos x="0" y="0"/>
            <wp:positionH relativeFrom="column">
              <wp:posOffset>1750695</wp:posOffset>
            </wp:positionH>
            <wp:positionV relativeFrom="paragraph">
              <wp:posOffset>31750</wp:posOffset>
            </wp:positionV>
            <wp:extent cx="6578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Operations and Maintenance Expense</w:t>
      </w:r>
    </w:p>
    <w:p>
      <w:pPr>
        <w:spacing w:after="0" w:line="9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Operations and maintenance expense increased by $21 million during the year ended December 31, 2017, compared to the same period in 2016, due to the forced outages in the Conventional segment. The Company recorded higher operations and maintenance costs in Walnut Creek in connection with the Unit 1 forced outages that took place in April of 2017, including an increase of loss on disposal of assets of $12 million, as well as higher operations and maintenance costs in El Segundo due to the forced outages in Units 5 and Unit 6 that took place in January 2017.</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Losses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recorded impairment losses of $44 million and $185 million for the years ended December 31, 2017 and 2016, respectively.</w:t>
      </w:r>
    </w:p>
    <w:p>
      <w:pPr>
        <w:spacing w:after="0" w:line="114"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56"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5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 xml:space="preserve">During the fourth quarter of 2016, as the Company updated its estimated cash flows in connection with the preparation and review of the Company's annual budget, it was determined that the cash flows for the Elbow Creek and Goat Wind projects and the Forward project were below the carrying value of the related assets, primarily driven by declining merchant power prices in post-contract periods, and that the assets were considered impaired. The Company recorded impairment losses of $117 million, $60 million and $6 million for Elbow Creek, Goat Wind, and Forward, respectively. The other impairments of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 ending December 31, 2016. For further discussion see Item 15 </w:t>
      </w:r>
      <w:r>
        <w:rPr>
          <w:rFonts w:ascii="Arial" w:cs="Arial" w:eastAsia="Arial" w:hAnsi="Arial"/>
          <w:sz w:val="11"/>
          <w:szCs w:val="11"/>
          <w:i w:val="1"/>
          <w:iCs w:val="1"/>
          <w:color w:val="auto"/>
        </w:rPr>
        <w:t>—</w:t>
      </w:r>
      <w:r>
        <w:rPr>
          <w:rFonts w:ascii="Arial" w:cs="Arial" w:eastAsia="Arial" w:hAnsi="Arial"/>
          <w:sz w:val="11"/>
          <w:szCs w:val="11"/>
          <w:color w:val="auto"/>
        </w:rPr>
        <w:t xml:space="preserve">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xml:space="preserve">, to the Consolidated Financial Statements, as well as in </w:t>
      </w:r>
      <w:r>
        <w:rPr>
          <w:rFonts w:ascii="Arial" w:cs="Arial" w:eastAsia="Arial" w:hAnsi="Arial"/>
          <w:sz w:val="11"/>
          <w:szCs w:val="11"/>
          <w:i w:val="1"/>
          <w:iCs w:val="1"/>
          <w:color w:val="auto"/>
        </w:rPr>
        <w:t>Critical Accounting Policies and Estimates</w:t>
      </w:r>
      <w:r>
        <w:rPr>
          <w:rFonts w:ascii="Arial" w:cs="Arial" w:eastAsia="Arial" w:hAnsi="Arial"/>
          <w:sz w:val="11"/>
          <w:szCs w:val="11"/>
          <w:color w:val="auto"/>
        </w:rPr>
        <w:t xml:space="preserve"> in this Item 7.</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of Unconsolidated Affiliates</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Equity in earnings of unconsolidated affiliates increased by $11 million during the year ended December 31, 2017, compared to the same period in 2016, primarily due to higher earnings from the solar partnerships with NRG, as well as the acquisition of the Utah Solar Portfolio in November 2016, partially offset by lower earnings from the San Juan Mesa investment.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518"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Interest expense increased by $23 million during the year ended December 31, 2017, compared to the same period in 2016,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226695</wp:posOffset>
            </wp:positionV>
            <wp:extent cx="7069455" cy="10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9455" cy="108585"/>
                    </a:xfrm>
                    <a:prstGeom prst="rect">
                      <a:avLst/>
                    </a:prstGeom>
                    <a:noFill/>
                  </pic:spPr>
                </pic:pic>
              </a:graphicData>
            </a:graphic>
          </wp:anchor>
        </w:drawing>
      </w:r>
    </w:p>
    <w:p>
      <w:pPr>
        <w:spacing w:after="0" w:line="350" w:lineRule="exact"/>
        <w:rPr>
          <w:sz w:val="20"/>
          <w:szCs w:val="20"/>
          <w:color w:val="auto"/>
        </w:rPr>
      </w:pPr>
    </w:p>
    <w:p>
      <w:pPr>
        <w:ind w:left="180" w:right="420"/>
        <w:spacing w:after="0" w:line="324" w:lineRule="auto"/>
        <w:rPr>
          <w:sz w:val="20"/>
          <w:szCs w:val="20"/>
          <w:color w:val="auto"/>
        </w:rPr>
      </w:pPr>
      <w:r>
        <w:rPr>
          <w:rFonts w:ascii="Arial" w:cs="Arial" w:eastAsia="Arial" w:hAnsi="Arial"/>
          <w:sz w:val="11"/>
          <w:szCs w:val="11"/>
          <w:color w:val="auto"/>
        </w:rPr>
        <w:t>Assumption of the Utah Solar Portfolio debt in connection with the March 2017 Drop Down Assets, as well as debt assumed in connection with the Buckthorn Solar Drop Down Asset on March 30, 2018 Issuance of 2026 Senior Notes in the third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-6985</wp:posOffset>
            </wp:positionV>
            <wp:extent cx="7069455" cy="108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9455" cy="108585"/>
                    </a:xfrm>
                    <a:prstGeom prst="rect">
                      <a:avLst/>
                    </a:prstGeom>
                    <a:noFill/>
                  </pic:spPr>
                </pic:pic>
              </a:graphicData>
            </a:graphic>
          </wp:anchor>
        </w:drawing>
      </w:r>
    </w:p>
    <w:p>
      <w:pPr>
        <w:ind w:left="180" w:right="2840"/>
        <w:spacing w:after="0" w:line="343" w:lineRule="auto"/>
        <w:rPr>
          <w:sz w:val="20"/>
          <w:szCs w:val="20"/>
          <w:color w:val="auto"/>
        </w:rPr>
      </w:pPr>
      <w:r>
        <w:rPr>
          <w:rFonts w:ascii="Arial" w:cs="Arial" w:eastAsia="Arial" w:hAnsi="Arial"/>
          <w:sz w:val="11"/>
          <w:szCs w:val="11"/>
          <w:color w:val="auto"/>
        </w:rPr>
        <w:t>Issuance of new project level debt in the second half of 2016 and 2017 partially offset by the lower principal balances on project level debt in 2017 Higher borrowings in 2016 on the revolving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 millions)</w:t>
      </w:r>
    </w:p>
    <w:p>
      <w:pPr>
        <w:spacing w:after="0" w:line="29" w:lineRule="exact"/>
        <w:rPr>
          <w:sz w:val="20"/>
          <w:szCs w:val="20"/>
          <w:color w:val="auto"/>
        </w:rPr>
      </w:pPr>
    </w:p>
    <w:p>
      <w:pPr>
        <w:ind w:left="980" w:hanging="978"/>
        <w:spacing w:after="0"/>
        <w:tabs>
          <w:tab w:leader="none" w:pos="9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15</w:t>
      </w:r>
    </w:p>
    <w:p>
      <w:pPr>
        <w:spacing w:after="0" w:line="44" w:lineRule="exact"/>
        <w:rPr>
          <w:rFonts w:ascii="Arial" w:cs="Arial" w:eastAsia="Arial" w:hAnsi="Arial"/>
          <w:sz w:val="11"/>
          <w:szCs w:val="11"/>
          <w:color w:val="auto"/>
        </w:rPr>
      </w:pPr>
    </w:p>
    <w:p>
      <w:pPr>
        <w:ind w:left="980"/>
        <w:spacing w:after="0"/>
        <w:rPr>
          <w:rFonts w:ascii="Arial" w:cs="Arial" w:eastAsia="Arial" w:hAnsi="Arial"/>
          <w:sz w:val="11"/>
          <w:szCs w:val="11"/>
          <w:color w:val="auto"/>
        </w:rPr>
      </w:pPr>
      <w:r>
        <w:rPr>
          <w:rFonts w:ascii="Arial" w:cs="Arial" w:eastAsia="Arial" w:hAnsi="Arial"/>
          <w:sz w:val="11"/>
          <w:szCs w:val="11"/>
          <w:color w:val="auto"/>
        </w:rPr>
        <w:t>11</w:t>
      </w:r>
    </w:p>
    <w:p>
      <w:pPr>
        <w:spacing w:after="0" w:line="44" w:lineRule="exact"/>
        <w:rPr>
          <w:rFonts w:ascii="Arial" w:cs="Arial" w:eastAsia="Arial" w:hAnsi="Arial"/>
          <w:sz w:val="11"/>
          <w:szCs w:val="11"/>
          <w:color w:val="auto"/>
        </w:rPr>
      </w:pPr>
    </w:p>
    <w:p>
      <w:pPr>
        <w:ind w:left="1040"/>
        <w:spacing w:after="0"/>
        <w:rPr>
          <w:rFonts w:ascii="Arial" w:cs="Arial" w:eastAsia="Arial" w:hAnsi="Arial"/>
          <w:sz w:val="11"/>
          <w:szCs w:val="11"/>
          <w:color w:val="auto"/>
        </w:rPr>
      </w:pPr>
      <w:r>
        <w:rPr>
          <w:rFonts w:ascii="Arial" w:cs="Arial" w:eastAsia="Arial" w:hAnsi="Arial"/>
          <w:sz w:val="11"/>
          <w:szCs w:val="11"/>
          <w:color w:val="auto"/>
        </w:rPr>
        <w:t>2</w:t>
      </w:r>
    </w:p>
    <w:p>
      <w:pPr>
        <w:spacing w:after="0" w:line="44" w:lineRule="exact"/>
        <w:rPr>
          <w:rFonts w:ascii="Arial" w:cs="Arial" w:eastAsia="Arial" w:hAnsi="Arial"/>
          <w:sz w:val="11"/>
          <w:szCs w:val="11"/>
          <w:color w:val="auto"/>
        </w:rPr>
      </w:pPr>
    </w:p>
    <w:p>
      <w:pPr>
        <w:ind w:left="1000"/>
        <w:spacing w:after="0"/>
        <w:rPr>
          <w:rFonts w:ascii="Arial" w:cs="Arial" w:eastAsia="Arial" w:hAnsi="Arial"/>
          <w:sz w:val="11"/>
          <w:szCs w:val="11"/>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7721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2160" cy="5715"/>
                    </a:xfrm>
                    <a:prstGeom prst="rect">
                      <a:avLst/>
                    </a:prstGeom>
                    <a:noFill/>
                  </pic:spPr>
                </pic:pic>
              </a:graphicData>
            </a:graphic>
          </wp:anchor>
        </w:drawing>
      </w:r>
    </w:p>
    <w:p>
      <w:pPr>
        <w:spacing w:after="0" w:line="57" w:lineRule="exact"/>
        <w:rPr>
          <w:sz w:val="20"/>
          <w:szCs w:val="20"/>
          <w:color w:val="auto"/>
        </w:rPr>
      </w:pPr>
    </w:p>
    <w:p>
      <w:pPr>
        <w:ind w:left="980" w:hanging="978"/>
        <w:spacing w:after="0"/>
        <w:tabs>
          <w:tab w:leader="none" w:pos="9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7721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2160" cy="57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7721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2160" cy="571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9380" w:space="720"/>
            <w:col w:w="1380"/>
          </w:cols>
          <w:pgMar w:left="220" w:top="518" w:right="199" w:bottom="1440" w:gutter="0" w:footer="0" w:header="0"/>
        </w:sectPr>
      </w:pPr>
    </w:p>
    <w:p>
      <w:pPr>
        <w:spacing w:after="0"/>
        <w:rPr>
          <w:sz w:val="20"/>
          <w:szCs w:val="20"/>
          <w:color w:val="auto"/>
        </w:rPr>
      </w:pPr>
      <w:r>
        <w:rPr>
          <w:rFonts w:ascii="Arial" w:cs="Arial" w:eastAsia="Arial" w:hAnsi="Arial"/>
          <w:sz w:val="12"/>
          <w:szCs w:val="12"/>
          <w:b w:val="1"/>
          <w:bCs w:val="1"/>
          <w:i w:val="1"/>
          <w:iCs w:val="1"/>
          <w:color w:val="auto"/>
        </w:rPr>
        <w:t>Income Tax Expense (Benefit)</w:t>
      </w:r>
    </w:p>
    <w:p>
      <w:pPr>
        <w:spacing w:after="0" w:line="9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For the year ended December 31, 2017, the Company recorded income tax expense of $72 million on pretax income of $48 million. For the same period in 2016, the Company recorded an income tax benefit of $1 million on pretax income of $1 million. For the year ended December 31, 2017 the overall effective tax rate was different than the statutory rate of 35% primarily due to tax expense recorded from the revaluation of the existing net deferred tax asset pursuant to the reduction in the corporate income tax rate to 21% in accordance with the Tax Cuts and Jobs Act.</w:t>
      </w:r>
    </w:p>
    <w:p>
      <w:pPr>
        <w:spacing w:after="0" w:line="6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year ended December 31, 2016, the overall effective tax rate was different than the statutory rate of 35% primarily due to taxable earnings allocated to NRG resulting from NRG's interest in Clearway Energy LLC, as well as PTCs and ITCs generated from certain wind and solar assets, respectively.</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 reconciliation of the U.S. federal statutory rate of 35% to the Company's effective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0"/>
                <w:szCs w:val="10"/>
                <w:b w:val="1"/>
                <w:bCs w:val="1"/>
                <w:color w:val="auto"/>
                <w:w w:val="96"/>
              </w:rPr>
              <w:t>Year Ended December 31,</w:t>
            </w:r>
          </w:p>
        </w:tc>
        <w:tc>
          <w:tcPr>
            <w:tcW w:w="1020" w:type="dxa"/>
            <w:vAlign w:val="bottom"/>
            <w:tcBorders>
              <w:bottom w:val="single" w:sz="8" w:color="auto"/>
            </w:tcBorders>
          </w:tcPr>
          <w:p>
            <w:pPr>
              <w:spacing w:after="0"/>
              <w:rPr>
                <w:sz w:val="11"/>
                <w:szCs w:val="11"/>
                <w:color w:val="auto"/>
              </w:rPr>
            </w:pPr>
          </w:p>
        </w:tc>
      </w:tr>
      <w:tr>
        <w:trPr>
          <w:trHeight w:val="165"/>
        </w:trPr>
        <w:tc>
          <w:tcPr>
            <w:tcW w:w="8140" w:type="dxa"/>
            <w:vAlign w:val="bottom"/>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b w:val="1"/>
                <w:bCs w:val="1"/>
                <w:color w:val="auto"/>
              </w:rPr>
              <w:t>2016</w:t>
            </w:r>
          </w:p>
        </w:tc>
      </w:tr>
      <w:tr>
        <w:trPr>
          <w:trHeight w:val="173"/>
        </w:trPr>
        <w:tc>
          <w:tcPr>
            <w:tcW w:w="814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102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w:t>
            </w:r>
          </w:p>
        </w:tc>
      </w:tr>
      <w:tr>
        <w:trPr>
          <w:trHeight w:val="147"/>
        </w:trPr>
        <w:tc>
          <w:tcPr>
            <w:tcW w:w="8140" w:type="dxa"/>
            <w:vAlign w:val="bottom"/>
          </w:tcPr>
          <w:p>
            <w:pPr>
              <w:ind w:left="20"/>
              <w:spacing w:after="0"/>
              <w:rPr>
                <w:sz w:val="20"/>
                <w:szCs w:val="20"/>
                <w:color w:val="auto"/>
              </w:rPr>
            </w:pPr>
            <w:r>
              <w:rPr>
                <w:rFonts w:ascii="Arial" w:cs="Arial" w:eastAsia="Arial" w:hAnsi="Arial"/>
                <w:sz w:val="11"/>
                <w:szCs w:val="11"/>
                <w:color w:val="auto"/>
              </w:rPr>
              <w:t>Tax at 35%</w:t>
            </w:r>
          </w:p>
        </w:tc>
        <w:tc>
          <w:tcPr>
            <w:tcW w:w="10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17</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87"/>
              <w:spacing w:after="0"/>
              <w:rPr>
                <w:sz w:val="20"/>
                <w:szCs w:val="20"/>
                <w:color w:val="auto"/>
              </w:rPr>
            </w:pPr>
            <w:r>
              <w:rPr>
                <w:rFonts w:ascii="Arial" w:cs="Arial" w:eastAsia="Arial" w:hAnsi="Arial"/>
                <w:sz w:val="11"/>
                <w:szCs w:val="11"/>
                <w:color w:val="auto"/>
              </w:rPr>
              <w:t>—</w:t>
            </w:r>
          </w:p>
        </w:tc>
      </w:tr>
      <w:tr>
        <w:trPr>
          <w:trHeight w:val="22"/>
        </w:trPr>
        <w:tc>
          <w:tcPr>
            <w:tcW w:w="8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State taxes, net of federal benefit</w:t>
            </w:r>
          </w:p>
        </w:tc>
        <w:tc>
          <w:tcPr>
            <w:tcW w:w="10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r>
      <w:tr>
        <w:trPr>
          <w:trHeight w:val="158"/>
        </w:trPr>
        <w:tc>
          <w:tcPr>
            <w:tcW w:w="8140" w:type="dxa"/>
            <w:vAlign w:val="bottom"/>
          </w:tcPr>
          <w:p>
            <w:pPr>
              <w:ind w:left="100"/>
              <w:spacing w:after="0"/>
              <w:rPr>
                <w:sz w:val="20"/>
                <w:szCs w:val="20"/>
                <w:color w:val="auto"/>
              </w:rPr>
            </w:pPr>
            <w:r>
              <w:rPr>
                <w:rFonts w:ascii="Arial" w:cs="Arial" w:eastAsia="Arial" w:hAnsi="Arial"/>
                <w:sz w:val="11"/>
                <w:szCs w:val="11"/>
                <w:color w:val="auto"/>
              </w:rPr>
              <w:t>Tax Cuts and Jobs Act - tax rate change</w:t>
            </w:r>
          </w:p>
        </w:tc>
        <w:tc>
          <w:tcPr>
            <w:tcW w:w="10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87"/>
              <w:spacing w:after="0"/>
              <w:rPr>
                <w:sz w:val="20"/>
                <w:szCs w:val="20"/>
                <w:color w:val="auto"/>
              </w:rPr>
            </w:pPr>
            <w:r>
              <w:rPr>
                <w:rFonts w:ascii="Arial" w:cs="Arial" w:eastAsia="Arial" w:hAnsi="Arial"/>
                <w:sz w:val="11"/>
                <w:szCs w:val="11"/>
                <w:color w:val="auto"/>
              </w:rPr>
              <w:t>—</w:t>
            </w:r>
          </w:p>
        </w:tc>
      </w:tr>
      <w:tr>
        <w:trPr>
          <w:trHeight w:val="22"/>
        </w:trPr>
        <w:tc>
          <w:tcPr>
            <w:tcW w:w="8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Investment tax credits</w:t>
            </w:r>
          </w:p>
        </w:tc>
        <w:tc>
          <w:tcPr>
            <w:tcW w:w="10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w:t>
            </w:r>
          </w:p>
        </w:tc>
      </w:tr>
      <w:tr>
        <w:trPr>
          <w:trHeight w:val="158"/>
        </w:trPr>
        <w:tc>
          <w:tcPr>
            <w:tcW w:w="8140" w:type="dxa"/>
            <w:vAlign w:val="bottom"/>
          </w:tcPr>
          <w:p>
            <w:pPr>
              <w:ind w:left="100"/>
              <w:spacing w:after="0"/>
              <w:rPr>
                <w:sz w:val="20"/>
                <w:szCs w:val="20"/>
                <w:color w:val="auto"/>
              </w:rPr>
            </w:pPr>
            <w:r>
              <w:rPr>
                <w:rFonts w:ascii="Arial" w:cs="Arial" w:eastAsia="Arial" w:hAnsi="Arial"/>
                <w:sz w:val="11"/>
                <w:szCs w:val="11"/>
                <w:color w:val="auto"/>
              </w:rPr>
              <w:t>Impact of non-taxable partnership earnings</w:t>
            </w:r>
          </w:p>
        </w:tc>
        <w:tc>
          <w:tcPr>
            <w:tcW w:w="1020" w:type="dxa"/>
            <w:vAlign w:val="bottom"/>
          </w:tcPr>
          <w:p>
            <w:pPr>
              <w:spacing w:after="0"/>
              <w:rPr>
                <w:sz w:val="13"/>
                <w:szCs w:val="13"/>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67"/>
              <w:spacing w:after="0"/>
              <w:rPr>
                <w:sz w:val="20"/>
                <w:szCs w:val="20"/>
                <w:color w:val="auto"/>
              </w:rPr>
            </w:pPr>
            <w:r>
              <w:rPr>
                <w:rFonts w:ascii="Arial" w:cs="Arial" w:eastAsia="Arial" w:hAnsi="Arial"/>
                <w:sz w:val="11"/>
                <w:szCs w:val="11"/>
                <w:color w:val="auto"/>
              </w:rPr>
              <w:t>(1)</w:t>
            </w:r>
          </w:p>
        </w:tc>
      </w:tr>
      <w:tr>
        <w:trPr>
          <w:trHeight w:val="22"/>
        </w:trPr>
        <w:tc>
          <w:tcPr>
            <w:tcW w:w="8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Production tax credits, including prior year true-up</w:t>
            </w:r>
          </w:p>
        </w:tc>
        <w:tc>
          <w:tcPr>
            <w:tcW w:w="10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4</w:t>
            </w:r>
          </w:p>
        </w:tc>
      </w:tr>
      <w:tr>
        <w:trPr>
          <w:trHeight w:val="158"/>
        </w:trPr>
        <w:tc>
          <w:tcPr>
            <w:tcW w:w="8140" w:type="dxa"/>
            <w:vAlign w:val="bottom"/>
          </w:tcPr>
          <w:p>
            <w:pPr>
              <w:ind w:left="100"/>
              <w:spacing w:after="0"/>
              <w:rPr>
                <w:sz w:val="20"/>
                <w:szCs w:val="20"/>
                <w:color w:val="auto"/>
              </w:rPr>
            </w:pPr>
            <w:r>
              <w:rPr>
                <w:rFonts w:ascii="Arial" w:cs="Arial" w:eastAsia="Arial" w:hAnsi="Arial"/>
                <w:sz w:val="11"/>
                <w:szCs w:val="11"/>
                <w:color w:val="auto"/>
              </w:rPr>
              <w:t>Other</w:t>
            </w:r>
          </w:p>
        </w:tc>
        <w:tc>
          <w:tcPr>
            <w:tcW w:w="10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67"/>
              <w:spacing w:after="0"/>
              <w:rPr>
                <w:sz w:val="20"/>
                <w:szCs w:val="20"/>
                <w:color w:val="auto"/>
              </w:rPr>
            </w:pPr>
            <w:r>
              <w:rPr>
                <w:rFonts w:ascii="Arial" w:cs="Arial" w:eastAsia="Arial" w:hAnsi="Arial"/>
                <w:sz w:val="11"/>
                <w:szCs w:val="11"/>
                <w:color w:val="auto"/>
              </w:rPr>
              <w:t>(3)</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02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w:t>
            </w:r>
          </w:p>
        </w:tc>
      </w:tr>
      <w:tr>
        <w:trPr>
          <w:trHeight w:val="149"/>
        </w:trPr>
        <w:tc>
          <w:tcPr>
            <w:tcW w:w="8140" w:type="dxa"/>
            <w:vAlign w:val="bottom"/>
          </w:tcPr>
          <w:p>
            <w:pPr>
              <w:ind w:left="20"/>
              <w:spacing w:after="0"/>
              <w:rPr>
                <w:sz w:val="20"/>
                <w:szCs w:val="20"/>
                <w:color w:val="auto"/>
              </w:rPr>
            </w:pPr>
            <w:r>
              <w:rPr>
                <w:rFonts w:ascii="Arial" w:cs="Arial" w:eastAsia="Arial" w:hAnsi="Arial"/>
                <w:sz w:val="11"/>
                <w:szCs w:val="11"/>
                <w:color w:val="auto"/>
              </w:rPr>
              <w:t>Effective income tax rate</w:t>
            </w:r>
          </w:p>
        </w:tc>
        <w:tc>
          <w:tcPr>
            <w:tcW w:w="10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w:t>
            </w:r>
          </w:p>
        </w:tc>
      </w:tr>
    </w:tbl>
    <w:p>
      <w:pPr>
        <w:spacing w:after="0" w:line="229"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The effective income tax rate may vary from period to period depending on, among other factors, the geographic and business mix of earnings and losses and changes in valuation allowances in accordance with ASC 740. These factors and others, including the Company's history of pre-tax earnings and losses, are taken into account in assessing the ability to realize deferred tax assets.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Income Attributable to Noncontrolling Interests</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year ended December 31, 2017, the Company had income of $60 million attributable to NRG's interest in the Company and a loss of $75 million attributable to noncontrolling interests with respect to its tax equity financing arrangements and the application of the HLBV method.</w:t>
      </w:r>
    </w:p>
    <w:p>
      <w:pPr>
        <w:spacing w:after="0" w:line="79"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For the year ended December 31, 2016, the Company had income of $60 million attributable to NRG's interest in the Company and a loss of $111 million attributable to noncontrolling interests with respect to its tax equity financing arrangements and the application of the HLBV method, which was primarily related to the impairment losses described above.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518" w:right="1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2"/>
          <w:szCs w:val="12"/>
          <w:color w:val="000000"/>
        </w:rPr>
        <w:t>As a normal part</w:t>
      </w:r>
      <w:r>
        <w:rPr>
          <w:rFonts w:ascii="Arial" w:cs="Arial" w:eastAsia="Arial" w:hAnsi="Arial"/>
          <w:sz w:val="12"/>
          <w:szCs w:val="12"/>
          <w:color w:val="231F20"/>
        </w:rPr>
        <w:t xml:space="preserve"> </w:t>
      </w:r>
      <w:r>
        <w:rPr>
          <w:rFonts w:ascii="Arial" w:cs="Arial" w:eastAsia="Arial" w:hAnsi="Arial"/>
          <w:sz w:val="12"/>
          <w:szCs w:val="12"/>
          <w:color w:val="000000"/>
        </w:rPr>
        <w:t>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Current Liquidity Position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1"/>
          <w:szCs w:val="11"/>
          <w:color w:val="231F20"/>
        </w:rPr>
        <w:t xml:space="preserve">As of </w:t>
      </w:r>
      <w:r>
        <w:rPr>
          <w:rFonts w:ascii="Arial" w:cs="Arial" w:eastAsia="Arial" w:hAnsi="Arial"/>
          <w:sz w:val="11"/>
          <w:szCs w:val="11"/>
          <w:color w:val="000000"/>
        </w:rPr>
        <w:t>December 31, 2018</w:t>
      </w:r>
      <w:r>
        <w:rPr>
          <w:rFonts w:ascii="Arial" w:cs="Arial" w:eastAsia="Arial" w:hAnsi="Arial"/>
          <w:sz w:val="11"/>
          <w:szCs w:val="11"/>
          <w:color w:val="231F20"/>
        </w:rPr>
        <w:t xml:space="preserve"> and </w:t>
      </w:r>
      <w:r>
        <w:rPr>
          <w:rFonts w:ascii="Arial" w:cs="Arial" w:eastAsia="Arial" w:hAnsi="Arial"/>
          <w:sz w:val="11"/>
          <w:szCs w:val="11"/>
          <w:color w:val="000000"/>
        </w:rPr>
        <w:t>2017</w:t>
      </w:r>
      <w:r>
        <w:rPr>
          <w:rFonts w:ascii="Arial" w:cs="Arial" w:eastAsia="Arial" w:hAnsi="Arial"/>
          <w:sz w:val="11"/>
          <w:szCs w:val="11"/>
          <w:color w:val="231F20"/>
        </w:rPr>
        <w:t>, the Company's liquidity was approximately $1,037 million and $682 million, respectively, comprised of cash, restricted cash, and availability under the Company's revolving credit facility.</w:t>
      </w: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140"/>
        </w:trPr>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93"/>
              </w:rPr>
              <w:t>As of December 31,</w:t>
            </w:r>
          </w:p>
        </w:tc>
        <w:tc>
          <w:tcPr>
            <w:tcW w:w="840" w:type="dxa"/>
            <w:vAlign w:val="bottom"/>
          </w:tcPr>
          <w:p>
            <w:pPr>
              <w:spacing w:after="0"/>
              <w:rPr>
                <w:sz w:val="12"/>
                <w:szCs w:val="12"/>
                <w:color w:val="auto"/>
              </w:rPr>
            </w:pPr>
          </w:p>
        </w:tc>
      </w:tr>
      <w:tr>
        <w:trPr>
          <w:trHeight w:val="22"/>
        </w:trPr>
        <w:tc>
          <w:tcPr>
            <w:tcW w:w="8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7"/>
        </w:trPr>
        <w:tc>
          <w:tcPr>
            <w:tcW w:w="8220" w:type="dxa"/>
            <w:vAlign w:val="bottom"/>
          </w:tcPr>
          <w:p>
            <w:pPr>
              <w:spacing w:after="0"/>
              <w:rPr>
                <w:sz w:val="12"/>
                <w:szCs w:val="12"/>
                <w:color w:val="auto"/>
              </w:rPr>
            </w:pPr>
          </w:p>
        </w:tc>
        <w:tc>
          <w:tcPr>
            <w:tcW w:w="840" w:type="dxa"/>
            <w:vAlign w:val="bottom"/>
          </w:tcPr>
          <w:p>
            <w:pPr>
              <w:jc w:val="right"/>
              <w:ind w:right="30"/>
              <w:spacing w:after="0"/>
              <w:rPr>
                <w:sz w:val="20"/>
                <w:szCs w:val="20"/>
                <w:color w:val="auto"/>
              </w:rPr>
            </w:pPr>
            <w:r>
              <w:rPr>
                <w:rFonts w:ascii="Arial" w:cs="Arial" w:eastAsia="Arial" w:hAnsi="Arial"/>
                <w:sz w:val="11"/>
                <w:szCs w:val="11"/>
                <w:b w:val="1"/>
                <w:bCs w:val="1"/>
                <w:color w:val="auto"/>
              </w:rPr>
              <w:t>2018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506"/>
              <w:spacing w:after="0"/>
              <w:rPr>
                <w:sz w:val="20"/>
                <w:szCs w:val="20"/>
                <w:color w:val="auto"/>
              </w:rPr>
            </w:pPr>
            <w:r>
              <w:rPr>
                <w:rFonts w:ascii="Arial" w:cs="Arial" w:eastAsia="Arial" w:hAnsi="Arial"/>
                <w:sz w:val="11"/>
                <w:szCs w:val="11"/>
                <w:b w:val="1"/>
                <w:bCs w:val="1"/>
                <w:color w:val="auto"/>
              </w:rPr>
              <w:t>2017</w:t>
            </w:r>
          </w:p>
        </w:tc>
      </w:tr>
      <w:tr>
        <w:trPr>
          <w:trHeight w:val="22"/>
        </w:trPr>
        <w:tc>
          <w:tcPr>
            <w:tcW w:w="8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8"/>
        </w:trPr>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rPr>
              <w:t>(In millions)</w:t>
            </w:r>
          </w:p>
        </w:tc>
        <w:tc>
          <w:tcPr>
            <w:tcW w:w="840" w:type="dxa"/>
            <w:vAlign w:val="bottom"/>
          </w:tcPr>
          <w:p>
            <w:pPr>
              <w:spacing w:after="0"/>
              <w:rPr>
                <w:sz w:val="12"/>
                <w:szCs w:val="12"/>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w:t>
            </w:r>
          </w:p>
        </w:tc>
        <w:tc>
          <w:tcPr>
            <w:tcW w:w="8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r>
      <w:tr>
        <w:trPr>
          <w:trHeight w:val="158"/>
        </w:trPr>
        <w:tc>
          <w:tcPr>
            <w:tcW w:w="8220" w:type="dxa"/>
            <w:vAlign w:val="bottom"/>
          </w:tcPr>
          <w:p>
            <w:pPr>
              <w:ind w:left="180"/>
              <w:spacing w:after="0"/>
              <w:rPr>
                <w:sz w:val="20"/>
                <w:szCs w:val="20"/>
                <w:color w:val="auto"/>
              </w:rPr>
            </w:pPr>
            <w:r>
              <w:rPr>
                <w:rFonts w:ascii="Arial" w:cs="Arial" w:eastAsia="Arial" w:hAnsi="Arial"/>
                <w:sz w:val="11"/>
                <w:szCs w:val="11"/>
                <w:color w:val="auto"/>
              </w:rPr>
              <w:t>Clearway Energy, Inc. and Clearway Energy LLC, excluding subsidiaries</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298</w:t>
            </w:r>
          </w:p>
        </w:tc>
        <w:tc>
          <w:tcPr>
            <w:tcW w:w="100" w:type="dxa"/>
            <w:vAlign w:val="bottom"/>
          </w:tcPr>
          <w:p>
            <w:pPr>
              <w:spacing w:after="0"/>
              <w:rPr>
                <w:sz w:val="13"/>
                <w:szCs w:val="13"/>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24</w:t>
            </w:r>
          </w:p>
        </w:tc>
      </w:tr>
      <w:tr>
        <w:trPr>
          <w:trHeight w:val="22"/>
        </w:trPr>
        <w:tc>
          <w:tcPr>
            <w:tcW w:w="8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Subsidiaries</w:t>
            </w:r>
          </w:p>
        </w:tc>
        <w:tc>
          <w:tcPr>
            <w:tcW w:w="8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109</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w:t>
            </w:r>
          </w:p>
        </w:tc>
      </w:tr>
      <w:tr>
        <w:trPr>
          <w:trHeight w:val="158"/>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Restricted cash:</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
        </w:trPr>
        <w:tc>
          <w:tcPr>
            <w:tcW w:w="8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Operating accounts</w:t>
            </w:r>
          </w:p>
        </w:tc>
        <w:tc>
          <w:tcPr>
            <w:tcW w:w="8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r>
      <w:tr>
        <w:trPr>
          <w:trHeight w:val="158"/>
        </w:trPr>
        <w:tc>
          <w:tcPr>
            <w:tcW w:w="8220" w:type="dxa"/>
            <w:vAlign w:val="bottom"/>
          </w:tcPr>
          <w:p>
            <w:pPr>
              <w:ind w:left="240"/>
              <w:spacing w:after="0"/>
              <w:rPr>
                <w:sz w:val="20"/>
                <w:szCs w:val="20"/>
                <w:color w:val="auto"/>
              </w:rPr>
            </w:pPr>
            <w:r>
              <w:rPr>
                <w:rFonts w:ascii="Arial" w:cs="Arial" w:eastAsia="Arial" w:hAnsi="Arial"/>
                <w:sz w:val="11"/>
                <w:szCs w:val="11"/>
                <w:color w:val="auto"/>
              </w:rPr>
              <w:t>Reserves, including debt service, distributions, performance obligations and other reserves</w:t>
            </w:r>
          </w:p>
        </w:tc>
        <w:tc>
          <w:tcPr>
            <w:tcW w:w="84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143</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cash equivalents and restricted cash</w:t>
            </w:r>
          </w:p>
        </w:tc>
        <w:tc>
          <w:tcPr>
            <w:tcW w:w="8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583</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316</w:t>
            </w:r>
          </w:p>
        </w:tc>
      </w:tr>
      <w:tr>
        <w:trPr>
          <w:trHeight w:val="158"/>
        </w:trPr>
        <w:tc>
          <w:tcPr>
            <w:tcW w:w="8220" w:type="dxa"/>
            <w:vAlign w:val="bottom"/>
          </w:tcPr>
          <w:p>
            <w:pPr>
              <w:ind w:left="20"/>
              <w:spacing w:after="0"/>
              <w:rPr>
                <w:sz w:val="20"/>
                <w:szCs w:val="20"/>
                <w:color w:val="auto"/>
              </w:rPr>
            </w:pPr>
            <w:r>
              <w:rPr>
                <w:rFonts w:ascii="Arial" w:cs="Arial" w:eastAsia="Arial" w:hAnsi="Arial"/>
                <w:sz w:val="11"/>
                <w:szCs w:val="11"/>
                <w:color w:val="auto"/>
              </w:rPr>
              <w:t>Revolving credit facility availability</w:t>
            </w:r>
          </w:p>
        </w:tc>
        <w:tc>
          <w:tcPr>
            <w:tcW w:w="840" w:type="dxa"/>
            <w:vAlign w:val="bottom"/>
          </w:tcPr>
          <w:p>
            <w:pPr>
              <w:jc w:val="right"/>
              <w:ind w:right="73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13"/>
                <w:szCs w:val="13"/>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366</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liquidity</w:t>
            </w:r>
          </w:p>
        </w:tc>
        <w:tc>
          <w:tcPr>
            <w:tcW w:w="8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1,037</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682</w:t>
            </w:r>
          </w:p>
        </w:tc>
      </w:tr>
    </w:tbl>
    <w:p>
      <w:pPr>
        <w:spacing w:after="0" w:line="9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231F20"/>
        </w:rPr>
        <w:t xml:space="preserve">The Company's liquidity includes $176 million and $168 million of restricted cash balances as of December 31, 2018 and </w:t>
      </w:r>
      <w:r>
        <w:rPr>
          <w:rFonts w:ascii="Arial" w:cs="Arial" w:eastAsia="Arial" w:hAnsi="Arial"/>
          <w:sz w:val="11"/>
          <w:szCs w:val="11"/>
          <w:color w:val="000000"/>
        </w:rPr>
        <w:t>2017</w:t>
      </w:r>
      <w:r>
        <w:rPr>
          <w:rFonts w:ascii="Arial" w:cs="Arial" w:eastAsia="Arial" w:hAnsi="Arial"/>
          <w:sz w:val="11"/>
          <w:szCs w:val="11"/>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1"/>
          <w:szCs w:val="11"/>
          <w:color w:val="000000"/>
        </w:rPr>
        <w:t>December 31, 2018, these restricted funds comprised of $84 million designated to fund operating expenses, approximately $26 million</w:t>
      </w:r>
      <w:r>
        <w:rPr>
          <w:rFonts w:ascii="Arial" w:cs="Arial" w:eastAsia="Arial" w:hAnsi="Arial"/>
          <w:sz w:val="11"/>
          <w:szCs w:val="11"/>
          <w:color w:val="231F20"/>
        </w:rPr>
        <w:t xml:space="preserve"> </w:t>
      </w:r>
      <w:r>
        <w:rPr>
          <w:rFonts w:ascii="Arial" w:cs="Arial" w:eastAsia="Arial" w:hAnsi="Arial"/>
          <w:sz w:val="11"/>
          <w:szCs w:val="11"/>
          <w:color w:val="000000"/>
        </w:rPr>
        <w:t>designated for current debt service payments, and $32 million restricted for reserves including debt service, performance obligations and other reserves, as well as capital expenditures. The remaining $34 million is held in distribution reserve accounts, of which $31 million related to subsidiaries affected by the PG&amp;E bankruptcy as discussed further below and may not be distributed during the pendency of the bankruptcy.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December 31, 2018</w:t>
      </w:r>
      <w:r>
        <w:rPr>
          <w:rFonts w:ascii="Arial" w:cs="Arial" w:eastAsia="Arial" w:hAnsi="Arial"/>
          <w:sz w:val="12"/>
          <w:szCs w:val="12"/>
          <w:color w:val="231F20"/>
        </w:rPr>
        <w:t>, the Company had no borrowings under the revolving credit facility and $41 million of letters of credit were outstanding under the revolving credit facility.</w:t>
      </w:r>
    </w:p>
    <w:p>
      <w:pPr>
        <w:spacing w:after="0" w:line="114" w:lineRule="exact"/>
        <w:rPr>
          <w:sz w:val="20"/>
          <w:szCs w:val="20"/>
          <w:color w:val="auto"/>
        </w:rPr>
      </w:pPr>
    </w:p>
    <w:p>
      <w:pPr>
        <w:ind w:right="100" w:firstLine="270"/>
        <w:spacing w:after="0" w:line="276" w:lineRule="auto"/>
        <w:rPr>
          <w:sz w:val="20"/>
          <w:szCs w:val="20"/>
          <w:color w:val="auto"/>
        </w:rPr>
      </w:pPr>
      <w:r>
        <w:rPr>
          <w:rFonts w:ascii="Arial" w:cs="Arial" w:eastAsia="Arial" w:hAnsi="Arial"/>
          <w:sz w:val="12"/>
          <w:szCs w:val="12"/>
          <w:color w:val="auto"/>
        </w:rPr>
        <w:t>Subsequent to December 31, 2018, the Company utilized cash held by Clearway Energy, Inc. and Clearway Energy LLC to repay the remaining $220 million balance of the 2019 Convertible Notes and acquire the Class A interest in Wind TE Holdco for $19 million, as further described below in Uses of Liquidity.</w:t>
      </w:r>
    </w:p>
    <w:p>
      <w:pPr>
        <w:spacing w:after="0" w:line="79"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 xml:space="preserve">In August 2018 and January 2019, the Company completed a series of open market repurchases of 2019 Convertible Notes in aggregate principal amount of $66 million. The 2019 Convertible Notes matured on February 1, 2019 and the Company paid off the remaining balance of an aggregate principal amount of $170 million </w:t>
      </w:r>
      <w:r>
        <w:rPr>
          <w:rFonts w:ascii="Arial" w:cs="Arial" w:eastAsia="Arial" w:hAnsi="Arial"/>
          <w:sz w:val="11"/>
          <w:szCs w:val="11"/>
          <w:color w:val="231F20"/>
        </w:rPr>
        <w:t>as further described in Item 15</w:t>
      </w:r>
      <w:r>
        <w:rPr>
          <w:rFonts w:ascii="Arial" w:cs="Arial" w:eastAsia="Arial" w:hAnsi="Arial"/>
          <w:sz w:val="11"/>
          <w:szCs w:val="11"/>
          <w:color w:val="auto"/>
        </w:rPr>
        <w:t xml:space="preserve"> — Note 10</w:t>
      </w:r>
      <w:r>
        <w:rPr>
          <w:rFonts w:ascii="Arial" w:cs="Arial" w:eastAsia="Arial" w:hAnsi="Arial"/>
          <w:sz w:val="11"/>
          <w:szCs w:val="11"/>
          <w:color w:val="231F20"/>
        </w:rPr>
        <w:t>,</w:t>
      </w:r>
      <w:r>
        <w:rPr>
          <w:rFonts w:ascii="Arial" w:cs="Arial" w:eastAsia="Arial" w:hAnsi="Arial"/>
          <w:sz w:val="11"/>
          <w:szCs w:val="11"/>
          <w:color w:val="auto"/>
        </w:rPr>
        <w:t xml:space="preserve"> </w:t>
      </w:r>
      <w:r>
        <w:rPr>
          <w:rFonts w:ascii="Arial" w:cs="Arial" w:eastAsia="Arial" w:hAnsi="Arial"/>
          <w:sz w:val="11"/>
          <w:szCs w:val="11"/>
          <w:i w:val="1"/>
          <w:iCs w:val="1"/>
          <w:color w:val="auto"/>
        </w:rPr>
        <w:t>Long-term Debt</w:t>
      </w:r>
      <w:r>
        <w:rPr>
          <w:rFonts w:ascii="Arial" w:cs="Arial" w:eastAsia="Arial" w:hAnsi="Arial"/>
          <w:sz w:val="11"/>
          <w:szCs w:val="11"/>
          <w:color w:val="231F20"/>
        </w:rPr>
        <w:t>, to the Consolidated Financial Statements.</w:t>
      </w:r>
    </w:p>
    <w:p>
      <w:pPr>
        <w:spacing w:after="0" w:line="56"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is an event of default under the related financing agreements which caused uncertainty around the timing of when certain project-level cash distributions will be available to the Company. As of December 31, 2018, all project level cash balances for these subsidiaries were classified as restricted cash.</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514" w:right="199" w:bottom="1440" w:gutter="0" w:footer="0" w:header="0"/>
        </w:sectPr>
      </w:pPr>
    </w:p>
    <w:bookmarkStart w:id="57" w:name="page58"/>
    <w:bookmarkEnd w:id="57"/>
    <w:p>
      <w:pPr>
        <w:jc w:val="both"/>
        <w:ind w:firstLine="324"/>
        <w:spacing w:after="0" w:line="263" w:lineRule="auto"/>
        <w:rPr>
          <w:sz w:val="20"/>
          <w:szCs w:val="20"/>
          <w:color w:val="auto"/>
        </w:rPr>
      </w:pPr>
      <w:r>
        <w:rPr>
          <w:rFonts w:ascii="Arial" w:cs="Arial" w:eastAsia="Arial" w:hAnsi="Arial"/>
          <w:sz w:val="12"/>
          <w:szCs w:val="12"/>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Credit Ratings</w:t>
      </w:r>
    </w:p>
    <w:p>
      <w:pPr>
        <w:spacing w:after="0" w:line="114"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credit ratings for the Company and its Senior Notes as of December 31, 2018. The ratings outlook is stable.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S&amp;P</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Moody's</w:t>
            </w:r>
          </w:p>
        </w:tc>
      </w:tr>
      <w:tr>
        <w:trPr>
          <w:trHeight w:val="173"/>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Clearway Energy, Inc.</w:t>
            </w: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Ba2</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5.375% Senior Notes, due 2024</w:t>
            </w:r>
          </w:p>
        </w:tc>
        <w:tc>
          <w:tcPr>
            <w:tcW w:w="1600" w:type="dxa"/>
            <w:vAlign w:val="bottom"/>
            <w:gridSpan w:val="2"/>
          </w:tcPr>
          <w:p>
            <w:pPr>
              <w:ind w:left="660"/>
              <w:spacing w:after="0"/>
              <w:rPr>
                <w:sz w:val="20"/>
                <w:szCs w:val="20"/>
                <w:color w:val="auto"/>
              </w:rPr>
            </w:pPr>
            <w:r>
              <w:rPr>
                <w:rFonts w:ascii="Arial" w:cs="Arial" w:eastAsia="Arial" w:hAnsi="Arial"/>
                <w:sz w:val="12"/>
                <w:szCs w:val="12"/>
                <w:color w:val="auto"/>
              </w:rPr>
              <w:t>BB</w:t>
            </w:r>
          </w:p>
        </w:tc>
        <w:tc>
          <w:tcPr>
            <w:tcW w:w="1500" w:type="dxa"/>
            <w:vAlign w:val="bottom"/>
          </w:tcPr>
          <w:p>
            <w:pPr>
              <w:jc w:val="center"/>
              <w:spacing w:after="0"/>
              <w:rPr>
                <w:sz w:val="20"/>
                <w:szCs w:val="20"/>
                <w:color w:val="auto"/>
              </w:rPr>
            </w:pPr>
            <w:r>
              <w:rPr>
                <w:rFonts w:ascii="Arial" w:cs="Arial" w:eastAsia="Arial" w:hAnsi="Arial"/>
                <w:sz w:val="12"/>
                <w:szCs w:val="12"/>
                <w:color w:val="auto"/>
                <w:w w:val="84"/>
              </w:rPr>
              <w:t>Ba2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5.75% Senior Notes, due 2025</w:t>
            </w: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Ba2</w:t>
            </w:r>
          </w:p>
        </w:tc>
      </w:tr>
      <w:tr>
        <w:trPr>
          <w:trHeight w:val="162"/>
        </w:trPr>
        <w:tc>
          <w:tcPr>
            <w:tcW w:w="8380" w:type="dxa"/>
            <w:vAlign w:val="bottom"/>
          </w:tcPr>
          <w:p>
            <w:pPr>
              <w:ind w:left="20"/>
              <w:spacing w:after="0"/>
              <w:rPr>
                <w:sz w:val="20"/>
                <w:szCs w:val="20"/>
                <w:color w:val="auto"/>
              </w:rPr>
            </w:pPr>
            <w:r>
              <w:rPr>
                <w:rFonts w:ascii="Arial" w:cs="Arial" w:eastAsia="Arial" w:hAnsi="Arial"/>
                <w:sz w:val="12"/>
                <w:szCs w:val="12"/>
                <w:color w:val="auto"/>
              </w:rPr>
              <w:t>5.000% Senior Notes, due 2026</w:t>
            </w:r>
          </w:p>
        </w:tc>
        <w:tc>
          <w:tcPr>
            <w:tcW w:w="1600" w:type="dxa"/>
            <w:vAlign w:val="bottom"/>
            <w:gridSpan w:val="2"/>
          </w:tcPr>
          <w:p>
            <w:pPr>
              <w:ind w:left="660"/>
              <w:spacing w:after="0"/>
              <w:rPr>
                <w:sz w:val="20"/>
                <w:szCs w:val="20"/>
                <w:color w:val="auto"/>
              </w:rPr>
            </w:pPr>
            <w:r>
              <w:rPr>
                <w:rFonts w:ascii="Arial" w:cs="Arial" w:eastAsia="Arial" w:hAnsi="Arial"/>
                <w:sz w:val="12"/>
                <w:szCs w:val="12"/>
                <w:color w:val="auto"/>
              </w:rPr>
              <w:t>BB</w:t>
            </w:r>
          </w:p>
        </w:tc>
        <w:tc>
          <w:tcPr>
            <w:tcW w:w="1500" w:type="dxa"/>
            <w:vAlign w:val="bottom"/>
          </w:tcPr>
          <w:p>
            <w:pPr>
              <w:jc w:val="center"/>
              <w:spacing w:after="0"/>
              <w:rPr>
                <w:sz w:val="20"/>
                <w:szCs w:val="20"/>
                <w:color w:val="auto"/>
              </w:rPr>
            </w:pPr>
            <w:r>
              <w:rPr>
                <w:rFonts w:ascii="Arial" w:cs="Arial" w:eastAsia="Arial" w:hAnsi="Arial"/>
                <w:sz w:val="12"/>
                <w:szCs w:val="12"/>
                <w:color w:val="auto"/>
                <w:w w:val="84"/>
              </w:rPr>
              <w:t>Ba2</w:t>
            </w:r>
          </w:p>
        </w:tc>
      </w:tr>
      <w:tr>
        <w:trPr>
          <w:trHeight w:val="270"/>
        </w:trPr>
        <w:tc>
          <w:tcPr>
            <w:tcW w:w="8380" w:type="dxa"/>
            <w:vAlign w:val="bottom"/>
          </w:tcPr>
          <w:p>
            <w:pPr>
              <w:ind w:left="260"/>
              <w:spacing w:after="0"/>
              <w:rPr>
                <w:sz w:val="20"/>
                <w:szCs w:val="20"/>
                <w:color w:val="auto"/>
              </w:rPr>
            </w:pPr>
            <w:r>
              <w:rPr>
                <w:rFonts w:ascii="Arial" w:cs="Arial" w:eastAsia="Arial" w:hAnsi="Arial"/>
                <w:sz w:val="12"/>
                <w:szCs w:val="12"/>
                <w:color w:val="auto"/>
              </w:rPr>
              <w:t>S&amp;P and Moody's reaffirmed the ratings outlook as stable on February 25, 2019 and on February 15, 2019, respectively.</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8380" w:type="dxa"/>
            <w:vAlign w:val="bottom"/>
          </w:tcPr>
          <w:p>
            <w:pPr>
              <w:ind w:left="200"/>
              <w:spacing w:after="0"/>
              <w:rPr>
                <w:sz w:val="20"/>
                <w:szCs w:val="20"/>
                <w:color w:val="auto"/>
              </w:rPr>
            </w:pPr>
            <w:r>
              <w:rPr>
                <w:rFonts w:ascii="Arial" w:cs="Arial" w:eastAsia="Arial" w:hAnsi="Arial"/>
                <w:sz w:val="12"/>
                <w:szCs w:val="12"/>
                <w:b w:val="1"/>
                <w:bCs w:val="1"/>
                <w:i w:val="1"/>
                <w:iCs w:val="1"/>
                <w:color w:val="231F20"/>
              </w:rPr>
              <w:t>Sources of Liquidity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8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15 </w:t>
      </w:r>
      <w:r>
        <w:rPr>
          <w:rFonts w:ascii="Arial" w:cs="Arial" w:eastAsia="Arial" w:hAnsi="Arial"/>
          <w:sz w:val="12"/>
          <w:szCs w:val="12"/>
          <w:color w:val="000000"/>
        </w:rPr>
        <w:t>— 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xml:space="preserve">, to the Consolidated Financial Statements, and above in </w:t>
      </w:r>
      <w:r>
        <w:rPr>
          <w:rFonts w:ascii="Arial" w:cs="Arial" w:eastAsia="Arial" w:hAnsi="Arial"/>
          <w:sz w:val="12"/>
          <w:szCs w:val="12"/>
          <w:i w:val="1"/>
          <w:iCs w:val="1"/>
          <w:color w:val="000000"/>
        </w:rPr>
        <w:t>Significant Events During the Year Ended December 31, 2018,</w:t>
      </w:r>
      <w:r>
        <w:rPr>
          <w:rFonts w:ascii="Arial" w:cs="Arial" w:eastAsia="Arial" w:hAnsi="Arial"/>
          <w:sz w:val="12"/>
          <w:szCs w:val="12"/>
          <w:color w:val="231F20"/>
        </w:rPr>
        <w:t xml:space="preserve"> the Company's financing arrangements consist of the equity offering of Class C common stock on September 27, 2018, corporate level debt, which includes Senior Notes, Convertible Notes, and the revolving credit facility; the ATM Program; and project-level financings for its various assets.</w:t>
      </w:r>
    </w:p>
    <w:p>
      <w:pPr>
        <w:spacing w:after="0" w:line="71"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2025 Senior Notes </w:t>
      </w:r>
      <w:r>
        <w:rPr>
          <w:rFonts w:ascii="Arial" w:cs="Arial" w:eastAsia="Arial" w:hAnsi="Arial"/>
          <w:sz w:val="12"/>
          <w:szCs w:val="12"/>
          <w:color w:val="auto"/>
        </w:rPr>
        <w:t>— On October 1, 2018, Clearway Energy Operating LLC issued $600 million of senior unsecured notes, or the 2025 Senior Notes. The 2025 Senior Notes bear interest at 5.750% and mature on October 15, 2025.</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2018 Equity Offering </w:t>
      </w:r>
      <w:r>
        <w:rPr>
          <w:rFonts w:ascii="Arial" w:cs="Arial" w:eastAsia="Arial" w:hAnsi="Arial"/>
          <w:sz w:val="12"/>
          <w:szCs w:val="12"/>
          <w:color w:val="auto"/>
        </w:rPr>
        <w:t>— On September 27, 2018, Clearway Energy, Inc. issued and sold an additional 3,916,449 shares of Class C common stock for net proceeds of $75 million. The Company utilized the proceeds of the offering to</w:t>
      </w:r>
      <w:r>
        <w:rPr>
          <w:rFonts w:ascii="Arial" w:cs="Arial" w:eastAsia="Arial" w:hAnsi="Arial"/>
          <w:sz w:val="12"/>
          <w:szCs w:val="12"/>
          <w:i w:val="1"/>
          <w:iCs w:val="1"/>
          <w:color w:val="auto"/>
        </w:rPr>
        <w:t xml:space="preserve"> </w:t>
      </w:r>
      <w:r>
        <w:rPr>
          <w:rFonts w:ascii="Arial" w:cs="Arial" w:eastAsia="Arial" w:hAnsi="Arial"/>
          <w:sz w:val="12"/>
          <w:szCs w:val="12"/>
          <w:color w:val="auto"/>
        </w:rPr>
        <w:t>acquire 3,916,449 Class C units of Clearway Energy LLC.</w:t>
      </w:r>
    </w:p>
    <w:p>
      <w:pPr>
        <w:spacing w:after="0" w:line="79"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i w:val="1"/>
          <w:iCs w:val="1"/>
          <w:color w:val="auto"/>
        </w:rPr>
        <w:t xml:space="preserve">Revolving Credit Facility </w:t>
      </w:r>
      <w:r>
        <w:rPr>
          <w:rFonts w:ascii="Arial" w:cs="Arial" w:eastAsia="Arial" w:hAnsi="Arial"/>
          <w:sz w:val="12"/>
          <w:szCs w:val="12"/>
          <w:color w:val="auto"/>
        </w:rPr>
        <w:t>— On April 30, 2018, the Company closed on the refinancing of the revolving credit facility, which extended the maturity of the facility to April 28, 2023 and decreased the Company's overall cost of</w:t>
      </w:r>
      <w:r>
        <w:rPr>
          <w:rFonts w:ascii="Arial" w:cs="Arial" w:eastAsia="Arial" w:hAnsi="Arial"/>
          <w:sz w:val="12"/>
          <w:szCs w:val="12"/>
          <w:i w:val="1"/>
          <w:iCs w:val="1"/>
          <w:color w:val="auto"/>
        </w:rPr>
        <w:t xml:space="preserve"> </w:t>
      </w:r>
      <w:r>
        <w:rPr>
          <w:rFonts w:ascii="Arial" w:cs="Arial" w:eastAsia="Arial" w:hAnsi="Arial"/>
          <w:sz w:val="12"/>
          <w:szCs w:val="12"/>
          <w:color w:val="auto"/>
        </w:rPr>
        <w:t>borrowing. The facility will continue to be used for general corporate purposes including financing of future acquisitions and posting letters of credit.</w:t>
      </w:r>
    </w:p>
    <w:p>
      <w:pPr>
        <w:spacing w:after="0" w:line="79"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i w:val="1"/>
          <w:iCs w:val="1"/>
          <w:color w:val="auto"/>
        </w:rPr>
        <w:t xml:space="preserve">ATM Sales </w:t>
      </w:r>
      <w:r>
        <w:rPr>
          <w:rFonts w:ascii="Arial" w:cs="Arial" w:eastAsia="Arial" w:hAnsi="Arial"/>
          <w:sz w:val="12"/>
          <w:szCs w:val="12"/>
          <w:color w:val="auto"/>
        </w:rPr>
        <w:t>— The Company sold a total of 4,492,473 of Class C common stock under the ATM program for gross proceeds of $79 million during the year ended December 31, 2018. The Company incurred commission fees of $790</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 during the period ended December 31, 2018.</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February 28, 2019, approximately $36 million of Class C common stock remains available for issuance under the ATM Program.</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i w:val="1"/>
          <w:iCs w:val="1"/>
          <w:color w:val="auto"/>
        </w:rPr>
        <w:t xml:space="preserve">Thermal Notes </w:t>
      </w:r>
      <w:r>
        <w:rPr>
          <w:rFonts w:ascii="Arial" w:cs="Arial" w:eastAsia="Arial" w:hAnsi="Arial"/>
          <w:sz w:val="11"/>
          <w:szCs w:val="11"/>
          <w:color w:val="auto"/>
        </w:rPr>
        <w:t>— On June 19, 2018, Energy Center Minneapolis LLC, a subsidiary of the Company, completed the issuances of 4.80% Series E notes due June 15, 2033, or the Series E Notes, and 4.60% Series F notes due March 15,</w:t>
      </w:r>
      <w:r>
        <w:rPr>
          <w:rFonts w:ascii="Arial" w:cs="Arial" w:eastAsia="Arial" w:hAnsi="Arial"/>
          <w:sz w:val="11"/>
          <w:szCs w:val="11"/>
          <w:i w:val="1"/>
          <w:iCs w:val="1"/>
          <w:color w:val="auto"/>
        </w:rPr>
        <w:t xml:space="preserve"> </w:t>
      </w:r>
      <w:r>
        <w:rPr>
          <w:rFonts w:ascii="Arial" w:cs="Arial" w:eastAsia="Arial" w:hAnsi="Arial"/>
          <w:sz w:val="11"/>
          <w:szCs w:val="11"/>
          <w:color w:val="auto"/>
        </w:rPr>
        <w:t>2033, or the Series F Notes, for gross proceeds of $80 million. The proceeds of the Series E Notes and Series F Notes were utilized to finance the acquisition of the UPMC Thermal Project. Also, on June 19, 2018, Energy Center Minneapolis LLC issued $83 million of 5.90% Series G notes due June 15, 2035, or the Series G Notes, which were utilized to refinance its $83 million of outstanding Series C notes. Energy Center Minneapolis LLC also issued 4.83% Series H notes due June 15, 2037, or the Series H Notes, for proceeds of $40 million and established a private shelf facility for the future issuance of $40 million in additional notes.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518" w:right="199" w:bottom="1440" w:gutter="0" w:footer="0" w:header="0"/>
        </w:sectPr>
      </w:pPr>
    </w:p>
    <w:bookmarkStart w:id="58" w:name="page59"/>
    <w:bookmarkEnd w:id="58"/>
    <w:p>
      <w:pPr>
        <w:ind w:left="320"/>
        <w:spacing w:after="0"/>
        <w:rPr>
          <w:sz w:val="20"/>
          <w:szCs w:val="20"/>
          <w:color w:val="auto"/>
        </w:rPr>
      </w:pPr>
      <w:r>
        <w:rPr>
          <w:rFonts w:ascii="Arial" w:cs="Arial" w:eastAsia="Arial" w:hAnsi="Arial"/>
          <w:sz w:val="12"/>
          <w:szCs w:val="12"/>
          <w:b w:val="1"/>
          <w:bCs w:val="1"/>
          <w:i w:val="1"/>
          <w:iCs w:val="1"/>
          <w:color w:val="231F20"/>
        </w:rPr>
        <w:t>Uses of Liquidity</w:t>
      </w:r>
    </w:p>
    <w:p>
      <w:pPr>
        <w:spacing w:after="0" w:line="96"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231F20"/>
        </w:rPr>
        <w:t xml:space="preserve">The Company's requirements for liquidity and capital resources, other than for operating its facilities, are categorized as: (i) debt service obligations, as described more fully in Item 15 </w:t>
      </w:r>
      <w:r>
        <w:rPr>
          <w:rFonts w:ascii="Arial" w:cs="Arial" w:eastAsia="Arial" w:hAnsi="Arial"/>
          <w:sz w:val="12"/>
          <w:szCs w:val="12"/>
          <w:color w:val="000000"/>
        </w:rPr>
        <w:t>— 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to the Consolidated Financial Statements; (ii) capital expenditures; (iii) acquisitions and investments; and (iv) cash dividends to investors.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Debt Service Obligations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Principal payments on debt as of December 31, 2018 are due in the following periods:</w:t>
      </w:r>
    </w:p>
    <w:p>
      <w:pPr>
        <w:spacing w:after="0" w:line="143"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4320" w:type="dxa"/>
            <w:vAlign w:val="bottom"/>
            <w:gridSpan w:val="3"/>
          </w:tcPr>
          <w:p>
            <w:pPr>
              <w:ind w:left="20"/>
              <w:spacing w:after="0"/>
              <w:rPr>
                <w:sz w:val="20"/>
                <w:szCs w:val="20"/>
                <w:color w:val="auto"/>
              </w:rPr>
            </w:pPr>
            <w:r>
              <w:rPr>
                <w:rFonts w:ascii="Arial" w:cs="Arial" w:eastAsia="Arial" w:hAnsi="Arial"/>
                <w:sz w:val="10"/>
                <w:szCs w:val="10"/>
                <w:b w:val="1"/>
                <w:bCs w:val="1"/>
                <w:color w:val="auto"/>
              </w:rPr>
              <w:t>Description</w:t>
            </w: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206"/>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26"/>
              <w:spacing w:after="0"/>
              <w:rPr>
                <w:sz w:val="20"/>
                <w:szCs w:val="20"/>
                <w:color w:val="auto"/>
              </w:rPr>
            </w:pPr>
            <w:r>
              <w:rPr>
                <w:rFonts w:ascii="Arial" w:cs="Arial" w:eastAsia="Arial" w:hAnsi="Arial"/>
                <w:sz w:val="10"/>
                <w:szCs w:val="10"/>
                <w:b w:val="1"/>
                <w:bCs w:val="1"/>
                <w:color w:val="auto"/>
                <w:w w:val="98"/>
              </w:rPr>
              <w:t>2021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0"/>
                <w:szCs w:val="10"/>
                <w:b w:val="1"/>
                <w:bCs w:val="1"/>
                <w:color w:val="auto"/>
              </w:rPr>
              <w:t>2022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26"/>
              <w:spacing w:after="0"/>
              <w:rPr>
                <w:sz w:val="20"/>
                <w:szCs w:val="20"/>
                <w:color w:val="auto"/>
              </w:rPr>
            </w:pPr>
            <w:r>
              <w:rPr>
                <w:rFonts w:ascii="Arial" w:cs="Arial" w:eastAsia="Arial" w:hAnsi="Arial"/>
                <w:sz w:val="10"/>
                <w:szCs w:val="10"/>
                <w:b w:val="1"/>
                <w:bCs w:val="1"/>
                <w:color w:val="auto"/>
                <w:w w:val="98"/>
              </w:rPr>
              <w:t>2023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There-after</w:t>
            </w:r>
          </w:p>
        </w:tc>
        <w:tc>
          <w:tcPr>
            <w:tcW w:w="180" w:type="dxa"/>
            <w:vAlign w:val="bottom"/>
          </w:tcPr>
          <w:p>
            <w:pPr>
              <w:spacing w:after="0"/>
              <w:rPr>
                <w:sz w:val="10"/>
                <w:szCs w:val="10"/>
                <w:color w:val="auto"/>
              </w:rPr>
            </w:pPr>
          </w:p>
        </w:tc>
        <w:tc>
          <w:tcPr>
            <w:tcW w:w="580" w:type="dxa"/>
            <w:vAlign w:val="bottom"/>
          </w:tcPr>
          <w:p>
            <w:pPr>
              <w:jc w:val="right"/>
              <w:ind w:right="206"/>
              <w:spacing w:after="0"/>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4"/>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Clearway Energy, Inc. Convertible Notes, due 2019</w:t>
            </w:r>
          </w:p>
        </w:tc>
        <w:tc>
          <w:tcPr>
            <w:tcW w:w="15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Clearway Energy, Inc. Convertible Notes, due 2020</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45</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Clearway Energy Operating LLC Senior Notes, due 2024</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500</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Clearway Energy Operating LLC Senior Notes, due 2025</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600</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Clearway Energy Operating LLC Senior Notes, due 2026</w:t>
            </w:r>
          </w:p>
        </w:tc>
        <w:tc>
          <w:tcPr>
            <w:tcW w:w="13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r>
      <w:tr>
        <w:trPr>
          <w:trHeight w:val="138"/>
        </w:trPr>
        <w:tc>
          <w:tcPr>
            <w:tcW w:w="20" w:type="dxa"/>
            <w:vAlign w:val="bottom"/>
          </w:tcPr>
          <w:p>
            <w:pPr>
              <w:spacing w:after="0"/>
              <w:rPr>
                <w:sz w:val="12"/>
                <w:szCs w:val="12"/>
                <w:color w:val="auto"/>
              </w:rPr>
            </w:pPr>
          </w:p>
        </w:tc>
        <w:tc>
          <w:tcPr>
            <w:tcW w:w="4300" w:type="dxa"/>
            <w:vAlign w:val="bottom"/>
            <w:gridSpan w:val="2"/>
          </w:tcPr>
          <w:p>
            <w:pPr>
              <w:ind w:left="80"/>
              <w:spacing w:after="0"/>
              <w:rPr>
                <w:sz w:val="20"/>
                <w:szCs w:val="20"/>
                <w:color w:val="auto"/>
              </w:rPr>
            </w:pPr>
            <w:r>
              <w:rPr>
                <w:rFonts w:ascii="Arial" w:cs="Arial" w:eastAsia="Arial" w:hAnsi="Arial"/>
                <w:sz w:val="11"/>
                <w:szCs w:val="11"/>
                <w:color w:val="auto"/>
              </w:rPr>
              <w:t>Total Corporate-level debt</w:t>
            </w:r>
          </w:p>
        </w:tc>
        <w:tc>
          <w:tcPr>
            <w:tcW w:w="1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1,450</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1,715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9"/>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Project-level debt:</w:t>
            </w:r>
          </w:p>
        </w:tc>
        <w:tc>
          <w:tcPr>
            <w:tcW w:w="13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Agua Caliente Borrower 2, due 2038</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39</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Alpine, due 2022</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Alta Wind I - V lease financing arrangements, due 2034 and 2035</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886</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Buckthorn Solar, due 2025</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CVSR, due 2037</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720</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CVSR Holdco Notes, due 2037</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188</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El Segundo Energy Center, due 2023</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352</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Energy Center Minneapolis Series C, D, E, F, G, H Notes, due 2025-2037</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w:t>
            </w:r>
          </w:p>
        </w:tc>
      </w:tr>
      <w:tr>
        <w:trPr>
          <w:trHeight w:val="171"/>
        </w:trPr>
        <w:tc>
          <w:tcPr>
            <w:tcW w:w="4320" w:type="dxa"/>
            <w:vAlign w:val="bottom"/>
            <w:gridSpan w:val="3"/>
          </w:tcPr>
          <w:p>
            <w:pPr>
              <w:ind w:left="20"/>
              <w:spacing w:after="0"/>
              <w:rPr>
                <w:sz w:val="20"/>
                <w:szCs w:val="20"/>
                <w:color w:val="auto"/>
              </w:rPr>
            </w:pPr>
            <w:r>
              <w:rPr>
                <w:rFonts w:ascii="Arial" w:cs="Arial" w:eastAsia="Arial" w:hAnsi="Arial"/>
                <w:sz w:val="12"/>
                <w:szCs w:val="12"/>
                <w:color w:val="auto"/>
              </w:rPr>
              <w:t>Kansas South, due 2030</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w:t>
            </w:r>
          </w:p>
        </w:tc>
      </w:tr>
      <w:tr>
        <w:trPr>
          <w:trHeight w:val="169"/>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Laredo Ridge, due 2028</w:t>
            </w:r>
          </w:p>
        </w:tc>
        <w:tc>
          <w:tcPr>
            <w:tcW w:w="13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Marsh Landing, due 2023</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263</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South Trent Wind, due 2020</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Tapestry, due 2021</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151</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Utah Solar Portfolio, due 2022</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267</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Viento, due 2023</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146</w:t>
            </w: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0"/>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Walnut Creek, due 2023</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222</w:t>
            </w:r>
          </w:p>
        </w:tc>
      </w:tr>
      <w:tr>
        <w:trPr>
          <w:trHeight w:val="158"/>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Other</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343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Total project-level debt</w:t>
            </w:r>
          </w:p>
        </w:tc>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4,329</w:t>
            </w:r>
          </w:p>
        </w:tc>
      </w:tr>
      <w:tr>
        <w:trPr>
          <w:trHeight w:val="167"/>
        </w:trPr>
        <w:tc>
          <w:tcPr>
            <w:tcW w:w="4320" w:type="dxa"/>
            <w:vAlign w:val="bottom"/>
            <w:gridSpan w:val="3"/>
          </w:tcPr>
          <w:p>
            <w:pPr>
              <w:ind w:left="20"/>
              <w:spacing w:after="0"/>
              <w:rPr>
                <w:sz w:val="20"/>
                <w:szCs w:val="20"/>
                <w:color w:val="auto"/>
              </w:rPr>
            </w:pPr>
            <w:r>
              <w:rPr>
                <w:rFonts w:ascii="Arial" w:cs="Arial" w:eastAsia="Arial" w:hAnsi="Arial"/>
                <w:sz w:val="11"/>
                <w:szCs w:val="11"/>
                <w:color w:val="auto"/>
              </w:rPr>
              <w:t>Total debt</w:t>
            </w:r>
          </w:p>
        </w:tc>
        <w:tc>
          <w:tcPr>
            <w:tcW w:w="1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406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447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646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389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3,622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6,044</w:t>
            </w:r>
          </w:p>
        </w:tc>
      </w:tr>
      <w:tr>
        <w:trPr>
          <w:trHeight w:val="63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80" w:type="dxa"/>
            <w:vAlign w:val="bottom"/>
          </w:tcPr>
          <w:p>
            <w:pPr>
              <w:jc w:val="right"/>
              <w:ind w:right="103"/>
              <w:spacing w:after="0"/>
              <w:rPr>
                <w:sz w:val="20"/>
                <w:szCs w:val="20"/>
                <w:color w:val="auto"/>
              </w:rPr>
            </w:pPr>
            <w:r>
              <w:rPr>
                <w:rFonts w:ascii="Arial" w:cs="Arial" w:eastAsia="Arial" w:hAnsi="Arial"/>
                <w:sz w:val="12"/>
                <w:szCs w:val="12"/>
                <w:color w:val="auto"/>
              </w:rPr>
              <w:t>59</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80"/>
          </w:cols>
          <w:pgMar w:left="220" w:top="518" w:right="199" w:bottom="1440" w:gutter="0" w:footer="0" w:header="0"/>
        </w:sectPr>
      </w:pPr>
    </w:p>
    <w:bookmarkStart w:id="59" w:name="page60"/>
    <w:bookmarkEnd w:id="59"/>
    <w:p>
      <w:pPr>
        <w:ind w:left="260"/>
        <w:spacing w:after="0"/>
        <w:rPr>
          <w:sz w:val="20"/>
          <w:szCs w:val="20"/>
          <w:color w:val="auto"/>
        </w:rPr>
      </w:pPr>
      <w:r>
        <w:rPr>
          <w:rFonts w:ascii="Arial" w:cs="Arial" w:eastAsia="Arial" w:hAnsi="Arial"/>
          <w:sz w:val="12"/>
          <w:szCs w:val="12"/>
          <w:b w:val="1"/>
          <w:bCs w:val="1"/>
          <w:i w:val="1"/>
          <w:iCs w:val="1"/>
          <w:color w:val="auto"/>
        </w:rPr>
        <w:t>Capital Expenditures</w:t>
      </w:r>
    </w:p>
    <w:p>
      <w:pPr>
        <w:spacing w:after="0" w:line="114" w:lineRule="exact"/>
        <w:rPr>
          <w:sz w:val="20"/>
          <w:szCs w:val="20"/>
          <w:color w:val="auto"/>
        </w:rPr>
      </w:pPr>
    </w:p>
    <w:p>
      <w:pPr>
        <w:jc w:val="both"/>
        <w:ind w:firstLine="270"/>
        <w:spacing w:after="0" w:line="280" w:lineRule="auto"/>
        <w:rPr>
          <w:sz w:val="20"/>
          <w:szCs w:val="20"/>
          <w:color w:val="auto"/>
        </w:rPr>
      </w:pPr>
      <w:r>
        <w:rPr>
          <w:rFonts w:ascii="Arial" w:cs="Arial" w:eastAsia="Arial" w:hAnsi="Arial"/>
          <w:sz w:val="11"/>
          <w:szCs w:val="11"/>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For the years ended </w:t>
      </w:r>
      <w:r>
        <w:rPr>
          <w:rFonts w:ascii="Arial" w:cs="Arial" w:eastAsia="Arial" w:hAnsi="Arial"/>
          <w:sz w:val="11"/>
          <w:szCs w:val="11"/>
          <w:color w:val="000000"/>
        </w:rPr>
        <w:t>December 31, 2018</w:t>
      </w:r>
      <w:r>
        <w:rPr>
          <w:rFonts w:ascii="Arial" w:cs="Arial" w:eastAsia="Arial" w:hAnsi="Arial"/>
          <w:sz w:val="11"/>
          <w:szCs w:val="11"/>
          <w:color w:val="231F20"/>
        </w:rPr>
        <w:t xml:space="preserve">, 2017, and 2016, the Company used approximately $83 million, $190 million, and $20 million, respectively, to fund capital expenditures, including maintenance </w:t>
      </w:r>
      <w:r>
        <w:rPr>
          <w:rFonts w:ascii="Arial" w:cs="Arial" w:eastAsia="Arial" w:hAnsi="Arial"/>
          <w:sz w:val="11"/>
          <w:szCs w:val="11"/>
          <w:color w:val="000000"/>
        </w:rPr>
        <w:t>capital</w:t>
      </w:r>
      <w:r>
        <w:rPr>
          <w:rFonts w:ascii="Arial" w:cs="Arial" w:eastAsia="Arial" w:hAnsi="Arial"/>
          <w:sz w:val="11"/>
          <w:szCs w:val="11"/>
          <w:color w:val="231F20"/>
        </w:rPr>
        <w:t xml:space="preserve"> expenditures </w:t>
      </w:r>
      <w:r>
        <w:rPr>
          <w:rFonts w:ascii="Arial" w:cs="Arial" w:eastAsia="Arial" w:hAnsi="Arial"/>
          <w:sz w:val="11"/>
          <w:szCs w:val="11"/>
          <w:color w:val="000000"/>
        </w:rPr>
        <w:t>of $36 million, $27</w:t>
      </w:r>
      <w:r>
        <w:rPr>
          <w:rFonts w:ascii="Arial" w:cs="Arial" w:eastAsia="Arial" w:hAnsi="Arial"/>
          <w:sz w:val="11"/>
          <w:szCs w:val="11"/>
          <w:color w:val="231F20"/>
        </w:rPr>
        <w:t xml:space="preserve"> </w:t>
      </w:r>
      <w:r>
        <w:rPr>
          <w:rFonts w:ascii="Arial" w:cs="Arial" w:eastAsia="Arial" w:hAnsi="Arial"/>
          <w:sz w:val="11"/>
          <w:szCs w:val="11"/>
          <w:color w:val="000000"/>
        </w:rPr>
        <w:t xml:space="preserve">million, and $16 million, respectively. </w:t>
      </w:r>
      <w:r>
        <w:rPr>
          <w:rFonts w:ascii="Arial" w:cs="Arial" w:eastAsia="Arial" w:hAnsi="Arial"/>
          <w:sz w:val="11"/>
          <w:szCs w:val="11"/>
          <w:color w:val="231F20"/>
        </w:rPr>
        <w:t>Growth capital expenditures in 2018 include $33 million</w:t>
      </w:r>
      <w:r>
        <w:rPr>
          <w:rFonts w:ascii="Arial" w:cs="Arial" w:eastAsia="Arial" w:hAnsi="Arial"/>
          <w:sz w:val="11"/>
          <w:szCs w:val="11"/>
          <w:color w:val="000000"/>
        </w:rPr>
        <w:t xml:space="preserve"> in the Renewables segment in connection with the construction of Buckthorn Solar Drop Down Asset, of which $10 million was incurred by NRG during the construction of Buckthorn Solar prior to its acquisition by the Company on March 30, 2018, as described below. Growth capital expenditures in 2017 primarily relate to $159 million incurred by NRG during the construction of Buckthorn Solar prior to its acquisition by the Company. Growth capital expenditures in 2016 primarily related to the servicing new customers in district energy centers within the Thermal segment. </w:t>
      </w:r>
      <w:r>
        <w:rPr>
          <w:rFonts w:ascii="Arial" w:cs="Arial" w:eastAsia="Arial" w:hAnsi="Arial"/>
          <w:sz w:val="11"/>
          <w:szCs w:val="11"/>
          <w:color w:val="231F20"/>
        </w:rPr>
        <w:t>The Company develops</w:t>
      </w:r>
      <w:r>
        <w:rPr>
          <w:rFonts w:ascii="Arial" w:cs="Arial" w:eastAsia="Arial" w:hAnsi="Arial"/>
          <w:sz w:val="11"/>
          <w:szCs w:val="11"/>
          <w:color w:val="000000"/>
        </w:rPr>
        <w:t xml:space="preserve"> </w:t>
      </w:r>
      <w:r>
        <w:rPr>
          <w:rFonts w:ascii="Arial" w:cs="Arial" w:eastAsia="Arial" w:hAnsi="Arial"/>
          <w:sz w:val="11"/>
          <w:szCs w:val="11"/>
          <w:color w:val="231F20"/>
        </w:rPr>
        <w:t xml:space="preserve">annual capital spending plans based on projected requirements for maintenance and growth capital. The Company estimates $30 million of maintenance expenditures for 2019. </w:t>
      </w:r>
      <w:r>
        <w:rPr>
          <w:rFonts w:ascii="Arial" w:cs="Arial" w:eastAsia="Arial" w:hAnsi="Arial"/>
          <w:sz w:val="11"/>
          <w:szCs w:val="11"/>
          <w:color w:val="000000"/>
        </w:rPr>
        <w:t>These estimates are subject to continuing review and</w:t>
      </w:r>
      <w:r>
        <w:rPr>
          <w:rFonts w:ascii="Arial" w:cs="Arial" w:eastAsia="Arial" w:hAnsi="Arial"/>
          <w:sz w:val="11"/>
          <w:szCs w:val="11"/>
          <w:color w:val="231F20"/>
        </w:rPr>
        <w:t xml:space="preserve"> </w:t>
      </w:r>
      <w:r>
        <w:rPr>
          <w:rFonts w:ascii="Arial" w:cs="Arial" w:eastAsia="Arial" w:hAnsi="Arial"/>
          <w:sz w:val="11"/>
          <w:szCs w:val="11"/>
          <w:color w:val="000000"/>
        </w:rPr>
        <w:t>adjustment and actual capital expenditures may vary from these estimates.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Acquisitions and Investments</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75" w:lineRule="exact"/>
        <w:rPr>
          <w:sz w:val="20"/>
          <w:szCs w:val="20"/>
          <w:color w:val="auto"/>
        </w:rPr>
      </w:pPr>
    </w:p>
    <w:p>
      <w:pPr>
        <w:jc w:val="both"/>
        <w:ind w:right="20" w:firstLine="270"/>
        <w:spacing w:after="0" w:line="283" w:lineRule="auto"/>
        <w:rPr>
          <w:sz w:val="20"/>
          <w:szCs w:val="20"/>
          <w:color w:val="auto"/>
        </w:rPr>
      </w:pPr>
      <w:r>
        <w:rPr>
          <w:rFonts w:ascii="Arial" w:cs="Arial" w:eastAsia="Arial" w:hAnsi="Arial"/>
          <w:sz w:val="12"/>
          <w:szCs w:val="12"/>
          <w:i w:val="1"/>
          <w:iCs w:val="1"/>
          <w:color w:val="auto"/>
        </w:rPr>
        <w:t xml:space="preserve">Wind TE Holdco Buyout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On January 2, 2019, the Company bought out 100% of Class A membership interest from the TE Investor, for cash consideration of $19 million, as further described in Item 15 — Note 5,</w:t>
      </w:r>
      <w:r>
        <w:rPr>
          <w:rFonts w:ascii="Arial" w:cs="Arial" w:eastAsia="Arial" w:hAnsi="Arial"/>
          <w:sz w:val="12"/>
          <w:szCs w:val="12"/>
          <w:i w:val="1"/>
          <w:iCs w:val="1"/>
          <w:color w:val="auto"/>
        </w:rPr>
        <w:t xml:space="preserve"> Investments Accounted for by the Equity Method and Variable Interest Entities</w:t>
      </w:r>
      <w:r>
        <w:rPr>
          <w:rFonts w:ascii="Arial" w:cs="Arial" w:eastAsia="Arial" w:hAnsi="Arial"/>
          <w:sz w:val="12"/>
          <w:szCs w:val="12"/>
          <w:color w:val="auto"/>
        </w:rPr>
        <w:t>.</w:t>
      </w:r>
    </w:p>
    <w:p>
      <w:pPr>
        <w:spacing w:after="0" w:line="71" w:lineRule="exact"/>
        <w:rPr>
          <w:sz w:val="20"/>
          <w:szCs w:val="20"/>
          <w:color w:val="auto"/>
        </w:rPr>
      </w:pPr>
    </w:p>
    <w:p>
      <w:pPr>
        <w:jc w:val="both"/>
        <w:ind w:firstLine="261"/>
        <w:spacing w:after="0" w:line="302" w:lineRule="auto"/>
        <w:rPr>
          <w:sz w:val="20"/>
          <w:szCs w:val="20"/>
          <w:color w:val="auto"/>
        </w:rPr>
      </w:pPr>
      <w:r>
        <w:rPr>
          <w:rFonts w:ascii="Arial" w:cs="Arial" w:eastAsia="Arial" w:hAnsi="Arial"/>
          <w:sz w:val="11"/>
          <w:szCs w:val="11"/>
          <w:i w:val="1"/>
          <w:iCs w:val="1"/>
          <w:color w:val="auto"/>
        </w:rPr>
        <w:t xml:space="preserve">UPMC Thermal Project </w:t>
      </w:r>
      <w:r>
        <w:rPr>
          <w:rFonts w:ascii="Arial" w:cs="Arial" w:eastAsia="Arial" w:hAnsi="Arial"/>
          <w:sz w:val="11"/>
          <w:szCs w:val="11"/>
          <w:b w:val="1"/>
          <w:bCs w:val="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On June 19, 2018, upon reaching substantial completion, the Company acquired from NRG the UPMC Thermal Project for cash consideration of $84 million, subject to working capital adjustments.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had a payable of $4 million to NRG as of December 31,2018, $3 million of which was paid in January 2019 upon final completion of the project pursuant to the EPC agreement. The project adds 73 MWt of thermal equivalent capacity and 7.5 MW of emergency backup electrical capacity to the Company's portfolio. The transaction was accounted for as an asset acquisition and is reflected in the Company's Thermal segment.</w:t>
      </w:r>
    </w:p>
    <w:p>
      <w:pPr>
        <w:spacing w:after="0" w:line="63" w:lineRule="exact"/>
        <w:rPr>
          <w:sz w:val="20"/>
          <w:szCs w:val="20"/>
          <w:color w:val="auto"/>
        </w:rPr>
      </w:pPr>
    </w:p>
    <w:p>
      <w:pPr>
        <w:jc w:val="both"/>
        <w:ind w:firstLine="270"/>
        <w:spacing w:after="0" w:line="331" w:lineRule="auto"/>
        <w:rPr>
          <w:sz w:val="20"/>
          <w:szCs w:val="20"/>
          <w:color w:val="auto"/>
        </w:rPr>
      </w:pPr>
      <w:r>
        <w:rPr>
          <w:rFonts w:ascii="Arial" w:cs="Arial" w:eastAsia="Arial" w:hAnsi="Arial"/>
          <w:sz w:val="11"/>
          <w:szCs w:val="11"/>
          <w:i w:val="1"/>
          <w:iCs w:val="1"/>
          <w:color w:val="auto"/>
        </w:rPr>
        <w:t xml:space="preserve">Central CA Fuel Cell 1, LLC </w:t>
      </w:r>
      <w:r>
        <w:rPr>
          <w:rFonts w:ascii="Arial" w:cs="Arial" w:eastAsia="Arial" w:hAnsi="Arial"/>
          <w:sz w:val="11"/>
          <w:szCs w:val="11"/>
          <w:b w:val="1"/>
          <w:bCs w:val="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On April 18, 2018, the Company acquired the Central CA Fuel Cell 1, LLC project in Tulare, California from FuelCell Energy Finance, Inc., for cash consideration of $11 million, subject to working</w:t>
      </w:r>
      <w:r>
        <w:rPr>
          <w:rFonts w:ascii="Arial" w:cs="Arial" w:eastAsia="Arial" w:hAnsi="Arial"/>
          <w:sz w:val="11"/>
          <w:szCs w:val="11"/>
          <w:i w:val="1"/>
          <w:iCs w:val="1"/>
          <w:color w:val="auto"/>
        </w:rPr>
        <w:t xml:space="preserve"> </w:t>
      </w:r>
      <w:r>
        <w:rPr>
          <w:rFonts w:ascii="Arial" w:cs="Arial" w:eastAsia="Arial" w:hAnsi="Arial"/>
          <w:sz w:val="11"/>
          <w:szCs w:val="11"/>
          <w:color w:val="auto"/>
        </w:rPr>
        <w:t>capital adjustments. The project adds 2.8 MW of thermal capacity to the Company's portfolio, with a 20-year PPA contract with the City of Tulare. The transaction is reflected in the Company's Thermal segment.</w:t>
      </w:r>
    </w:p>
    <w:p>
      <w:pPr>
        <w:spacing w:after="0" w:line="47"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2"/>
          <w:szCs w:val="12"/>
          <w:i w:val="1"/>
          <w:iCs w:val="1"/>
          <w:color w:val="auto"/>
        </w:rPr>
        <w:t xml:space="preserve">Buckthorn Solar Drop Down Asset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On March 30, 2018, the Company acquired 100% of NRG's interests in Buckthorn Renewables, LLC, which owns a 154 MW construction-stage utility-scale solar generation project, located in</w:t>
      </w:r>
      <w:r>
        <w:rPr>
          <w:rFonts w:ascii="Arial" w:cs="Arial" w:eastAsia="Arial" w:hAnsi="Arial"/>
          <w:sz w:val="12"/>
          <w:szCs w:val="12"/>
          <w:i w:val="1"/>
          <w:iCs w:val="1"/>
          <w:color w:val="auto"/>
        </w:rPr>
        <w:t xml:space="preserve"> </w:t>
      </w:r>
      <w:r>
        <w:rPr>
          <w:rFonts w:ascii="Arial" w:cs="Arial" w:eastAsia="Arial" w:hAnsi="Arial"/>
          <w:sz w:val="12"/>
          <w:szCs w:val="12"/>
          <w:color w:val="auto"/>
        </w:rPr>
        <w:t>Texas, or the Buckthorn Solar Drop Down Asset, for cash consideration of approximately $42 million, subject to working capital adjustments. The project sells power under a 25-year PPA to the City of Georgetown, Texas which commenced in July 2018.</w:t>
      </w:r>
    </w:p>
    <w:p>
      <w:pPr>
        <w:spacing w:after="0" w:line="80"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1"/>
          <w:szCs w:val="11"/>
          <w:i w:val="1"/>
          <w:iCs w:val="1"/>
          <w:color w:val="auto"/>
        </w:rPr>
        <w:t xml:space="preserve">Carlsbad Project </w:t>
      </w:r>
      <w:r>
        <w:rPr>
          <w:rFonts w:ascii="Arial" w:cs="Arial" w:eastAsia="Arial" w:hAnsi="Arial"/>
          <w:sz w:val="11"/>
          <w:szCs w:val="11"/>
          <w:b w:val="1"/>
          <w:bCs w:val="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On February 6, 2018, the Company entered into an agreement with NRG to purchase 100% of the membership interests in Carlsbad Energy Holdings LLC, which indirectly owns the Carlsbad project, a 527 MW</w:t>
      </w:r>
      <w:r>
        <w:rPr>
          <w:rFonts w:ascii="Arial" w:cs="Arial" w:eastAsia="Arial" w:hAnsi="Arial"/>
          <w:sz w:val="11"/>
          <w:szCs w:val="11"/>
          <w:i w:val="1"/>
          <w:iCs w:val="1"/>
          <w:color w:val="auto"/>
        </w:rPr>
        <w:t xml:space="preserve"> </w:t>
      </w:r>
      <w:r>
        <w:rPr>
          <w:rFonts w:ascii="Arial" w:cs="Arial" w:eastAsia="Arial" w:hAnsi="Arial"/>
          <w:sz w:val="11"/>
          <w:szCs w:val="11"/>
          <w:color w:val="auto"/>
        </w:rPr>
        <w:t>natural gas fired project in Carlsbad, CA, pursuant to the NRG ROFO Agreement. Following the COD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and other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the project will become a CEG ROFO Asset.</w:t>
      </w:r>
    </w:p>
    <w:p>
      <w:pPr>
        <w:spacing w:after="0" w:line="72"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2"/>
          <w:szCs w:val="12"/>
          <w:i w:val="1"/>
          <w:iCs w:val="1"/>
          <w:color w:val="auto"/>
        </w:rPr>
        <w:t xml:space="preserve">Hawaii Solar Assets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On August 31, 2018, the Company entered into a binding agreement with CEG to acquire 80 MW of utility-scale solar projects located in Kawailoa and Oahu, Hawaii for cash consideration of $28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customary working capital and other adjustments, as well as the assumption of non-recourse debt of $169 million. The transaction is expected to close in summer of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554" w:right="199" w:bottom="1440" w:gutter="0" w:footer="0" w:header="0"/>
        </w:sectPr>
      </w:pPr>
    </w:p>
    <w:bookmarkStart w:id="60" w:name="page61"/>
    <w:bookmarkEnd w:id="60"/>
    <w:p>
      <w:pPr>
        <w:jc w:val="both"/>
        <w:ind w:firstLine="270"/>
        <w:spacing w:after="0" w:line="267" w:lineRule="auto"/>
        <w:rPr>
          <w:sz w:val="20"/>
          <w:szCs w:val="20"/>
          <w:color w:val="auto"/>
        </w:rPr>
      </w:pPr>
      <w:r>
        <w:rPr>
          <w:rFonts w:ascii="Arial" w:cs="Arial" w:eastAsia="Arial" w:hAnsi="Arial"/>
          <w:sz w:val="12"/>
          <w:szCs w:val="12"/>
          <w:i w:val="1"/>
          <w:iCs w:val="1"/>
          <w:color w:val="auto"/>
        </w:rPr>
        <w:t xml:space="preserve">Mylan Pharmaceuticals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On November 1, 2018, the Company entered into an Energy Services Agreement with Mylan LLC to supply chilled water, hot water and electricity through a dedicated combined heat and power facility to</w:t>
      </w:r>
      <w:r>
        <w:rPr>
          <w:rFonts w:ascii="Arial" w:cs="Arial" w:eastAsia="Arial" w:hAnsi="Arial"/>
          <w:sz w:val="12"/>
          <w:szCs w:val="12"/>
          <w:i w:val="1"/>
          <w:iCs w:val="1"/>
          <w:color w:val="auto"/>
        </w:rPr>
        <w:t xml:space="preserve"> </w:t>
      </w:r>
      <w:r>
        <w:rPr>
          <w:rFonts w:ascii="Arial" w:cs="Arial" w:eastAsia="Arial" w:hAnsi="Arial"/>
          <w:sz w:val="12"/>
          <w:szCs w:val="12"/>
          <w:color w:val="auto"/>
        </w:rPr>
        <w:t>be constructed at Mylan's Caguas, Puerto Rico facility. The Company incurred approximately $7 million in construction work in progress costs and anticipates the project to total $11 million in capital expenditures. The project is expected to commence commercial operations in the second quarter of 2019.</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Investment Partnership with CEG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During the period of January 1, 2018 to December 31, 2018, the Company invested $34 million in distributed generation partnerships with CEG.</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Open Market Repurchases and Tender Offer</w:t>
      </w:r>
    </w:p>
    <w:p>
      <w:pPr>
        <w:spacing w:after="0" w:line="222" w:lineRule="exact"/>
        <w:rPr>
          <w:sz w:val="20"/>
          <w:szCs w:val="20"/>
          <w:color w:val="auto"/>
        </w:rPr>
      </w:pPr>
    </w:p>
    <w:p>
      <w:pPr>
        <w:ind w:right="200" w:firstLine="270"/>
        <w:spacing w:after="0" w:line="276" w:lineRule="auto"/>
        <w:rPr>
          <w:sz w:val="20"/>
          <w:szCs w:val="20"/>
          <w:color w:val="auto"/>
        </w:rPr>
      </w:pPr>
      <w:r>
        <w:rPr>
          <w:rFonts w:ascii="Arial" w:cs="Arial" w:eastAsia="Arial" w:hAnsi="Arial"/>
          <w:sz w:val="12"/>
          <w:szCs w:val="12"/>
          <w:color w:val="auto"/>
        </w:rPr>
        <w:t>In August 2018, Clearway Energy, Inc. repurchased an aggregate principal amount of $16 million of the 2019 Convertible Notes in open market transactions. The repurchases were funded through a repayment of the intercompany note between Clearway Operating LLC and Clearway Energy, Inc. which was reduced by $16 million.</w:t>
      </w:r>
    </w:p>
    <w:p>
      <w:pPr>
        <w:spacing w:after="0" w:line="7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On September 10, 2018, pursuant to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$220 million aggregate principal amount of the 2019 Convertible Notes and $45 million aggregate principal amount of the 2020 Convertible Notes remained outstanding as of December 31, 2018.</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Subsequent to December 31, 2018, the Company repaid the remaining balance of the 2019 Convertible Notes.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231F20"/>
        </w:rPr>
        <w:t>Cash Dividends to Investors</w:t>
      </w:r>
    </w:p>
    <w:p>
      <w:pPr>
        <w:spacing w:after="0" w:line="114" w:lineRule="exact"/>
        <w:rPr>
          <w:sz w:val="20"/>
          <w:szCs w:val="20"/>
          <w:color w:val="auto"/>
        </w:rPr>
      </w:pPr>
    </w:p>
    <w:p>
      <w:pPr>
        <w:jc w:val="both"/>
        <w:ind w:firstLine="261"/>
        <w:spacing w:after="0" w:line="254" w:lineRule="auto"/>
        <w:rPr>
          <w:sz w:val="20"/>
          <w:szCs w:val="20"/>
          <w:color w:val="auto"/>
        </w:rPr>
      </w:pPr>
      <w:r>
        <w:rPr>
          <w:rFonts w:ascii="Arial" w:cs="Arial" w:eastAsia="Arial" w:hAnsi="Arial"/>
          <w:sz w:val="12"/>
          <w:szCs w:val="12"/>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2"/>
          <w:szCs w:val="12"/>
          <w:color w:val="000000"/>
        </w:rPr>
        <w:t>he Class A common stock and Class C common stock are subject to available capital, market conditions, and compliance with associated laws, regulations and other</w:t>
      </w:r>
      <w:r>
        <w:rPr>
          <w:rFonts w:ascii="Arial" w:cs="Arial" w:eastAsia="Arial" w:hAnsi="Arial"/>
          <w:sz w:val="12"/>
          <w:szCs w:val="12"/>
          <w:color w:val="231F20"/>
        </w:rPr>
        <w:t xml:space="preserve"> </w:t>
      </w:r>
      <w:r>
        <w:rPr>
          <w:rFonts w:ascii="Arial" w:cs="Arial" w:eastAsia="Arial" w:hAnsi="Arial"/>
          <w:sz w:val="12"/>
          <w:szCs w:val="12"/>
          <w:color w:val="000000"/>
        </w:rPr>
        <w:t>contractual obligations. The Company expects that, based on current circumstances, comparable cash dividends will continue to be paid in the foreseeable future. The Company will continue to evaluate its capital allocation approach during the pendency of the PG&amp;E Bankruptcy.</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lists the dividends paid on the Company's Class A common stock and Class C common stock during the year ended December 31, 2018:</w:t>
      </w:r>
    </w:p>
    <w:p>
      <w:pPr>
        <w:spacing w:after="0" w:line="262" w:lineRule="exact"/>
        <w:rPr>
          <w:sz w:val="20"/>
          <w:szCs w:val="20"/>
          <w:color w:val="auto"/>
        </w:rPr>
      </w:pPr>
    </w:p>
    <w:tbl>
      <w:tblPr>
        <w:tblLayout w:type="fixed"/>
        <w:tblInd w:w="520" w:type="dxa"/>
        <w:tblCellMar>
          <w:top w:w="0" w:type="dxa"/>
          <w:left w:w="0" w:type="dxa"/>
          <w:bottom w:w="0" w:type="dxa"/>
          <w:right w:w="0" w:type="dxa"/>
        </w:tblCellMar>
      </w:tblPr>
      <w:tr>
        <w:trPr>
          <w:trHeight w:val="128"/>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Fourth Quarter 2018</w:t>
            </w:r>
          </w:p>
        </w:tc>
        <w:tc>
          <w:tcPr>
            <w:tcW w:w="12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Arial" w:cs="Arial" w:eastAsia="Arial" w:hAnsi="Arial"/>
                <w:sz w:val="10"/>
                <w:szCs w:val="10"/>
                <w:b w:val="1"/>
                <w:bCs w:val="1"/>
                <w:color w:val="auto"/>
              </w:rPr>
              <w:t>Third Quarter 2018</w:t>
            </w:r>
          </w:p>
        </w:tc>
        <w:tc>
          <w:tcPr>
            <w:tcW w:w="10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Second Quarter 2018</w:t>
            </w:r>
          </w:p>
        </w:tc>
        <w:tc>
          <w:tcPr>
            <w:tcW w:w="140" w:type="dxa"/>
            <w:vAlign w:val="bottom"/>
          </w:tcPr>
          <w:p>
            <w:pPr>
              <w:spacing w:after="0"/>
              <w:rPr>
                <w:sz w:val="11"/>
                <w:szCs w:val="11"/>
                <w:color w:val="auto"/>
              </w:rPr>
            </w:pPr>
          </w:p>
        </w:tc>
        <w:tc>
          <w:tcPr>
            <w:tcW w:w="1000" w:type="dxa"/>
            <w:vAlign w:val="bottom"/>
          </w:tcPr>
          <w:p>
            <w:pPr>
              <w:jc w:val="right"/>
              <w:ind w:right="124"/>
              <w:spacing w:after="0"/>
              <w:rPr>
                <w:sz w:val="20"/>
                <w:szCs w:val="20"/>
                <w:color w:val="auto"/>
              </w:rPr>
            </w:pPr>
            <w:r>
              <w:rPr>
                <w:rFonts w:ascii="Arial" w:cs="Arial" w:eastAsia="Arial" w:hAnsi="Arial"/>
                <w:sz w:val="10"/>
                <w:szCs w:val="10"/>
                <w:b w:val="1"/>
                <w:bCs w:val="1"/>
                <w:color w:val="auto"/>
                <w:w w:val="93"/>
              </w:rPr>
              <w:t>First Quarter 2018</w:t>
            </w:r>
          </w:p>
        </w:tc>
      </w:tr>
      <w:tr>
        <w:trPr>
          <w:trHeight w:val="17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0.331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0.298</w:t>
            </w:r>
          </w:p>
        </w:tc>
      </w:tr>
      <w:tr>
        <w:trPr>
          <w:trHeight w:val="162"/>
        </w:trPr>
        <w:tc>
          <w:tcPr>
            <w:tcW w:w="5540" w:type="dxa"/>
            <w:vAlign w:val="bottom"/>
          </w:tcPr>
          <w:p>
            <w:pPr>
              <w:ind w:left="20"/>
              <w:spacing w:after="0"/>
              <w:rPr>
                <w:sz w:val="20"/>
                <w:szCs w:val="20"/>
                <w:color w:val="auto"/>
              </w:rPr>
            </w:pPr>
            <w:r>
              <w:rPr>
                <w:rFonts w:ascii="Arial" w:cs="Arial" w:eastAsia="Arial" w:hAnsi="Arial"/>
                <w:sz w:val="12"/>
                <w:szCs w:val="12"/>
                <w:b w:val="1"/>
                <w:bCs w:val="1"/>
                <w:color w:val="auto"/>
              </w:rPr>
              <w:t>Dividends per Class C share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0.331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2"/>
                <w:szCs w:val="12"/>
                <w:color w:val="auto"/>
              </w:rPr>
              <w:t>0.320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2"/>
                <w:szCs w:val="12"/>
                <w:color w:val="auto"/>
              </w:rPr>
              <w:t>0.309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2"/>
                <w:szCs w:val="12"/>
                <w:color w:val="auto"/>
              </w:rPr>
              <w:t>0.298</w:t>
            </w:r>
          </w:p>
        </w:tc>
      </w:tr>
    </w:tbl>
    <w:p>
      <w:pPr>
        <w:spacing w:after="0" w:line="9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On February 12, 2019, the Company declared a quarterly dividend on its Class A and Class C common stock of $0.20 per share payable on March 15, 2019, to stockholders of record as of March 1, 2019.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514" w:right="1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Cash Flow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2018 Compared to Year Ended December 31, 2017</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reflects the changes in cash flows for the year ended December 31, 2018 compared to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2018</w:t>
            </w: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Change</w:t>
            </w:r>
          </w:p>
        </w:tc>
      </w:tr>
      <w:tr>
        <w:trPr>
          <w:trHeight w:val="173"/>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498</w:t>
            </w:r>
          </w:p>
        </w:tc>
        <w:tc>
          <w:tcPr>
            <w:tcW w:w="740" w:type="dxa"/>
            <w:vAlign w:val="bottom"/>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517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240" w:type="dxa"/>
            <w:vAlign w:val="bottom"/>
          </w:tcPr>
          <w:p>
            <w:pPr>
              <w:spacing w:after="0"/>
              <w:rPr>
                <w:sz w:val="14"/>
                <w:szCs w:val="14"/>
                <w:color w:val="auto"/>
              </w:rPr>
            </w:pP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(185)</w:t>
            </w:r>
          </w:p>
        </w:tc>
        <w:tc>
          <w:tcPr>
            <w:tcW w:w="74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(442)</w:t>
            </w:r>
          </w:p>
        </w:tc>
        <w:tc>
          <w:tcPr>
            <w:tcW w:w="18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257</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(46)</w:t>
            </w:r>
          </w:p>
        </w:tc>
        <w:tc>
          <w:tcPr>
            <w:tcW w:w="7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2"/>
              </w:rPr>
              <w:t>(257)</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211</w:t>
            </w:r>
          </w:p>
        </w:tc>
      </w:tr>
      <w:tr>
        <w:trPr>
          <w:trHeight w:val="324"/>
        </w:trPr>
        <w:tc>
          <w:tcPr>
            <w:tcW w:w="816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Provided By Operating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6"/>
        </w:trPr>
        <w:tc>
          <w:tcPr>
            <w:tcW w:w="8160" w:type="dxa"/>
            <w:vAlign w:val="bottom"/>
          </w:tcPr>
          <w:p>
            <w:pPr>
              <w:ind w:left="20"/>
              <w:spacing w:after="0"/>
              <w:rPr>
                <w:sz w:val="20"/>
                <w:szCs w:val="20"/>
                <w:color w:val="auto"/>
              </w:rPr>
            </w:pPr>
            <w:r>
              <w:rPr>
                <w:rFonts w:ascii="Arial" w:cs="Arial" w:eastAsia="Arial" w:hAnsi="Arial"/>
                <w:sz w:val="12"/>
                <w:szCs w:val="12"/>
                <w:color w:val="auto"/>
              </w:rPr>
              <w:t>Changes to net cash provided by operating activities were driven by:</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2"/>
              <w:spacing w:after="0"/>
              <w:rPr>
                <w:sz w:val="20"/>
                <w:szCs w:val="20"/>
                <w:color w:val="auto"/>
              </w:rPr>
            </w:pPr>
            <w:r>
              <w:rPr>
                <w:rFonts w:ascii="Arial" w:cs="Arial" w:eastAsia="Arial" w:hAnsi="Arial"/>
                <w:sz w:val="10"/>
                <w:szCs w:val="10"/>
                <w:b w:val="1"/>
                <w:bCs w:val="1"/>
                <w:color w:val="auto"/>
                <w:w w:val="92"/>
              </w:rPr>
              <w:t>(In millions)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operating income adjusted for non-cash items driven in 2018 compared to 2017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r>
      <w:tr>
        <w:trPr>
          <w:trHeight w:val="153"/>
        </w:trPr>
        <w:tc>
          <w:tcPr>
            <w:tcW w:w="10000" w:type="dxa"/>
            <w:vAlign w:val="bottom"/>
            <w:gridSpan w:val="4"/>
          </w:tcPr>
          <w:p>
            <w:pPr>
              <w:ind w:left="20"/>
              <w:spacing w:after="0"/>
              <w:rPr>
                <w:sz w:val="20"/>
                <w:szCs w:val="20"/>
                <w:color w:val="auto"/>
              </w:rPr>
            </w:pPr>
            <w:r>
              <w:rPr>
                <w:rFonts w:ascii="Arial" w:cs="Arial" w:eastAsia="Arial" w:hAnsi="Arial"/>
                <w:sz w:val="12"/>
                <w:szCs w:val="12"/>
                <w:color w:val="auto"/>
                <w:w w:val="91"/>
              </w:rPr>
              <w:t>Decrease in working capital driven primarily by the timing of accounts receivable collections, paying down accounts payable - affiliate balances to NRG during 2018, as well payments made to reduce certain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8160" w:type="dxa"/>
            <w:vAlign w:val="bottom"/>
          </w:tcPr>
          <w:p>
            <w:pPr>
              <w:ind w:left="120"/>
              <w:spacing w:after="0"/>
              <w:rPr>
                <w:sz w:val="20"/>
                <w:szCs w:val="20"/>
                <w:color w:val="auto"/>
              </w:rPr>
            </w:pPr>
            <w:r>
              <w:rPr>
                <w:rFonts w:ascii="Arial" w:cs="Arial" w:eastAsia="Arial" w:hAnsi="Arial"/>
                <w:sz w:val="12"/>
                <w:szCs w:val="12"/>
                <w:color w:val="auto"/>
              </w:rPr>
              <w:t>Alta Wind projects letters of credit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(21)</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Lower distributions from unconsolidated affiliates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r>
      <w:tr>
        <w:trPr>
          <w:trHeight w:val="185"/>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(19)</w:t>
            </w:r>
          </w:p>
        </w:tc>
      </w:tr>
      <w:tr>
        <w:trPr>
          <w:trHeight w:val="396"/>
        </w:trPr>
        <w:tc>
          <w:tcPr>
            <w:tcW w:w="816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Used In Investing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66"/>
        </w:trPr>
        <w:tc>
          <w:tcPr>
            <w:tcW w:w="8160" w:type="dxa"/>
            <w:vAlign w:val="bottom"/>
          </w:tcPr>
          <w:p>
            <w:pPr>
              <w:ind w:left="20"/>
              <w:spacing w:after="0"/>
              <w:rPr>
                <w:sz w:val="20"/>
                <w:szCs w:val="20"/>
                <w:color w:val="auto"/>
              </w:rPr>
            </w:pPr>
            <w:r>
              <w:rPr>
                <w:rFonts w:ascii="Arial" w:cs="Arial" w:eastAsia="Arial" w:hAnsi="Arial"/>
                <w:sz w:val="12"/>
                <w:szCs w:val="12"/>
                <w:color w:val="auto"/>
              </w:rPr>
              <w:t>Changes to net cash used in investing activities were driven by:</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2"/>
              <w:spacing w:after="0"/>
              <w:rPr>
                <w:sz w:val="20"/>
                <w:szCs w:val="20"/>
                <w:color w:val="auto"/>
              </w:rPr>
            </w:pPr>
            <w:r>
              <w:rPr>
                <w:rFonts w:ascii="Arial" w:cs="Arial" w:eastAsia="Arial" w:hAnsi="Arial"/>
                <w:sz w:val="10"/>
                <w:szCs w:val="10"/>
                <w:b w:val="1"/>
                <w:bCs w:val="1"/>
                <w:color w:val="auto"/>
                <w:w w:val="92"/>
              </w:rPr>
              <w:t>(In millions)</w:t>
            </w:r>
          </w:p>
        </w:tc>
      </w:tr>
      <w:tr>
        <w:trPr>
          <w:trHeight w:val="184"/>
        </w:trPr>
        <w:tc>
          <w:tcPr>
            <w:tcW w:w="1000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w w:val="92"/>
              </w:rPr>
              <w:t>Current year reflects the Buckthorn Solar Drop Down Asset and UPMC Thermal Project compared to the payment made for the March 2017, August 2017, and November 2017 Drop Down Assets in 2017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124</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Lower net investment in unconsolidated affiliates primarily in the DGPV partnerships with CEG during 2018</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37</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to acquire Central CA Fuel Cell 1, LLC in 2018</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w:t>
            </w:r>
          </w:p>
        </w:tc>
      </w:tr>
      <w:tr>
        <w:trPr>
          <w:trHeight w:val="171"/>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Lower capital expenditures driven by prior year capital expenditures for the Buckthorn Solar project</w:t>
            </w: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107</w:t>
            </w:r>
          </w:p>
        </w:tc>
      </w:tr>
      <w:tr>
        <w:trPr>
          <w:trHeight w:val="189"/>
        </w:trPr>
        <w:tc>
          <w:tcPr>
            <w:tcW w:w="8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257</w:t>
            </w:r>
          </w:p>
        </w:tc>
      </w:tr>
      <w:tr>
        <w:trPr>
          <w:trHeight w:val="320"/>
        </w:trPr>
        <w:tc>
          <w:tcPr>
            <w:tcW w:w="8160" w:type="dxa"/>
            <w:vAlign w:val="bottom"/>
            <w:tcBorders>
              <w:top w:val="single" w:sz="8" w:color="CCEEFF"/>
            </w:tcBorders>
          </w:tcPr>
          <w:p>
            <w:pPr>
              <w:ind w:left="100"/>
              <w:spacing w:after="0"/>
              <w:rPr>
                <w:sz w:val="20"/>
                <w:szCs w:val="20"/>
                <w:color w:val="auto"/>
              </w:rPr>
            </w:pPr>
            <w:r>
              <w:rPr>
                <w:rFonts w:ascii="Arial" w:cs="Arial" w:eastAsia="Arial" w:hAnsi="Arial"/>
                <w:sz w:val="12"/>
                <w:szCs w:val="12"/>
                <w:b w:val="1"/>
                <w:bCs w:val="1"/>
                <w:i w:val="1"/>
                <w:iCs w:val="1"/>
                <w:color w:val="auto"/>
              </w:rPr>
              <w:t>Net Cash Used In Financing Activities</w:t>
            </w:r>
          </w:p>
        </w:tc>
        <w:tc>
          <w:tcPr>
            <w:tcW w:w="2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66"/>
        </w:trPr>
        <w:tc>
          <w:tcPr>
            <w:tcW w:w="8160" w:type="dxa"/>
            <w:vAlign w:val="bottom"/>
          </w:tcPr>
          <w:p>
            <w:pPr>
              <w:ind w:left="20"/>
              <w:spacing w:after="0"/>
              <w:rPr>
                <w:sz w:val="20"/>
                <w:szCs w:val="20"/>
                <w:color w:val="auto"/>
              </w:rPr>
            </w:pPr>
            <w:r>
              <w:rPr>
                <w:rFonts w:ascii="Arial" w:cs="Arial" w:eastAsia="Arial" w:hAnsi="Arial"/>
                <w:sz w:val="12"/>
                <w:szCs w:val="12"/>
                <w:color w:val="auto"/>
              </w:rPr>
              <w:t>Changes in net cash used in financing activities were driven by:</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2"/>
              <w:spacing w:after="0"/>
              <w:rPr>
                <w:sz w:val="20"/>
                <w:szCs w:val="20"/>
                <w:color w:val="auto"/>
              </w:rPr>
            </w:pPr>
            <w:r>
              <w:rPr>
                <w:rFonts w:ascii="Arial" w:cs="Arial" w:eastAsia="Arial" w:hAnsi="Arial"/>
                <w:sz w:val="10"/>
                <w:szCs w:val="10"/>
                <w:b w:val="1"/>
                <w:bCs w:val="1"/>
                <w:color w:val="auto"/>
                <w:w w:val="92"/>
              </w:rPr>
              <w:t>(In millions)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proceeds from the refinancing of the Thermal note purchase and private shelf agreement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w:t>
            </w:r>
          </w:p>
        </w:tc>
      </w:tr>
      <w:tr>
        <w:trPr>
          <w:trHeight w:val="171"/>
        </w:trPr>
        <w:tc>
          <w:tcPr>
            <w:tcW w:w="9260" w:type="dxa"/>
            <w:vAlign w:val="bottom"/>
            <w:gridSpan w:val="3"/>
          </w:tcPr>
          <w:p>
            <w:pPr>
              <w:ind w:left="20"/>
              <w:spacing w:after="0"/>
              <w:rPr>
                <w:sz w:val="20"/>
                <w:szCs w:val="20"/>
                <w:color w:val="auto"/>
              </w:rPr>
            </w:pPr>
            <w:r>
              <w:rPr>
                <w:rFonts w:ascii="Arial" w:cs="Arial" w:eastAsia="Arial" w:hAnsi="Arial"/>
                <w:sz w:val="12"/>
                <w:szCs w:val="12"/>
                <w:color w:val="auto"/>
                <w:w w:val="91"/>
              </w:rPr>
              <w:t>Net proceeds from corporate - level debt driven by the issuance of the 2025 Senior Notes, partially offset by the 2019 Convertible Notes and 2020 Convertible Notes tendered in October 2018</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233</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borrowings for the Buckthorn Solar project in 2017, as well as higher project level debt amortization in 2018 compared to 2017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(216)</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Net payments of $55 million under the revolving credit facility in 2018 compared to proceeds of $55 million in 2017</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(110)</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net contributions from noncontrolling interests primarily for the tax equity arrangements for the Buckthorn Solar project which closed in 2018</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78</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Lower net payments of distributions to NRG for the Drop Down Assets relating to the pre-acquisition period in 2018 compared to 2017</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23</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Higher net proceeds from the Clearway Energy, Inc. common stock offering under the ATM Program in 2018 compared to 2017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Net proceeds from the Class C Common stock offering in September 2018</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75</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dividends paid to common stockholders, primarily driven by a 15% increase in declared dividends from 2017 to 2018</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(36)</w:t>
            </w:r>
          </w:p>
        </w:tc>
      </w:tr>
      <w:tr>
        <w:trPr>
          <w:trHeight w:val="185"/>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211</w:t>
            </w:r>
          </w:p>
        </w:tc>
      </w:tr>
      <w:tr>
        <w:trPr>
          <w:trHeight w:val="342"/>
        </w:trPr>
        <w:tc>
          <w:tcPr>
            <w:tcW w:w="8160" w:type="dxa"/>
            <w:vAlign w:val="bottom"/>
          </w:tcPr>
          <w:p>
            <w:pPr>
              <w:ind w:left="5680"/>
              <w:spacing w:after="0"/>
              <w:rPr>
                <w:sz w:val="20"/>
                <w:szCs w:val="20"/>
                <w:color w:val="auto"/>
              </w:rPr>
            </w:pPr>
            <w:r>
              <w:rPr>
                <w:rFonts w:ascii="Arial" w:cs="Arial" w:eastAsia="Arial" w:hAnsi="Arial"/>
                <w:sz w:val="12"/>
                <w:szCs w:val="12"/>
                <w:color w:val="auto"/>
              </w:rPr>
              <w:t>62</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14" w:right="1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i w:val="1"/>
          <w:iCs w:val="1"/>
          <w:color w:val="auto"/>
        </w:rPr>
        <w:t>Year Ended December 31, 2017 Compared to Year Ended December 31, 2016</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reflects the changes in cash flows for the year ended December 31, 2017 compared to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Change</w:t>
            </w:r>
          </w:p>
        </w:tc>
      </w:tr>
      <w:tr>
        <w:trPr>
          <w:trHeight w:val="173"/>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(60)</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400" w:type="dxa"/>
            <w:vAlign w:val="bottom"/>
          </w:tcPr>
          <w:p>
            <w:pPr>
              <w:spacing w:after="0"/>
              <w:rPr>
                <w:sz w:val="14"/>
                <w:szCs w:val="14"/>
                <w:color w:val="auto"/>
              </w:rPr>
            </w:pPr>
          </w:p>
        </w:tc>
        <w:tc>
          <w:tcPr>
            <w:tcW w:w="640" w:type="dxa"/>
            <w:vAlign w:val="bottom"/>
          </w:tcPr>
          <w:p>
            <w:pPr>
              <w:jc w:val="right"/>
              <w:ind w:right="23"/>
              <w:spacing w:after="0"/>
              <w:rPr>
                <w:sz w:val="20"/>
                <w:szCs w:val="20"/>
                <w:color w:val="auto"/>
              </w:rPr>
            </w:pPr>
            <w:r>
              <w:rPr>
                <w:rFonts w:ascii="Arial" w:cs="Arial" w:eastAsia="Arial" w:hAnsi="Arial"/>
                <w:sz w:val="12"/>
                <w:szCs w:val="12"/>
                <w:color w:val="auto"/>
              </w:rPr>
              <w:t>(442)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(311)</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provided by financing activities</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(55)</w:t>
            </w:r>
          </w:p>
        </w:tc>
      </w:tr>
      <w:tr>
        <w:trPr>
          <w:trHeight w:val="324"/>
        </w:trPr>
        <w:tc>
          <w:tcPr>
            <w:tcW w:w="816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Provided By Operating Activities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6"/>
        </w:trPr>
        <w:tc>
          <w:tcPr>
            <w:tcW w:w="8160" w:type="dxa"/>
            <w:vAlign w:val="bottom"/>
          </w:tcPr>
          <w:p>
            <w:pPr>
              <w:ind w:left="20"/>
              <w:spacing w:after="0"/>
              <w:rPr>
                <w:sz w:val="20"/>
                <w:szCs w:val="20"/>
                <w:color w:val="auto"/>
              </w:rPr>
            </w:pPr>
            <w:r>
              <w:rPr>
                <w:rFonts w:ascii="Arial" w:cs="Arial" w:eastAsia="Arial" w:hAnsi="Arial"/>
                <w:sz w:val="12"/>
                <w:szCs w:val="12"/>
                <w:color w:val="auto"/>
              </w:rPr>
              <w:t>Changes to net cash provided by operating activities were driven by:</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22"/>
              <w:spacing w:after="0"/>
              <w:rPr>
                <w:sz w:val="20"/>
                <w:szCs w:val="20"/>
                <w:color w:val="auto"/>
              </w:rPr>
            </w:pPr>
            <w:r>
              <w:rPr>
                <w:rFonts w:ascii="Arial" w:cs="Arial" w:eastAsia="Arial" w:hAnsi="Arial"/>
                <w:sz w:val="10"/>
                <w:szCs w:val="10"/>
                <w:b w:val="1"/>
                <w:bCs w:val="1"/>
                <w:color w:val="auto"/>
                <w:w w:val="92"/>
              </w:rPr>
              <w:t>(In millions)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in operating income adjusted for non-cash items driven by primarily by lower revenues in the Renewables segment in 2017 compared to 2016</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(62)</w:t>
            </w:r>
          </w:p>
        </w:tc>
      </w:tr>
      <w:tr>
        <w:trPr>
          <w:trHeight w:val="153"/>
        </w:trPr>
        <w:tc>
          <w:tcPr>
            <w:tcW w:w="10460" w:type="dxa"/>
            <w:vAlign w:val="bottom"/>
            <w:gridSpan w:val="8"/>
          </w:tcPr>
          <w:p>
            <w:pPr>
              <w:ind w:left="20"/>
              <w:spacing w:after="0"/>
              <w:rPr>
                <w:sz w:val="20"/>
                <w:szCs w:val="20"/>
                <w:color w:val="auto"/>
              </w:rPr>
            </w:pPr>
            <w:r>
              <w:rPr>
                <w:rFonts w:ascii="Arial" w:cs="Arial" w:eastAsia="Arial" w:hAnsi="Arial"/>
                <w:sz w:val="12"/>
                <w:szCs w:val="12"/>
                <w:color w:val="auto"/>
                <w:w w:val="96"/>
              </w:rPr>
              <w:t>Decrease in working capital driven primarily by the timing of accounts receivable collections, and inventory build up in the Renewables segment in connection with the transition to self operations, as well as</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8160" w:type="dxa"/>
            <w:vAlign w:val="bottom"/>
          </w:tcPr>
          <w:p>
            <w:pPr>
              <w:ind w:left="120"/>
              <w:spacing w:after="0"/>
              <w:rPr>
                <w:sz w:val="20"/>
                <w:szCs w:val="20"/>
                <w:color w:val="auto"/>
              </w:rPr>
            </w:pPr>
            <w:r>
              <w:rPr>
                <w:rFonts w:ascii="Arial" w:cs="Arial" w:eastAsia="Arial" w:hAnsi="Arial"/>
                <w:sz w:val="12"/>
                <w:szCs w:val="12"/>
                <w:color w:val="auto"/>
              </w:rPr>
              <w:t>higher prepaid expenses in 2017 compared to 2016</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(12)</w:t>
            </w:r>
          </w:p>
        </w:tc>
      </w:tr>
      <w:tr>
        <w:trPr>
          <w:trHeight w:val="180"/>
        </w:trPr>
        <w:tc>
          <w:tcPr>
            <w:tcW w:w="958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w w:val="93"/>
              </w:rPr>
              <w:t>Higher distributions from unconsolidated affiliates primarily due to the acquisition of the Utah Solar Portfolio, which was acquired by the Company in March 2017 and by NRG in November 2016</w:t>
            </w:r>
          </w:p>
        </w:tc>
        <w:tc>
          <w:tcPr>
            <w:tcW w:w="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w:t>
            </w:r>
          </w:p>
        </w:tc>
      </w:tr>
      <w:tr>
        <w:trPr>
          <w:trHeight w:val="185"/>
        </w:trPr>
        <w:tc>
          <w:tcPr>
            <w:tcW w:w="8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(60)</w:t>
            </w:r>
          </w:p>
        </w:tc>
      </w:tr>
      <w:tr>
        <w:trPr>
          <w:trHeight w:val="360"/>
        </w:trPr>
        <w:tc>
          <w:tcPr>
            <w:tcW w:w="816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Used In Investing Activities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66"/>
        </w:trPr>
        <w:tc>
          <w:tcPr>
            <w:tcW w:w="8160" w:type="dxa"/>
            <w:vAlign w:val="bottom"/>
          </w:tcPr>
          <w:p>
            <w:pPr>
              <w:ind w:left="20"/>
              <w:spacing w:after="0"/>
              <w:rPr>
                <w:sz w:val="20"/>
                <w:szCs w:val="20"/>
                <w:color w:val="auto"/>
              </w:rPr>
            </w:pPr>
            <w:r>
              <w:rPr>
                <w:rFonts w:ascii="Arial" w:cs="Arial" w:eastAsia="Arial" w:hAnsi="Arial"/>
                <w:sz w:val="12"/>
                <w:szCs w:val="12"/>
                <w:color w:val="auto"/>
              </w:rPr>
              <w:t>Changes to net cash used in investing activities were driven by:</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22"/>
              <w:spacing w:after="0"/>
              <w:rPr>
                <w:sz w:val="20"/>
                <w:szCs w:val="20"/>
                <w:color w:val="auto"/>
              </w:rPr>
            </w:pPr>
            <w:r>
              <w:rPr>
                <w:rFonts w:ascii="Arial" w:cs="Arial" w:eastAsia="Arial" w:hAnsi="Arial"/>
                <w:sz w:val="10"/>
                <w:szCs w:val="10"/>
                <w:b w:val="1"/>
                <w:bCs w:val="1"/>
                <w:color w:val="auto"/>
                <w:w w:val="92"/>
              </w:rPr>
              <w:t>(In millions)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Payments for the acquisition of the March 2017, August 2017, and November 2017 Drop Down Assets in 2017 compared to the CVSR Drop Down in 2016</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(173)</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Higher return of investment from unconsolidated affiliates combined with lower investments primarily in the DGPV Holdco entities in 2017</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29</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Higher capital expenditures primarily related to maintenance capital expenditures at Walnut Creek as a result of the forced outages in 2017</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w:t>
            </w:r>
          </w:p>
        </w:tc>
      </w:tr>
      <w:tr>
        <w:trPr>
          <w:trHeight w:val="171"/>
        </w:trPr>
        <w:tc>
          <w:tcPr>
            <w:tcW w:w="9320" w:type="dxa"/>
            <w:vAlign w:val="bottom"/>
            <w:gridSpan w:val="4"/>
          </w:tcPr>
          <w:p>
            <w:pPr>
              <w:ind w:left="20"/>
              <w:spacing w:after="0"/>
              <w:rPr>
                <w:sz w:val="20"/>
                <w:szCs w:val="20"/>
                <w:color w:val="auto"/>
              </w:rPr>
            </w:pPr>
            <w:r>
              <w:rPr>
                <w:rFonts w:ascii="Arial" w:cs="Arial" w:eastAsia="Arial" w:hAnsi="Arial"/>
                <w:sz w:val="12"/>
                <w:szCs w:val="12"/>
                <w:color w:val="auto"/>
                <w:w w:val="99"/>
              </w:rPr>
              <w:t>Capital expenditures incurred by NRG in connection with construction of the Buckthorn Solar Drop Down Asset in 2017, which was acquired by the Company on March 30, 2018</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(159)</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Higher proceeds in 2017 in the Conventional segment compared to the insurance proceeds received in 2016 in the Renewables segment</w:t>
            </w: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r>
      <w:tr>
        <w:trPr>
          <w:trHeight w:val="185"/>
        </w:trPr>
        <w:tc>
          <w:tcPr>
            <w:tcW w:w="8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(311)</w:t>
            </w:r>
          </w:p>
        </w:tc>
      </w:tr>
      <w:tr>
        <w:trPr>
          <w:trHeight w:val="324"/>
        </w:trPr>
        <w:tc>
          <w:tcPr>
            <w:tcW w:w="816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(Used In) Provided By Financing Activities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66"/>
        </w:trPr>
        <w:tc>
          <w:tcPr>
            <w:tcW w:w="8160" w:type="dxa"/>
            <w:vAlign w:val="bottom"/>
          </w:tcPr>
          <w:p>
            <w:pPr>
              <w:ind w:left="20"/>
              <w:spacing w:after="0"/>
              <w:rPr>
                <w:sz w:val="20"/>
                <w:szCs w:val="20"/>
                <w:color w:val="auto"/>
              </w:rPr>
            </w:pPr>
            <w:r>
              <w:rPr>
                <w:rFonts w:ascii="Arial" w:cs="Arial" w:eastAsia="Arial" w:hAnsi="Arial"/>
                <w:sz w:val="12"/>
                <w:szCs w:val="12"/>
                <w:color w:val="auto"/>
              </w:rPr>
              <w:t>Changes in net cash provided by financing activities were driven by:</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22"/>
              <w:spacing w:after="0"/>
              <w:rPr>
                <w:sz w:val="20"/>
                <w:szCs w:val="20"/>
                <w:color w:val="auto"/>
              </w:rPr>
            </w:pPr>
            <w:r>
              <w:rPr>
                <w:rFonts w:ascii="Arial" w:cs="Arial" w:eastAsia="Arial" w:hAnsi="Arial"/>
                <w:sz w:val="10"/>
                <w:szCs w:val="10"/>
                <w:b w:val="1"/>
                <w:bCs w:val="1"/>
                <w:color w:val="auto"/>
                <w:w w:val="92"/>
              </w:rPr>
              <w:t>(In millions)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Lower net payments of distributions to NRG for the Drop Down Assets relating to the pre-acquisition period in 2017 compared to 2016</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161</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Increase in net contributions from noncontrolling interests due to higher production-based payments in 2017 compared to 2016</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8</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the Clearway Energy, Inc. Class C common stock offerings under the ATM Program, net of underwriting discounts and commissions</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w:t>
            </w:r>
          </w:p>
        </w:tc>
      </w:tr>
      <w:tr>
        <w:trPr>
          <w:trHeight w:val="171"/>
        </w:trPr>
        <w:tc>
          <w:tcPr>
            <w:tcW w:w="8560" w:type="dxa"/>
            <w:vAlign w:val="bottom"/>
            <w:gridSpan w:val="2"/>
          </w:tcPr>
          <w:p>
            <w:pPr>
              <w:ind w:left="20"/>
              <w:spacing w:after="0"/>
              <w:rPr>
                <w:sz w:val="20"/>
                <w:szCs w:val="20"/>
                <w:color w:val="auto"/>
              </w:rPr>
            </w:pPr>
            <w:r>
              <w:rPr>
                <w:rFonts w:ascii="Arial" w:cs="Arial" w:eastAsia="Arial" w:hAnsi="Arial"/>
                <w:sz w:val="12"/>
                <w:szCs w:val="12"/>
                <w:color w:val="auto"/>
                <w:w w:val="91"/>
              </w:rPr>
              <w:t>Increase in dividends paid to common stockholders and distributions paid to NRG, primarily driven by a 16% increase in declared dividends and distributions from 2016 to 2017</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(29)</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repayments of $306 million under the revolving credit facility in 2016 compared to proceeds of $66 million in 2017</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361</w:t>
            </w:r>
          </w:p>
        </w:tc>
      </w:tr>
      <w:tr>
        <w:trPr>
          <w:trHeight w:val="153"/>
        </w:trPr>
        <w:tc>
          <w:tcPr>
            <w:tcW w:w="10460" w:type="dxa"/>
            <w:vAlign w:val="bottom"/>
            <w:gridSpan w:val="8"/>
          </w:tcPr>
          <w:p>
            <w:pPr>
              <w:ind w:left="20"/>
              <w:spacing w:after="0"/>
              <w:rPr>
                <w:sz w:val="20"/>
                <w:szCs w:val="20"/>
                <w:color w:val="auto"/>
              </w:rPr>
            </w:pPr>
            <w:r>
              <w:rPr>
                <w:rFonts w:ascii="Arial" w:cs="Arial" w:eastAsia="Arial" w:hAnsi="Arial"/>
                <w:sz w:val="12"/>
                <w:szCs w:val="12"/>
                <w:color w:val="auto"/>
                <w:w w:val="96"/>
              </w:rPr>
              <w:t>Higher borrowing in 2016, primarily related to the 2026 Senior Notes and CVSR Holdco Notes due 2037, as well as higher repayments of long-term debt in 2017, partially offset by borrowings at Buckthorn</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Solar Drop Down Asset in 2017</w:t>
            </w:r>
          </w:p>
        </w:tc>
        <w:tc>
          <w:tcPr>
            <w:tcW w:w="4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(590)</w:t>
            </w:r>
          </w:p>
        </w:tc>
      </w:tr>
      <w:tr>
        <w:trPr>
          <w:trHeight w:val="189"/>
        </w:trPr>
        <w:tc>
          <w:tcPr>
            <w:tcW w:w="8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(55)</w:t>
            </w:r>
          </w:p>
        </w:tc>
      </w:tr>
      <w:tr>
        <w:trPr>
          <w:trHeight w:val="410"/>
        </w:trPr>
        <w:tc>
          <w:tcPr>
            <w:tcW w:w="8160" w:type="dxa"/>
            <w:vAlign w:val="bottom"/>
            <w:tcBorders>
              <w:top w:val="single" w:sz="8" w:color="CCEEFF"/>
            </w:tcBorders>
          </w:tcPr>
          <w:p>
            <w:pPr>
              <w:ind w:left="5680"/>
              <w:spacing w:after="0"/>
              <w:rPr>
                <w:sz w:val="20"/>
                <w:szCs w:val="20"/>
                <w:color w:val="auto"/>
              </w:rPr>
            </w:pPr>
            <w:r>
              <w:rPr>
                <w:rFonts w:ascii="Arial" w:cs="Arial" w:eastAsia="Arial" w:hAnsi="Arial"/>
                <w:sz w:val="12"/>
                <w:szCs w:val="12"/>
                <w:color w:val="auto"/>
              </w:rPr>
              <w:t>63</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18" w:right="19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color w:val="auto"/>
        </w:rPr>
        <w:t>NOLs, Deferred Tax Assets and Uncertain Tax Position Implications, under ASC 740</w:t>
      </w:r>
    </w:p>
    <w:p>
      <w:pPr>
        <w:spacing w:after="0" w:line="118"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As of December 31, 2018, the Company has a cumulative federal NOL carry forward balance of $929 million for financial statement purposes, which will begin expiring in 2033, and does not anticipate any federal income tax payments for 2019. As a result of the Company's tax position, and based on current forecasts, the Company does not anticipate significant income tax payments for state and local jurisdictions in 2019.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after 2017 or later subject to an 80% limitation against future taxable income pursuant to the Tax Act.</w:t>
      </w:r>
    </w:p>
    <w:p>
      <w:pPr>
        <w:spacing w:after="0" w:line="89" w:lineRule="exact"/>
        <w:rPr>
          <w:sz w:val="20"/>
          <w:szCs w:val="20"/>
          <w:color w:val="auto"/>
        </w:rPr>
      </w:pPr>
    </w:p>
    <w:p>
      <w:pPr>
        <w:ind w:right="20" w:firstLine="288"/>
        <w:spacing w:after="0" w:line="263" w:lineRule="auto"/>
        <w:rPr>
          <w:sz w:val="20"/>
          <w:szCs w:val="20"/>
          <w:color w:val="auto"/>
        </w:rPr>
      </w:pPr>
      <w:r>
        <w:rPr>
          <w:rFonts w:ascii="Arial" w:cs="Arial" w:eastAsia="Arial" w:hAnsi="Arial"/>
          <w:sz w:val="12"/>
          <w:szCs w:val="12"/>
          <w:color w:val="auto"/>
        </w:rPr>
        <w:t>Beginning in 2018, the Company has an interest disallowance carry forward of $120 million as a result of the proposed §163(j) regulation, which was enacted as part of the Tax Cut and Jobs Act. The disallowed interest deduction has an indefinite carry forward period and any limitations on the utilization of this carry forward have been factored into our valuation allowance analysis. These are proposed regulations which are not final and are subject to change in the regulatory review process.</w:t>
      </w:r>
    </w:p>
    <w:p>
      <w:pPr>
        <w:spacing w:after="0" w:line="87" w:lineRule="exact"/>
        <w:rPr>
          <w:sz w:val="20"/>
          <w:szCs w:val="20"/>
          <w:color w:val="auto"/>
        </w:rPr>
      </w:pPr>
    </w:p>
    <w:p>
      <w:pPr>
        <w:ind w:right="60" w:firstLine="288"/>
        <w:spacing w:after="0" w:line="276" w:lineRule="auto"/>
        <w:rPr>
          <w:sz w:val="20"/>
          <w:szCs w:val="20"/>
          <w:color w:val="auto"/>
        </w:rPr>
      </w:pPr>
      <w:r>
        <w:rPr>
          <w:rFonts w:ascii="Arial" w:cs="Arial" w:eastAsia="Arial" w:hAnsi="Arial"/>
          <w:sz w:val="12"/>
          <w:szCs w:val="12"/>
          <w:color w:val="auto"/>
        </w:rPr>
        <w:t>The Company is subject to examination by taxing authorities for income tax returns filed in the U.S. federal jurisdiction and various state jurisdictions. The Company is not subject to U.S. federal or state income tax examinations for years prior to 2013.</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no uncertain tax benefits.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Obligations under Certain Guarantee Contracts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The Company may enter into guarantee arrangements in the normal course of business to facilitate commercial transactions with third parties.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Retained or Contingent Interests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does not have any material retained or contingent interests in assets transferred to an unconsolidated entity.</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Obligations Arising Out of a Variable Interest in an Unconsolidated Entity</w:t>
      </w:r>
    </w:p>
    <w:p>
      <w:pPr>
        <w:spacing w:after="0" w:line="9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 xml:space="preserve">Variable interest in equity investments </w:t>
      </w:r>
      <w:r>
        <w:rPr>
          <w:rFonts w:ascii="Arial" w:cs="Arial" w:eastAsia="Arial" w:hAnsi="Arial"/>
          <w:sz w:val="12"/>
          <w:szCs w:val="12"/>
          <w:color w:val="auto"/>
        </w:rPr>
        <w:t>— As of December 31, 2018, the Company has several investments with an ownership interest percentage of 50% or less in energy and energy-related entities that are accounted for under the</w:t>
      </w:r>
      <w:r>
        <w:rPr>
          <w:rFonts w:ascii="Arial" w:cs="Arial" w:eastAsia="Arial" w:hAnsi="Arial"/>
          <w:sz w:val="12"/>
          <w:szCs w:val="12"/>
          <w:i w:val="1"/>
          <w:iCs w:val="1"/>
          <w:color w:val="auto"/>
        </w:rPr>
        <w:t xml:space="preserve"> </w:t>
      </w:r>
      <w:r>
        <w:rPr>
          <w:rFonts w:ascii="Arial" w:cs="Arial" w:eastAsia="Arial" w:hAnsi="Arial"/>
          <w:sz w:val="12"/>
          <w:szCs w:val="12"/>
          <w:color w:val="auto"/>
        </w:rPr>
        <w:t>equity method. DGPV Holdco 1 LLC</w:t>
      </w:r>
      <w:r>
        <w:rPr>
          <w:rFonts w:ascii="Arial" w:cs="Arial" w:eastAsia="Arial" w:hAnsi="Arial"/>
          <w:sz w:val="12"/>
          <w:szCs w:val="12"/>
          <w:i w:val="1"/>
          <w:iCs w:val="1"/>
          <w:color w:val="auto"/>
        </w:rPr>
        <w:t>,</w:t>
      </w:r>
      <w:r>
        <w:rPr>
          <w:rFonts w:ascii="Arial" w:cs="Arial" w:eastAsia="Arial" w:hAnsi="Arial"/>
          <w:sz w:val="12"/>
          <w:szCs w:val="12"/>
          <w:color w:val="auto"/>
        </w:rPr>
        <w:t xml:space="preserve"> DGPV Holdco 2 LLC, DGPV Holdco 3 LLC, RPV Holdco 1 LLC and GenConn are variable interest entities for which the Company is not the primary beneficiary. The Company's pro-rata share of non-recourse debt held by unconsolidated affiliates was approximately $878 million as of December 31, 2018. This indebtedness may restrict the ability of these subsidiaries to issue dividends or distributions to the Company. See also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to the Consolidated Financial Statements.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Contractual Obligations and Commercial Commitments</w:t>
      </w:r>
    </w:p>
    <w:p>
      <w:pPr>
        <w:spacing w:after="0" w:line="10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The Company has a variety of contractual obligations and other commercial commitments that represent prospective cash requirements in addition to the Company's capital expenditure programs. The following table summarizes the Company's contractual obligations. See Item 15 — Note 10,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and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to the Consolidated Financial Statements for additional discussion.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By Remaining Maturity at December 31,</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tcPr>
          <w:p>
            <w:pPr>
              <w:ind w:left="180"/>
              <w:spacing w:after="0" w:line="96" w:lineRule="exact"/>
              <w:rPr>
                <w:sz w:val="20"/>
                <w:szCs w:val="20"/>
                <w:color w:val="auto"/>
              </w:rPr>
            </w:pPr>
            <w:r>
              <w:rPr>
                <w:rFonts w:ascii="Arial" w:cs="Arial" w:eastAsia="Arial" w:hAnsi="Arial"/>
                <w:sz w:val="10"/>
                <w:szCs w:val="10"/>
                <w:b w:val="1"/>
                <w:bCs w:val="1"/>
                <w:color w:val="auto"/>
              </w:rPr>
              <w:t>Under</w:t>
            </w: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gridSpan w:val="2"/>
          </w:tcPr>
          <w:p>
            <w:pPr>
              <w:jc w:val="center"/>
              <w:ind w:right="400"/>
              <w:spacing w:after="0" w:line="96" w:lineRule="exact"/>
              <w:rPr>
                <w:sz w:val="20"/>
                <w:szCs w:val="20"/>
                <w:color w:val="auto"/>
              </w:rPr>
            </w:pPr>
            <w:r>
              <w:rPr>
                <w:rFonts w:ascii="Arial" w:cs="Arial" w:eastAsia="Arial" w:hAnsi="Arial"/>
                <w:sz w:val="10"/>
                <w:szCs w:val="10"/>
                <w:b w:val="1"/>
                <w:bCs w:val="1"/>
                <w:color w:val="auto"/>
                <w:w w:val="87"/>
              </w:rPr>
              <w:t>Over</w:t>
            </w: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020" w:type="dxa"/>
            <w:vAlign w:val="bottom"/>
            <w:gridSpan w:val="5"/>
          </w:tcPr>
          <w:p>
            <w:pPr>
              <w:ind w:left="20"/>
              <w:spacing w:after="0" w:line="105" w:lineRule="exact"/>
              <w:rPr>
                <w:sz w:val="20"/>
                <w:szCs w:val="20"/>
                <w:color w:val="auto"/>
              </w:rPr>
            </w:pPr>
            <w:r>
              <w:rPr>
                <w:rFonts w:ascii="Arial" w:cs="Arial" w:eastAsia="Arial" w:hAnsi="Arial"/>
                <w:sz w:val="10"/>
                <w:szCs w:val="10"/>
                <w:b w:val="1"/>
                <w:bCs w:val="1"/>
                <w:color w:val="auto"/>
              </w:rPr>
              <w:t>Contractual Cash Obligations</w:t>
            </w:r>
          </w:p>
        </w:tc>
        <w:tc>
          <w:tcPr>
            <w:tcW w:w="260" w:type="dxa"/>
            <w:vAlign w:val="bottom"/>
          </w:tcPr>
          <w:p>
            <w:pPr>
              <w:spacing w:after="0"/>
              <w:rPr>
                <w:sz w:val="9"/>
                <w:szCs w:val="9"/>
                <w:color w:val="auto"/>
              </w:rPr>
            </w:pPr>
          </w:p>
        </w:tc>
        <w:tc>
          <w:tcPr>
            <w:tcW w:w="1020" w:type="dxa"/>
            <w:vAlign w:val="bottom"/>
            <w:gridSpan w:val="2"/>
          </w:tcPr>
          <w:p>
            <w:pPr>
              <w:ind w:left="180"/>
              <w:spacing w:after="0" w:line="105" w:lineRule="exact"/>
              <w:rPr>
                <w:sz w:val="20"/>
                <w:szCs w:val="20"/>
                <w:color w:val="auto"/>
              </w:rPr>
            </w:pPr>
            <w:r>
              <w:rPr>
                <w:rFonts w:ascii="Arial" w:cs="Arial" w:eastAsia="Arial" w:hAnsi="Arial"/>
                <w:sz w:val="10"/>
                <w:szCs w:val="10"/>
                <w:b w:val="1"/>
                <w:bCs w:val="1"/>
                <w:color w:val="auto"/>
              </w:rPr>
              <w:t>1 Year</w:t>
            </w:r>
          </w:p>
        </w:tc>
        <w:tc>
          <w:tcPr>
            <w:tcW w:w="220" w:type="dxa"/>
            <w:vAlign w:val="bottom"/>
          </w:tcPr>
          <w:p>
            <w:pPr>
              <w:spacing w:after="0"/>
              <w:rPr>
                <w:sz w:val="9"/>
                <w:szCs w:val="9"/>
                <w:color w:val="auto"/>
              </w:rPr>
            </w:pPr>
          </w:p>
        </w:tc>
        <w:tc>
          <w:tcPr>
            <w:tcW w:w="1060" w:type="dxa"/>
            <w:vAlign w:val="bottom"/>
            <w:gridSpan w:val="2"/>
          </w:tcPr>
          <w:p>
            <w:pPr>
              <w:ind w:left="160"/>
              <w:spacing w:after="0" w:line="105" w:lineRule="exact"/>
              <w:rPr>
                <w:sz w:val="20"/>
                <w:szCs w:val="20"/>
                <w:color w:val="auto"/>
              </w:rPr>
            </w:pPr>
            <w:r>
              <w:rPr>
                <w:rFonts w:ascii="Arial" w:cs="Arial" w:eastAsia="Arial" w:hAnsi="Arial"/>
                <w:sz w:val="10"/>
                <w:szCs w:val="10"/>
                <w:b w:val="1"/>
                <w:bCs w:val="1"/>
                <w:color w:val="auto"/>
              </w:rPr>
              <w:t>1-3 Years</w:t>
            </w:r>
          </w:p>
        </w:tc>
        <w:tc>
          <w:tcPr>
            <w:tcW w:w="200" w:type="dxa"/>
            <w:vAlign w:val="bottom"/>
          </w:tcPr>
          <w:p>
            <w:pPr>
              <w:spacing w:after="0"/>
              <w:rPr>
                <w:sz w:val="9"/>
                <w:szCs w:val="9"/>
                <w:color w:val="auto"/>
              </w:rPr>
            </w:pPr>
          </w:p>
        </w:tc>
        <w:tc>
          <w:tcPr>
            <w:tcW w:w="1080" w:type="dxa"/>
            <w:vAlign w:val="bottom"/>
            <w:gridSpan w:val="2"/>
          </w:tcPr>
          <w:p>
            <w:pPr>
              <w:ind w:left="180"/>
              <w:spacing w:after="0" w:line="105" w:lineRule="exact"/>
              <w:rPr>
                <w:sz w:val="20"/>
                <w:szCs w:val="20"/>
                <w:color w:val="auto"/>
              </w:rPr>
            </w:pPr>
            <w:r>
              <w:rPr>
                <w:rFonts w:ascii="Arial" w:cs="Arial" w:eastAsia="Arial" w:hAnsi="Arial"/>
                <w:sz w:val="10"/>
                <w:szCs w:val="10"/>
                <w:b w:val="1"/>
                <w:bCs w:val="1"/>
                <w:color w:val="auto"/>
              </w:rPr>
              <w:t>3-5 Years</w:t>
            </w:r>
          </w:p>
        </w:tc>
        <w:tc>
          <w:tcPr>
            <w:tcW w:w="280" w:type="dxa"/>
            <w:vAlign w:val="bottom"/>
          </w:tcPr>
          <w:p>
            <w:pPr>
              <w:spacing w:after="0"/>
              <w:rPr>
                <w:sz w:val="9"/>
                <w:szCs w:val="9"/>
                <w:color w:val="auto"/>
              </w:rPr>
            </w:pPr>
          </w:p>
        </w:tc>
        <w:tc>
          <w:tcPr>
            <w:tcW w:w="96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4"/>
              </w:rPr>
              <w:t>5 Years</w:t>
            </w:r>
          </w:p>
        </w:tc>
        <w:tc>
          <w:tcPr>
            <w:tcW w:w="260" w:type="dxa"/>
            <w:vAlign w:val="bottom"/>
          </w:tcPr>
          <w:p>
            <w:pPr>
              <w:spacing w:after="0"/>
              <w:rPr>
                <w:sz w:val="9"/>
                <w:szCs w:val="9"/>
                <w:color w:val="auto"/>
              </w:rPr>
            </w:pPr>
          </w:p>
        </w:tc>
        <w:tc>
          <w:tcPr>
            <w:tcW w:w="980" w:type="dxa"/>
            <w:vAlign w:val="bottom"/>
            <w:gridSpan w:val="2"/>
          </w:tcPr>
          <w:p>
            <w:pPr>
              <w:ind w:left="200"/>
              <w:spacing w:after="0" w:line="105" w:lineRule="exact"/>
              <w:rPr>
                <w:sz w:val="20"/>
                <w:szCs w:val="20"/>
                <w:color w:val="auto"/>
              </w:rPr>
            </w:pPr>
            <w:r>
              <w:rPr>
                <w:rFonts w:ascii="Arial" w:cs="Arial" w:eastAsia="Arial" w:hAnsi="Arial"/>
                <w:sz w:val="10"/>
                <w:szCs w:val="10"/>
                <w:b w:val="1"/>
                <w:bCs w:val="1"/>
                <w:color w:val="auto"/>
              </w:rPr>
              <w:t>Total</w:t>
            </w:r>
          </w:p>
        </w:tc>
        <w:tc>
          <w:tcPr>
            <w:tcW w:w="280" w:type="dxa"/>
            <w:vAlign w:val="bottom"/>
          </w:tcPr>
          <w:p>
            <w:pPr>
              <w:spacing w:after="0"/>
              <w:rPr>
                <w:sz w:val="9"/>
                <w:szCs w:val="9"/>
                <w:color w:val="auto"/>
              </w:rPr>
            </w:pPr>
          </w:p>
        </w:tc>
        <w:tc>
          <w:tcPr>
            <w:tcW w:w="860" w:type="dxa"/>
            <w:vAlign w:val="bottom"/>
          </w:tcPr>
          <w:p>
            <w:pPr>
              <w:jc w:val="right"/>
              <w:ind w:right="403"/>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3"/>
          </w:tcPr>
          <w:p>
            <w:pPr>
              <w:jc w:val="right"/>
              <w:ind w:right="80"/>
              <w:spacing w:after="0" w:line="107" w:lineRule="exact"/>
              <w:rPr>
                <w:sz w:val="20"/>
                <w:szCs w:val="20"/>
                <w:color w:val="auto"/>
              </w:rPr>
            </w:pPr>
            <w:r>
              <w:rPr>
                <w:rFonts w:ascii="Arial" w:cs="Arial" w:eastAsia="Arial" w:hAnsi="Arial"/>
                <w:sz w:val="10"/>
                <w:szCs w:val="10"/>
                <w:b w:val="1"/>
                <w:bCs w:val="1"/>
                <w:color w:val="auto"/>
              </w:rPr>
              <w:t>(In millions)</w:t>
            </w: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Long-term debt (including estimated interest)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1,467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4,441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8,133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8,040</w:t>
            </w:r>
          </w:p>
        </w:tc>
        <w:tc>
          <w:tcPr>
            <w:tcW w:w="0" w:type="dxa"/>
            <w:vAlign w:val="bottom"/>
          </w:tcPr>
          <w:p>
            <w:pPr>
              <w:spacing w:after="0"/>
              <w:rPr>
                <w:sz w:val="1"/>
                <w:szCs w:val="1"/>
                <w:color w:val="auto"/>
              </w:rPr>
            </w:pPr>
          </w:p>
        </w:tc>
      </w:tr>
      <w:tr>
        <w:trPr>
          <w:trHeight w:val="171"/>
        </w:trPr>
        <w:tc>
          <w:tcPr>
            <w:tcW w:w="4020" w:type="dxa"/>
            <w:vAlign w:val="bottom"/>
            <w:gridSpan w:val="5"/>
          </w:tcPr>
          <w:p>
            <w:pPr>
              <w:ind w:left="20"/>
              <w:spacing w:after="0"/>
              <w:rPr>
                <w:sz w:val="20"/>
                <w:szCs w:val="20"/>
                <w:color w:val="auto"/>
              </w:rPr>
            </w:pPr>
            <w:r>
              <w:rPr>
                <w:rFonts w:ascii="Arial" w:cs="Arial" w:eastAsia="Arial" w:hAnsi="Arial"/>
                <w:sz w:val="12"/>
                <w:szCs w:val="12"/>
                <w:color w:val="auto"/>
              </w:rPr>
              <w:t>Operating leases</w:t>
            </w:r>
          </w:p>
        </w:tc>
        <w:tc>
          <w:tcPr>
            <w:tcW w:w="260" w:type="dxa"/>
            <w:vAlign w:val="bottom"/>
          </w:tcPr>
          <w:p>
            <w:pPr>
              <w:spacing w:after="0"/>
              <w:rPr>
                <w:sz w:val="14"/>
                <w:szCs w:val="14"/>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5"/>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271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89"/>
        </w:trPr>
        <w:tc>
          <w:tcPr>
            <w:tcW w:w="40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Fuel purchase and transportation obligations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CEEFF"/>
            </w:tcBorders>
            <w:gridSpan w:val="5"/>
          </w:tcPr>
          <w:p>
            <w:pPr>
              <w:ind w:left="20"/>
              <w:spacing w:after="0" w:line="180" w:lineRule="exact"/>
              <w:rPr>
                <w:sz w:val="20"/>
                <w:szCs w:val="20"/>
                <w:color w:val="auto"/>
              </w:rPr>
            </w:pPr>
            <w:r>
              <w:rPr>
                <w:rFonts w:ascii="Arial" w:cs="Arial" w:eastAsia="Arial" w:hAnsi="Arial"/>
                <w:sz w:val="12"/>
                <w:szCs w:val="12"/>
                <w:color w:val="auto"/>
              </w:rPr>
              <w:t xml:space="preserve">Other liabilities </w:t>
            </w:r>
            <w:r>
              <w:rPr>
                <w:rFonts w:ascii="Arial" w:cs="Arial" w:eastAsia="Arial" w:hAnsi="Arial"/>
                <w:sz w:val="16"/>
                <w:szCs w:val="16"/>
                <w:color w:val="auto"/>
                <w:vertAlign w:val="superscript"/>
              </w:rPr>
              <w:t>(a)</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890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1,472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1,524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4,774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8,660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8,485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ind w:right="602"/>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514" w:right="199" w:bottom="1440" w:gutter="0" w:footer="0" w:header="0"/>
        </w:sectPr>
      </w:pPr>
    </w:p>
    <w:bookmarkStart w:id="64" w:name="page65"/>
    <w:bookmarkEnd w:id="64"/>
    <w:p>
      <w:pPr>
        <w:ind w:left="108" w:hanging="108"/>
        <w:spacing w:after="0"/>
        <w:tabs>
          <w:tab w:leader="none" w:pos="108" w:val="left"/>
        </w:tabs>
        <w:numPr>
          <w:ilvl w:val="0"/>
          <w:numId w:val="30"/>
        </w:numPr>
        <w:rPr>
          <w:rFonts w:ascii="Arial" w:cs="Arial" w:eastAsia="Arial" w:hAnsi="Arial"/>
          <w:sz w:val="13"/>
          <w:szCs w:val="13"/>
          <w:color w:val="auto"/>
          <w:vertAlign w:val="superscript"/>
        </w:rPr>
      </w:pPr>
      <w:r>
        <w:rPr>
          <w:rFonts w:ascii="Arial" w:cs="Arial" w:eastAsia="Arial" w:hAnsi="Arial"/>
          <w:sz w:val="8"/>
          <w:szCs w:val="8"/>
          <w:color w:val="auto"/>
        </w:rPr>
        <w:t>Includes water right agreements, service and maintenance agreements, and LTSA commitments.</w:t>
      </w:r>
    </w:p>
    <w:p>
      <w:pPr>
        <w:spacing w:after="0" w:line="4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of Derivative Instruments</w:t>
      </w:r>
    </w:p>
    <w:p>
      <w:pPr>
        <w:spacing w:after="0" w:line="100"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61"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2"/>
          <w:szCs w:val="12"/>
          <w:color w:val="000000"/>
        </w:rPr>
        <w:t>December 31, 2018</w:t>
      </w:r>
      <w:r>
        <w:rPr>
          <w:rFonts w:ascii="Arial" w:cs="Arial" w:eastAsia="Arial" w:hAnsi="Arial"/>
          <w:sz w:val="12"/>
          <w:szCs w:val="12"/>
          <w:color w:val="231F20"/>
        </w:rPr>
        <w:t xml:space="preserve">, based on their level within the fair value hierarchy defined in ASC 820; and indicate the maturities of contracts at </w:t>
      </w:r>
      <w:r>
        <w:rPr>
          <w:rFonts w:ascii="Arial" w:cs="Arial" w:eastAsia="Arial" w:hAnsi="Arial"/>
          <w:sz w:val="12"/>
          <w:szCs w:val="12"/>
          <w:color w:val="000000"/>
        </w:rPr>
        <w:t>December 31, 2018</w:t>
      </w:r>
      <w:r>
        <w:rPr>
          <w:rFonts w:ascii="Arial" w:cs="Arial" w:eastAsia="Arial" w:hAnsi="Arial"/>
          <w:sz w:val="12"/>
          <w:szCs w:val="12"/>
          <w:color w:val="231F20"/>
        </w:rPr>
        <w:t xml:space="preserve">. For a full discussion of the Company's valuation methodology of its contracts, see </w:t>
      </w:r>
      <w:r>
        <w:rPr>
          <w:rFonts w:ascii="Arial" w:cs="Arial" w:eastAsia="Arial" w:hAnsi="Arial"/>
          <w:sz w:val="12"/>
          <w:szCs w:val="12"/>
          <w:i w:val="1"/>
          <w:iCs w:val="1"/>
          <w:color w:val="231F20"/>
        </w:rPr>
        <w:t>Derivative Fair Value Measurements</w:t>
      </w:r>
      <w:r>
        <w:rPr>
          <w:rFonts w:ascii="Arial" w:cs="Arial" w:eastAsia="Arial" w:hAnsi="Arial"/>
          <w:sz w:val="12"/>
          <w:szCs w:val="12"/>
          <w:color w:val="231F20"/>
        </w:rPr>
        <w:t xml:space="preserve"> in Item 15 </w:t>
      </w:r>
      <w:r>
        <w:rPr>
          <w:rFonts w:ascii="Arial" w:cs="Arial" w:eastAsia="Arial" w:hAnsi="Arial"/>
          <w:sz w:val="12"/>
          <w:szCs w:val="12"/>
          <w:color w:val="000000"/>
        </w:rPr>
        <w:t>— 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 to the Consolidated Financial Statements.</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060" w:type="dxa"/>
            <w:vAlign w:val="bottom"/>
            <w:gridSpan w:val="4"/>
          </w:tcPr>
          <w:p>
            <w:pPr>
              <w:ind w:left="20"/>
              <w:spacing w:after="0"/>
              <w:rPr>
                <w:sz w:val="20"/>
                <w:szCs w:val="20"/>
                <w:color w:val="auto"/>
              </w:rPr>
            </w:pPr>
            <w:r>
              <w:rPr>
                <w:rFonts w:ascii="Arial" w:cs="Arial" w:eastAsia="Arial" w:hAnsi="Arial"/>
                <w:sz w:val="10"/>
                <w:szCs w:val="10"/>
                <w:b w:val="1"/>
                <w:bCs w:val="1"/>
                <w:color w:val="auto"/>
              </w:rPr>
              <w:t>Derivative Activity (Losses)/Gains</w:t>
            </w:r>
          </w:p>
        </w:tc>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44"/>
              <w:spacing w:after="0"/>
              <w:rPr>
                <w:sz w:val="20"/>
                <w:szCs w:val="20"/>
                <w:color w:val="auto"/>
              </w:rPr>
            </w:pPr>
            <w:r>
              <w:rPr>
                <w:rFonts w:ascii="Arial" w:cs="Arial" w:eastAsia="Arial" w:hAnsi="Arial"/>
                <w:sz w:val="10"/>
                <w:szCs w:val="10"/>
                <w:b w:val="1"/>
                <w:bCs w:val="1"/>
                <w:color w:val="auto"/>
                <w:w w:val="89"/>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Fair value of contracts as of December 31, 2017</w:t>
            </w:r>
          </w:p>
        </w:tc>
        <w:tc>
          <w:tcPr>
            <w:tcW w:w="1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(47)</w:t>
            </w:r>
          </w:p>
        </w:tc>
      </w:tr>
      <w:tr>
        <w:trPr>
          <w:trHeight w:val="171"/>
        </w:trPr>
        <w:tc>
          <w:tcPr>
            <w:tcW w:w="20" w:type="dxa"/>
            <w:vAlign w:val="bottom"/>
          </w:tcPr>
          <w:p>
            <w:pPr>
              <w:spacing w:after="0"/>
              <w:rPr>
                <w:sz w:val="14"/>
                <w:szCs w:val="14"/>
                <w:color w:val="auto"/>
              </w:rPr>
            </w:pPr>
          </w:p>
        </w:tc>
        <w:tc>
          <w:tcPr>
            <w:tcW w:w="5040" w:type="dxa"/>
            <w:vAlign w:val="bottom"/>
            <w:gridSpan w:val="3"/>
          </w:tcPr>
          <w:p>
            <w:pPr>
              <w:ind w:left="160"/>
              <w:spacing w:after="0"/>
              <w:rPr>
                <w:sz w:val="20"/>
                <w:szCs w:val="20"/>
                <w:color w:val="auto"/>
              </w:rPr>
            </w:pPr>
            <w:r>
              <w:rPr>
                <w:rFonts w:ascii="Arial" w:cs="Arial" w:eastAsia="Arial" w:hAnsi="Arial"/>
                <w:sz w:val="12"/>
                <w:szCs w:val="12"/>
                <w:color w:val="auto"/>
              </w:rPr>
              <w:t>Contracts realized or otherwise settled during the period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2"/>
                <w:szCs w:val="12"/>
                <w:color w:val="auto"/>
              </w:rPr>
              <w:t>18</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Changes in fair value</w:t>
            </w:r>
          </w:p>
        </w:tc>
        <w:tc>
          <w:tcPr>
            <w:tcW w:w="1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19</w:t>
            </w:r>
          </w:p>
        </w:tc>
      </w:tr>
      <w:tr>
        <w:trPr>
          <w:trHeight w:val="185"/>
        </w:trPr>
        <w:tc>
          <w:tcPr>
            <w:tcW w:w="5060" w:type="dxa"/>
            <w:vAlign w:val="bottom"/>
            <w:gridSpan w:val="4"/>
          </w:tcPr>
          <w:p>
            <w:pPr>
              <w:ind w:left="20"/>
              <w:spacing w:after="0"/>
              <w:rPr>
                <w:sz w:val="20"/>
                <w:szCs w:val="20"/>
                <w:color w:val="auto"/>
              </w:rPr>
            </w:pPr>
            <w:r>
              <w:rPr>
                <w:rFonts w:ascii="Arial" w:cs="Arial" w:eastAsia="Arial" w:hAnsi="Arial"/>
                <w:sz w:val="12"/>
                <w:szCs w:val="12"/>
                <w:color w:val="auto"/>
              </w:rPr>
              <w:t>Fair value of contracts as of December 31, 2018</w:t>
            </w: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(10)</w:t>
            </w:r>
          </w:p>
        </w:tc>
      </w:tr>
      <w:tr>
        <w:trPr>
          <w:trHeight w:val="30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center"/>
              <w:ind w:right="126"/>
              <w:spacing w:after="0"/>
              <w:rPr>
                <w:sz w:val="20"/>
                <w:szCs w:val="20"/>
                <w:color w:val="auto"/>
              </w:rPr>
            </w:pPr>
            <w:r>
              <w:rPr>
                <w:rFonts w:ascii="Arial" w:cs="Arial" w:eastAsia="Arial" w:hAnsi="Arial"/>
                <w:sz w:val="10"/>
                <w:szCs w:val="10"/>
                <w:b w:val="1"/>
                <w:bCs w:val="1"/>
                <w:color w:val="auto"/>
                <w:w w:val="85"/>
              </w:rPr>
              <w:t>Fair value of contracts as of December 31, 2018</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2"/>
          </w:tcPr>
          <w:p>
            <w:pPr>
              <w:jc w:val="right"/>
              <w:ind w:right="1109"/>
              <w:spacing w:after="0"/>
              <w:rPr>
                <w:sz w:val="20"/>
                <w:szCs w:val="20"/>
                <w:color w:val="auto"/>
              </w:rPr>
            </w:pPr>
            <w:r>
              <w:rPr>
                <w:rFonts w:ascii="Arial" w:cs="Arial" w:eastAsia="Arial" w:hAnsi="Arial"/>
                <w:sz w:val="10"/>
                <w:szCs w:val="10"/>
                <w:b w:val="1"/>
                <w:bCs w:val="1"/>
                <w:color w:val="auto"/>
              </w:rPr>
              <w:t>Maturity</w:t>
            </w: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96"/>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Greater Than 1 Year to 3</w:t>
            </w:r>
          </w:p>
        </w:tc>
        <w:tc>
          <w:tcPr>
            <w:tcW w:w="1360" w:type="dxa"/>
            <w:vAlign w:val="bottom"/>
          </w:tcPr>
          <w:p>
            <w:pPr>
              <w:jc w:val="center"/>
              <w:ind w:right="9"/>
              <w:spacing w:after="0" w:line="96" w:lineRule="exact"/>
              <w:rPr>
                <w:sz w:val="20"/>
                <w:szCs w:val="20"/>
                <w:color w:val="auto"/>
              </w:rPr>
            </w:pPr>
            <w:r>
              <w:rPr>
                <w:rFonts w:ascii="Arial" w:cs="Arial" w:eastAsia="Arial" w:hAnsi="Arial"/>
                <w:sz w:val="10"/>
                <w:szCs w:val="10"/>
                <w:b w:val="1"/>
                <w:bCs w:val="1"/>
                <w:color w:val="auto"/>
                <w:w w:val="87"/>
              </w:rPr>
              <w:t>Greater Than 3 Years to 5</w:t>
            </w: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center"/>
              <w:ind w:right="144"/>
              <w:spacing w:after="0" w:line="96" w:lineRule="exact"/>
              <w:rPr>
                <w:sz w:val="20"/>
                <w:szCs w:val="20"/>
                <w:color w:val="auto"/>
              </w:rPr>
            </w:pPr>
            <w:r>
              <w:rPr>
                <w:rFonts w:ascii="Arial" w:cs="Arial" w:eastAsia="Arial" w:hAnsi="Arial"/>
                <w:sz w:val="10"/>
                <w:szCs w:val="10"/>
                <w:b w:val="1"/>
                <w:bCs w:val="1"/>
                <w:color w:val="auto"/>
                <w:w w:val="93"/>
              </w:rPr>
              <w:t>Total Fair</w:t>
            </w:r>
          </w:p>
        </w:tc>
      </w:tr>
      <w:tr>
        <w:trPr>
          <w:trHeight w:val="105"/>
        </w:trPr>
        <w:tc>
          <w:tcPr>
            <w:tcW w:w="5060" w:type="dxa"/>
            <w:vAlign w:val="bottom"/>
            <w:gridSpan w:val="4"/>
          </w:tcPr>
          <w:p>
            <w:pPr>
              <w:ind w:left="20"/>
              <w:spacing w:after="0" w:line="105" w:lineRule="exact"/>
              <w:rPr>
                <w:sz w:val="20"/>
                <w:szCs w:val="20"/>
                <w:color w:val="auto"/>
              </w:rPr>
            </w:pPr>
            <w:r>
              <w:rPr>
                <w:rFonts w:ascii="Arial" w:cs="Arial" w:eastAsia="Arial" w:hAnsi="Arial"/>
                <w:sz w:val="10"/>
                <w:szCs w:val="10"/>
                <w:b w:val="1"/>
                <w:bCs w:val="1"/>
                <w:color w:val="auto"/>
              </w:rPr>
              <w:t>Fair Value Hierarchy (Losses)/Gains</w:t>
            </w:r>
          </w:p>
        </w:tc>
        <w:tc>
          <w:tcPr>
            <w:tcW w:w="1320" w:type="dxa"/>
            <w:vAlign w:val="bottom"/>
          </w:tcPr>
          <w:p>
            <w:pPr>
              <w:jc w:val="right"/>
              <w:ind w:right="346"/>
              <w:spacing w:after="0" w:line="105" w:lineRule="exact"/>
              <w:rPr>
                <w:sz w:val="20"/>
                <w:szCs w:val="20"/>
                <w:color w:val="auto"/>
              </w:rPr>
            </w:pPr>
            <w:r>
              <w:rPr>
                <w:rFonts w:ascii="Arial" w:cs="Arial" w:eastAsia="Arial" w:hAnsi="Arial"/>
                <w:sz w:val="10"/>
                <w:szCs w:val="10"/>
                <w:b w:val="1"/>
                <w:bCs w:val="1"/>
                <w:color w:val="auto"/>
              </w:rPr>
              <w:t>1 Year or Less</w:t>
            </w:r>
          </w:p>
        </w:tc>
        <w:tc>
          <w:tcPr>
            <w:tcW w:w="126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7"/>
              </w:rPr>
              <w:t>Years</w:t>
            </w:r>
          </w:p>
        </w:tc>
        <w:tc>
          <w:tcPr>
            <w:tcW w:w="1360" w:type="dxa"/>
            <w:vAlign w:val="bottom"/>
          </w:tcPr>
          <w:p>
            <w:pPr>
              <w:jc w:val="center"/>
              <w:ind w:right="9"/>
              <w:spacing w:after="0" w:line="105" w:lineRule="exact"/>
              <w:rPr>
                <w:sz w:val="20"/>
                <w:szCs w:val="20"/>
                <w:color w:val="auto"/>
              </w:rPr>
            </w:pPr>
            <w:r>
              <w:rPr>
                <w:rFonts w:ascii="Arial" w:cs="Arial" w:eastAsia="Arial" w:hAnsi="Arial"/>
                <w:sz w:val="10"/>
                <w:szCs w:val="10"/>
                <w:b w:val="1"/>
                <w:bCs w:val="1"/>
                <w:color w:val="auto"/>
                <w:w w:val="80"/>
              </w:rPr>
              <w:t>Years</w:t>
            </w:r>
          </w:p>
        </w:tc>
        <w:tc>
          <w:tcPr>
            <w:tcW w:w="1340" w:type="dxa"/>
            <w:vAlign w:val="bottom"/>
          </w:tcPr>
          <w:p>
            <w:pPr>
              <w:jc w:val="right"/>
              <w:ind w:right="226"/>
              <w:spacing w:after="0" w:line="105" w:lineRule="exact"/>
              <w:rPr>
                <w:sz w:val="20"/>
                <w:szCs w:val="20"/>
                <w:color w:val="auto"/>
              </w:rPr>
            </w:pPr>
            <w:r>
              <w:rPr>
                <w:rFonts w:ascii="Arial" w:cs="Arial" w:eastAsia="Arial" w:hAnsi="Arial"/>
                <w:sz w:val="10"/>
                <w:szCs w:val="10"/>
                <w:b w:val="1"/>
                <w:bCs w:val="1"/>
                <w:color w:val="auto"/>
              </w:rPr>
              <w:t>Greater Than 5 Years</w:t>
            </w:r>
          </w:p>
        </w:tc>
        <w:tc>
          <w:tcPr>
            <w:tcW w:w="200" w:type="dxa"/>
            <w:vAlign w:val="bottom"/>
          </w:tcPr>
          <w:p>
            <w:pPr>
              <w:spacing w:after="0"/>
              <w:rPr>
                <w:sz w:val="9"/>
                <w:szCs w:val="9"/>
                <w:color w:val="auto"/>
              </w:rPr>
            </w:pPr>
          </w:p>
        </w:tc>
        <w:tc>
          <w:tcPr>
            <w:tcW w:w="940" w:type="dxa"/>
            <w:vAlign w:val="bottom"/>
          </w:tcPr>
          <w:p>
            <w:pPr>
              <w:jc w:val="center"/>
              <w:ind w:right="144"/>
              <w:spacing w:after="0" w:line="105" w:lineRule="exact"/>
              <w:rPr>
                <w:sz w:val="20"/>
                <w:szCs w:val="20"/>
                <w:color w:val="auto"/>
              </w:rPr>
            </w:pPr>
            <w:r>
              <w:rPr>
                <w:rFonts w:ascii="Arial" w:cs="Arial" w:eastAsia="Arial" w:hAnsi="Arial"/>
                <w:sz w:val="10"/>
                <w:szCs w:val="10"/>
                <w:b w:val="1"/>
                <w:bCs w:val="1"/>
                <w:color w:val="auto"/>
                <w:w w:val="82"/>
              </w:rPr>
              <w:t>Value</w:t>
            </w: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jc w:val="center"/>
              <w:ind w:right="49"/>
              <w:spacing w:after="0"/>
              <w:rPr>
                <w:sz w:val="20"/>
                <w:szCs w:val="20"/>
                <w:color w:val="auto"/>
              </w:rPr>
            </w:pPr>
            <w:r>
              <w:rPr>
                <w:rFonts w:ascii="Arial" w:cs="Arial" w:eastAsia="Arial" w:hAnsi="Arial"/>
                <w:sz w:val="10"/>
                <w:szCs w:val="10"/>
                <w:b w:val="1"/>
                <w:bCs w:val="1"/>
                <w:color w:val="auto"/>
                <w:w w:val="89"/>
              </w:rPr>
              <w:t>(In millions)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4"/>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Level 2</w:t>
            </w:r>
          </w:p>
        </w:tc>
        <w:tc>
          <w:tcPr>
            <w:tcW w:w="1320" w:type="dxa"/>
            <w:vAlign w:val="bottom"/>
            <w:shd w:val="clear" w:color="auto" w:fill="CCEEFF"/>
          </w:tcPr>
          <w:p>
            <w:pPr>
              <w:jc w:val="right"/>
              <w:ind w:right="86"/>
              <w:spacing w:after="0"/>
              <w:rPr>
                <w:sz w:val="20"/>
                <w:szCs w:val="20"/>
                <w:color w:val="auto"/>
              </w:rPr>
            </w:pPr>
            <w:r>
              <w:rPr>
                <w:rFonts w:ascii="Arial" w:cs="Arial" w:eastAsia="Arial" w:hAnsi="Arial"/>
                <w:sz w:val="12"/>
                <w:szCs w:val="12"/>
                <w:color w:val="auto"/>
              </w:rPr>
              <w:t>(1)</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2"/>
                <w:szCs w:val="12"/>
                <w:color w:val="auto"/>
              </w:rPr>
              <w:t>(7)</w:t>
            </w:r>
          </w:p>
        </w:tc>
        <w:tc>
          <w:tcPr>
            <w:tcW w:w="1360" w:type="dxa"/>
            <w:vAlign w:val="bottom"/>
            <w:shd w:val="clear" w:color="auto" w:fill="CCEEFF"/>
          </w:tcPr>
          <w:p>
            <w:pPr>
              <w:jc w:val="right"/>
              <w:ind w:right="169"/>
              <w:spacing w:after="0"/>
              <w:rPr>
                <w:sz w:val="20"/>
                <w:szCs w:val="20"/>
                <w:color w:val="auto"/>
              </w:rPr>
            </w:pPr>
            <w:r>
              <w:rPr>
                <w:rFonts w:ascii="Arial" w:cs="Arial" w:eastAsia="Arial" w:hAnsi="Arial"/>
                <w:sz w:val="12"/>
                <w:szCs w:val="12"/>
                <w:color w:val="auto"/>
              </w:rPr>
              <w:t>(4)</w:t>
            </w:r>
          </w:p>
        </w:tc>
        <w:tc>
          <w:tcPr>
            <w:tcW w:w="134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2</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(10)</w:t>
            </w:r>
          </w:p>
        </w:tc>
      </w:tr>
    </w:tbl>
    <w:p>
      <w:pPr>
        <w:spacing w:after="0" w:line="144"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2"/>
          <w:szCs w:val="12"/>
          <w:i w:val="1"/>
          <w:iCs w:val="1"/>
          <w:color w:val="231F20"/>
        </w:rPr>
        <w:t>Quantitative and Qualitative Disclosures</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about Market Risk -Commodity Price Risk, </w:t>
      </w:r>
      <w:r>
        <w:rPr>
          <w:rFonts w:ascii="Arial" w:cs="Arial" w:eastAsia="Arial" w:hAnsi="Arial"/>
          <w:sz w:val="12"/>
          <w:szCs w:val="12"/>
          <w:color w:val="231F20"/>
        </w:rPr>
        <w:t>NRG, on behalf of the</w:t>
      </w:r>
      <w:r>
        <w:rPr>
          <w:rFonts w:ascii="Arial" w:cs="Arial" w:eastAsia="Arial" w:hAnsi="Arial"/>
          <w:sz w:val="12"/>
          <w:szCs w:val="12"/>
          <w:i w:val="1"/>
          <w:iCs w:val="1"/>
          <w:color w:val="231F20"/>
        </w:rPr>
        <w:t xml:space="preserve"> </w:t>
      </w:r>
      <w:r>
        <w:rPr>
          <w:rFonts w:ascii="Arial" w:cs="Arial" w:eastAsia="Arial" w:hAnsi="Arial"/>
          <w:sz w:val="12"/>
          <w:szCs w:val="12"/>
          <w:color w:val="000000"/>
        </w:rPr>
        <w:t>Company, measures the sensitivity of the portfolio to potential changes in market prices using VaR, a statistical model which attempts to predict risk of loss based on</w:t>
      </w:r>
      <w:r>
        <w:rPr>
          <w:rFonts w:ascii="Arial" w:cs="Arial" w:eastAsia="Arial" w:hAnsi="Arial"/>
          <w:sz w:val="12"/>
          <w:szCs w:val="12"/>
          <w:i w:val="1"/>
          <w:iCs w:val="1"/>
          <w:color w:val="231F20"/>
        </w:rPr>
        <w:t xml:space="preserve"> </w:t>
      </w:r>
      <w:r>
        <w:rPr>
          <w:rFonts w:ascii="Arial" w:cs="Arial" w:eastAsia="Arial" w:hAnsi="Arial"/>
          <w:sz w:val="12"/>
          <w:szCs w:val="12"/>
          <w:color w:val="000000"/>
        </w:rPr>
        <w:t>market price and volatility. NRG's risk management policy places a limit on one-day holding period VaR, which limits the net open position.</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18" w:lineRule="exact"/>
        <w:rPr>
          <w:sz w:val="20"/>
          <w:szCs w:val="20"/>
          <w:color w:val="auto"/>
        </w:rPr>
      </w:pPr>
    </w:p>
    <w:p>
      <w:pPr>
        <w:jc w:val="both"/>
        <w:ind w:left="8" w:firstLine="288"/>
        <w:spacing w:after="0" w:line="283" w:lineRule="auto"/>
        <w:rPr>
          <w:sz w:val="20"/>
          <w:szCs w:val="20"/>
          <w:color w:val="auto"/>
        </w:rPr>
      </w:pPr>
      <w:r>
        <w:rPr>
          <w:rFonts w:ascii="Arial" w:cs="Arial" w:eastAsia="Arial" w:hAnsi="Arial"/>
          <w:sz w:val="11"/>
          <w:szCs w:val="11"/>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78" w:lineRule="exact"/>
        <w:rPr>
          <w:sz w:val="20"/>
          <w:szCs w:val="20"/>
          <w:color w:val="auto"/>
        </w:rPr>
      </w:pPr>
    </w:p>
    <w:p>
      <w:pPr>
        <w:jc w:val="both"/>
        <w:ind w:left="8" w:right="20" w:firstLine="288"/>
        <w:spacing w:after="0" w:line="380" w:lineRule="auto"/>
        <w:rPr>
          <w:sz w:val="20"/>
          <w:szCs w:val="20"/>
          <w:color w:val="auto"/>
        </w:rPr>
      </w:pPr>
      <w:r>
        <w:rPr>
          <w:rFonts w:ascii="Arial" w:cs="Arial" w:eastAsia="Arial" w:hAnsi="Arial"/>
          <w:sz w:val="10"/>
          <w:szCs w:val="10"/>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8"/>
          </w:cols>
          <w:pgMar w:left="212" w:top="504" w:right="199" w:bottom="1440" w:gutter="0" w:footer="0" w:header="0"/>
        </w:sectPr>
      </w:pPr>
    </w:p>
    <w:bookmarkStart w:id="65" w:name="page66"/>
    <w:bookmarkEnd w:id="65"/>
    <w:p>
      <w:pPr>
        <w:jc w:val="both"/>
        <w:ind w:firstLine="288"/>
        <w:spacing w:after="0" w:line="298" w:lineRule="auto"/>
        <w:rPr>
          <w:sz w:val="20"/>
          <w:szCs w:val="20"/>
          <w:color w:val="auto"/>
        </w:rPr>
      </w:pPr>
      <w:r>
        <w:rPr>
          <w:rFonts w:ascii="Arial" w:cs="Arial" w:eastAsia="Arial" w:hAnsi="Arial"/>
          <w:sz w:val="11"/>
          <w:szCs w:val="11"/>
          <w:color w:val="auto"/>
        </w:rPr>
        <w:t xml:space="preserve">The Company's significant accounting policies are summarized in Item 15 —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060" w:type="dxa"/>
            <w:vAlign w:val="bottom"/>
            <w:gridSpan w:val="2"/>
          </w:tcPr>
          <w:p>
            <w:pPr>
              <w:spacing w:after="0"/>
              <w:rPr>
                <w:sz w:val="20"/>
                <w:szCs w:val="20"/>
                <w:color w:val="auto"/>
              </w:rPr>
            </w:pPr>
            <w:r>
              <w:rPr>
                <w:rFonts w:ascii="Arial" w:cs="Arial" w:eastAsia="Arial" w:hAnsi="Arial"/>
                <w:sz w:val="10"/>
                <w:szCs w:val="10"/>
                <w:b w:val="1"/>
                <w:bCs w:val="1"/>
                <w:color w:val="auto"/>
              </w:rPr>
              <w:t>Accounting Policy</w:t>
            </w:r>
          </w:p>
        </w:tc>
        <w:tc>
          <w:tcPr>
            <w:tcW w:w="5400" w:type="dxa"/>
            <w:vAlign w:val="bottom"/>
          </w:tcPr>
          <w:p>
            <w:pPr>
              <w:ind w:left="20"/>
              <w:spacing w:after="0"/>
              <w:rPr>
                <w:sz w:val="20"/>
                <w:szCs w:val="20"/>
                <w:color w:val="auto"/>
              </w:rPr>
            </w:pPr>
            <w:r>
              <w:rPr>
                <w:rFonts w:ascii="Arial" w:cs="Arial" w:eastAsia="Arial" w:hAnsi="Arial"/>
                <w:sz w:val="10"/>
                <w:szCs w:val="10"/>
                <w:b w:val="1"/>
                <w:bCs w:val="1"/>
                <w:color w:val="auto"/>
              </w:rPr>
              <w:t>Judgments/Uncertainties Affecting Application</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246"/>
        </w:trPr>
        <w:tc>
          <w:tcPr>
            <w:tcW w:w="6060" w:type="dxa"/>
            <w:vAlign w:val="bottom"/>
            <w:gridSpan w:val="2"/>
          </w:tcPr>
          <w:p>
            <w:pPr>
              <w:spacing w:after="0"/>
              <w:rPr>
                <w:sz w:val="20"/>
                <w:szCs w:val="20"/>
                <w:color w:val="auto"/>
              </w:rPr>
            </w:pPr>
            <w:r>
              <w:rPr>
                <w:rFonts w:ascii="Arial" w:cs="Arial" w:eastAsia="Arial" w:hAnsi="Arial"/>
                <w:sz w:val="12"/>
                <w:szCs w:val="12"/>
                <w:color w:val="auto"/>
              </w:rPr>
              <w:t>Income Taxes and Valuation Allowance for Deferred Tax Assets</w:t>
            </w:r>
          </w:p>
        </w:tc>
        <w:tc>
          <w:tcPr>
            <w:tcW w:w="5400" w:type="dxa"/>
            <w:vAlign w:val="bottom"/>
          </w:tcPr>
          <w:p>
            <w:pPr>
              <w:ind w:left="20"/>
              <w:spacing w:after="0"/>
              <w:rPr>
                <w:sz w:val="20"/>
                <w:szCs w:val="20"/>
                <w:color w:val="auto"/>
              </w:rPr>
            </w:pPr>
            <w:r>
              <w:rPr>
                <w:rFonts w:ascii="Arial" w:cs="Arial" w:eastAsia="Arial" w:hAnsi="Arial"/>
                <w:sz w:val="12"/>
                <w:szCs w:val="12"/>
                <w:color w:val="auto"/>
              </w:rPr>
              <w:t>Ability to withstand legal challenges of tax authority decisions or appeals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Anticipated future decisions of tax authorities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Application of tax statutes and regulations to transactions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Ability to utilize tax benefits through carry backs to prior periods and carry forwards to future periods</w:t>
            </w:r>
          </w:p>
        </w:tc>
      </w:tr>
      <w:tr>
        <w:trPr>
          <w:trHeight w:val="180"/>
        </w:trPr>
        <w:tc>
          <w:tcPr>
            <w:tcW w:w="6060" w:type="dxa"/>
            <w:vAlign w:val="bottom"/>
            <w:gridSpan w:val="2"/>
          </w:tcPr>
          <w:p>
            <w:pPr>
              <w:spacing w:after="0"/>
              <w:rPr>
                <w:sz w:val="20"/>
                <w:szCs w:val="20"/>
                <w:color w:val="auto"/>
              </w:rPr>
            </w:pPr>
            <w:r>
              <w:rPr>
                <w:rFonts w:ascii="Arial" w:cs="Arial" w:eastAsia="Arial" w:hAnsi="Arial"/>
                <w:sz w:val="12"/>
                <w:szCs w:val="12"/>
                <w:color w:val="auto"/>
              </w:rPr>
              <w:t>Impairment of Long Lived Assets</w:t>
            </w:r>
          </w:p>
        </w:tc>
        <w:tc>
          <w:tcPr>
            <w:tcW w:w="5400" w:type="dxa"/>
            <w:vAlign w:val="bottom"/>
          </w:tcPr>
          <w:p>
            <w:pPr>
              <w:ind w:left="20"/>
              <w:spacing w:after="0"/>
              <w:rPr>
                <w:sz w:val="20"/>
                <w:szCs w:val="20"/>
                <w:color w:val="auto"/>
              </w:rPr>
            </w:pPr>
            <w:r>
              <w:rPr>
                <w:rFonts w:ascii="Arial" w:cs="Arial" w:eastAsia="Arial" w:hAnsi="Arial"/>
                <w:sz w:val="12"/>
                <w:szCs w:val="12"/>
                <w:color w:val="auto"/>
              </w:rPr>
              <w:t>Recoverability of investments through future operations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Regulatory and political environments and requirements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Estimated useful lives of assets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Operational limitations and environmental obligations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Estimates of future cash flows</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Estimates of fair value</w:t>
            </w:r>
          </w:p>
        </w:tc>
      </w:tr>
      <w:tr>
        <w:trPr>
          <w:trHeight w:val="180"/>
        </w:trPr>
        <w:tc>
          <w:tcPr>
            <w:tcW w:w="7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Judgment about triggering events</w:t>
            </w:r>
          </w:p>
        </w:tc>
      </w:tr>
    </w:tbl>
    <w:p>
      <w:pPr>
        <w:spacing w:after="0" w:line="117"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Income Taxes and Valuation Allowance for Deferred Tax Assets</w:t>
      </w:r>
    </w:p>
    <w:p>
      <w:pPr>
        <w:spacing w:after="0" w:line="114" w:lineRule="exact"/>
        <w:rPr>
          <w:sz w:val="20"/>
          <w:szCs w:val="20"/>
          <w:color w:val="auto"/>
        </w:rPr>
      </w:pPr>
    </w:p>
    <w:p>
      <w:pPr>
        <w:jc w:val="both"/>
        <w:ind w:firstLine="261"/>
        <w:spacing w:after="0" w:line="279" w:lineRule="auto"/>
        <w:rPr>
          <w:sz w:val="20"/>
          <w:szCs w:val="20"/>
          <w:color w:val="auto"/>
        </w:rPr>
      </w:pPr>
      <w:r>
        <w:rPr>
          <w:rFonts w:ascii="Arial" w:cs="Arial" w:eastAsia="Arial" w:hAnsi="Arial"/>
          <w:sz w:val="11"/>
          <w:szCs w:val="11"/>
          <w:color w:val="auto"/>
        </w:rPr>
        <w:t>As of December 31, 2018, the Company had a valuation allowance of $15 million, increased from $10 million at December 31, 2017, due to the higher state income tax rates following the separation from NRG Energy , as well as a deferred tax asset related to transaction costs which the Company will not be able to utilize. The valuation allowance is related to a deferred tax asset expected to result in a capital loss for which no existing capital gains or tax planning strategies to utilize the asset in the future are available. Other than for this expected capital loss and transaction costs mentioned above, the Company believes it is more likely than not that the results of future operations will generate sufficient taxable income which includes the future reversal of existing taxable temporary differences to realize deferred tax assets. The Company considered the impact of the Tax Cuts and Jobs Act upon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In December 2017, the SEC staff issued Staff Accounting Bulletin No. 118, which addresses how a company may recognize provisional amounts for the effect of the changes related to the Tax Act. Consistent with that guidance, the Company recognized amounts based upon our interpretation of the tax laws and estimates which require significant judgments. At December 31, 2018, the Company has completed the accounting for all of the income tax effects related to the Tax Cuts and Jobs Act resulting in no material adjustments in 2018 to the provisional amounts recorded. The U.S. Department of Treasury also released proposed regulations related to the business interest expense limitations. These proposed regulations are not final and are subject to change in the regulatory review process.</w:t>
      </w:r>
    </w:p>
    <w:p>
      <w:pPr>
        <w:spacing w:after="0" w:line="82" w:lineRule="exact"/>
        <w:rPr>
          <w:sz w:val="20"/>
          <w:szCs w:val="20"/>
          <w:color w:val="auto"/>
        </w:rPr>
      </w:pPr>
    </w:p>
    <w:p>
      <w:pPr>
        <w:jc w:val="both"/>
        <w:ind w:firstLine="261"/>
        <w:spacing w:after="0" w:line="323" w:lineRule="auto"/>
        <w:rPr>
          <w:sz w:val="20"/>
          <w:szCs w:val="20"/>
          <w:color w:val="auto"/>
        </w:rPr>
      </w:pPr>
      <w:r>
        <w:rPr>
          <w:rFonts w:ascii="Arial" w:cs="Arial" w:eastAsia="Arial" w:hAnsi="Arial"/>
          <w:sz w:val="11"/>
          <w:szCs w:val="11"/>
          <w:color w:val="auto"/>
        </w:rPr>
        <w:t>Considerable judgment is required to determine the tax treatment of a particular item that involves interpretations of complex tax laws. The project-level entities, as former subsidiaries of NRG, are no longer subject to federal audit examination for years prior to 2015, but are subject to state and local audit for multiple years in various jurisdictions. The Company is subject to U.S. federal, state and local income tax examinations for all years beginning in 2013.</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Evaluation of Assets for Impairment and Other-Than-Temporary Decline in Value</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In accordance with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or ASC 360, property, plant and equipment and certain intangible assets are evaluated for impairment whenever indicators of impairment exist. Examples of such indicators or events are:</w:t>
      </w:r>
    </w:p>
    <w:p>
      <w:pPr>
        <w:spacing w:after="0" w:line="7"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Significant decrease in the market price of a long-lived asset;</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Significant adverse change in the manner an asset is being used or its physical condition;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Adverse business climate;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Accumulation of costs significantly in excess of the amount originally expected for the construction or acquisition of an asset;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518" w:right="199" w:bottom="1440" w:gutter="0" w:footer="0" w:header="0"/>
        </w:sectPr>
      </w:pPr>
    </w:p>
    <w:bookmarkStart w:id="66" w:name="page67"/>
    <w:bookmarkEnd w:id="66"/>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Current-period loss combined with a history of losses or the projection of future losses;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 in the Company's intent about an asset from an intent to hold to a greater than 50% likelihood that an asset will be sold or disposed of before the end of its previously estimated useful life.</w:t>
      </w:r>
    </w:p>
    <w:p>
      <w:pPr>
        <w:spacing w:after="0" w:line="114"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93"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 xml:space="preserve">The Company recorded certain long-lived asset impairments in 2017 and 2016, as described in Item 15 —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to the Consolidated Financial Statements, with respect to several wind projects.</w:t>
      </w:r>
    </w:p>
    <w:p>
      <w:pPr>
        <w:spacing w:after="0" w:line="12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During the fourth quarter of 2017, as the Company updated its estimated cash flows in connection with the preparation and review of the Company's annual budget, the Company determined that the cash flows for the Elbow Creek and Forward facilities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26"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 xml:space="preserve">The Company is also required to evaluate its equity method investments to determine whether or not they are impaired. ASC 323, </w:t>
      </w:r>
      <w:r>
        <w:rPr>
          <w:rFonts w:ascii="Arial" w:cs="Arial" w:eastAsia="Arial" w:hAnsi="Arial"/>
          <w:sz w:val="11"/>
          <w:szCs w:val="11"/>
          <w:i w:val="1"/>
          <w:iCs w:val="1"/>
          <w:color w:val="auto"/>
        </w:rPr>
        <w:t>Investments - Equity Method and Joint Ventures</w:t>
      </w:r>
      <w:r>
        <w:rPr>
          <w:rFonts w:ascii="Arial" w:cs="Arial" w:eastAsia="Arial" w:hAnsi="Arial"/>
          <w:sz w:val="11"/>
          <w:szCs w:val="11"/>
          <w:color w:val="auto"/>
        </w:rPr>
        <w:t>, or ASC 323, provides the accounting requirements for these investments. The standard for determining whether an 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75"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has determined that it has no impairment of the long-lived assets or equity method investments associated with these subsidiaries. Assumptions utilized to test these assets for impairment may change based on future events related to the PG&amp;E bankruptcy, which could result in an impairment loss if the PPAs are rejected or amended, or if the Company is not able to collect its revenues from PG&amp;E in a timely manner.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Recent Accounting Developments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See Item 15 —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the Consolidated Financial Statements for a discussion of recent accounting developments.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518" w:right="19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color w:val="auto"/>
        </w:rPr>
        <w:t>Item 7A — Quantitative and Qualitative Disclosures About Market Risk</w:t>
      </w:r>
    </w:p>
    <w:p>
      <w:pPr>
        <w:spacing w:after="0" w:line="118"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Commodity Price Risk</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2"/>
          <w:szCs w:val="12"/>
          <w:color w:val="000000"/>
        </w:rPr>
        <w:t>Note 7</w:t>
      </w:r>
      <w:r>
        <w:rPr>
          <w:rFonts w:ascii="Arial" w:cs="Arial" w:eastAsia="Arial" w:hAnsi="Arial"/>
          <w:sz w:val="12"/>
          <w:szCs w:val="12"/>
          <w:color w:val="231F20"/>
        </w:rPr>
        <w:t xml:space="preserve">, </w:t>
      </w:r>
      <w:r>
        <w:rPr>
          <w:rFonts w:ascii="Arial" w:cs="Arial" w:eastAsia="Arial" w:hAnsi="Arial"/>
          <w:sz w:val="12"/>
          <w:szCs w:val="12"/>
          <w:i w:val="1"/>
          <w:iCs w:val="1"/>
          <w:color w:val="000000"/>
        </w:rPr>
        <w:t>Accounting for Derivative Instruments and Hedging Activities</w:t>
      </w:r>
      <w:r>
        <w:rPr>
          <w:rFonts w:ascii="Arial" w:cs="Arial" w:eastAsia="Arial" w:hAnsi="Arial"/>
          <w:sz w:val="12"/>
          <w:szCs w:val="12"/>
          <w:color w:val="231F20"/>
        </w:rPr>
        <w:t>, to the Consolidated Financial Statements for more information.</w:t>
      </w:r>
    </w:p>
    <w:p>
      <w:pPr>
        <w:spacing w:after="0" w:line="8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Based on a sensitivity analysis using simplified assumptions, the impact of a $0.50 per MMBtu increase or decrease in natural gas prices across the term of the derivative contracts would cause a change of approximately $1 million in the net value of derivatives as of </w:t>
      </w:r>
      <w:r>
        <w:rPr>
          <w:rFonts w:ascii="Arial" w:cs="Arial" w:eastAsia="Arial" w:hAnsi="Arial"/>
          <w:sz w:val="12"/>
          <w:szCs w:val="12"/>
          <w:color w:val="000000"/>
        </w:rPr>
        <w:t>December 31, 2018</w:t>
      </w:r>
      <w:r>
        <w:rPr>
          <w:rFonts w:ascii="Arial" w:cs="Arial" w:eastAsia="Arial" w:hAnsi="Arial"/>
          <w:sz w:val="12"/>
          <w:szCs w:val="12"/>
          <w:color w:val="231F20"/>
        </w:rPr>
        <w: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Interest Rate Risk</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2"/>
          <w:szCs w:val="12"/>
          <w:color w:val="000000"/>
        </w:rPr>
        <w:t>Note 7</w:t>
      </w:r>
      <w:r>
        <w:rPr>
          <w:rFonts w:ascii="Arial" w:cs="Arial" w:eastAsia="Arial" w:hAnsi="Arial"/>
          <w:sz w:val="12"/>
          <w:szCs w:val="12"/>
          <w:color w:val="231F20"/>
        </w:rPr>
        <w:t xml:space="preserve">, </w:t>
      </w:r>
      <w:r>
        <w:rPr>
          <w:rFonts w:ascii="Arial" w:cs="Arial" w:eastAsia="Arial" w:hAnsi="Arial"/>
          <w:sz w:val="12"/>
          <w:szCs w:val="12"/>
          <w:i w:val="1"/>
          <w:iCs w:val="1"/>
          <w:color w:val="000000"/>
        </w:rPr>
        <w:t>Accounting for Derivative Instruments and Hedging Activities</w:t>
      </w:r>
      <w:r>
        <w:rPr>
          <w:rFonts w:ascii="Arial" w:cs="Arial" w:eastAsia="Arial" w:hAnsi="Arial"/>
          <w:sz w:val="12"/>
          <w:szCs w:val="12"/>
          <w:color w:val="231F20"/>
        </w:rPr>
        <w:t>, to the Consolidated Financial Statements for more information.</w:t>
      </w:r>
    </w:p>
    <w:p>
      <w:pPr>
        <w:spacing w:after="0" w:line="87"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2"/>
          <w:szCs w:val="12"/>
          <w:color w:val="000000"/>
        </w:rPr>
        <w:t>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to the Consolidated Financial Statements for more information about interest rate swaps of the Company's project subsidiaries.</w:t>
      </w:r>
    </w:p>
    <w:p>
      <w:pPr>
        <w:spacing w:after="0" w:line="79"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231F20"/>
        </w:rPr>
        <w:t xml:space="preserve">If all of the above swaps had been discontinued on </w:t>
      </w:r>
      <w:r>
        <w:rPr>
          <w:rFonts w:ascii="Arial" w:cs="Arial" w:eastAsia="Arial" w:hAnsi="Arial"/>
          <w:sz w:val="12"/>
          <w:szCs w:val="12"/>
          <w:color w:val="000000"/>
        </w:rPr>
        <w:t>December 31, 2018</w:t>
      </w:r>
      <w:r>
        <w:rPr>
          <w:rFonts w:ascii="Arial" w:cs="Arial" w:eastAsia="Arial" w:hAnsi="Arial"/>
          <w:sz w:val="12"/>
          <w:szCs w:val="12"/>
          <w:color w:val="231F20"/>
        </w:rPr>
        <w:t>, the Company would have owed the counterparties $4 million. Based on the credit ratings of the counterparties, the Company believes its exposure to credit risk due to nonperformance by counterparties to its hedge contracts to be insignificant.</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The Company has long-term debt instruments that subject it to the risk of loss associated with movements in market interest rates. As of </w:t>
      </w:r>
      <w:r>
        <w:rPr>
          <w:rFonts w:ascii="Arial" w:cs="Arial" w:eastAsia="Arial" w:hAnsi="Arial"/>
          <w:sz w:val="12"/>
          <w:szCs w:val="12"/>
          <w:color w:val="000000"/>
        </w:rPr>
        <w:t>December 31, 2018</w:t>
      </w:r>
      <w:r>
        <w:rPr>
          <w:rFonts w:ascii="Arial" w:cs="Arial" w:eastAsia="Arial" w:hAnsi="Arial"/>
          <w:sz w:val="12"/>
          <w:szCs w:val="12"/>
          <w:color w:val="231F20"/>
        </w:rPr>
        <w:t>, a 1% change in interest rates would result in an approximately $3 million change in market interest expense on a rolling twelve-month basis.</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December 31, 2018</w:t>
      </w:r>
      <w:r>
        <w:rPr>
          <w:rFonts w:ascii="Arial" w:cs="Arial" w:eastAsia="Arial" w:hAnsi="Arial"/>
          <w:sz w:val="12"/>
          <w:szCs w:val="12"/>
          <w:color w:val="231F20"/>
        </w:rPr>
        <w:t>, the fair value of the Company's debt was $5,943 million and the carrying value was $6,044 million. The Company estimates that a 1% decrease in market interest rates would have increased the fair value of its long-term debt by $304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Liquidity Risk</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231F20"/>
        </w:rPr>
        <w:t>Liquidity risk arises from the general funding needs of the Company's activities and in the management of the Company's assets and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Counterparty Credit Risk</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2"/>
          <w:szCs w:val="12"/>
          <w:color w:val="000000"/>
        </w:rPr>
        <w:t>Note 1</w:t>
      </w:r>
      <w:r>
        <w:rPr>
          <w:rFonts w:ascii="Arial" w:cs="Arial" w:eastAsia="Arial" w:hAnsi="Arial"/>
          <w:sz w:val="12"/>
          <w:szCs w:val="12"/>
          <w:color w:val="231F20"/>
        </w:rPr>
        <w:t xml:space="preserve">, </w:t>
      </w:r>
      <w:r>
        <w:rPr>
          <w:rFonts w:ascii="Arial" w:cs="Arial" w:eastAsia="Arial" w:hAnsi="Arial"/>
          <w:sz w:val="12"/>
          <w:szCs w:val="12"/>
          <w:i w:val="1"/>
          <w:iCs w:val="1"/>
          <w:color w:val="000000"/>
        </w:rPr>
        <w:t>Nature of Business</w:t>
      </w:r>
      <w:r>
        <w:rPr>
          <w:rFonts w:ascii="Arial" w:cs="Arial" w:eastAsia="Arial" w:hAnsi="Arial"/>
          <w:sz w:val="12"/>
          <w:szCs w:val="12"/>
          <w:color w:val="231F20"/>
        </w:rPr>
        <w:t xml:space="preserve">, and </w:t>
      </w:r>
      <w:r>
        <w:rPr>
          <w:rFonts w:ascii="Arial" w:cs="Arial" w:eastAsia="Arial" w:hAnsi="Arial"/>
          <w:sz w:val="12"/>
          <w:szCs w:val="12"/>
          <w:color w:val="000000"/>
        </w:rPr>
        <w:t>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 to the Consolidated Financial Statements for more information about concentration of credit risk.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514" w:right="199" w:bottom="1440" w:gutter="0" w:footer="0" w:header="0"/>
        </w:sectPr>
      </w:pPr>
    </w:p>
    <w:bookmarkStart w:id="68" w:name="page69"/>
    <w:bookmarkEnd w:id="68"/>
    <w:p>
      <w:pPr>
        <w:jc w:val="both"/>
        <w:ind w:firstLine="261"/>
        <w:spacing w:after="0" w:line="298" w:lineRule="auto"/>
        <w:rPr>
          <w:sz w:val="20"/>
          <w:szCs w:val="20"/>
          <w:color w:val="auto"/>
        </w:rPr>
      </w:pPr>
      <w:r>
        <w:rPr>
          <w:rFonts w:ascii="Arial" w:cs="Arial" w:eastAsia="Arial" w:hAnsi="Arial"/>
          <w:sz w:val="11"/>
          <w:szCs w:val="11"/>
          <w:color w:val="231F20"/>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capacity of 720 MW. The Company consolidates three of the solar facilities and Marsh Landing and records its interest in the other solar facilities as equity method investments. The Company had $17 million in accounts receivable for its consolidated projects as of December 31, 2018. All of these amounts were collected in January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518" w:right="19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Item 8 — Financial Statements and Supplementary Data</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financial statements and schedules are listed in Part IV, Item 15 of this Form 10-K.</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 Changes in and Disagreements with Accountants on Accounting and Financial Disclosure</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Conclusion Regarding the Effectiveness of Disclosure Controls and Procedures and Internal Control Over Financial Reporting</w:t>
      </w:r>
    </w:p>
    <w:p>
      <w:pPr>
        <w:spacing w:after="0" w:line="11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8" w:lineRule="exact"/>
        <w:rPr>
          <w:sz w:val="20"/>
          <w:szCs w:val="20"/>
          <w:color w:val="auto"/>
        </w:rPr>
      </w:pPr>
    </w:p>
    <w:p>
      <w:pPr>
        <w:jc w:val="both"/>
        <w:ind w:firstLine="270"/>
        <w:spacing w:after="0" w:line="340" w:lineRule="auto"/>
        <w:rPr>
          <w:sz w:val="20"/>
          <w:szCs w:val="20"/>
          <w:color w:val="auto"/>
        </w:rPr>
      </w:pPr>
      <w:r>
        <w:rPr>
          <w:rFonts w:ascii="Arial" w:cs="Arial" w:eastAsia="Arial" w:hAnsi="Arial"/>
          <w:sz w:val="10"/>
          <w:szCs w:val="10"/>
          <w:color w:val="auto"/>
        </w:rPr>
        <w:t>In connection with the GIP Transaction, the Company entered into a TSA pursuant to which NRG Energy, Inc. provided information technology, systems, applications, and business processes to the Company. Under the TSA with NRG Energy, Inc., the Company continued to review, document and evaluate the internal controls over financial reporting through year-end 2018. There were no other changes in the Company’s internal control over financial reporting (as such term is defined in Rule 13a-15(f) under the Exchange Act) during the quarter ended December 31, 2018, that materially affected, or are reasonably likely to materially affect, the Company’s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over Internal Controls</w:t>
      </w:r>
    </w:p>
    <w:p>
      <w:pPr>
        <w:spacing w:after="0" w:line="118"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79" w:lineRule="exact"/>
        <w:rPr>
          <w:sz w:val="20"/>
          <w:szCs w:val="20"/>
          <w:color w:val="auto"/>
        </w:rPr>
      </w:pPr>
    </w:p>
    <w:p>
      <w:pPr>
        <w:ind w:left="380" w:hanging="118"/>
        <w:spacing w:after="0"/>
        <w:tabs>
          <w:tab w:leader="none" w:pos="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Company's assets;</w:t>
      </w:r>
    </w:p>
    <w:p>
      <w:pPr>
        <w:spacing w:after="0" w:line="114" w:lineRule="exact"/>
        <w:rPr>
          <w:rFonts w:ascii="Arial" w:cs="Arial" w:eastAsia="Arial" w:hAnsi="Arial"/>
          <w:sz w:val="12"/>
          <w:szCs w:val="12"/>
          <w:color w:val="auto"/>
        </w:rPr>
      </w:pPr>
    </w:p>
    <w:p>
      <w:pPr>
        <w:ind w:firstLine="262"/>
        <w:spacing w:after="0" w:line="276" w:lineRule="auto"/>
        <w:tabs>
          <w:tab w:leader="none" w:pos="393"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78" w:lineRule="exact"/>
        <w:rPr>
          <w:rFonts w:ascii="Arial" w:cs="Arial" w:eastAsia="Arial" w:hAnsi="Arial"/>
          <w:sz w:val="12"/>
          <w:szCs w:val="12"/>
          <w:color w:val="auto"/>
        </w:rPr>
      </w:pPr>
    </w:p>
    <w:p>
      <w:pPr>
        <w:ind w:left="380" w:hanging="118"/>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Provide reasonable assurance regarding prevention or timely detection of unauthorized acquisition, use or disposition of the Company's assets that could have a material effect on the consolidated financial statements.</w:t>
      </w:r>
    </w:p>
    <w:p>
      <w:pPr>
        <w:spacing w:after="0" w:line="12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1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Based on the Company's evaluation under the framework in </w:t>
      </w:r>
      <w:r>
        <w:rPr>
          <w:rFonts w:ascii="Arial" w:cs="Arial" w:eastAsia="Arial" w:hAnsi="Arial"/>
          <w:sz w:val="11"/>
          <w:szCs w:val="11"/>
          <w:i w:val="1"/>
          <w:iCs w:val="1"/>
          <w:color w:val="auto"/>
        </w:rPr>
        <w:t>Internal</w:t>
      </w:r>
      <w:r>
        <w:rPr>
          <w:rFonts w:ascii="Arial" w:cs="Arial" w:eastAsia="Arial" w:hAnsi="Arial"/>
          <w:sz w:val="11"/>
          <w:szCs w:val="11"/>
          <w:color w:val="auto"/>
        </w:rPr>
        <w:t xml:space="preserve"> </w:t>
      </w:r>
      <w:r>
        <w:rPr>
          <w:rFonts w:ascii="Arial" w:cs="Arial" w:eastAsia="Arial" w:hAnsi="Arial"/>
          <w:sz w:val="11"/>
          <w:szCs w:val="11"/>
          <w:i w:val="1"/>
          <w:iCs w:val="1"/>
          <w:color w:val="auto"/>
        </w:rPr>
        <w:t>Control — Integrated Framework (2013)</w:t>
      </w:r>
      <w:r>
        <w:rPr>
          <w:rFonts w:ascii="Arial" w:cs="Arial" w:eastAsia="Arial" w:hAnsi="Arial"/>
          <w:sz w:val="11"/>
          <w:szCs w:val="11"/>
          <w:color w:val="auto"/>
        </w:rPr>
        <w:t>, the Company's management concluded that its internal control over financial reporting was effective as of December 31, 2018.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514" w:right="199" w:bottom="1440" w:gutter="0" w:footer="0" w:header="0"/>
        </w:sectPr>
      </w:pPr>
    </w:p>
    <w:bookmarkStart w:id="70" w:name="page71"/>
    <w:bookmarkEnd w:id="70"/>
    <w:p>
      <w:pPr>
        <w:ind w:firstLine="270"/>
        <w:spacing w:after="0" w:line="276" w:lineRule="auto"/>
        <w:rPr>
          <w:sz w:val="20"/>
          <w:szCs w:val="20"/>
          <w:color w:val="auto"/>
        </w:rPr>
      </w:pPr>
      <w:r>
        <w:rPr>
          <w:rFonts w:ascii="Arial" w:cs="Arial" w:eastAsia="Arial" w:hAnsi="Arial"/>
          <w:sz w:val="12"/>
          <w:szCs w:val="12"/>
          <w:color w:val="auto"/>
        </w:rPr>
        <w:t>The effectiveness of the Company's internal control over financial reporting as of December 31, 2018, has been audited by KPMG LLP, the Company's independent registered public accounting firm, as stated in its report which is included in this Form 10-K.</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518" w:right="19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Inc.:</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Internal Control Over Financial Reporting</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Clearway Energy, Inc. and subsidiaries' (the Company) internal control over financial reporting as of December 31,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income/(loss), stockholders’ equity, and cash flows for each of the years in the three-year period ended December 31, 2018, and the related notes and financial statement schedules “Schedule I - Condensed Financial Information of Registrant” and “Schedule II - Valuation and Qualifying Accounts” (collectively, the consolidated financial statements), and our report dated February 28, 2019 expressed an unqualified opinion on those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6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8"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(signed) KPMG LLP</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514" w:right="19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color w:val="auto"/>
        </w:rPr>
        <w:t>Item 9B — Other Information</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76"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239"/>
          </w:cols>
          <w:pgMar w:left="220" w:top="514"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2"/>
          <w:szCs w:val="12"/>
          <w:b w:val="1"/>
          <w:bCs w:val="1"/>
          <w:color w:val="auto"/>
        </w:rPr>
        <w:t>PART III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 Directors, Executive Officers and Corporate Governance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 xml:space="preserve">Nathaniel Anschuetz </w:t>
      </w:r>
      <w:r>
        <w:rPr>
          <w:rFonts w:ascii="Arial" w:cs="Arial" w:eastAsia="Arial" w:hAnsi="Arial"/>
          <w:sz w:val="12"/>
          <w:szCs w:val="12"/>
          <w:color w:val="auto"/>
        </w:rPr>
        <w:t>has served as a director since August 2018. Mr. Anschuetz is a Vice President at GIP. Prior to joining GIP in 2012, Mr. Anschuetz was an Analyst in the Power &amp; Utilities Coverage Group at Citigroup from</w:t>
      </w:r>
      <w:r>
        <w:rPr>
          <w:rFonts w:ascii="Arial" w:cs="Arial" w:eastAsia="Arial" w:hAnsi="Arial"/>
          <w:sz w:val="12"/>
          <w:szCs w:val="12"/>
          <w:i w:val="1"/>
          <w:iCs w:val="1"/>
          <w:color w:val="auto"/>
        </w:rPr>
        <w:t xml:space="preserve"> </w:t>
      </w:r>
      <w:r>
        <w:rPr>
          <w:rFonts w:ascii="Arial" w:cs="Arial" w:eastAsia="Arial" w:hAnsi="Arial"/>
          <w:sz w:val="12"/>
          <w:szCs w:val="12"/>
          <w:color w:val="auto"/>
        </w:rPr>
        <w:t>June 2010 through June 2012. Mr. Anschuetz is also a member of the Board of Directors of Clearway Energy Group LLC.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8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i w:val="1"/>
          <w:iCs w:val="1"/>
          <w:color w:val="auto"/>
        </w:rPr>
        <w:t xml:space="preserve">Jonathan Bram </w:t>
      </w:r>
      <w:r>
        <w:rPr>
          <w:rFonts w:ascii="Arial" w:cs="Arial" w:eastAsia="Arial" w:hAnsi="Arial"/>
          <w:sz w:val="12"/>
          <w:szCs w:val="12"/>
          <w:color w:val="auto"/>
        </w:rPr>
        <w:t>has served as Chairman of the board of directors of the Company since August 2018. Mr. Bram is a Founding Partner of GIP and serves on its Investment and Operating Committees. He leads GIP’s Power industry</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Guacolda Energia, S.A. and previously served on the board of Terra-Gen Power as well as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9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i w:val="1"/>
          <w:iCs w:val="1"/>
          <w:color w:val="auto"/>
        </w:rPr>
        <w:t xml:space="preserve">Brian R. Ford </w:t>
      </w:r>
      <w:r>
        <w:rPr>
          <w:rFonts w:ascii="Arial" w:cs="Arial" w:eastAsia="Arial" w:hAnsi="Arial"/>
          <w:sz w:val="11"/>
          <w:szCs w:val="11"/>
          <w:color w:val="auto"/>
        </w:rPr>
        <w:t>has served as a director since July 2013 and Lead Independent Director since January 2019. Mr. Ford was the Chief Executive Officer of Washington Philadelphia Partners, LP, a real estate investment company, from</w:t>
      </w:r>
      <w:r>
        <w:rPr>
          <w:rFonts w:ascii="Arial" w:cs="Arial" w:eastAsia="Arial" w:hAnsi="Arial"/>
          <w:sz w:val="11"/>
          <w:szCs w:val="11"/>
          <w:i w:val="1"/>
          <w:iCs w:val="1"/>
          <w:color w:val="auto"/>
        </w:rPr>
        <w:t xml:space="preserve"> </w:t>
      </w:r>
      <w:r>
        <w:rPr>
          <w:rFonts w:ascii="Arial" w:cs="Arial" w:eastAsia="Arial" w:hAnsi="Arial"/>
          <w:sz w:val="11"/>
          <w:szCs w:val="11"/>
          <w:color w:val="auto"/>
        </w:rPr>
        <w:t>2008 through 2010. He retired as a partner from Ernst &amp; Young LLP in June 2008 where he had been employed since 1971. Mr. Ford currently serves on the board of various public companies, including AmeriGas Propane, Inc., a propane company, since 2013, where he also serves as a member of its audit committee and corporate governance committee; FS Investment Corporation portfolios,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the Company's board of directors.</w:t>
      </w:r>
    </w:p>
    <w:p>
      <w:pPr>
        <w:spacing w:after="0" w:line="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i w:val="1"/>
          <w:iCs w:val="1"/>
          <w:color w:val="auto"/>
        </w:rPr>
        <w:t xml:space="preserve">Bruce MacLennan </w:t>
      </w:r>
      <w:r>
        <w:rPr>
          <w:rFonts w:ascii="Arial" w:cs="Arial" w:eastAsia="Arial" w:hAnsi="Arial"/>
          <w:sz w:val="11"/>
          <w:szCs w:val="11"/>
          <w:color w:val="auto"/>
        </w:rPr>
        <w:t>has served as a director since August 2018. Mr. MacLennan is a Partner of GIP and serves on its Investment and Operating Committees. He focuses on the energy and electricity and renewables sectors and led</w:t>
      </w:r>
      <w:r>
        <w:rPr>
          <w:rFonts w:ascii="Arial" w:cs="Arial" w:eastAsia="Arial" w:hAnsi="Arial"/>
          <w:sz w:val="11"/>
          <w:szCs w:val="11"/>
          <w:i w:val="1"/>
          <w:iCs w:val="1"/>
          <w:color w:val="auto"/>
        </w:rPr>
        <w:t xml:space="preserve"> </w:t>
      </w:r>
      <w:r>
        <w:rPr>
          <w:rFonts w:ascii="Arial" w:cs="Arial" w:eastAsia="Arial" w:hAnsi="Arial"/>
          <w:sz w:val="11"/>
          <w:szCs w:val="11"/>
          <w:color w:val="auto"/>
        </w:rPr>
        <w:t>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Competitive Power Ventures. Mr. MacLennan’s significant experience in investment banking for, and investments in, energy and power companies, as well as his leadership role at GIP, provide strong financial and transactional experience to the Company's board of directors.</w:t>
      </w:r>
    </w:p>
    <w:p>
      <w:pPr>
        <w:spacing w:after="0" w:line="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i w:val="1"/>
          <w:iCs w:val="1"/>
          <w:color w:val="auto"/>
        </w:rPr>
        <w:t xml:space="preserve">Ferrell P. McClean </w:t>
      </w:r>
      <w:r>
        <w:rPr>
          <w:rFonts w:ascii="Arial" w:cs="Arial" w:eastAsia="Arial" w:hAnsi="Arial"/>
          <w:sz w:val="12"/>
          <w:szCs w:val="12"/>
          <w:color w:val="auto"/>
        </w:rPr>
        <w:t>has served as a director since July 2013. Ms. McClean was a Managing Director and the Senior Advisor to the head of the Global Oil &amp; Gas Group in Investment Banking at J.P. Morgan Chase &amp; Co. from 2000</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the Company's board of directors and management team.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80"/>
          </w:cols>
          <w:pgMar w:left="220" w:top="514" w:right="199" w:bottom="1440" w:gutter="0" w:footer="0" w:header="0"/>
        </w:sectPr>
      </w:pPr>
    </w:p>
    <w:bookmarkStart w:id="74" w:name="page75"/>
    <w:bookmarkEnd w:id="74"/>
    <w:p>
      <w:pPr>
        <w:jc w:val="both"/>
        <w:ind w:firstLine="432"/>
        <w:spacing w:after="0" w:line="290" w:lineRule="auto"/>
        <w:rPr>
          <w:sz w:val="20"/>
          <w:szCs w:val="20"/>
          <w:color w:val="auto"/>
        </w:rPr>
      </w:pPr>
      <w:r>
        <w:rPr>
          <w:rFonts w:ascii="Arial" w:cs="Arial" w:eastAsia="Arial" w:hAnsi="Arial"/>
          <w:sz w:val="11"/>
          <w:szCs w:val="11"/>
          <w:i w:val="1"/>
          <w:iCs w:val="1"/>
          <w:color w:val="auto"/>
        </w:rPr>
        <w:t xml:space="preserve">Daniel B. More </w:t>
      </w:r>
      <w:r>
        <w:rPr>
          <w:rFonts w:ascii="Arial" w:cs="Arial" w:eastAsia="Arial" w:hAnsi="Arial"/>
          <w:sz w:val="11"/>
          <w:szCs w:val="11"/>
          <w:color w:val="auto"/>
        </w:rPr>
        <w:t>has served as a director since February 2019. Mr. More has been a Senior Advisor with Guggenheim Securities since October 2015. Mr. More retired as a Managing Director and Global Head of Utility Mergers &amp;</w:t>
      </w:r>
      <w:r>
        <w:rPr>
          <w:rFonts w:ascii="Arial" w:cs="Arial" w:eastAsia="Arial" w:hAnsi="Arial"/>
          <w:sz w:val="11"/>
          <w:szCs w:val="11"/>
          <w:i w:val="1"/>
          <w:iCs w:val="1"/>
          <w:color w:val="auto"/>
        </w:rPr>
        <w:t xml:space="preserve"> </w:t>
      </w:r>
      <w:r>
        <w:rPr>
          <w:rFonts w:ascii="Arial" w:cs="Arial" w:eastAsia="Arial" w:hAnsi="Arial"/>
          <w:sz w:val="11"/>
          <w:szCs w:val="11"/>
          <w:color w:val="auto"/>
        </w:rPr>
        <w:t>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77" w:lineRule="exact"/>
        <w:rPr>
          <w:sz w:val="20"/>
          <w:szCs w:val="20"/>
          <w:color w:val="auto"/>
        </w:rPr>
      </w:pPr>
    </w:p>
    <w:p>
      <w:pPr>
        <w:jc w:val="both"/>
        <w:ind w:firstLine="432"/>
        <w:spacing w:after="0" w:line="300" w:lineRule="auto"/>
        <w:rPr>
          <w:sz w:val="20"/>
          <w:szCs w:val="20"/>
          <w:color w:val="auto"/>
        </w:rPr>
      </w:pPr>
      <w:r>
        <w:rPr>
          <w:rFonts w:ascii="Arial" w:cs="Arial" w:eastAsia="Arial" w:hAnsi="Arial"/>
          <w:sz w:val="12"/>
          <w:szCs w:val="12"/>
          <w:i w:val="1"/>
          <w:iCs w:val="1"/>
          <w:color w:val="auto"/>
        </w:rPr>
        <w:t xml:space="preserve">E. Stanley O'Neal </w:t>
      </w:r>
      <w:r>
        <w:rPr>
          <w:rFonts w:ascii="Arial" w:cs="Arial" w:eastAsia="Arial" w:hAnsi="Arial"/>
          <w:sz w:val="12"/>
          <w:szCs w:val="12"/>
          <w:color w:val="auto"/>
        </w:rPr>
        <w:t>has served as a director since August 2018. Mr. O'Neal</w:t>
      </w:r>
      <w:r>
        <w:rPr>
          <w:rFonts w:ascii="Arial" w:cs="Arial" w:eastAsia="Arial" w:hAnsi="Arial"/>
          <w:sz w:val="12"/>
          <w:szCs w:val="12"/>
          <w:i w:val="1"/>
          <w:iCs w:val="1"/>
          <w:color w:val="auto"/>
        </w:rPr>
        <w:t xml:space="preserve"> </w:t>
      </w:r>
      <w:r>
        <w:rPr>
          <w:rFonts w:ascii="Arial" w:cs="Arial" w:eastAsia="Arial" w:hAnsi="Arial"/>
          <w:sz w:val="14"/>
          <w:szCs w:val="14"/>
          <w:color w:val="auto"/>
        </w:rPr>
        <w:t>s</w:t>
      </w:r>
      <w:r>
        <w:rPr>
          <w:rFonts w:ascii="Arial" w:cs="Arial" w:eastAsia="Arial" w:hAnsi="Arial"/>
          <w:sz w:val="12"/>
          <w:szCs w:val="12"/>
          <w:color w:val="auto"/>
        </w:rPr>
        <w:t>erved as Chairman of the Board and Chief Executive Officer of Merrill Lynch &amp; Co., Inc. until October 2007. He became Chief Executive Officer of</w:t>
      </w:r>
      <w:r>
        <w:rPr>
          <w:rFonts w:ascii="Arial" w:cs="Arial" w:eastAsia="Arial" w:hAnsi="Arial"/>
          <w:sz w:val="12"/>
          <w:szCs w:val="12"/>
          <w:i w:val="1"/>
          <w:iCs w:val="1"/>
          <w:color w:val="auto"/>
        </w:rPr>
        <w:t xml:space="preserve"> </w:t>
      </w:r>
      <w:r>
        <w:rPr>
          <w:rFonts w:ascii="Arial" w:cs="Arial" w:eastAsia="Arial" w:hAnsi="Arial"/>
          <w:sz w:val="12"/>
          <w:szCs w:val="12"/>
          <w:color w:val="auto"/>
        </w:rPr>
        <w:t>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7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i w:val="1"/>
          <w:iCs w:val="1"/>
          <w:color w:val="auto"/>
        </w:rPr>
        <w:t xml:space="preserve">Christopher S. Sotos </w:t>
      </w:r>
      <w:r>
        <w:rPr>
          <w:rFonts w:ascii="Arial" w:cs="Arial" w:eastAsia="Arial" w:hAnsi="Arial"/>
          <w:sz w:val="12"/>
          <w:szCs w:val="12"/>
          <w:color w:val="auto"/>
        </w:rPr>
        <w:t>has served as President and Chief Executive Officer of the Company since May 2016, and as a director since May 2013. Mr. Sotos had also served in various positions at NRG, including most recently as</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serves on the board of FuelCell Energy, Inc.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i w:val="1"/>
          <w:iCs w:val="1"/>
          <w:color w:val="auto"/>
        </w:rPr>
        <w:t xml:space="preserve">Scott Stanley </w:t>
      </w:r>
      <w:r>
        <w:rPr>
          <w:rFonts w:ascii="Arial" w:cs="Arial" w:eastAsia="Arial" w:hAnsi="Arial"/>
          <w:sz w:val="12"/>
          <w:szCs w:val="12"/>
          <w:color w:val="auto"/>
        </w:rPr>
        <w:t>has served as a director since August 2018. Mr. Stanley was employed by GIP as an Operating Principal since April 2007, and in August 2018 was appointed as an Operating Partner. Mr. Stanley holds a B.S. in</w:t>
      </w:r>
      <w:r>
        <w:rPr>
          <w:rFonts w:ascii="Arial" w:cs="Arial" w:eastAsia="Arial" w:hAnsi="Arial"/>
          <w:sz w:val="12"/>
          <w:szCs w:val="12"/>
          <w:i w:val="1"/>
          <w:iCs w:val="1"/>
          <w:color w:val="auto"/>
        </w:rPr>
        <w:t xml:space="preserve"> </w:t>
      </w:r>
      <w:r>
        <w:rPr>
          <w:rFonts w:ascii="Arial" w:cs="Arial" w:eastAsia="Arial" w:hAnsi="Arial"/>
          <w:sz w:val="12"/>
          <w:szCs w:val="12"/>
          <w:color w:val="auto"/>
        </w:rPr>
        <w:t>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serves on the Board of Directors of Naturgy Energy Group, S.A., a public company, and is also a member of the Board of Directors of Clearway Energy Group LLC and Italo S.p.A. Mr. Stanley adds significant operational expertise to the Company's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1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i w:val="1"/>
          <w:iCs w:val="1"/>
          <w:color w:val="auto"/>
        </w:rPr>
        <w:t xml:space="preserve">Christopher S. Sotos </w:t>
      </w:r>
      <w:r>
        <w:rPr>
          <w:rFonts w:ascii="Arial" w:cs="Arial" w:eastAsia="Arial" w:hAnsi="Arial"/>
          <w:sz w:val="12"/>
          <w:szCs w:val="12"/>
          <w:color w:val="auto"/>
        </w:rPr>
        <w:t>has served as President and Chief Executive Officer of the Company since May 2016, and as a director of the Company since May 2013. For additional biographical information for Mr. Sotos, see above under</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 xml:space="preserve">Chad Plotkin </w:t>
      </w:r>
      <w:r>
        <w:rPr>
          <w:rFonts w:ascii="Arial" w:cs="Arial" w:eastAsia="Arial" w:hAnsi="Arial"/>
          <w:sz w:val="12"/>
          <w:szCs w:val="12"/>
          <w:color w:val="auto"/>
        </w:rPr>
        <w:t>has served as Senior Vice President and Chief Financial Officer of the Company since November 2016. Prior to this appointment, he served in various roles at NRG, most recently serving as Senior Vice President,</w:t>
      </w:r>
      <w:r>
        <w:rPr>
          <w:rFonts w:ascii="Arial" w:cs="Arial" w:eastAsia="Arial" w:hAnsi="Arial"/>
          <w:sz w:val="12"/>
          <w:szCs w:val="12"/>
          <w:i w:val="1"/>
          <w:iCs w:val="1"/>
          <w:color w:val="auto"/>
        </w:rPr>
        <w:t xml:space="preserve"> </w:t>
      </w:r>
      <w:r>
        <w:rPr>
          <w:rFonts w:ascii="Arial" w:cs="Arial" w:eastAsia="Arial" w:hAnsi="Arial"/>
          <w:sz w:val="12"/>
          <w:szCs w:val="12"/>
          <w:color w:val="auto"/>
        </w:rPr>
        <w:t>Finance and Strategy, of NRG since January 2016.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80"/>
          </w:cols>
          <w:pgMar w:left="220" w:top="518" w:right="199" w:bottom="1440" w:gutter="0" w:footer="0" w:header="0"/>
        </w:sectPr>
      </w:pPr>
    </w:p>
    <w:bookmarkStart w:id="75" w:name="page76"/>
    <w:bookmarkEnd w:id="75"/>
    <w:p>
      <w:pPr>
        <w:jc w:val="both"/>
        <w:ind w:firstLine="432"/>
        <w:spacing w:after="0" w:line="259" w:lineRule="auto"/>
        <w:rPr>
          <w:sz w:val="20"/>
          <w:szCs w:val="20"/>
          <w:color w:val="auto"/>
        </w:rPr>
      </w:pPr>
      <w:r>
        <w:rPr>
          <w:rFonts w:ascii="Arial" w:cs="Arial" w:eastAsia="Arial" w:hAnsi="Arial"/>
          <w:sz w:val="12"/>
          <w:szCs w:val="12"/>
          <w:i w:val="1"/>
          <w:iCs w:val="1"/>
          <w:color w:val="auto"/>
        </w:rPr>
        <w:t xml:space="preserve">Mary-Lee Stillwell </w:t>
      </w:r>
      <w:r>
        <w:rPr>
          <w:rFonts w:ascii="Arial" w:cs="Arial" w:eastAsia="Arial" w:hAnsi="Arial"/>
          <w:sz w:val="12"/>
          <w:szCs w:val="12"/>
          <w:color w:val="auto"/>
        </w:rPr>
        <w:t>has served as Vice President and Chief Accounting Officer since August 31, 2018. Ms. Stillwell previously served as Vice President and Assistant Controller of NRG since December 2012, where she was</w:t>
      </w:r>
      <w:r>
        <w:rPr>
          <w:rFonts w:ascii="Arial" w:cs="Arial" w:eastAsia="Arial" w:hAnsi="Arial"/>
          <w:sz w:val="12"/>
          <w:szCs w:val="12"/>
          <w:i w:val="1"/>
          <w:iCs w:val="1"/>
          <w:color w:val="auto"/>
        </w:rPr>
        <w:t xml:space="preserve"> </w:t>
      </w:r>
      <w:r>
        <w:rPr>
          <w:rFonts w:ascii="Arial" w:cs="Arial" w:eastAsia="Arial" w:hAnsi="Arial"/>
          <w:sz w:val="12"/>
          <w:szCs w:val="12"/>
          <w:color w:val="auto"/>
        </w:rPr>
        <w:t>responsible for managing and directing NRG's financial accounting and reporting activities as well as overseeing the accounting for the Renewables business and various shared service functions. Prior to her work at NRG, Ms. Stillwell served as Assistant Controller - Integration and Internal Controls of GenOn Energy, Inc., in Houston, Texas, from September 2010 to December 2012, where she was responsible for all Sarbanes-Oxley compliance as well as integrations of mergers and acquisitions.</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 xml:space="preserve">Kevin P. Malcarney </w:t>
      </w:r>
      <w:r>
        <w:rPr>
          <w:rFonts w:ascii="Arial" w:cs="Arial" w:eastAsia="Arial" w:hAnsi="Arial"/>
          <w:sz w:val="12"/>
          <w:szCs w:val="12"/>
          <w:color w:val="auto"/>
        </w:rPr>
        <w:t>has served as Senior Vice President, General Counsel and Corporate Secretary since May 11, 2018. Mr. Malcarney served as Interim General Counsel of the Company from March 16, 2018. Mr. Malcarney was</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previously Vice President and Deputy General Counsel and served in various other roles at NRG Energy, Inc. since September 2008. Prior to NRG, Mr. Malcarney worked at two major law firms in Princeton, NJ and Philadelphia, PA, and handled mergers and acquisitions, project financing and general corporate matters.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Ethics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Company has adopted a code of ethics entitled "Clearway Energy, Inc. Code of Business Conduct and Ethics" that applies to directors and officers of the Company. It may be accessed through the "Corporate Governance" section of the Company's website at </w:t>
      </w:r>
      <w:r>
        <w:rPr>
          <w:rFonts w:ascii="Arial" w:cs="Arial" w:eastAsia="Arial" w:hAnsi="Arial"/>
          <w:sz w:val="12"/>
          <w:szCs w:val="12"/>
          <w:i w:val="1"/>
          <w:iCs w:val="1"/>
          <w:color w:val="auto"/>
        </w:rPr>
        <w:t>http://www.clearwayenergy.com.</w:t>
      </w:r>
      <w:r>
        <w:rPr>
          <w:rFonts w:ascii="Arial" w:cs="Arial" w:eastAsia="Arial" w:hAnsi="Arial"/>
          <w:sz w:val="12"/>
          <w:szCs w:val="12"/>
          <w:color w:val="auto"/>
        </w:rPr>
        <w:t xml:space="preserve"> The Company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information required by this Item will be incorporated by reference to the similarly named section of the Company's Definitive Proxy Statement for its 2019 Annual Meeting of Stockholders.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80"/>
          </w:cols>
          <w:pgMar w:left="220" w:top="518" w:right="199" w:bottom="1440" w:gutter="0" w:footer="0" w:header="0"/>
        </w:sectPr>
      </w:pPr>
    </w:p>
    <w:bookmarkStart w:id="76" w:name="page77"/>
    <w:bookmarkEnd w:id="76"/>
    <w:p>
      <w:pPr>
        <w:ind w:left="8"/>
        <w:spacing w:after="0"/>
        <w:rPr>
          <w:sz w:val="20"/>
          <w:szCs w:val="20"/>
          <w:color w:val="auto"/>
        </w:rPr>
      </w:pPr>
      <w:r>
        <w:rPr>
          <w:rFonts w:ascii="Arial" w:cs="Arial" w:eastAsia="Arial" w:hAnsi="Arial"/>
          <w:sz w:val="12"/>
          <w:szCs w:val="12"/>
          <w:b w:val="1"/>
          <w:bCs w:val="1"/>
          <w:color w:val="auto"/>
        </w:rPr>
        <w:t>Item 11 — Executive Compensation</w:t>
      </w:r>
    </w:p>
    <w:p>
      <w:pPr>
        <w:spacing w:after="0" w:line="11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Information required by this Item will be incorporated by reference to the similarly named section of the Company's Definitive Proxy Statement for its 2019 Annual Meeting of Stockholders.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12 — Security Ownership of Certain Beneficial Owners and Management and Related Stockholder Matters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Securities Authorized for Issuance under the Clearway Energy, Inc. Amended and Restated 2013 Equity Compensation Plan</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Arial" w:cs="Arial" w:eastAsia="Arial" w:hAnsi="Arial"/>
                <w:sz w:val="10"/>
                <w:szCs w:val="10"/>
                <w:b w:val="1"/>
                <w:bCs w:val="1"/>
                <w:color w:val="auto"/>
                <w:w w:val="81"/>
              </w:rPr>
              <w:t>(c)</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Number of Securities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60" w:type="dxa"/>
            <w:vAlign w:val="bottom"/>
          </w:tcPr>
          <w:p>
            <w:pPr>
              <w:jc w:val="center"/>
              <w:ind w:left="472"/>
              <w:spacing w:after="0" w:line="99" w:lineRule="exact"/>
              <w:rPr>
                <w:sz w:val="20"/>
                <w:szCs w:val="20"/>
                <w:color w:val="auto"/>
              </w:rPr>
            </w:pPr>
            <w:r>
              <w:rPr>
                <w:rFonts w:ascii="Arial" w:cs="Arial" w:eastAsia="Arial" w:hAnsi="Arial"/>
                <w:sz w:val="10"/>
                <w:szCs w:val="10"/>
                <w:b w:val="1"/>
                <w:bCs w:val="1"/>
                <w:color w:val="auto"/>
                <w:w w:val="81"/>
              </w:rPr>
              <w:t>(a)</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Remaining Available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60" w:type="dxa"/>
            <w:vAlign w:val="bottom"/>
          </w:tcPr>
          <w:p>
            <w:pPr>
              <w:jc w:val="center"/>
              <w:ind w:left="472"/>
              <w:spacing w:after="0" w:line="99" w:lineRule="exact"/>
              <w:rPr>
                <w:sz w:val="20"/>
                <w:szCs w:val="20"/>
                <w:color w:val="auto"/>
              </w:rPr>
            </w:pPr>
            <w:r>
              <w:rPr>
                <w:rFonts w:ascii="Arial" w:cs="Arial" w:eastAsia="Arial" w:hAnsi="Arial"/>
                <w:sz w:val="10"/>
                <w:szCs w:val="10"/>
                <w:b w:val="1"/>
                <w:bCs w:val="1"/>
                <w:color w:val="auto"/>
                <w:w w:val="85"/>
              </w:rPr>
              <w:t>Number of Securities</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9"/>
              <w:spacing w:after="0" w:line="99" w:lineRule="exact"/>
              <w:rPr>
                <w:sz w:val="20"/>
                <w:szCs w:val="20"/>
                <w:color w:val="auto"/>
              </w:rPr>
            </w:pPr>
            <w:r>
              <w:rPr>
                <w:rFonts w:ascii="Arial" w:cs="Arial" w:eastAsia="Arial" w:hAnsi="Arial"/>
                <w:sz w:val="10"/>
                <w:szCs w:val="10"/>
                <w:b w:val="1"/>
                <w:bCs w:val="1"/>
                <w:color w:val="auto"/>
                <w:w w:val="93"/>
              </w:rPr>
              <w:t>(b)</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for Future Issuance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60" w:type="dxa"/>
            <w:vAlign w:val="bottom"/>
          </w:tcPr>
          <w:p>
            <w:pPr>
              <w:jc w:val="center"/>
              <w:ind w:left="472"/>
              <w:spacing w:after="0" w:line="99" w:lineRule="exact"/>
              <w:rPr>
                <w:sz w:val="20"/>
                <w:szCs w:val="20"/>
                <w:color w:val="auto"/>
              </w:rPr>
            </w:pPr>
            <w:r>
              <w:rPr>
                <w:rFonts w:ascii="Arial" w:cs="Arial" w:eastAsia="Arial" w:hAnsi="Arial"/>
                <w:sz w:val="10"/>
                <w:szCs w:val="10"/>
                <w:b w:val="1"/>
                <w:bCs w:val="1"/>
                <w:color w:val="auto"/>
                <w:w w:val="85"/>
              </w:rPr>
              <w:t>to be Issued Upon</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9"/>
              <w:spacing w:after="0" w:line="99" w:lineRule="exact"/>
              <w:rPr>
                <w:sz w:val="20"/>
                <w:szCs w:val="20"/>
                <w:color w:val="auto"/>
              </w:rPr>
            </w:pPr>
            <w:r>
              <w:rPr>
                <w:rFonts w:ascii="Arial" w:cs="Arial" w:eastAsia="Arial" w:hAnsi="Arial"/>
                <w:sz w:val="10"/>
                <w:szCs w:val="10"/>
                <w:b w:val="1"/>
                <w:bCs w:val="1"/>
                <w:color w:val="auto"/>
                <w:w w:val="84"/>
              </w:rPr>
              <w:t>Weighted-Average Exercise</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Under Equity Compensation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60" w:type="dxa"/>
            <w:vAlign w:val="bottom"/>
          </w:tcPr>
          <w:p>
            <w:pPr>
              <w:jc w:val="center"/>
              <w:ind w:left="472"/>
              <w:spacing w:after="0" w:line="99" w:lineRule="exact"/>
              <w:rPr>
                <w:sz w:val="20"/>
                <w:szCs w:val="20"/>
                <w:color w:val="auto"/>
              </w:rPr>
            </w:pPr>
            <w:r>
              <w:rPr>
                <w:rFonts w:ascii="Arial" w:cs="Arial" w:eastAsia="Arial" w:hAnsi="Arial"/>
                <w:sz w:val="10"/>
                <w:szCs w:val="10"/>
                <w:b w:val="1"/>
                <w:bCs w:val="1"/>
                <w:color w:val="auto"/>
                <w:w w:val="86"/>
              </w:rPr>
              <w:t>Exercise of</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9"/>
              <w:spacing w:after="0" w:line="99" w:lineRule="exact"/>
              <w:rPr>
                <w:sz w:val="20"/>
                <w:szCs w:val="20"/>
                <w:color w:val="auto"/>
              </w:rPr>
            </w:pPr>
            <w:r>
              <w:rPr>
                <w:rFonts w:ascii="Arial" w:cs="Arial" w:eastAsia="Arial" w:hAnsi="Arial"/>
                <w:sz w:val="10"/>
                <w:szCs w:val="10"/>
                <w:b w:val="1"/>
                <w:bCs w:val="1"/>
                <w:color w:val="auto"/>
                <w:w w:val="85"/>
              </w:rPr>
              <w:t>Price of Outstanding</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Plans (Excluding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60" w:type="dxa"/>
            <w:vAlign w:val="bottom"/>
          </w:tcPr>
          <w:p>
            <w:pPr>
              <w:jc w:val="center"/>
              <w:ind w:left="472"/>
              <w:spacing w:after="0" w:line="99" w:lineRule="exact"/>
              <w:rPr>
                <w:sz w:val="20"/>
                <w:szCs w:val="20"/>
                <w:color w:val="auto"/>
              </w:rPr>
            </w:pPr>
            <w:r>
              <w:rPr>
                <w:rFonts w:ascii="Arial" w:cs="Arial" w:eastAsia="Arial" w:hAnsi="Arial"/>
                <w:sz w:val="10"/>
                <w:szCs w:val="10"/>
                <w:b w:val="1"/>
                <w:bCs w:val="1"/>
                <w:color w:val="auto"/>
                <w:w w:val="87"/>
              </w:rPr>
              <w:t>Outstanding Options,</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9"/>
              <w:spacing w:after="0" w:line="99" w:lineRule="exact"/>
              <w:rPr>
                <w:sz w:val="20"/>
                <w:szCs w:val="20"/>
                <w:color w:val="auto"/>
              </w:rPr>
            </w:pPr>
            <w:r>
              <w:rPr>
                <w:rFonts w:ascii="Arial" w:cs="Arial" w:eastAsia="Arial" w:hAnsi="Arial"/>
                <w:sz w:val="10"/>
                <w:szCs w:val="10"/>
                <w:b w:val="1"/>
                <w:bCs w:val="1"/>
                <w:color w:val="auto"/>
                <w:w w:val="89"/>
              </w:rPr>
              <w:t>Options, Warrants and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Securities Reflected</w:t>
            </w:r>
          </w:p>
        </w:tc>
        <w:tc>
          <w:tcPr>
            <w:tcW w:w="0" w:type="dxa"/>
            <w:vAlign w:val="bottom"/>
          </w:tcPr>
          <w:p>
            <w:pPr>
              <w:spacing w:after="0"/>
              <w:rPr>
                <w:sz w:val="1"/>
                <w:szCs w:val="1"/>
                <w:color w:val="auto"/>
              </w:rPr>
            </w:pPr>
          </w:p>
        </w:tc>
      </w:tr>
      <w:tr>
        <w:trPr>
          <w:trHeight w:val="105"/>
        </w:trPr>
        <w:tc>
          <w:tcPr>
            <w:tcW w:w="482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Plan Category</w:t>
            </w:r>
          </w:p>
        </w:tc>
        <w:tc>
          <w:tcPr>
            <w:tcW w:w="1460" w:type="dxa"/>
            <w:vAlign w:val="bottom"/>
          </w:tcPr>
          <w:p>
            <w:pPr>
              <w:jc w:val="center"/>
              <w:ind w:left="472"/>
              <w:spacing w:after="0" w:line="105" w:lineRule="exact"/>
              <w:rPr>
                <w:sz w:val="20"/>
                <w:szCs w:val="20"/>
                <w:color w:val="auto"/>
              </w:rPr>
            </w:pPr>
            <w:r>
              <w:rPr>
                <w:rFonts w:ascii="Arial" w:cs="Arial" w:eastAsia="Arial" w:hAnsi="Arial"/>
                <w:sz w:val="10"/>
                <w:szCs w:val="10"/>
                <w:b w:val="1"/>
                <w:bCs w:val="1"/>
                <w:color w:val="auto"/>
                <w:w w:val="87"/>
              </w:rPr>
              <w:t>Warrants and Rights</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jc w:val="center"/>
              <w:ind w:left="309"/>
              <w:spacing w:after="0" w:line="105" w:lineRule="exact"/>
              <w:rPr>
                <w:sz w:val="20"/>
                <w:szCs w:val="20"/>
                <w:color w:val="auto"/>
              </w:rPr>
            </w:pPr>
            <w:r>
              <w:rPr>
                <w:rFonts w:ascii="Arial" w:cs="Arial" w:eastAsia="Arial" w:hAnsi="Arial"/>
                <w:sz w:val="10"/>
                <w:szCs w:val="10"/>
                <w:b w:val="1"/>
                <w:bCs w:val="1"/>
                <w:color w:val="auto"/>
                <w:w w:val="89"/>
              </w:rPr>
              <w:t>Rights</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1"/>
              </w:rPr>
              <w:t xml:space="preserve">in Column (a)) </w:t>
            </w:r>
            <w:r>
              <w:rPr>
                <w:rFonts w:ascii="Arial" w:cs="Arial" w:eastAsia="Arial" w:hAnsi="Arial"/>
                <w:sz w:val="5"/>
                <w:szCs w:val="5"/>
                <w:b w:val="1"/>
                <w:bCs w:val="1"/>
                <w:color w:val="auto"/>
                <w:w w:val="91"/>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82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Equity compensation plans approved by security holders - Class A common stock</w:t>
            </w:r>
          </w:p>
        </w:tc>
        <w:tc>
          <w:tcPr>
            <w:tcW w:w="14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31,310</w:t>
            </w:r>
          </w:p>
        </w:tc>
        <w:tc>
          <w:tcPr>
            <w:tcW w:w="12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1469"/>
              <w:spacing w:after="0"/>
              <w:rPr>
                <w:sz w:val="20"/>
                <w:szCs w:val="20"/>
                <w:color w:val="auto"/>
              </w:rPr>
            </w:pPr>
            <w:r>
              <w:rPr>
                <w:rFonts w:ascii="Arial" w:cs="Arial" w:eastAsia="Arial" w:hAnsi="Arial"/>
                <w:sz w:val="12"/>
                <w:szCs w:val="12"/>
                <w:color w:val="auto"/>
                <w:w w:val="89"/>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4820" w:type="dxa"/>
            <w:vAlign w:val="bottom"/>
            <w:gridSpan w:val="3"/>
            <w:vMerge w:val="continue"/>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820" w:type="dxa"/>
            <w:vAlign w:val="bottom"/>
            <w:gridSpan w:val="3"/>
          </w:tcPr>
          <w:p>
            <w:pPr>
              <w:ind w:left="20"/>
              <w:spacing w:after="0"/>
              <w:rPr>
                <w:sz w:val="20"/>
                <w:szCs w:val="20"/>
                <w:color w:val="auto"/>
              </w:rPr>
            </w:pPr>
            <w:r>
              <w:rPr>
                <w:rFonts w:ascii="Arial" w:cs="Arial" w:eastAsia="Arial" w:hAnsi="Arial"/>
                <w:sz w:val="12"/>
                <w:szCs w:val="12"/>
                <w:color w:val="auto"/>
              </w:rPr>
              <w:t>Equity compensation plans approved by security holders - Class C common stock</w:t>
            </w:r>
          </w:p>
        </w:tc>
        <w:tc>
          <w:tcPr>
            <w:tcW w:w="146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w w:val="87"/>
              </w:rPr>
              <w:t>617,989</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960" w:type="dxa"/>
            <w:vAlign w:val="bottom"/>
          </w:tcPr>
          <w:p>
            <w:pPr>
              <w:jc w:val="right"/>
              <w:ind w:right="68"/>
              <w:spacing w:after="0"/>
              <w:rPr>
                <w:sz w:val="20"/>
                <w:szCs w:val="20"/>
                <w:color w:val="auto"/>
              </w:rPr>
            </w:pPr>
            <w:r>
              <w:rPr>
                <w:rFonts w:ascii="Arial" w:cs="Arial" w:eastAsia="Arial" w:hAnsi="Arial"/>
                <w:sz w:val="12"/>
                <w:szCs w:val="12"/>
                <w:color w:val="auto"/>
              </w:rPr>
              <w:t>1,292,456</w:t>
            </w:r>
          </w:p>
        </w:tc>
        <w:tc>
          <w:tcPr>
            <w:tcW w:w="0" w:type="dxa"/>
            <w:vAlign w:val="bottom"/>
          </w:tcPr>
          <w:p>
            <w:pPr>
              <w:spacing w:after="0"/>
              <w:rPr>
                <w:sz w:val="1"/>
                <w:szCs w:val="1"/>
                <w:color w:val="auto"/>
              </w:rPr>
            </w:pPr>
          </w:p>
        </w:tc>
      </w:tr>
      <w:tr>
        <w:trPr>
          <w:trHeight w:val="180"/>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Equity compensation plans not approved by security holders</w:t>
            </w:r>
          </w:p>
        </w:tc>
        <w:tc>
          <w:tcPr>
            <w:tcW w:w="14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4820" w:type="dxa"/>
            <w:vAlign w:val="bottom"/>
            <w:gridSpan w:val="3"/>
          </w:tcPr>
          <w:p>
            <w:pPr>
              <w:ind w:left="20"/>
              <w:spacing w:after="0"/>
              <w:rPr>
                <w:sz w:val="20"/>
                <w:szCs w:val="20"/>
                <w:color w:val="auto"/>
              </w:rPr>
            </w:pPr>
            <w:r>
              <w:rPr>
                <w:rFonts w:ascii="Arial" w:cs="Arial" w:eastAsia="Arial" w:hAnsi="Arial"/>
                <w:sz w:val="12"/>
                <w:szCs w:val="12"/>
                <w:color w:val="auto"/>
              </w:rPr>
              <w:t>Total</w:t>
            </w: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7"/>
              </w:rPr>
              <w:t>649,299</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1469"/>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color w:val="auto"/>
              </w:rPr>
              <w:t>1,292,456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65" w:lineRule="exact"/>
        <w:rPr>
          <w:sz w:val="20"/>
          <w:szCs w:val="20"/>
          <w:color w:val="auto"/>
        </w:rPr>
      </w:pPr>
    </w:p>
    <w:p>
      <w:pPr>
        <w:ind w:left="108" w:hanging="108"/>
        <w:spacing w:after="0"/>
        <w:tabs>
          <w:tab w:leader="none" w:pos="108" w:val="left"/>
        </w:tabs>
        <w:numPr>
          <w:ilvl w:val="0"/>
          <w:numId w:val="34"/>
        </w:numPr>
        <w:rPr>
          <w:rFonts w:ascii="Arial" w:cs="Arial" w:eastAsia="Arial" w:hAnsi="Arial"/>
          <w:sz w:val="13"/>
          <w:szCs w:val="13"/>
          <w:color w:val="auto"/>
          <w:vertAlign w:val="superscript"/>
        </w:rPr>
      </w:pPr>
      <w:r>
        <w:rPr>
          <w:rFonts w:ascii="Arial" w:cs="Arial" w:eastAsia="Arial" w:hAnsi="Arial"/>
          <w:sz w:val="9"/>
          <w:szCs w:val="9"/>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0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Other information required by this Item will be incorporated by reference to the similarly named section of the Company's Definitive Proxy Statement for its 2019 Annual Meeting of Stockholders.</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13 — Certain Relationships and Related Transactions, and Director Independence</w:t>
      </w:r>
    </w:p>
    <w:p>
      <w:pPr>
        <w:spacing w:after="0" w:line="11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Information required by this Item will be incorporated by reference to the similarly named section of the Company's Definitive Proxy Statement for its 2019 Annual Meeting of Stockholders.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14 — Principal Accounting Fees and Services</w:t>
      </w:r>
    </w:p>
    <w:p>
      <w:pPr>
        <w:spacing w:after="0" w:line="11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Information required by this Item will be incorporated by reference to the similarly named section of the Company's Definitive Proxy Statement for its 2019 Annual Meeting of Stockholders.</w:t>
      </w:r>
    </w:p>
    <w:p>
      <w:pPr>
        <w:spacing w:after="0" w:line="276" w:lineRule="exact"/>
        <w:rPr>
          <w:sz w:val="20"/>
          <w:szCs w:val="20"/>
          <w:color w:val="auto"/>
        </w:rPr>
      </w:pPr>
    </w:p>
    <w:p>
      <w:pPr>
        <w:jc w:val="center"/>
        <w:ind w:right="-507"/>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968"/>
          </w:cols>
          <w:pgMar w:left="212" w:top="514" w:right="7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2"/>
          <w:szCs w:val="12"/>
          <w:b w:val="1"/>
          <w:bCs w:val="1"/>
          <w:color w:val="auto"/>
        </w:rPr>
        <w:t>PART IV</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 Exhibits, Financial Statement Schedules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(a)(1) Financial Statements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consolidated financial statements of Clearway Energy, Inc. and related notes thereto, together with the reports thereon of KPMG LLP, are included herein:</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Consolidated Statements of Operations — Years ended December 31, 2018, 2017 and 2016</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Consolidated Statements of Comprehensive Income — Years ended December 31, 2018, 2017 and 2016</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Consolidated Balance Sheets — As of December 31, 2018 and 2017</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Consolidated Statements of Cash Flows — Years ended December 31, 2018, 2017 and 2016</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Consolidated Statements of Stockholders' Equity — Years ended December 31, 2018, 2017 and 2016</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Notes to Consolidated Financial Statements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(a)(2) Financial Statement Schedules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The following schedules of Clearway Energy, Inc. are filed as part of Item 15 of this report and should be read in conjunction with the Consolidated Financial Statements:</w:t>
      </w:r>
    </w:p>
    <w:p>
      <w:pPr>
        <w:spacing w:after="0" w:line="114" w:lineRule="exact"/>
        <w:rPr>
          <w:sz w:val="20"/>
          <w:szCs w:val="20"/>
          <w:color w:val="auto"/>
        </w:rPr>
      </w:pPr>
    </w:p>
    <w:p>
      <w:pPr>
        <w:ind w:left="640"/>
        <w:spacing w:after="0" w:line="276" w:lineRule="auto"/>
        <w:rPr>
          <w:sz w:val="20"/>
          <w:szCs w:val="20"/>
          <w:color w:val="auto"/>
        </w:rPr>
      </w:pPr>
      <w:r>
        <w:rPr>
          <w:rFonts w:ascii="Arial" w:cs="Arial" w:eastAsia="Arial" w:hAnsi="Arial"/>
          <w:sz w:val="12"/>
          <w:szCs w:val="12"/>
          <w:color w:val="auto"/>
        </w:rPr>
        <w:t>Schedule I — Clearway Energy, Inc. Financial Statements for the years ended December 31, 2018, 2017 and 2016, are included in Clearway Energy, Inc.'s Annual Report on Form 10-K pursuant to the requirements of Rule 5-04(c) of Regulation S-X</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Schedule II — Valuation and Qualifying Accounts</w:t>
      </w:r>
    </w:p>
    <w:p>
      <w:pPr>
        <w:spacing w:after="0" w:line="114" w:lineRule="exact"/>
        <w:rPr>
          <w:sz w:val="20"/>
          <w:szCs w:val="20"/>
          <w:color w:val="auto"/>
        </w:rPr>
      </w:pPr>
    </w:p>
    <w:p>
      <w:pPr>
        <w:ind w:left="640" w:right="60"/>
        <w:spacing w:after="0" w:line="276" w:lineRule="auto"/>
        <w:rPr>
          <w:sz w:val="20"/>
          <w:szCs w:val="20"/>
          <w:color w:val="auto"/>
        </w:rPr>
      </w:pPr>
      <w:r>
        <w:rPr>
          <w:rFonts w:ascii="Arial" w:cs="Arial" w:eastAsia="Arial" w:hAnsi="Arial"/>
          <w:sz w:val="12"/>
          <w:szCs w:val="12"/>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(a)(3) Exhibits: See Exhibit Index submitted as a separate section of this report</w:t>
      </w:r>
    </w:p>
    <w:p>
      <w:pPr>
        <w:spacing w:after="0" w:line="114" w:lineRule="exact"/>
        <w:rPr>
          <w:sz w:val="20"/>
          <w:szCs w:val="20"/>
          <w:color w:val="auto"/>
        </w:rPr>
      </w:pPr>
    </w:p>
    <w:p>
      <w:pPr>
        <w:ind w:left="480" w:hanging="164"/>
        <w:spacing w:after="0"/>
        <w:tabs>
          <w:tab w:leader="none" w:pos="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Exhibits</w:t>
      </w:r>
    </w:p>
    <w:p>
      <w:pPr>
        <w:spacing w:after="0" w:line="114"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2"/>
          <w:szCs w:val="12"/>
          <w:color w:val="auto"/>
        </w:rPr>
        <w:t>See Exhibit Index submitted as a separate section of this report</w:t>
      </w:r>
    </w:p>
    <w:p>
      <w:pPr>
        <w:spacing w:after="0" w:line="114" w:lineRule="exact"/>
        <w:rPr>
          <w:rFonts w:ascii="Arial" w:cs="Arial" w:eastAsia="Arial" w:hAnsi="Arial"/>
          <w:sz w:val="12"/>
          <w:szCs w:val="12"/>
          <w:color w:val="auto"/>
        </w:rPr>
      </w:pPr>
    </w:p>
    <w:p>
      <w:pPr>
        <w:ind w:left="480" w:hanging="164"/>
        <w:spacing w:after="0"/>
        <w:tabs>
          <w:tab w:leader="none" w:pos="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40"/>
          </w:cols>
          <w:pgMar w:left="220" w:top="51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Inc.:</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have audited the accompanying consolidated balance sheets of Clearway Energy, Inc. and subsidiaries (the Company) as of December 31, 2018 and 2017, the related consolidated statements of operations, comprehensive income/(loss), stockholders’ equity, and cash flows for each of the years in the three-year period ended December 31, 2018, and the related notes and financial statement schedules “Schedule I - Condensed Financial Information of Registrant” and “Schedule II - Valuation and Qualifying Accounts”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8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February 28, 2019 expressed an unqualified opinion on the effectiveness of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6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discussed in Note 2 to the consolidated financial statements, effective January 1, 2018, the Company adopted the guidance in Accounting Standards Codification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and related amendments.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2"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(signed) KPMG LLP</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658" w:right="199" w:bottom="1440" w:gutter="0" w:footer="0" w:header="0"/>
        </w:sectPr>
      </w:pPr>
    </w:p>
    <w:bookmarkStart w:id="79" w:name="page80"/>
    <w:bookmarkEnd w:id="79"/>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5"/>
              </w:rPr>
              <w:t>Year ended December 31,</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9"/>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(In millions, except per share amounts)</w:t>
            </w:r>
          </w:p>
        </w:tc>
        <w:tc>
          <w:tcPr>
            <w:tcW w:w="240" w:type="dxa"/>
            <w:vAlign w:val="bottom"/>
          </w:tcPr>
          <w:p>
            <w:pPr>
              <w:spacing w:after="0"/>
              <w:rPr>
                <w:sz w:val="14"/>
                <w:szCs w:val="14"/>
                <w:color w:val="auto"/>
              </w:rPr>
            </w:pPr>
          </w:p>
        </w:tc>
        <w:tc>
          <w:tcPr>
            <w:tcW w:w="800" w:type="dxa"/>
            <w:vAlign w:val="bottom"/>
          </w:tcPr>
          <w:p>
            <w:pPr>
              <w:jc w:val="right"/>
              <w:ind w:right="360"/>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6"/>
              </w:rPr>
              <w:t xml:space="preserve">2017 </w:t>
            </w:r>
            <w:r>
              <w:rPr>
                <w:rFonts w:ascii="Arial" w:cs="Arial" w:eastAsia="Arial" w:hAnsi="Arial"/>
                <w:sz w:val="5"/>
                <w:szCs w:val="5"/>
                <w:b w:val="1"/>
                <w:bCs w:val="1"/>
                <w:color w:val="auto"/>
                <w:w w:val="96"/>
              </w:rPr>
              <w:t>(a)</w:t>
            </w:r>
          </w:p>
        </w:tc>
        <w:tc>
          <w:tcPr>
            <w:tcW w:w="220" w:type="dxa"/>
            <w:vAlign w:val="bottom"/>
          </w:tcPr>
          <w:p>
            <w:pPr>
              <w:spacing w:after="0"/>
              <w:rPr>
                <w:sz w:val="14"/>
                <w:szCs w:val="14"/>
                <w:color w:val="auto"/>
              </w:rPr>
            </w:pPr>
          </w:p>
        </w:tc>
        <w:tc>
          <w:tcPr>
            <w:tcW w:w="800" w:type="dxa"/>
            <w:vAlign w:val="bottom"/>
          </w:tcPr>
          <w:p>
            <w:pPr>
              <w:jc w:val="right"/>
              <w:ind w:right="300"/>
              <w:spacing w:after="0"/>
              <w:rPr>
                <w:sz w:val="20"/>
                <w:szCs w:val="20"/>
                <w:color w:val="auto"/>
              </w:rPr>
            </w:pPr>
            <w:r>
              <w:rPr>
                <w:rFonts w:ascii="Arial" w:cs="Arial" w:eastAsia="Arial" w:hAnsi="Arial"/>
                <w:sz w:val="10"/>
                <w:szCs w:val="10"/>
                <w:b w:val="1"/>
                <w:bCs w:val="1"/>
                <w:color w:val="auto"/>
              </w:rPr>
              <w:t xml:space="preserve">2016 </w:t>
            </w:r>
            <w:r>
              <w:rPr>
                <w:rFonts w:ascii="Arial" w:cs="Arial" w:eastAsia="Arial" w:hAnsi="Arial"/>
                <w:sz w:val="5"/>
                <w:szCs w:val="5"/>
                <w:b w:val="1"/>
                <w:bCs w:val="1"/>
                <w:color w:val="auto"/>
              </w:rPr>
              <w:t>(a)</w:t>
            </w:r>
          </w:p>
        </w:tc>
      </w:tr>
      <w:tr>
        <w:trPr>
          <w:trHeight w:val="17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71"/>
        </w:trPr>
        <w:tc>
          <w:tcPr>
            <w:tcW w:w="8160" w:type="dxa"/>
            <w:vAlign w:val="bottom"/>
          </w:tcPr>
          <w:p>
            <w:pPr>
              <w:ind w:left="180"/>
              <w:spacing w:after="0"/>
              <w:rPr>
                <w:sz w:val="20"/>
                <w:szCs w:val="20"/>
                <w:color w:val="auto"/>
              </w:rPr>
            </w:pPr>
            <w:r>
              <w:rPr>
                <w:rFonts w:ascii="Arial" w:cs="Arial" w:eastAsia="Arial" w:hAnsi="Arial"/>
                <w:sz w:val="12"/>
                <w:szCs w:val="12"/>
                <w:color w:val="auto"/>
              </w:rPr>
              <w:t>Total operating revenues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1,053</w:t>
            </w: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1,009</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1,035</w:t>
            </w:r>
          </w:p>
        </w:tc>
      </w:tr>
      <w:tr>
        <w:trPr>
          <w:trHeight w:val="178"/>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Cost of operations</w:t>
            </w:r>
          </w:p>
        </w:tc>
        <w:tc>
          <w:tcPr>
            <w:tcW w:w="2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332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326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308</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303</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Impairment losses</w:t>
            </w:r>
          </w:p>
        </w:tc>
        <w:tc>
          <w:tcPr>
            <w:tcW w:w="2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185</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Acquisition-related transaction and integration costs</w:t>
            </w:r>
          </w:p>
        </w:tc>
        <w:tc>
          <w:tcPr>
            <w:tcW w:w="2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0"/>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Development costs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operating costs and expenses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706</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726</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813</w:t>
            </w:r>
          </w:p>
        </w:tc>
      </w:tr>
      <w:tr>
        <w:trPr>
          <w:trHeight w:val="178"/>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Income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222</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Other income, net</w:t>
            </w:r>
          </w:p>
        </w:tc>
        <w:tc>
          <w:tcPr>
            <w:tcW w:w="2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debt extinguishment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Interest expense</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(284)</w:t>
            </w:r>
          </w:p>
        </w:tc>
      </w:tr>
      <w:tr>
        <w:trPr>
          <w:trHeight w:val="178"/>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other expense, net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(221)</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24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r>
      <w:tr>
        <w:trPr>
          <w:trHeight w:val="16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Income (Loss)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54</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r>
      <w:tr>
        <w:trPr>
          <w:trHeight w:val="178"/>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Pre-acquisition net income (loss) of Drop Down Assets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r>
      <w:tr>
        <w:trPr>
          <w:trHeight w:val="16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Income (Loss) Excluding Pre-acquisition Net Income (Loss) of Drop Down Assets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w:t>
            </w:r>
          </w:p>
        </w:tc>
      </w:tr>
      <w:tr>
        <w:trPr>
          <w:trHeight w:val="16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(51)</w:t>
            </w:r>
          </w:p>
        </w:tc>
      </w:tr>
      <w:tr>
        <w:trPr>
          <w:trHeight w:val="185"/>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Net Income (Loss) Attributable to Clearway Energy, Inc.</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48</w:t>
            </w: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6"/>
                <w:szCs w:val="16"/>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57</w:t>
            </w:r>
          </w:p>
        </w:tc>
      </w:tr>
      <w:tr>
        <w:trPr>
          <w:trHeight w:val="180"/>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Earnings Per Share Attributable to Clearway Energy, Inc. Class A and Class C Common Stockholders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Weighted average number of Class A common shares outstanding - basic and diluted</w:t>
            </w:r>
          </w:p>
        </w:tc>
        <w:tc>
          <w:tcPr>
            <w:tcW w:w="2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35</w:t>
            </w:r>
          </w:p>
        </w:tc>
      </w:tr>
      <w:tr>
        <w:trPr>
          <w:trHeight w:val="189"/>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 average number of Class C common shares outstanding - basic and diluted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Earnings (Loss) per Weighted Average Class A and Class C Common Share - Basic and Diluted</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0.58</w:t>
            </w:r>
          </w:p>
        </w:tc>
      </w:tr>
      <w:tr>
        <w:trPr>
          <w:trHeight w:val="187"/>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Common Share</w:t>
            </w: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0.945</w:t>
            </w:r>
          </w:p>
        </w:tc>
      </w:tr>
      <w:tr>
        <w:trPr>
          <w:trHeight w:val="176"/>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Dividends Per Class C Common Share</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1.258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1.098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0.945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142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0"/>
          </w:cols>
          <w:pgMar w:left="220" w:top="514" w:right="199" w:bottom="1440" w:gutter="0" w:footer="0" w:header="0"/>
        </w:sectPr>
      </w:pPr>
    </w:p>
    <w:bookmarkStart w:id="80" w:name="page81"/>
    <w:bookmarkEnd w:id="80"/>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5"/>
              </w:rPr>
              <w:t>Year ended December 31,</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5"/>
        </w:trPr>
        <w:tc>
          <w:tcPr>
            <w:tcW w:w="8160" w:type="dxa"/>
            <w:vAlign w:val="bottom"/>
          </w:tcPr>
          <w:p>
            <w:pPr>
              <w:spacing w:after="0"/>
              <w:rPr>
                <w:sz w:val="14"/>
                <w:szCs w:val="14"/>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2018</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6"/>
              </w:rPr>
              <w:t xml:space="preserve">2017 </w:t>
            </w:r>
            <w:r>
              <w:rPr>
                <w:rFonts w:ascii="Arial" w:cs="Arial" w:eastAsia="Arial" w:hAnsi="Arial"/>
                <w:sz w:val="5"/>
                <w:szCs w:val="5"/>
                <w:b w:val="1"/>
                <w:bCs w:val="1"/>
                <w:color w:val="auto"/>
                <w:w w:val="96"/>
              </w:rPr>
              <w:t>(a)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 xml:space="preserve">2016 </w:t>
            </w:r>
            <w:r>
              <w:rPr>
                <w:rFonts w:ascii="Arial" w:cs="Arial" w:eastAsia="Arial" w:hAnsi="Arial"/>
                <w:sz w:val="5"/>
                <w:szCs w:val="5"/>
                <w:b w:val="1"/>
                <w:bCs w:val="1"/>
                <w:color w:val="auto"/>
              </w:rPr>
              <w:t>(a)</w:t>
            </w:r>
          </w:p>
        </w:tc>
      </w:tr>
      <w:tr>
        <w:trPr>
          <w:trHeight w:val="173"/>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700" w:type="dxa"/>
            <w:vAlign w:val="bottom"/>
            <w:shd w:val="clear" w:color="auto" w:fill="CCEEFF"/>
          </w:tcPr>
          <w:p>
            <w:pPr>
              <w:jc w:val="right"/>
              <w:ind w:right="564"/>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Income (Loss), net of tax</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 on derivatives, net of income tax expense of $2, $7, and $0</w:t>
            </w:r>
          </w:p>
        </w:tc>
        <w:tc>
          <w:tcPr>
            <w:tcW w:w="7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r>
      <w:tr>
        <w:trPr>
          <w:trHeight w:val="169"/>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 comprehensive income</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r>
      <w:tr>
        <w:trPr>
          <w:trHeight w:val="178"/>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Income (Loss)</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r>
      <w:tr>
        <w:trPr>
          <w:trHeight w:val="171"/>
        </w:trPr>
        <w:tc>
          <w:tcPr>
            <w:tcW w:w="8160" w:type="dxa"/>
            <w:vAlign w:val="bottom"/>
          </w:tcPr>
          <w:p>
            <w:pPr>
              <w:ind w:left="100"/>
              <w:spacing w:after="0"/>
              <w:rPr>
                <w:sz w:val="20"/>
                <w:szCs w:val="20"/>
                <w:color w:val="auto"/>
              </w:rPr>
            </w:pPr>
            <w:r>
              <w:rPr>
                <w:rFonts w:ascii="Arial" w:cs="Arial" w:eastAsia="Arial" w:hAnsi="Arial"/>
                <w:sz w:val="12"/>
                <w:szCs w:val="12"/>
                <w:color w:val="auto"/>
              </w:rPr>
              <w:t>Less: Pre-acquisition net income (loss) of Drop Down Assets</w:t>
            </w:r>
          </w:p>
        </w:tc>
        <w:tc>
          <w:tcPr>
            <w:tcW w:w="700" w:type="dxa"/>
            <w:vAlign w:val="bottom"/>
          </w:tcPr>
          <w:p>
            <w:pPr>
              <w:spacing w:after="0"/>
              <w:rPr>
                <w:sz w:val="14"/>
                <w:szCs w:val="14"/>
                <w:color w:val="auto"/>
              </w:rPr>
            </w:pPr>
          </w:p>
        </w:tc>
        <w:tc>
          <w:tcPr>
            <w:tcW w:w="34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(4)</w:t>
            </w:r>
          </w:p>
        </w:tc>
      </w:tr>
      <w:tr>
        <w:trPr>
          <w:trHeight w:val="180"/>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Comprehensive income (loss) attributable to noncontrolling interests</w:t>
            </w:r>
          </w:p>
        </w:tc>
        <w:tc>
          <w:tcPr>
            <w:tcW w:w="7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(37)</w:t>
            </w:r>
          </w:p>
        </w:tc>
      </w:tr>
      <w:tr>
        <w:trPr>
          <w:trHeight w:val="185"/>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Comprehensive Income (Loss) Attributable to Clearway Energy, Inc.</w:t>
            </w:r>
          </w:p>
        </w:tc>
        <w:tc>
          <w:tcPr>
            <w:tcW w:w="700" w:type="dxa"/>
            <w:vAlign w:val="bottom"/>
            <w:tcBorders>
              <w:bottom w:val="single" w:sz="8" w:color="auto"/>
            </w:tcBorders>
          </w:tcPr>
          <w:p>
            <w:pPr>
              <w:jc w:val="right"/>
              <w:ind w:right="56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14243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80"/>
          </w:cols>
          <w:pgMar w:left="220" w:top="514" w:right="19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2"/>
          <w:szCs w:val="12"/>
          <w:b w:val="1"/>
          <w:bCs w:val="1"/>
          <w:color w:val="auto"/>
        </w:rPr>
        <w:t>CLEARWAY ENERGY, INC.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CONSOLIDATED BALANCE SHEETS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24"/>
        </w:trPr>
        <w:tc>
          <w:tcPr>
            <w:tcW w:w="77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December 31, 2018</w:t>
            </w:r>
          </w:p>
        </w:tc>
        <w:tc>
          <w:tcPr>
            <w:tcW w:w="3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w w:val="94"/>
              </w:rPr>
              <w:t xml:space="preserve">December 31, 2017 </w:t>
            </w:r>
            <w:r>
              <w:rPr>
                <w:rFonts w:ascii="Arial" w:cs="Arial" w:eastAsia="Arial" w:hAnsi="Arial"/>
                <w:sz w:val="5"/>
                <w:szCs w:val="5"/>
                <w:b w:val="1"/>
                <w:bCs w:val="1"/>
                <w:color w:val="auto"/>
                <w:w w:val="94"/>
              </w:rPr>
              <w:t>(a)</w:t>
            </w:r>
          </w:p>
        </w:tc>
        <w:tc>
          <w:tcPr>
            <w:tcW w:w="0" w:type="dxa"/>
            <w:vAlign w:val="bottom"/>
          </w:tcPr>
          <w:p>
            <w:pPr>
              <w:spacing w:after="0"/>
              <w:rPr>
                <w:sz w:val="1"/>
                <w:szCs w:val="1"/>
                <w:color w:val="auto"/>
              </w:rPr>
            </w:pPr>
          </w:p>
        </w:tc>
      </w:tr>
      <w:tr>
        <w:trPr>
          <w:trHeight w:val="164"/>
        </w:trPr>
        <w:tc>
          <w:tcPr>
            <w:tcW w:w="7740" w:type="dxa"/>
            <w:vAlign w:val="bottom"/>
          </w:tcPr>
          <w:p>
            <w:pPr>
              <w:ind w:left="3640"/>
              <w:spacing w:after="0"/>
              <w:rPr>
                <w:sz w:val="20"/>
                <w:szCs w:val="20"/>
                <w:color w:val="auto"/>
              </w:rPr>
            </w:pPr>
            <w:r>
              <w:rPr>
                <w:rFonts w:ascii="Arial" w:cs="Arial" w:eastAsia="Arial" w:hAnsi="Arial"/>
                <w:sz w:val="12"/>
                <w:szCs w:val="12"/>
                <w:b w:val="1"/>
                <w:bCs w:val="1"/>
                <w:color w:val="auto"/>
              </w:rPr>
              <w:t>ASSETS</w:t>
            </w:r>
          </w:p>
        </w:tc>
        <w:tc>
          <w:tcPr>
            <w:tcW w:w="260" w:type="dxa"/>
            <w:vAlign w:val="bottom"/>
          </w:tcPr>
          <w:p>
            <w:pPr>
              <w:spacing w:after="0"/>
              <w:rPr>
                <w:sz w:val="14"/>
                <w:szCs w:val="14"/>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(In millions)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407</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cash</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Accounts receivable — trade</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Inventory</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Notes receivable — current</w:t>
            </w:r>
          </w:p>
        </w:tc>
        <w:tc>
          <w:tcPr>
            <w:tcW w:w="26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Prepayments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9"/>
        </w:trPr>
        <w:tc>
          <w:tcPr>
            <w:tcW w:w="7740" w:type="dxa"/>
            <w:vAlign w:val="bottom"/>
          </w:tcPr>
          <w:p>
            <w:pPr>
              <w:ind w:left="240"/>
              <w:spacing w:after="0"/>
              <w:rPr>
                <w:sz w:val="20"/>
                <w:szCs w:val="20"/>
                <w:color w:val="auto"/>
              </w:rPr>
            </w:pPr>
            <w:r>
              <w:rPr>
                <w:rFonts w:ascii="Arial" w:cs="Arial" w:eastAsia="Arial" w:hAnsi="Arial"/>
                <w:sz w:val="11"/>
                <w:szCs w:val="11"/>
                <w:color w:val="auto"/>
              </w:rPr>
              <w:t>Total current assets</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756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Property, plant and equipment, net</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5,410</w:t>
            </w:r>
          </w:p>
        </w:tc>
        <w:tc>
          <w:tcPr>
            <w:tcW w:w="0" w:type="dxa"/>
            <w:vAlign w:val="bottom"/>
          </w:tcPr>
          <w:p>
            <w:pPr>
              <w:spacing w:after="0"/>
              <w:rPr>
                <w:sz w:val="1"/>
                <w:szCs w:val="1"/>
                <w:color w:val="auto"/>
              </w:rPr>
            </w:pPr>
          </w:p>
        </w:tc>
      </w:tr>
      <w:tr>
        <w:trPr>
          <w:trHeight w:val="158"/>
        </w:trPr>
        <w:tc>
          <w:tcPr>
            <w:tcW w:w="7740" w:type="dxa"/>
            <w:vAlign w:val="bottom"/>
          </w:tcPr>
          <w:p>
            <w:pPr>
              <w:spacing w:after="0"/>
              <w:rPr>
                <w:sz w:val="20"/>
                <w:szCs w:val="20"/>
                <w:color w:val="auto"/>
              </w:rPr>
            </w:pPr>
            <w:r>
              <w:rPr>
                <w:rFonts w:ascii="Arial" w:cs="Arial" w:eastAsia="Arial" w:hAnsi="Arial"/>
                <w:sz w:val="11"/>
                <w:szCs w:val="11"/>
                <w:b w:val="1"/>
                <w:bCs w:val="1"/>
                <w:color w:val="auto"/>
              </w:rPr>
              <w:t>Other Assets</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 investments in affiliates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Intangible assets, net</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1,156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1,228</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Derivative instruments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Deferred income taxes</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Total other assets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2,499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2,597</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8,500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8,489</w:t>
            </w:r>
          </w:p>
        </w:tc>
        <w:tc>
          <w:tcPr>
            <w:tcW w:w="0" w:type="dxa"/>
            <w:vAlign w:val="bottom"/>
          </w:tcPr>
          <w:p>
            <w:pPr>
              <w:spacing w:after="0"/>
              <w:rPr>
                <w:sz w:val="1"/>
                <w:szCs w:val="1"/>
                <w:color w:val="auto"/>
              </w:rPr>
            </w:pPr>
          </w:p>
        </w:tc>
      </w:tr>
      <w:tr>
        <w:trPr>
          <w:trHeight w:val="165"/>
        </w:trPr>
        <w:tc>
          <w:tcPr>
            <w:tcW w:w="7740" w:type="dxa"/>
            <w:vAlign w:val="bottom"/>
          </w:tcPr>
          <w:p>
            <w:pPr>
              <w:ind w:left="2560"/>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Current portion of long-term debt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535</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Accounts payable — trade</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Accounts payable — affiliate</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Derivative instruments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Accrued interest expense</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expenses and other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Total current liabilities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704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Other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Long-term debt</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5,447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5,659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Derivative instruments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71"/>
        </w:trPr>
        <w:tc>
          <w:tcPr>
            <w:tcW w:w="77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9"/>
        </w:trPr>
        <w:tc>
          <w:tcPr>
            <w:tcW w:w="77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Total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5,572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5,790</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6,276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6,330</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w:t>
            </w:r>
          </w:p>
        </w:tc>
        <w:tc>
          <w:tcPr>
            <w:tcW w:w="2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4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stock, $0.01 par value; 10,000,000 shares authorized; none issued</w:t>
            </w:r>
          </w:p>
        </w:tc>
        <w:tc>
          <w:tcPr>
            <w:tcW w:w="2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77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100"/>
              <w:spacing w:after="0"/>
              <w:rPr>
                <w:sz w:val="20"/>
                <w:szCs w:val="20"/>
                <w:color w:val="auto"/>
              </w:rPr>
            </w:pPr>
            <w:r>
              <w:rPr>
                <w:rFonts w:ascii="Arial" w:cs="Arial" w:eastAsia="Arial" w:hAnsi="Arial"/>
                <w:sz w:val="11"/>
                <w:szCs w:val="11"/>
                <w:color w:val="auto"/>
                <w:w w:val="89"/>
              </w:rPr>
              <w:t>Class A, Class B, Class C and Class D common stock, $0.01 par value; 3,000,000,000 shares authorized (Class A 500,000,000, Class B 500,000,000, Class C 1,000,000,000,</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740" w:type="dxa"/>
            <w:vAlign w:val="bottom"/>
          </w:tcPr>
          <w:p>
            <w:pPr>
              <w:ind w:left="100"/>
              <w:spacing w:after="0"/>
              <w:rPr>
                <w:sz w:val="20"/>
                <w:szCs w:val="20"/>
                <w:color w:val="auto"/>
              </w:rPr>
            </w:pPr>
            <w:r>
              <w:rPr>
                <w:rFonts w:ascii="Arial" w:cs="Arial" w:eastAsia="Arial" w:hAnsi="Arial"/>
                <w:sz w:val="11"/>
                <w:szCs w:val="11"/>
                <w:color w:val="auto"/>
                <w:w w:val="88"/>
              </w:rPr>
              <w:t>Class D 1,000,000,000); 193,251,396 shares issued and outstanding (Class A 34,586,250, Class B 42,738,750, Class C 73,187,646, Class D 42,738,750) at December 31, 2018</w:t>
            </w: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740" w:type="dxa"/>
            <w:vAlign w:val="bottom"/>
          </w:tcPr>
          <w:p>
            <w:pPr>
              <w:ind w:left="100"/>
              <w:spacing w:after="0"/>
              <w:rPr>
                <w:sz w:val="20"/>
                <w:szCs w:val="20"/>
                <w:color w:val="auto"/>
              </w:rPr>
            </w:pPr>
            <w:r>
              <w:rPr>
                <w:rFonts w:ascii="Arial" w:cs="Arial" w:eastAsia="Arial" w:hAnsi="Arial"/>
                <w:sz w:val="11"/>
                <w:szCs w:val="11"/>
                <w:color w:val="auto"/>
              </w:rPr>
              <w:t>and 184,780,837 shares issued and outstanding (Class A 34,586,250, Class B 42,738,750, Class C 64,717,087, Class D 42,738,750) at December 31, 2017</w:t>
            </w:r>
          </w:p>
        </w:tc>
        <w:tc>
          <w:tcPr>
            <w:tcW w:w="260" w:type="dxa"/>
            <w:vAlign w:val="bottom"/>
          </w:tcPr>
          <w:p>
            <w:pPr>
              <w:spacing w:after="0"/>
              <w:rPr>
                <w:sz w:val="11"/>
                <w:szCs w:val="11"/>
                <w:color w:val="auto"/>
              </w:rPr>
            </w:pPr>
          </w:p>
        </w:tc>
        <w:tc>
          <w:tcPr>
            <w:tcW w:w="1460" w:type="dxa"/>
            <w:vAlign w:val="bottom"/>
            <w:vMerge w:val="restart"/>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vMerge w:val="restart"/>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67"/>
        </w:trPr>
        <w:tc>
          <w:tcPr>
            <w:tcW w:w="7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Additional paid-in capital</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1,897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1,843</w:t>
            </w:r>
          </w:p>
        </w:tc>
        <w:tc>
          <w:tcPr>
            <w:tcW w:w="0" w:type="dxa"/>
            <w:vAlign w:val="bottom"/>
          </w:tcPr>
          <w:p>
            <w:pPr>
              <w:spacing w:after="0"/>
              <w:rPr>
                <w:sz w:val="1"/>
                <w:szCs w:val="1"/>
                <w:color w:val="auto"/>
              </w:rPr>
            </w:pPr>
          </w:p>
        </w:tc>
      </w:tr>
      <w:tr>
        <w:trPr>
          <w:trHeight w:val="171"/>
        </w:trPr>
        <w:tc>
          <w:tcPr>
            <w:tcW w:w="7740" w:type="dxa"/>
            <w:vAlign w:val="bottom"/>
          </w:tcPr>
          <w:p>
            <w:pPr>
              <w:ind w:left="100"/>
              <w:spacing w:after="0"/>
              <w:rPr>
                <w:sz w:val="20"/>
                <w:szCs w:val="20"/>
                <w:color w:val="auto"/>
              </w:rPr>
            </w:pPr>
            <w:r>
              <w:rPr>
                <w:rFonts w:ascii="Arial" w:cs="Arial" w:eastAsia="Arial" w:hAnsi="Arial"/>
                <w:sz w:val="11"/>
                <w:szCs w:val="11"/>
                <w:color w:val="auto"/>
              </w:rPr>
              <w:t>Accumulated deficit</w:t>
            </w:r>
          </w:p>
        </w:tc>
        <w:tc>
          <w:tcPr>
            <w:tcW w:w="260" w:type="dxa"/>
            <w:vAlign w:val="bottom"/>
          </w:tcPr>
          <w:p>
            <w:pPr>
              <w:spacing w:after="0"/>
              <w:rPr>
                <w:sz w:val="14"/>
                <w:szCs w:val="14"/>
                <w:color w:val="auto"/>
              </w:rPr>
            </w:pPr>
          </w:p>
        </w:tc>
        <w:tc>
          <w:tcPr>
            <w:tcW w:w="1460" w:type="dxa"/>
            <w:vAlign w:val="bottom"/>
          </w:tcPr>
          <w:p>
            <w:pPr>
              <w:jc w:val="right"/>
              <w:ind w:right="21"/>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2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71"/>
        </w:trPr>
        <w:tc>
          <w:tcPr>
            <w:tcW w:w="77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Noncontrolling interest</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402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412</w:t>
            </w:r>
          </w:p>
        </w:tc>
        <w:tc>
          <w:tcPr>
            <w:tcW w:w="0" w:type="dxa"/>
            <w:vAlign w:val="bottom"/>
          </w:tcPr>
          <w:p>
            <w:pPr>
              <w:spacing w:after="0"/>
              <w:rPr>
                <w:sz w:val="1"/>
                <w:szCs w:val="1"/>
                <w:color w:val="auto"/>
              </w:rPr>
            </w:pPr>
          </w:p>
        </w:tc>
      </w:tr>
      <w:tr>
        <w:trPr>
          <w:trHeight w:val="169"/>
        </w:trPr>
        <w:tc>
          <w:tcPr>
            <w:tcW w:w="7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Stockholders'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2,224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2,159</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20"/>
                <w:szCs w:val="20"/>
                <w:color w:val="auto"/>
              </w:rPr>
            </w:pPr>
            <w:r>
              <w:rPr>
                <w:rFonts w:ascii="Arial" w:cs="Arial" w:eastAsia="Arial" w:hAnsi="Arial"/>
                <w:sz w:val="11"/>
                <w:szCs w:val="11"/>
                <w:b w:val="1"/>
                <w:bCs w:val="1"/>
                <w:color w:val="auto"/>
              </w:rPr>
              <w:t>Total Liabilities and Stockholders' Equity</w:t>
            </w: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8,500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142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20"/>
          </w:cols>
          <w:pgMar w:left="220" w:top="514"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5"/>
              </w:rPr>
              <w:t>Year ended December 31,</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5"/>
        </w:trPr>
        <w:tc>
          <w:tcPr>
            <w:tcW w:w="8160" w:type="dxa"/>
            <w:vAlign w:val="bottom"/>
          </w:tcPr>
          <w:p>
            <w:pPr>
              <w:spacing w:after="0"/>
              <w:rPr>
                <w:sz w:val="14"/>
                <w:szCs w:val="14"/>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w w:val="98"/>
              </w:rPr>
              <w:t>2018</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6"/>
              </w:rPr>
              <w:t xml:space="preserve">2017 </w:t>
            </w:r>
            <w:r>
              <w:rPr>
                <w:rFonts w:ascii="Arial" w:cs="Arial" w:eastAsia="Arial" w:hAnsi="Arial"/>
                <w:sz w:val="5"/>
                <w:szCs w:val="5"/>
                <w:b w:val="1"/>
                <w:bCs w:val="1"/>
                <w:color w:val="auto"/>
                <w:w w:val="96"/>
              </w:rPr>
              <w:t>(a)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 xml:space="preserve">2016 </w:t>
            </w:r>
            <w:r>
              <w:rPr>
                <w:rFonts w:ascii="Arial" w:cs="Arial" w:eastAsia="Arial" w:hAnsi="Arial"/>
                <w:sz w:val="5"/>
                <w:szCs w:val="5"/>
                <w:b w:val="1"/>
                <w:bCs w:val="1"/>
                <w:color w:val="auto"/>
              </w:rPr>
              <w:t>(a)</w:t>
            </w:r>
          </w:p>
        </w:tc>
      </w:tr>
      <w:tr>
        <w:trPr>
          <w:trHeight w:val="155"/>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(In millions)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54</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Equity in earnings of unconsolidated affiliates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(60)</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Distributions from unconsolidated affiliates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58</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Depreciation and amortization</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331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334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303</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Amortization of financing costs and debt discounts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20</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Amortization of intangibles and out-of-market contracts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76</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Loss on debt extinguishment</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Change in deferred income taxes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Impairment losses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185</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Changes in derivative instruments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(Gain) loss on disposal of asset components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6</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Cash provided by (used in) changes in other working capital:</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Changes in prepaid and accrued capacity payments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(8)</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Changes in other working capital</w:t>
            </w:r>
          </w:p>
        </w:tc>
        <w:tc>
          <w:tcPr>
            <w:tcW w:w="6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w:t>
            </w:r>
          </w:p>
        </w:tc>
      </w:tr>
      <w:tr>
        <w:trPr>
          <w:trHeight w:val="138"/>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Net Cash Provided by Operating Activities</w:t>
            </w: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498</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517</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577</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6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Acquisition of business</w:t>
            </w:r>
          </w:p>
        </w:tc>
        <w:tc>
          <w:tcPr>
            <w:tcW w:w="660" w:type="dxa"/>
            <w:vAlign w:val="bottom"/>
          </w:tcPr>
          <w:p>
            <w:pPr>
              <w:spacing w:after="0"/>
              <w:rPr>
                <w:sz w:val="13"/>
                <w:szCs w:val="13"/>
                <w:color w:val="auto"/>
              </w:rPr>
            </w:pP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 of Drop Down Assets, net of cash acquired</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(126)</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(77)</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Capital expenditures</w:t>
            </w:r>
          </w:p>
        </w:tc>
        <w:tc>
          <w:tcPr>
            <w:tcW w:w="660" w:type="dxa"/>
            <w:vAlign w:val="bottom"/>
          </w:tcPr>
          <w:p>
            <w:pPr>
              <w:spacing w:after="0"/>
              <w:rPr>
                <w:sz w:val="13"/>
                <w:szCs w:val="13"/>
                <w:color w:val="auto"/>
              </w:rPr>
            </w:pP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(20)</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Cash receipts from notes receivable</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Return of investment from unconsolidated affiliates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28</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Investments in unconsolidated affiliates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(83)</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Other</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4</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(131)</w:t>
            </w:r>
          </w:p>
        </w:tc>
      </w:tr>
      <w:tr>
        <w:trPr>
          <w:trHeight w:val="147"/>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contributions from noncontrolling interests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Net distributions and return of capital to NRG prior to the acquisition of Drop Down Assets</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(184)</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Proceeds from the issuance of common stock</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Payments of dividends and distributions</w:t>
            </w:r>
          </w:p>
        </w:tc>
        <w:tc>
          <w:tcPr>
            <w:tcW w:w="660" w:type="dxa"/>
            <w:vAlign w:val="bottom"/>
          </w:tcPr>
          <w:p>
            <w:pPr>
              <w:spacing w:after="0"/>
              <w:rPr>
                <w:sz w:val="13"/>
                <w:szCs w:val="13"/>
                <w:color w:val="auto"/>
              </w:rPr>
            </w:pP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(238)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(173)</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Proceeds from the revolving credit facility</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60</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Payments for the revolving credit facility</w:t>
            </w:r>
          </w:p>
        </w:tc>
        <w:tc>
          <w:tcPr>
            <w:tcW w:w="660" w:type="dxa"/>
            <w:vAlign w:val="bottom"/>
          </w:tcPr>
          <w:p>
            <w:pPr>
              <w:spacing w:after="0"/>
              <w:rPr>
                <w:sz w:val="13"/>
                <w:szCs w:val="13"/>
                <w:color w:val="auto"/>
              </w:rPr>
            </w:pP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(366)</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Proceeds from issuance of long-term debt</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827</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210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740</w:t>
            </w:r>
          </w:p>
        </w:tc>
      </w:tr>
      <w:tr>
        <w:trPr>
          <w:trHeight w:val="158"/>
        </w:trPr>
        <w:tc>
          <w:tcPr>
            <w:tcW w:w="8160" w:type="dxa"/>
            <w:vAlign w:val="bottom"/>
          </w:tcPr>
          <w:p>
            <w:pPr>
              <w:ind w:left="240"/>
              <w:spacing w:after="0"/>
              <w:rPr>
                <w:sz w:val="20"/>
                <w:szCs w:val="20"/>
                <w:color w:val="auto"/>
              </w:rPr>
            </w:pPr>
            <w:r>
              <w:rPr>
                <w:rFonts w:ascii="Arial" w:cs="Arial" w:eastAsia="Arial" w:hAnsi="Arial"/>
                <w:sz w:val="11"/>
                <w:szCs w:val="11"/>
                <w:color w:val="auto"/>
              </w:rPr>
              <w:t>Payments of debt issuance costs</w:t>
            </w:r>
          </w:p>
        </w:tc>
        <w:tc>
          <w:tcPr>
            <w:tcW w:w="660" w:type="dxa"/>
            <w:vAlign w:val="bottom"/>
          </w:tcPr>
          <w:p>
            <w:pPr>
              <w:spacing w:after="0"/>
              <w:rPr>
                <w:sz w:val="13"/>
                <w:szCs w:val="13"/>
                <w:color w:val="auto"/>
              </w:rPr>
            </w:pPr>
          </w:p>
        </w:tc>
        <w:tc>
          <w:tcPr>
            <w:tcW w:w="380" w:type="dxa"/>
            <w:vAlign w:val="bottom"/>
          </w:tcPr>
          <w:p>
            <w:pPr>
              <w:jc w:val="right"/>
              <w:ind w:right="27"/>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(15)</w:t>
            </w:r>
          </w:p>
        </w:tc>
      </w:tr>
      <w:tr>
        <w:trPr>
          <w:trHeight w:val="22"/>
        </w:trPr>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Payments for long-term debt</w:t>
            </w:r>
          </w:p>
        </w:tc>
        <w:tc>
          <w:tcPr>
            <w:tcW w:w="6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(810)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(332)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(269)</w:t>
            </w:r>
          </w:p>
        </w:tc>
      </w:tr>
      <w:tr>
        <w:trPr>
          <w:trHeight w:val="138"/>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(257)</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(202)</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Increase (Decrease) in Cash, Cash Equivalents and Restricted Cash</w:t>
            </w:r>
          </w:p>
        </w:tc>
        <w:tc>
          <w:tcPr>
            <w:tcW w:w="6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267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(182)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244</w:t>
            </w:r>
          </w:p>
        </w:tc>
      </w:tr>
      <w:tr>
        <w:trPr>
          <w:trHeight w:val="158"/>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Cash, Cash Equivalents and Restricted Cash at Beginning of Period</w:t>
            </w:r>
          </w:p>
        </w:tc>
        <w:tc>
          <w:tcPr>
            <w:tcW w:w="660" w:type="dxa"/>
            <w:vAlign w:val="bottom"/>
          </w:tcPr>
          <w:p>
            <w:pPr>
              <w:spacing w:after="0"/>
              <w:rPr>
                <w:sz w:val="13"/>
                <w:szCs w:val="13"/>
                <w:color w:val="auto"/>
              </w:rPr>
            </w:pPr>
          </w:p>
        </w:tc>
        <w:tc>
          <w:tcPr>
            <w:tcW w:w="380" w:type="dxa"/>
            <w:vAlign w:val="bottom"/>
          </w:tcPr>
          <w:p>
            <w:pPr>
              <w:jc w:val="right"/>
              <w:ind w:right="67"/>
              <w:spacing w:after="0"/>
              <w:rPr>
                <w:sz w:val="20"/>
                <w:szCs w:val="20"/>
                <w:color w:val="auto"/>
              </w:rPr>
            </w:pPr>
            <w:r>
              <w:rPr>
                <w:rFonts w:ascii="Arial" w:cs="Arial" w:eastAsia="Arial" w:hAnsi="Arial"/>
                <w:sz w:val="11"/>
                <w:szCs w:val="11"/>
                <w:color w:val="auto"/>
              </w:rPr>
              <w:t>316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254</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7"/>
        </w:trPr>
        <w:tc>
          <w:tcPr>
            <w:tcW w:w="8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Cash Equivalents and Restricted Cash at End of Period</w:t>
            </w:r>
          </w:p>
        </w:tc>
        <w:tc>
          <w:tcPr>
            <w:tcW w:w="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583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316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498</w:t>
            </w:r>
          </w:p>
        </w:tc>
      </w:tr>
      <w:tr>
        <w:trPr>
          <w:trHeight w:val="117"/>
        </w:trPr>
        <w:tc>
          <w:tcPr>
            <w:tcW w:w="816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6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Disclosures</w:t>
            </w: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76"/>
        </w:trPr>
        <w:tc>
          <w:tcPr>
            <w:tcW w:w="8160" w:type="dxa"/>
            <w:vAlign w:val="bottom"/>
          </w:tcPr>
          <w:p>
            <w:pPr>
              <w:ind w:left="180"/>
              <w:spacing w:after="0"/>
              <w:rPr>
                <w:sz w:val="20"/>
                <w:szCs w:val="20"/>
                <w:color w:val="auto"/>
              </w:rPr>
            </w:pPr>
            <w:r>
              <w:rPr>
                <w:rFonts w:ascii="Arial" w:cs="Arial" w:eastAsia="Arial" w:hAnsi="Arial"/>
                <w:sz w:val="10"/>
                <w:szCs w:val="10"/>
                <w:color w:val="auto"/>
              </w:rPr>
              <w:t>Interest paid, net of amount capitalized</w:t>
            </w:r>
          </w:p>
        </w:tc>
        <w:tc>
          <w:tcPr>
            <w:tcW w:w="660" w:type="dxa"/>
            <w:vAlign w:val="bottom"/>
          </w:tcPr>
          <w:p>
            <w:pPr>
              <w:ind w:left="2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27"/>
              <w:spacing w:after="0"/>
              <w:rPr>
                <w:sz w:val="20"/>
                <w:szCs w:val="20"/>
                <w:color w:val="auto"/>
              </w:rPr>
            </w:pPr>
            <w:r>
              <w:rPr>
                <w:rFonts w:ascii="Arial" w:cs="Arial" w:eastAsia="Arial" w:hAnsi="Arial"/>
                <w:sz w:val="10"/>
                <w:szCs w:val="10"/>
                <w:color w:val="auto"/>
              </w:rPr>
              <w:t>(292)</w:t>
            </w:r>
          </w:p>
        </w:tc>
        <w:tc>
          <w:tcPr>
            <w:tcW w:w="28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7"/>
              <w:spacing w:after="0"/>
              <w:rPr>
                <w:sz w:val="20"/>
                <w:szCs w:val="20"/>
                <w:color w:val="auto"/>
              </w:rPr>
            </w:pPr>
            <w:r>
              <w:rPr>
                <w:rFonts w:ascii="Arial" w:cs="Arial" w:eastAsia="Arial" w:hAnsi="Arial"/>
                <w:sz w:val="10"/>
                <w:szCs w:val="10"/>
                <w:color w:val="auto"/>
              </w:rPr>
              <w:t>(297)</w:t>
            </w:r>
          </w:p>
        </w:tc>
        <w:tc>
          <w:tcPr>
            <w:tcW w:w="1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7"/>
              <w:spacing w:after="0"/>
              <w:rPr>
                <w:sz w:val="20"/>
                <w:szCs w:val="20"/>
                <w:color w:val="auto"/>
              </w:rPr>
            </w:pPr>
            <w:r>
              <w:rPr>
                <w:rFonts w:ascii="Arial" w:cs="Arial" w:eastAsia="Arial" w:hAnsi="Arial"/>
                <w:sz w:val="10"/>
                <w:szCs w:val="10"/>
                <w:color w:val="auto"/>
              </w:rPr>
              <w:t>(271)</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Non-cash investing and financing activities: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8160" w:type="dxa"/>
            <w:vAlign w:val="bottom"/>
          </w:tcPr>
          <w:p>
            <w:pPr>
              <w:ind w:left="180"/>
              <w:spacing w:after="0"/>
              <w:rPr>
                <w:sz w:val="20"/>
                <w:szCs w:val="20"/>
                <w:color w:val="auto"/>
              </w:rPr>
            </w:pPr>
            <w:r>
              <w:rPr>
                <w:rFonts w:ascii="Arial" w:cs="Arial" w:eastAsia="Arial" w:hAnsi="Arial"/>
                <w:sz w:val="10"/>
                <w:szCs w:val="10"/>
                <w:color w:val="auto"/>
              </w:rPr>
              <w:t>(Reductions) Additions to fixed assets for accrued capital expenditures</w:t>
            </w:r>
          </w:p>
        </w:tc>
        <w:tc>
          <w:tcPr>
            <w:tcW w:w="660" w:type="dxa"/>
            <w:vAlign w:val="bottom"/>
          </w:tcPr>
          <w:p>
            <w:pPr>
              <w:spacing w:after="0"/>
              <w:rPr>
                <w:sz w:val="15"/>
                <w:szCs w:val="15"/>
                <w:color w:val="auto"/>
              </w:rPr>
            </w:pPr>
          </w:p>
        </w:tc>
        <w:tc>
          <w:tcPr>
            <w:tcW w:w="380" w:type="dxa"/>
            <w:vAlign w:val="bottom"/>
          </w:tcPr>
          <w:p>
            <w:pPr>
              <w:jc w:val="right"/>
              <w:ind w:right="27"/>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7"/>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7"/>
              <w:spacing w:after="0"/>
              <w:rPr>
                <w:sz w:val="20"/>
                <w:szCs w:val="20"/>
                <w:color w:val="auto"/>
              </w:rPr>
            </w:pPr>
            <w:r>
              <w:rPr>
                <w:rFonts w:ascii="Arial" w:cs="Arial" w:eastAsia="Arial" w:hAnsi="Arial"/>
                <w:sz w:val="10"/>
                <w:szCs w:val="10"/>
                <w:color w:val="auto"/>
              </w:rPr>
              <w:t>3</w:t>
            </w:r>
          </w:p>
        </w:tc>
      </w:tr>
      <w:tr>
        <w:trPr>
          <w:trHeight w:val="184"/>
        </w:trPr>
        <w:tc>
          <w:tcPr>
            <w:tcW w:w="81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Non-cash adjustment for change in tax basis of assets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44</w:t>
            </w:r>
          </w:p>
        </w:tc>
      </w:tr>
      <w:tr>
        <w:trPr>
          <w:trHeight w:val="172"/>
        </w:trPr>
        <w:tc>
          <w:tcPr>
            <w:tcW w:w="8160" w:type="dxa"/>
            <w:vAlign w:val="bottom"/>
          </w:tcPr>
          <w:p>
            <w:pPr>
              <w:ind w:left="180"/>
              <w:spacing w:after="0"/>
              <w:rPr>
                <w:sz w:val="20"/>
                <w:szCs w:val="20"/>
                <w:color w:val="auto"/>
              </w:rPr>
            </w:pPr>
            <w:r>
              <w:rPr>
                <w:rFonts w:ascii="Arial" w:cs="Arial" w:eastAsia="Arial" w:hAnsi="Arial"/>
                <w:sz w:val="10"/>
                <w:szCs w:val="10"/>
                <w:color w:val="auto"/>
              </w:rPr>
              <w:t>Non-cash contributions from CEG, NRG, net of distributions</w:t>
            </w:r>
          </w:p>
        </w:tc>
        <w:tc>
          <w:tcPr>
            <w:tcW w:w="660" w:type="dxa"/>
            <w:vAlign w:val="bottom"/>
          </w:tcPr>
          <w:p>
            <w:pPr>
              <w:ind w:left="2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67"/>
              <w:spacing w:after="0"/>
              <w:rPr>
                <w:sz w:val="20"/>
                <w:szCs w:val="20"/>
                <w:color w:val="auto"/>
              </w:rPr>
            </w:pPr>
            <w:r>
              <w:rPr>
                <w:rFonts w:ascii="Arial" w:cs="Arial" w:eastAsia="Arial" w:hAnsi="Arial"/>
                <w:sz w:val="10"/>
                <w:szCs w:val="10"/>
                <w:color w:val="auto"/>
              </w:rPr>
              <w:t>38</w:t>
            </w:r>
          </w:p>
        </w:tc>
        <w:tc>
          <w:tcPr>
            <w:tcW w:w="28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7"/>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67"/>
              <w:spacing w:after="0"/>
              <w:rPr>
                <w:sz w:val="20"/>
                <w:szCs w:val="20"/>
                <w:color w:val="auto"/>
              </w:rPr>
            </w:pPr>
            <w:r>
              <w:rPr>
                <w:rFonts w:ascii="Arial" w:cs="Arial" w:eastAsia="Arial" w:hAnsi="Arial"/>
                <w:sz w:val="10"/>
                <w:szCs w:val="10"/>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135001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0010" cy="571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80"/>
          </w:cols>
          <w:pgMar w:left="220" w:top="514" w:right="199" w:bottom="1440" w:gutter="0" w:footer="0" w:header="0"/>
        </w:sectPr>
      </w:pPr>
    </w:p>
    <w:bookmarkStart w:id="83" w:name="page84"/>
    <w:bookmarkEnd w:id="83"/>
    <w:p>
      <w:pPr>
        <w:jc w:val="center"/>
        <w:ind w:right="-7"/>
        <w:spacing w:after="0"/>
        <w:rPr>
          <w:sz w:val="20"/>
          <w:szCs w:val="20"/>
          <w:color w:val="auto"/>
        </w:rPr>
      </w:pPr>
      <w:r>
        <w:rPr>
          <w:rFonts w:ascii="Arial" w:cs="Arial" w:eastAsia="Arial" w:hAnsi="Arial"/>
          <w:sz w:val="12"/>
          <w:szCs w:val="12"/>
          <w:b w:val="1"/>
          <w:bCs w:val="1"/>
          <w:color w:val="auto"/>
        </w:rPr>
        <w:t>CLEARWAY ENERGY, INC.</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4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Additional</w:t>
            </w: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5"/>
              </w:rPr>
              <w:t>Accumulated</w:t>
            </w: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jc w:val="center"/>
              <w:ind w:right="118"/>
              <w:spacing w:after="0"/>
              <w:rPr>
                <w:sz w:val="20"/>
                <w:szCs w:val="20"/>
                <w:color w:val="auto"/>
              </w:rPr>
            </w:pPr>
            <w:r>
              <w:rPr>
                <w:rFonts w:ascii="Arial" w:cs="Arial" w:eastAsia="Arial" w:hAnsi="Arial"/>
                <w:sz w:val="8"/>
                <w:szCs w:val="8"/>
                <w:b w:val="1"/>
                <w:bCs w:val="1"/>
                <w:color w:val="auto"/>
                <w:w w:val="93"/>
              </w:rPr>
              <w:t>Total</w:t>
            </w:r>
          </w:p>
        </w:tc>
      </w:tr>
      <w:tr>
        <w:trPr>
          <w:trHeight w:val="90"/>
        </w:trPr>
        <w:tc>
          <w:tcPr>
            <w:tcW w:w="4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rPr>
              <w:t>Other</w:t>
            </w:r>
          </w:p>
        </w:tc>
        <w:tc>
          <w:tcPr>
            <w:tcW w:w="180" w:type="dxa"/>
            <w:vAlign w:val="bottom"/>
          </w:tcPr>
          <w:p>
            <w:pPr>
              <w:spacing w:after="0"/>
              <w:rPr>
                <w:sz w:val="7"/>
                <w:szCs w:val="7"/>
                <w:color w:val="auto"/>
              </w:rPr>
            </w:pPr>
          </w:p>
        </w:tc>
        <w:tc>
          <w:tcPr>
            <w:tcW w:w="106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Noncontrolling</w:t>
            </w:r>
          </w:p>
        </w:tc>
        <w:tc>
          <w:tcPr>
            <w:tcW w:w="160" w:type="dxa"/>
            <w:vAlign w:val="bottom"/>
          </w:tcPr>
          <w:p>
            <w:pPr>
              <w:spacing w:after="0"/>
              <w:rPr>
                <w:sz w:val="7"/>
                <w:szCs w:val="7"/>
                <w:color w:val="auto"/>
              </w:rPr>
            </w:pPr>
          </w:p>
        </w:tc>
        <w:tc>
          <w:tcPr>
            <w:tcW w:w="860" w:type="dxa"/>
            <w:vAlign w:val="bottom"/>
          </w:tcPr>
          <w:p>
            <w:pPr>
              <w:jc w:val="center"/>
              <w:ind w:right="118"/>
              <w:spacing w:after="0" w:line="90" w:lineRule="exact"/>
              <w:rPr>
                <w:sz w:val="20"/>
                <w:szCs w:val="20"/>
                <w:color w:val="auto"/>
              </w:rPr>
            </w:pPr>
            <w:r>
              <w:rPr>
                <w:rFonts w:ascii="Arial" w:cs="Arial" w:eastAsia="Arial" w:hAnsi="Arial"/>
                <w:sz w:val="8"/>
                <w:szCs w:val="8"/>
                <w:b w:val="1"/>
                <w:bCs w:val="1"/>
                <w:color w:val="auto"/>
                <w:w w:val="94"/>
              </w:rPr>
              <w:t>Stockholders'</w:t>
            </w:r>
          </w:p>
        </w:tc>
      </w:tr>
      <w:tr>
        <w:trPr>
          <w:trHeight w:val="108"/>
        </w:trPr>
        <w:tc>
          <w:tcPr>
            <w:tcW w:w="4140" w:type="dxa"/>
            <w:vAlign w:val="bottom"/>
          </w:tcPr>
          <w:p>
            <w:pPr>
              <w:ind w:left="20"/>
              <w:spacing w:after="0"/>
              <w:rPr>
                <w:sz w:val="20"/>
                <w:szCs w:val="20"/>
                <w:color w:val="auto"/>
              </w:rPr>
            </w:pPr>
            <w:r>
              <w:rPr>
                <w:rFonts w:ascii="Arial" w:cs="Arial" w:eastAsia="Arial" w:hAnsi="Arial"/>
                <w:sz w:val="8"/>
                <w:szCs w:val="8"/>
                <w:b w:val="1"/>
                <w:bCs w:val="1"/>
                <w:color w:val="auto"/>
              </w:rPr>
              <w:t>(In millions)</w:t>
            </w: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w w:val="97"/>
              </w:rPr>
              <w:t>Preferred Stock</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w w:val="95"/>
              </w:rPr>
              <w:t>Common Stock</w:t>
            </w: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138"/>
              <w:spacing w:after="0"/>
              <w:rPr>
                <w:sz w:val="20"/>
                <w:szCs w:val="20"/>
                <w:color w:val="auto"/>
              </w:rPr>
            </w:pPr>
            <w:r>
              <w:rPr>
                <w:rFonts w:ascii="Arial" w:cs="Arial" w:eastAsia="Arial" w:hAnsi="Arial"/>
                <w:sz w:val="8"/>
                <w:szCs w:val="8"/>
                <w:b w:val="1"/>
                <w:bCs w:val="1"/>
                <w:color w:val="auto"/>
                <w:w w:val="97"/>
              </w:rPr>
              <w:t>Capital</w:t>
            </w: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93"/>
              </w:rPr>
              <w:t>Retained Earnings</w:t>
            </w: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w w:val="91"/>
              </w:rPr>
              <w:t>Comprehensive Loss</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b w:val="1"/>
                <w:bCs w:val="1"/>
                <w:color w:val="auto"/>
              </w:rPr>
              <w:t>Interest</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38"/>
              <w:spacing w:after="0"/>
              <w:rPr>
                <w:sz w:val="20"/>
                <w:szCs w:val="20"/>
                <w:color w:val="auto"/>
              </w:rPr>
            </w:pPr>
            <w:r>
              <w:rPr>
                <w:rFonts w:ascii="Arial" w:cs="Arial" w:eastAsia="Arial" w:hAnsi="Arial"/>
                <w:sz w:val="8"/>
                <w:szCs w:val="8"/>
                <w:b w:val="1"/>
                <w:bCs w:val="1"/>
                <w:color w:val="auto"/>
                <w:w w:val="97"/>
              </w:rPr>
              <w:t>Equity</w:t>
            </w:r>
          </w:p>
        </w:tc>
      </w:tr>
      <w:tr>
        <w:trPr>
          <w:trHeight w:val="136"/>
        </w:trPr>
        <w:tc>
          <w:tcPr>
            <w:tcW w:w="4140" w:type="dxa"/>
            <w:vAlign w:val="bottom"/>
          </w:tcPr>
          <w:p>
            <w:pPr>
              <w:ind w:left="20"/>
              <w:spacing w:after="0"/>
              <w:rPr>
                <w:sz w:val="20"/>
                <w:szCs w:val="20"/>
                <w:color w:val="auto"/>
              </w:rPr>
            </w:pPr>
            <w:r>
              <w:rPr>
                <w:rFonts w:ascii="Arial" w:cs="Arial" w:eastAsia="Arial" w:hAnsi="Arial"/>
                <w:sz w:val="10"/>
                <w:szCs w:val="10"/>
                <w:b w:val="1"/>
                <w:bCs w:val="1"/>
                <w:color w:val="auto"/>
              </w:rPr>
              <w:t>Balances at December 31, 2015</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11"/>
                <w:szCs w:val="11"/>
                <w:color w:val="auto"/>
              </w:rPr>
            </w:pPr>
          </w:p>
        </w:tc>
        <w:tc>
          <w:tcPr>
            <w:tcW w:w="160" w:type="dxa"/>
            <w:vAlign w:val="bottom"/>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1,855</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12</w:t>
            </w:r>
          </w:p>
        </w:tc>
        <w:tc>
          <w:tcPr>
            <w:tcW w:w="120" w:type="dxa"/>
            <w:vAlign w:val="bottom"/>
          </w:tcPr>
          <w:p>
            <w:pPr>
              <w:spacing w:after="0"/>
              <w:rPr>
                <w:sz w:val="11"/>
                <w:szCs w:val="11"/>
                <w:color w:val="auto"/>
              </w:rPr>
            </w:pP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1000" w:type="dxa"/>
            <w:vAlign w:val="bottom"/>
          </w:tcPr>
          <w:p>
            <w:pPr>
              <w:jc w:val="right"/>
              <w:ind w:right="38"/>
              <w:spacing w:after="0"/>
              <w:rPr>
                <w:sz w:val="20"/>
                <w:szCs w:val="20"/>
                <w:color w:val="auto"/>
              </w:rPr>
            </w:pPr>
            <w:r>
              <w:rPr>
                <w:rFonts w:ascii="Arial" w:cs="Arial" w:eastAsia="Arial" w:hAnsi="Arial"/>
                <w:sz w:val="8"/>
                <w:szCs w:val="8"/>
                <w:color w:val="auto"/>
              </w:rPr>
              <w:t>(27)</w:t>
            </w:r>
          </w:p>
        </w:tc>
        <w:tc>
          <w:tcPr>
            <w:tcW w:w="120" w:type="dxa"/>
            <w:vAlign w:val="bottom"/>
          </w:tcPr>
          <w:p>
            <w:pPr>
              <w:spacing w:after="0"/>
              <w:rPr>
                <w:sz w:val="11"/>
                <w:szCs w:val="11"/>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1,062</w:t>
            </w:r>
          </w:p>
        </w:tc>
        <w:tc>
          <w:tcPr>
            <w:tcW w:w="100" w:type="dxa"/>
            <w:vAlign w:val="bottom"/>
          </w:tcPr>
          <w:p>
            <w:pPr>
              <w:spacing w:after="0"/>
              <w:rPr>
                <w:sz w:val="11"/>
                <w:szCs w:val="11"/>
                <w:color w:val="auto"/>
              </w:rPr>
            </w:pPr>
          </w:p>
        </w:tc>
        <w:tc>
          <w:tcPr>
            <w:tcW w:w="160" w:type="dxa"/>
            <w:vAlign w:val="bottom"/>
          </w:tcPr>
          <w:p>
            <w:pPr>
              <w:jc w:val="right"/>
              <w:ind w:right="58"/>
              <w:spacing w:after="0"/>
              <w:rPr>
                <w:sz w:val="20"/>
                <w:szCs w:val="20"/>
                <w:color w:val="auto"/>
              </w:rPr>
            </w:pPr>
            <w:r>
              <w:rPr>
                <w:rFonts w:ascii="Arial" w:cs="Arial" w:eastAsia="Arial" w:hAnsi="Arial"/>
                <w:sz w:val="8"/>
                <w:szCs w:val="8"/>
                <w:color w:val="auto"/>
                <w:w w:val="88"/>
              </w:rPr>
              <w:t>$</w:t>
            </w: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2,903</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57</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(51)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6</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 xml:space="preserve">Pre-acquisition net income of acquired Drop Down Assets </w:t>
            </w:r>
            <w:r>
              <w:rPr>
                <w:rFonts w:ascii="Arial" w:cs="Arial" w:eastAsia="Arial" w:hAnsi="Arial"/>
                <w:sz w:val="5"/>
                <w:szCs w:val="5"/>
                <w:color w:val="auto"/>
              </w:rPr>
              <w:t>(a)</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(4)</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Unrealized (loss) gain on derivatives, net of tax</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13</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Payment for CVSR Drop Down Asset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(77)</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xml:space="preserve">Distributions and returns of capital to NRG, net of contributions, cash </w:t>
            </w:r>
            <w:r>
              <w:rPr>
                <w:rFonts w:ascii="Arial" w:cs="Arial" w:eastAsia="Arial" w:hAnsi="Arial"/>
                <w:sz w:val="5"/>
                <w:szCs w:val="5"/>
                <w:color w:val="auto"/>
              </w:rPr>
              <w:t>(a)</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(184)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(184)</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 xml:space="preserve">Contributions from NRG, net of distributions, non-cash </w:t>
            </w:r>
            <w:r>
              <w:rPr>
                <w:rFonts w:ascii="Arial" w:cs="Arial" w:eastAsia="Arial" w:hAnsi="Arial"/>
                <w:sz w:val="5"/>
                <w:szCs w:val="5"/>
                <w:color w:val="auto"/>
              </w:rPr>
              <w:t>(a)</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90</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Capital contributions from tax equity investors, cash</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5</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1</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Non-cash adjustment for change in tax basis of property, plant and equipment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44</w:t>
            </w:r>
          </w:p>
        </w:tc>
      </w:tr>
      <w:tr>
        <w:trPr>
          <w:trHeight w:val="17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Common stock dividends</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(21)</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(71)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(81)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(173)</w:t>
            </w:r>
          </w:p>
        </w:tc>
      </w:tr>
      <w:tr>
        <w:trPr>
          <w:trHeight w:val="15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Balances at December 31, 2016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1,879</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(28)</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774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2,624</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Net loss</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740" w:type="dxa"/>
            <w:vAlign w:val="bottom"/>
          </w:tcPr>
          <w:p>
            <w:pPr>
              <w:jc w:val="right"/>
              <w:ind w:right="38"/>
              <w:spacing w:after="0"/>
              <w:rPr>
                <w:sz w:val="20"/>
                <w:szCs w:val="20"/>
                <w:color w:val="auto"/>
              </w:rPr>
            </w:pPr>
            <w:r>
              <w:rPr>
                <w:rFonts w:ascii="Arial" w:cs="Arial" w:eastAsia="Arial" w:hAnsi="Arial"/>
                <w:sz w:val="8"/>
                <w:szCs w:val="8"/>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(31)</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xml:space="preserve">Pre-acquisition net loss of acquired Drop Down Assets </w:t>
            </w:r>
            <w:r>
              <w:rPr>
                <w:rFonts w:ascii="Arial" w:cs="Arial" w:eastAsia="Arial" w:hAnsi="Arial"/>
                <w:sz w:val="5"/>
                <w:szCs w:val="5"/>
                <w:color w:val="auto"/>
              </w:rPr>
              <w:t>(a)</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7</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Unrealized gain on derivatives, net of tax</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10</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5</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Payments for the March 2017, August 2017 and November 2017 Drop Down Assets</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(250)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(250)</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August 2017 Drop Down Assets contingent consideration</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(8)</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Capital contributions from tax equity investors, net of distributions, cash</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11</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xml:space="preserve">Distributions and return of capital to NRG, net of contributions, cash </w:t>
            </w:r>
            <w:r>
              <w:rPr>
                <w:rFonts w:ascii="Arial" w:cs="Arial" w:eastAsia="Arial" w:hAnsi="Arial"/>
                <w:sz w:val="5"/>
                <w:szCs w:val="5"/>
                <w:color w:val="auto"/>
              </w:rPr>
              <w:t>(a)</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(21)</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 xml:space="preserve">Distributions and return of capital to NRG, net of contributions, non-cash </w:t>
            </w:r>
            <w:r>
              <w:rPr>
                <w:rFonts w:ascii="Arial" w:cs="Arial" w:eastAsia="Arial" w:hAnsi="Arial"/>
                <w:sz w:val="5"/>
                <w:szCs w:val="5"/>
                <w:color w:val="auto"/>
              </w:rPr>
              <w:t>(a)</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(2)</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2</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Proceeds from the issuance of Class C Common Stock</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34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34</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Non-cash adjustment for change in tax basis of property, plant and equipment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rPr>
              <w:t>(20)</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(20)</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Common stock dividends</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38"/>
              <w:spacing w:after="0"/>
              <w:rPr>
                <w:sz w:val="20"/>
                <w:szCs w:val="20"/>
                <w:color w:val="auto"/>
              </w:rPr>
            </w:pPr>
            <w:r>
              <w:rPr>
                <w:rFonts w:ascii="Arial" w:cs="Arial" w:eastAsia="Arial" w:hAnsi="Arial"/>
                <w:sz w:val="8"/>
                <w:szCs w:val="8"/>
                <w:color w:val="auto"/>
              </w:rPr>
              <w:t>(56)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(202)</w:t>
            </w:r>
          </w:p>
        </w:tc>
      </w:tr>
      <w:tr>
        <w:trPr>
          <w:trHeight w:val="35"/>
        </w:trPr>
        <w:tc>
          <w:tcPr>
            <w:tcW w:w="41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4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Balances at December 31, 2017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1,843</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(69)</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412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2,159</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48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50</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Pre-acquisition net income of acquired Drop Down Assets</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4</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Unrealized gain on derivatives, net of tax</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000" w:type="dxa"/>
            <w:vAlign w:val="bottom"/>
          </w:tcPr>
          <w:p>
            <w:pPr>
              <w:jc w:val="right"/>
              <w:ind w:right="58"/>
              <w:spacing w:after="0"/>
              <w:rPr>
                <w:sz w:val="20"/>
                <w:szCs w:val="20"/>
                <w:color w:val="auto"/>
              </w:rPr>
            </w:pPr>
            <w:r>
              <w:rPr>
                <w:rFonts w:ascii="Arial" w:cs="Arial" w:eastAsia="Arial" w:hAnsi="Arial"/>
                <w:sz w:val="8"/>
                <w:szCs w:val="8"/>
                <w:color w:val="auto"/>
              </w:rPr>
              <w:t>10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22</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Payment for the Buckthorn Solar Drop Down Asset and UPMC</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(53)</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(52)</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Equity component of tendered 2020 Convertible Notes and 2019 Convertible Notes</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(3)</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Capital contributions from tax equity investors, net of distributions, cash</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106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106</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Distributions to CEG, NRG, net of contributions, cash</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(11)</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Contributions from CEG, NRG, net of distributions, non-cash</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38</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38"/>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60" w:type="dxa"/>
            <w:vAlign w:val="bottom"/>
          </w:tcPr>
          <w:p>
            <w:pPr>
              <w:jc w:val="right"/>
              <w:ind w:right="78"/>
              <w:spacing w:after="0"/>
              <w:rPr>
                <w:sz w:val="20"/>
                <w:szCs w:val="20"/>
                <w:color w:val="auto"/>
              </w:rPr>
            </w:pPr>
            <w:r>
              <w:rPr>
                <w:rFonts w:ascii="Arial" w:cs="Arial" w:eastAsia="Arial" w:hAnsi="Arial"/>
                <w:sz w:val="8"/>
                <w:szCs w:val="8"/>
                <w:color w:val="auto"/>
              </w:rPr>
              <w:t>3</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Proceeds from the issuance of Class C Common Stock</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153</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rPr>
              <w:t>153</w:t>
            </w:r>
          </w:p>
        </w:tc>
      </w:tr>
      <w:tr>
        <w:trPr>
          <w:trHeight w:val="145"/>
        </w:trPr>
        <w:tc>
          <w:tcPr>
            <w:tcW w:w="4140" w:type="dxa"/>
            <w:vAlign w:val="bottom"/>
          </w:tcPr>
          <w:p>
            <w:pPr>
              <w:ind w:left="20"/>
              <w:spacing w:after="0"/>
              <w:rPr>
                <w:sz w:val="20"/>
                <w:szCs w:val="20"/>
                <w:color w:val="auto"/>
              </w:rPr>
            </w:pPr>
            <w:r>
              <w:rPr>
                <w:rFonts w:ascii="Arial" w:cs="Arial" w:eastAsia="Arial" w:hAnsi="Arial"/>
                <w:sz w:val="10"/>
                <w:szCs w:val="10"/>
                <w:color w:val="auto"/>
              </w:rPr>
              <w:t>Non-cash adjustment for change in tax basis of assets</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2"/>
                <w:szCs w:val="12"/>
                <w:color w:val="auto"/>
              </w:rPr>
            </w:pPr>
          </w:p>
        </w:tc>
        <w:tc>
          <w:tcPr>
            <w:tcW w:w="860" w:type="dxa"/>
            <w:vAlign w:val="bottom"/>
          </w:tcPr>
          <w:p>
            <w:pPr>
              <w:jc w:val="right"/>
              <w:ind w:right="38"/>
              <w:spacing w:after="0"/>
              <w:rPr>
                <w:sz w:val="20"/>
                <w:szCs w:val="20"/>
                <w:color w:val="auto"/>
              </w:rPr>
            </w:pPr>
            <w:r>
              <w:rPr>
                <w:rFonts w:ascii="Arial" w:cs="Arial" w:eastAsia="Arial" w:hAnsi="Arial"/>
                <w:sz w:val="8"/>
                <w:szCs w:val="8"/>
                <w:color w:val="auto"/>
              </w:rPr>
              <w:t>(7)</w:t>
            </w:r>
          </w:p>
        </w:tc>
      </w:tr>
      <w:tr>
        <w:trPr>
          <w:trHeight w:val="35"/>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dividends</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rPr>
              <w:t>(94)</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(238)</w:t>
            </w:r>
          </w:p>
        </w:tc>
      </w:tr>
      <w:tr>
        <w:trPr>
          <w:trHeight w:val="125"/>
        </w:trPr>
        <w:tc>
          <w:tcPr>
            <w:tcW w:w="4140" w:type="dxa"/>
            <w:vAlign w:val="bottom"/>
          </w:tcPr>
          <w:p>
            <w:pPr>
              <w:ind w:left="20"/>
              <w:spacing w:after="0"/>
              <w:rPr>
                <w:sz w:val="20"/>
                <w:szCs w:val="20"/>
                <w:color w:val="auto"/>
              </w:rPr>
            </w:pPr>
            <w:r>
              <w:rPr>
                <w:rFonts w:ascii="Arial" w:cs="Arial" w:eastAsia="Arial" w:hAnsi="Arial"/>
                <w:sz w:val="10"/>
                <w:szCs w:val="10"/>
                <w:b w:val="1"/>
                <w:bCs w:val="1"/>
                <w:color w:val="auto"/>
              </w:rPr>
              <w:t>Balances at December 31, 2018</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10"/>
                <w:szCs w:val="10"/>
                <w:color w:val="auto"/>
              </w:rPr>
            </w:pPr>
          </w:p>
        </w:tc>
        <w:tc>
          <w:tcPr>
            <w:tcW w:w="160" w:type="dxa"/>
            <w:vAlign w:val="bottom"/>
            <w:tcBorders>
              <w:top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1,897</w:t>
            </w:r>
          </w:p>
        </w:tc>
        <w:tc>
          <w:tcPr>
            <w:tcW w:w="12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(58)</w:t>
            </w:r>
          </w:p>
        </w:tc>
        <w:tc>
          <w:tcPr>
            <w:tcW w:w="120" w:type="dxa"/>
            <w:vAlign w:val="bottom"/>
          </w:tcPr>
          <w:p>
            <w:pPr>
              <w:spacing w:after="0"/>
              <w:rPr>
                <w:sz w:val="10"/>
                <w:szCs w:val="10"/>
                <w:color w:val="auto"/>
              </w:rPr>
            </w:pPr>
          </w:p>
        </w:tc>
        <w:tc>
          <w:tcPr>
            <w:tcW w:w="14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(18)</w:t>
            </w:r>
          </w:p>
        </w:tc>
        <w:tc>
          <w:tcPr>
            <w:tcW w:w="120" w:type="dxa"/>
            <w:vAlign w:val="bottom"/>
          </w:tcPr>
          <w:p>
            <w:pPr>
              <w:spacing w:after="0"/>
              <w:rPr>
                <w:sz w:val="10"/>
                <w:szCs w:val="10"/>
                <w:color w:val="auto"/>
              </w:rPr>
            </w:pPr>
          </w:p>
        </w:tc>
        <w:tc>
          <w:tcPr>
            <w:tcW w:w="18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w w:val="88"/>
              </w:rPr>
              <w:t>$</w:t>
            </w:r>
          </w:p>
        </w:tc>
        <w:tc>
          <w:tcPr>
            <w:tcW w:w="9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402</w:t>
            </w: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8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2,224</w:t>
            </w:r>
          </w:p>
        </w:tc>
      </w:tr>
      <w:tr>
        <w:trPr>
          <w:trHeight w:val="33"/>
        </w:trPr>
        <w:tc>
          <w:tcPr>
            <w:tcW w:w="4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68" w:lineRule="exact"/>
        <w:rPr>
          <w:sz w:val="20"/>
          <w:szCs w:val="20"/>
          <w:color w:val="auto"/>
        </w:rPr>
      </w:pPr>
    </w:p>
    <w:p>
      <w:pPr>
        <w:ind w:left="88" w:hanging="88"/>
        <w:spacing w:after="0"/>
        <w:tabs>
          <w:tab w:leader="none" w:pos="88" w:val="left"/>
        </w:tabs>
        <w:numPr>
          <w:ilvl w:val="0"/>
          <w:numId w:val="36"/>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-70485</wp:posOffset>
            </wp:positionV>
            <wp:extent cx="133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8580" cy="5715"/>
                    </a:xfrm>
                    <a:prstGeom prst="rect">
                      <a:avLst/>
                    </a:prstGeom>
                    <a:noFill/>
                  </pic:spPr>
                </pic:pic>
              </a:graphicData>
            </a:graphic>
          </wp:anchor>
        </w:drawing>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8"/>
          </w:cols>
          <w:pgMar w:left="212" w:top="514" w:right="199" w:bottom="1440" w:gutter="0" w:footer="0" w:header="0"/>
        </w:sectPr>
      </w:pPr>
    </w:p>
    <w:bookmarkStart w:id="84" w:name="page85"/>
    <w:bookmarkEnd w:id="84"/>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Nature of Business</w:t>
      </w:r>
    </w:p>
    <w:p>
      <w:pPr>
        <w:spacing w:after="0" w:line="17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Clearway Energy, Inc. (formerly NRG Yield,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Global Infrastructure Partners III, or GIP, referred to hereinafter as the GIP Transaction. As a result of the GIP Transaction, GIP indirectly acquired a 45.2% economic interest in Clearway Energy LLC and a 55% voting interest in the Company. GIP is an independent fund manager that invests in infrastructure assets in energy and transport sectors. The Company is sponsored by GIP through GIP's portfolio company, Clearway Energy Group.</w:t>
      </w:r>
    </w:p>
    <w:p>
      <w:pPr>
        <w:spacing w:after="0" w:line="9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 xml:space="preserve">The Company’s environmentally-sound asset portfolio includes over </w:t>
      </w:r>
      <w:r>
        <w:rPr>
          <w:rFonts w:ascii="Arial" w:cs="Arial" w:eastAsia="Arial" w:hAnsi="Arial"/>
          <w:sz w:val="11"/>
          <w:szCs w:val="11"/>
          <w:color w:val="231F20"/>
        </w:rPr>
        <w:t>5,272</w:t>
      </w:r>
      <w:r>
        <w:rPr>
          <w:rFonts w:ascii="Arial" w:cs="Arial" w:eastAsia="Arial" w:hAnsi="Arial"/>
          <w:sz w:val="11"/>
          <w:szCs w:val="11"/>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w:t>
      </w:r>
      <w:r>
        <w:rPr>
          <w:rFonts w:ascii="Arial" w:cs="Arial" w:eastAsia="Arial" w:hAnsi="Arial"/>
          <w:sz w:val="11"/>
          <w:szCs w:val="11"/>
          <w:color w:val="231F20"/>
        </w:rPr>
        <w:t>Nearly all</w:t>
      </w:r>
      <w:r>
        <w:rPr>
          <w:rFonts w:ascii="Arial" w:cs="Arial" w:eastAsia="Arial" w:hAnsi="Arial"/>
          <w:sz w:val="11"/>
          <w:szCs w:val="11"/>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1"/>
          <w:szCs w:val="11"/>
          <w:color w:val="231F20"/>
        </w:rPr>
        <w:t>15 years as of</w:t>
      </w:r>
      <w:r>
        <w:rPr>
          <w:rFonts w:ascii="Arial" w:cs="Arial" w:eastAsia="Arial" w:hAnsi="Arial"/>
          <w:sz w:val="11"/>
          <w:szCs w:val="11"/>
          <w:color w:val="auto"/>
        </w:rPr>
        <w:t xml:space="preserve"> December 31, 2018 </w:t>
      </w:r>
      <w:r>
        <w:rPr>
          <w:rFonts w:ascii="Arial" w:cs="Arial" w:eastAsia="Arial" w:hAnsi="Arial"/>
          <w:sz w:val="11"/>
          <w:szCs w:val="11"/>
          <w:color w:val="231F20"/>
        </w:rPr>
        <w:t>based on CAFD. The Company also owns thermal infrastructure assets with an aggregate steam and chilled water</w:t>
      </w:r>
      <w:r>
        <w:rPr>
          <w:rFonts w:ascii="Arial" w:cs="Arial" w:eastAsia="Arial" w:hAnsi="Arial"/>
          <w:sz w:val="11"/>
          <w:szCs w:val="11"/>
          <w:color w:val="auto"/>
        </w:rPr>
        <w:t xml:space="preserve"> </w:t>
      </w:r>
      <w:r>
        <w:rPr>
          <w:rFonts w:ascii="Arial" w:cs="Arial" w:eastAsia="Arial" w:hAnsi="Arial"/>
          <w:sz w:val="11"/>
          <w:szCs w:val="11"/>
          <w:color w:val="231F20"/>
        </w:rPr>
        <w:t>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21"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5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a result of the Class C common stock issuances during the year ended December 31, 2018, the Company currently owns 55.8% of the economic interests of Clearway Energy LLC, with CEG retaining 44.2% of the economic interests of Clearway Energy LLC.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80"/>
          </w:cols>
          <w:pgMar w:left="220" w:top="514" w:right="199" w:bottom="1440" w:gutter="0" w:footer="0" w:header="0"/>
        </w:sectPr>
      </w:pPr>
    </w:p>
    <w:bookmarkStart w:id="85" w:name="page86"/>
    <w:bookmarkEnd w:id="85"/>
    <w:p>
      <w:pPr>
        <w:ind w:left="260"/>
        <w:spacing w:after="0"/>
        <w:rPr>
          <w:sz w:val="20"/>
          <w:szCs w:val="20"/>
          <w:color w:val="auto"/>
        </w:rPr>
      </w:pPr>
      <w:r>
        <w:rPr>
          <w:rFonts w:ascii="Arial" w:cs="Arial" w:eastAsia="Arial" w:hAnsi="Arial"/>
          <w:sz w:val="12"/>
          <w:szCs w:val="12"/>
          <w:color w:val="auto"/>
        </w:rPr>
        <w:t>The following table represents the structure of the Company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32385</wp:posOffset>
            </wp:positionV>
            <wp:extent cx="3900805" cy="2750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00805" cy="275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231F20"/>
        </w:rPr>
        <w:t>On January 29, 2019, Pacific Gas and Electric, or PG&amp;E, filed voluntary petitions for relief under Chapter 11 of the United States Bankruptcy Code. Certain subsidiaries of the Company</w:t>
      </w:r>
      <w:r>
        <w:rPr>
          <w:rFonts w:ascii="Arial" w:cs="Arial" w:eastAsia="Arial" w:hAnsi="Arial"/>
          <w:sz w:val="12"/>
          <w:szCs w:val="12"/>
          <w:color w:val="000000"/>
        </w:rPr>
        <w:t>, holding interests in 6 solar facilities totaling</w:t>
      </w:r>
      <w:r>
        <w:rPr>
          <w:rFonts w:ascii="Arial" w:cs="Arial" w:eastAsia="Arial" w:hAnsi="Arial"/>
          <w:sz w:val="12"/>
          <w:szCs w:val="12"/>
          <w:color w:val="231F20"/>
        </w:rPr>
        <w:t xml:space="preserve"> </w:t>
      </w:r>
      <w:r>
        <w:rPr>
          <w:rFonts w:ascii="Arial" w:cs="Arial" w:eastAsia="Arial" w:hAnsi="Arial"/>
          <w:sz w:val="12"/>
          <w:szCs w:val="12"/>
          <w:color w:val="000000"/>
        </w:rPr>
        <w:t xml:space="preserve">480 MW and Marsh Landing with capacity of 720 MW, </w:t>
      </w:r>
      <w:r>
        <w:rPr>
          <w:rFonts w:ascii="Arial" w:cs="Arial" w:eastAsia="Arial" w:hAnsi="Arial"/>
          <w:sz w:val="12"/>
          <w:szCs w:val="12"/>
          <w:color w:val="231F20"/>
        </w:rPr>
        <w:t>sell the output of their facilities to PG&amp;E, under long-term PPAs. The Company consolidates three of the solar facilities and Marsh Landing and records its interest in the other solar</w:t>
      </w:r>
      <w:r>
        <w:rPr>
          <w:rFonts w:ascii="Arial" w:cs="Arial" w:eastAsia="Arial" w:hAnsi="Arial"/>
          <w:sz w:val="12"/>
          <w:szCs w:val="12"/>
          <w:color w:val="000000"/>
        </w:rPr>
        <w:t xml:space="preserve"> </w:t>
      </w:r>
      <w:r>
        <w:rPr>
          <w:rFonts w:ascii="Arial" w:cs="Arial" w:eastAsia="Arial" w:hAnsi="Arial"/>
          <w:sz w:val="12"/>
          <w:szCs w:val="12"/>
          <w:color w:val="231F20"/>
        </w:rPr>
        <w:t xml:space="preserve">facilities as equity method investments. The related subsidiaries of the Company have entered into financing agreements consisting of non-recourse project level debt and in certain cases, non-recourse holding company debt. The effect of the bankruptcy filing on the Company's operations is further described in Note 2, </w:t>
      </w:r>
      <w:r>
        <w:rPr>
          <w:rFonts w:ascii="Arial" w:cs="Arial" w:eastAsia="Arial" w:hAnsi="Arial"/>
          <w:sz w:val="12"/>
          <w:szCs w:val="12"/>
          <w:i w:val="1"/>
          <w:iCs w:val="1"/>
          <w:color w:val="231F20"/>
        </w:rPr>
        <w:t>Summary of Significant Accounting Policies</w:t>
      </w:r>
      <w:r>
        <w:rPr>
          <w:rFonts w:ascii="Arial" w:cs="Arial" w:eastAsia="Arial" w:hAnsi="Arial"/>
          <w:sz w:val="12"/>
          <w:szCs w:val="12"/>
          <w:color w:val="231F20"/>
        </w:rPr>
        <w:t xml:space="preserve">, Note 5, </w:t>
      </w:r>
      <w:r>
        <w:rPr>
          <w:rFonts w:ascii="Arial" w:cs="Arial" w:eastAsia="Arial" w:hAnsi="Arial"/>
          <w:sz w:val="12"/>
          <w:szCs w:val="12"/>
          <w:i w:val="1"/>
          <w:iCs w:val="1"/>
          <w:color w:val="000000"/>
        </w:rPr>
        <w:t>Investments Accounted for by the Equity Method and Variable Interest Entities</w:t>
      </w:r>
      <w:r>
        <w:rPr>
          <w:rFonts w:ascii="Arial" w:cs="Arial" w:eastAsia="Arial" w:hAnsi="Arial"/>
          <w:sz w:val="12"/>
          <w:szCs w:val="12"/>
          <w:color w:val="231F20"/>
        </w:rPr>
        <w:t xml:space="preserve">, and Note 10, </w:t>
      </w:r>
      <w:r>
        <w:rPr>
          <w:rFonts w:ascii="Arial" w:cs="Arial" w:eastAsia="Arial" w:hAnsi="Arial"/>
          <w:sz w:val="12"/>
          <w:szCs w:val="12"/>
          <w:i w:val="1"/>
          <w:iCs w:val="1"/>
          <w:color w:val="231F20"/>
        </w:rPr>
        <w:t xml:space="preserve">Long-Term Debt </w:t>
      </w:r>
      <w:r>
        <w:rPr>
          <w:rFonts w:ascii="Arial" w:cs="Arial" w:eastAsia="Arial" w:hAnsi="Arial"/>
          <w:sz w:val="12"/>
          <w:szCs w:val="12"/>
          <w:color w:val="231F20"/>
        </w:rPr>
        <w:t>to the Consolidated Financial Statements.</w:t>
      </w:r>
    </w:p>
    <w:p>
      <w:pPr>
        <w:spacing w:after="0" w:line="90"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 For the complete listing of the company's generation assets, refer to Item 2 - </w:t>
      </w:r>
      <w:r>
        <w:rPr>
          <w:rFonts w:ascii="Arial" w:cs="Arial" w:eastAsia="Arial" w:hAnsi="Arial"/>
          <w:sz w:val="11"/>
          <w:szCs w:val="11"/>
          <w:i w:val="1"/>
          <w:iCs w:val="1"/>
          <w:color w:val="auto"/>
        </w:rPr>
        <w:t>Properties</w:t>
      </w:r>
      <w:r>
        <w:rPr>
          <w:rFonts w:ascii="Arial" w:cs="Arial" w:eastAsia="Arial" w:hAnsi="Arial"/>
          <w:sz w:val="11"/>
          <w:szCs w:val="11"/>
          <w:color w:val="auto"/>
        </w:rPr>
        <w:t xml:space="preserve"> to this Form 10-K.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0"/>
          </w:cols>
          <w:pgMar w:left="220" w:top="518" w:right="199" w:bottom="1440" w:gutter="0" w:footer="0" w:header="0"/>
        </w:sectPr>
      </w:pPr>
    </w:p>
    <w:bookmarkStart w:id="86" w:name="page87"/>
    <w:bookmarkEnd w:id="86"/>
    <w:p>
      <w:pPr>
        <w:ind w:left="260"/>
        <w:spacing w:after="0"/>
        <w:rPr>
          <w:sz w:val="20"/>
          <w:szCs w:val="20"/>
          <w:color w:val="auto"/>
        </w:rPr>
      </w:pPr>
      <w:r>
        <w:rPr>
          <w:rFonts w:ascii="Arial" w:cs="Arial" w:eastAsia="Arial" w:hAnsi="Arial"/>
          <w:sz w:val="12"/>
          <w:szCs w:val="12"/>
          <w:i w:val="1"/>
          <w:iCs w:val="1"/>
          <w:color w:val="auto"/>
        </w:rPr>
        <w:t>Recast of the Historical Financial Statements</w:t>
      </w:r>
    </w:p>
    <w:p>
      <w:pPr>
        <w:spacing w:after="0" w:line="114"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1"/>
          <w:szCs w:val="11"/>
          <w:color w:val="auto"/>
        </w:rPr>
        <w:t xml:space="preserve">Prior to the GIP Transaction on August 31, 2018, the Company completed several acquisitions of Drop Down Assets from NRG, which were accounted for as transfer of entities under common control, and are further described in Note 3, </w:t>
      </w:r>
      <w:r>
        <w:rPr>
          <w:rFonts w:ascii="Arial" w:cs="Arial" w:eastAsia="Arial" w:hAnsi="Arial"/>
          <w:sz w:val="11"/>
          <w:szCs w:val="11"/>
          <w:i w:val="1"/>
          <w:iCs w:val="1"/>
          <w:color w:val="auto"/>
        </w:rPr>
        <w:t>Business Acquisitions</w:t>
      </w:r>
      <w:r>
        <w:rPr>
          <w:rFonts w:ascii="Arial" w:cs="Arial" w:eastAsia="Arial" w:hAnsi="Arial"/>
          <w:sz w:val="11"/>
          <w:szCs w:val="11"/>
          <w:color w:val="auto"/>
        </w:rPr>
        <w:t>. The accounting guidance for transfers of entities under common control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 The recast of the Company's consolidated financial statements for the Drop Down Assets did not affect the historical net income attributable to Clearway Energy, Inc., weighted average number of shares outstanding, earnings per share or dividends.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Transition Services Agreement</w:t>
      </w:r>
    </w:p>
    <w:p>
      <w:pPr>
        <w:spacing w:after="0" w:line="114"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2"/>
          <w:szCs w:val="12"/>
          <w:color w:val="auto"/>
        </w:rPr>
        <w:t>As a result of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 Expenses related to the NRG TSA are recorded in general and administrative expenses in the consolidated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and Principles of Consolidation</w:t>
      </w:r>
    </w:p>
    <w:p>
      <w:pPr>
        <w:spacing w:after="0" w:line="114"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7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2"/>
          <w:szCs w:val="12"/>
          <w:i w:val="1"/>
          <w:iCs w:val="1"/>
          <w:color w:val="auto"/>
        </w:rPr>
        <w:t>Consolidations,</w:t>
      </w:r>
      <w:r>
        <w:rPr>
          <w:rFonts w:ascii="Arial" w:cs="Arial" w:eastAsia="Arial" w:hAnsi="Arial"/>
          <w:sz w:val="12"/>
          <w:szCs w:val="12"/>
          <w:color w:val="auto"/>
        </w:rPr>
        <w:t xml:space="preserve"> or ASC 810, to determine when an entity that is insufficiently capitalized or not controlled through its voting interests, referred to as a variable interest entity, or VIE, should be consolidated.</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 and Restricted Cash</w:t>
      </w:r>
    </w:p>
    <w:p>
      <w:pPr>
        <w:spacing w:after="0" w:line="114"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Cash and cash equivalents include highly liquid investments with an original maturity of three months or less at the time of purchase. Cash and cash equivalents held at project subsidiaries was $109 million and $124 million as of December 31, 2018 and 2017, respectively.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5"/>
              </w:rPr>
              <w:t>Year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69"/>
        </w:trPr>
        <w:tc>
          <w:tcPr>
            <w:tcW w:w="7120" w:type="dxa"/>
            <w:vAlign w:val="bottom"/>
          </w:tcPr>
          <w:p>
            <w:pPr>
              <w:spacing w:after="0"/>
              <w:rPr>
                <w:sz w:val="14"/>
                <w:szCs w:val="14"/>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2016</w:t>
            </w:r>
          </w:p>
        </w:tc>
      </w:tr>
      <w:tr>
        <w:trPr>
          <w:trHeight w:val="124"/>
        </w:trPr>
        <w:tc>
          <w:tcPr>
            <w:tcW w:w="7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(In millions)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4"/>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322</w:t>
            </w:r>
          </w:p>
        </w:tc>
      </w:tr>
      <w:tr>
        <w:trPr>
          <w:trHeight w:val="171"/>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Restricted cash</w:t>
            </w: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176</w:t>
            </w:r>
          </w:p>
        </w:tc>
      </w:tr>
      <w:tr>
        <w:trPr>
          <w:trHeight w:val="185"/>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cash equivalents and restricted cash shown in the statement of cash flows</w:t>
            </w:r>
          </w:p>
        </w:tc>
        <w:tc>
          <w:tcPr>
            <w:tcW w:w="9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2"/>
                <w:szCs w:val="12"/>
                <w:color w:val="auto"/>
              </w:rPr>
              <w:t>316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498</w:t>
            </w:r>
          </w:p>
        </w:tc>
      </w:tr>
    </w:tbl>
    <w:p>
      <w:pPr>
        <w:spacing w:after="0" w:line="9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Restricted cash consists primarily of funds held to satisfy the requirements of certain debt agreements and funds held within the Company's projects that are restricted in their use. As of December 31, 2018, these restricted funds comprised of $84 million is designated to fund operating expenses, approximately $26 million designated for current debt service payments, and $32 million restricted for reserves including debt service, performance obligations and other reserves, as well as capital expenditures. The remaining $34 million is held in distributions reserve accounts, of which $31 million related to subsidiaries affected by the PG&amp;E Bankruptcy as discussed further below and may not be distributed during the pendency of the bankruptcy.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80"/>
          </w:cols>
          <w:pgMar w:left="220" w:top="518" w:right="199" w:bottom="1440" w:gutter="0" w:footer="0" w:header="0"/>
        </w:sectPr>
      </w:pPr>
    </w:p>
    <w:bookmarkStart w:id="87" w:name="page88"/>
    <w:bookmarkEnd w:id="87"/>
    <w:p>
      <w:pPr>
        <w:jc w:val="both"/>
        <w:ind w:right="20" w:firstLine="270"/>
        <w:spacing w:after="0" w:line="323" w:lineRule="auto"/>
        <w:rPr>
          <w:sz w:val="20"/>
          <w:szCs w:val="20"/>
          <w:color w:val="auto"/>
        </w:rPr>
      </w:pPr>
      <w:r>
        <w:rPr>
          <w:rFonts w:ascii="Arial" w:cs="Arial" w:eastAsia="Arial" w:hAnsi="Arial"/>
          <w:sz w:val="11"/>
          <w:szCs w:val="11"/>
          <w:color w:val="231F20"/>
        </w:rPr>
        <w:t>On January 29, 2019, PG&amp;E filed for reorganization under Chapter 11 of the U.S. Bankruptcy Code. The Company has non-recourse project-level debt related to each of its subsidiaries that sell their output to PG&amp;E under long-term PPAs. The PG&amp;E bankruptcy filing is an event of default under the related financing agreements. As of December 31, 2018, all project level cash balances for these subsidiaries were classified as restricted cash.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Receivables and Allowance for Doubtful Accounts</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2018 and 2017.</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Plant and Equipment</w:t>
      </w:r>
    </w:p>
    <w:p>
      <w:pPr>
        <w:spacing w:after="0" w:line="114"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xml:space="preserve"> to the Consolidated Financial Statements.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Development costs include project development costs, which are expensed in the preliminary stages of a project and</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Impairments</w:t>
      </w:r>
    </w:p>
    <w:p>
      <w:pPr>
        <w:spacing w:after="0" w:line="114"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xml:space="preserve"> to the Consolidated Financial Statements.</w:t>
      </w:r>
    </w:p>
    <w:p>
      <w:pPr>
        <w:spacing w:after="0" w:line="73"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Investments accounted for by the equity method are reviewed for impairment in accordance with ASC 323, </w:t>
      </w:r>
      <w:r>
        <w:rPr>
          <w:rFonts w:ascii="Arial" w:cs="Arial" w:eastAsia="Arial" w:hAnsi="Arial"/>
          <w:sz w:val="12"/>
          <w:szCs w:val="12"/>
          <w:i w:val="1"/>
          <w:iCs w:val="1"/>
          <w:color w:val="auto"/>
        </w:rPr>
        <w:t>Investments-Equity Method and Joint Ventures</w:t>
      </w:r>
      <w:r>
        <w:rPr>
          <w:rFonts w:ascii="Arial" w:cs="Arial" w:eastAsia="Arial" w:hAnsi="Arial"/>
          <w:sz w:val="12"/>
          <w:szCs w:val="12"/>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Issuance Costs</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80"/>
          </w:cols>
          <w:pgMar w:left="220" w:top="518" w:right="199"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i w:val="1"/>
          <w:iCs w:val="1"/>
          <w:color w:val="auto"/>
        </w:rPr>
        <w:t>Notes Receivable</w:t>
      </w:r>
    </w:p>
    <w:p>
      <w:pPr>
        <w:spacing w:after="0" w:line="114"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2"/>
          <w:szCs w:val="12"/>
          <w:i w:val="1"/>
          <w:iCs w:val="1"/>
          <w:color w:val="auto"/>
        </w:rPr>
        <w:t>Intangible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Assets </w:t>
      </w:r>
      <w:r>
        <w:rPr>
          <w:rFonts w:ascii="Arial" w:cs="Arial" w:eastAsia="Arial" w:hAnsi="Arial"/>
          <w:sz w:val="12"/>
          <w:szCs w:val="12"/>
          <w:color w:val="auto"/>
        </w:rPr>
        <w:t>to the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Revenue from Contracts with Customers</w:t>
      </w:r>
    </w:p>
    <w:p>
      <w:pPr>
        <w:spacing w:after="0" w:line="114" w:lineRule="exact"/>
        <w:rPr>
          <w:sz w:val="20"/>
          <w:szCs w:val="20"/>
          <w:color w:val="auto"/>
        </w:rPr>
      </w:pPr>
    </w:p>
    <w:p>
      <w:pPr>
        <w:jc w:val="both"/>
        <w:ind w:firstLine="270"/>
        <w:spacing w:after="0" w:line="327" w:lineRule="auto"/>
        <w:rPr>
          <w:sz w:val="20"/>
          <w:szCs w:val="20"/>
          <w:color w:val="auto"/>
        </w:rPr>
      </w:pPr>
      <w:r>
        <w:rPr>
          <w:rFonts w:ascii="Arial" w:cs="Arial" w:eastAsia="Arial" w:hAnsi="Arial"/>
          <w:sz w:val="10"/>
          <w:szCs w:val="10"/>
          <w:color w:val="auto"/>
        </w:rPr>
        <w:t xml:space="preserve">On January 1, 2018, the Company adopted the guidance in ASC 606, </w:t>
      </w:r>
      <w:r>
        <w:rPr>
          <w:rFonts w:ascii="Arial" w:cs="Arial" w:eastAsia="Arial" w:hAnsi="Arial"/>
          <w:sz w:val="10"/>
          <w:szCs w:val="10"/>
          <w:i w:val="1"/>
          <w:iCs w:val="1"/>
          <w:color w:val="auto"/>
        </w:rPr>
        <w:t>Revenue from Contracts with Customers,</w:t>
      </w:r>
      <w:r>
        <w:rPr>
          <w:rFonts w:ascii="Arial" w:cs="Arial" w:eastAsia="Arial" w:hAnsi="Arial"/>
          <w:sz w:val="10"/>
          <w:szCs w:val="10"/>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Thermal Revenues</w:t>
      </w:r>
    </w:p>
    <w:p>
      <w:pPr>
        <w:spacing w:after="0" w:line="123"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Power Purchase Agreements, or PPAs</w:t>
      </w:r>
    </w:p>
    <w:p>
      <w:pPr>
        <w:spacing w:after="0" w:line="11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9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2018, 2017, and 2016 was $583 million, $559 million, and $583 million, respectively. These balances include intercompany revenue for Elbow Creek of $6 million for the eight months ended August 31, 2018 and $8 million for each of the years ended December 31, 2017 and 2016, as further discussed in Note 15,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80"/>
          </w:cols>
          <w:pgMar w:left="220" w:top="518" w:right="199" w:bottom="1440" w:gutter="0" w:footer="0" w:header="0"/>
        </w:sectPr>
      </w:pPr>
    </w:p>
    <w:bookmarkStart w:id="89" w:name="page90"/>
    <w:bookmarkEnd w:id="89"/>
    <w:p>
      <w:pPr>
        <w:ind w:left="260"/>
        <w:spacing w:after="0"/>
        <w:rPr>
          <w:sz w:val="20"/>
          <w:szCs w:val="20"/>
          <w:color w:val="auto"/>
        </w:rPr>
      </w:pPr>
      <w:r>
        <w:rPr>
          <w:rFonts w:ascii="Arial" w:cs="Arial" w:eastAsia="Arial" w:hAnsi="Arial"/>
          <w:sz w:val="12"/>
          <w:szCs w:val="12"/>
          <w:i w:val="1"/>
          <w:iCs w:val="1"/>
          <w:color w:val="auto"/>
        </w:rPr>
        <w:t>Renewable Energy Credits, or RECs</w:t>
      </w:r>
    </w:p>
    <w:p>
      <w:pPr>
        <w:spacing w:after="0" w:line="123"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61" w:lineRule="exact"/>
        <w:rPr>
          <w:sz w:val="20"/>
          <w:szCs w:val="20"/>
          <w:color w:val="auto"/>
        </w:rPr>
      </w:pPr>
    </w:p>
    <w:p>
      <w:pPr>
        <w:ind w:firstLine="261"/>
        <w:spacing w:after="0" w:line="276" w:lineRule="auto"/>
        <w:rPr>
          <w:sz w:val="20"/>
          <w:szCs w:val="20"/>
          <w:color w:val="auto"/>
        </w:rPr>
      </w:pPr>
      <w:r>
        <w:rPr>
          <w:rFonts w:ascii="Arial" w:cs="Arial" w:eastAsia="Arial" w:hAnsi="Arial"/>
          <w:sz w:val="12"/>
          <w:szCs w:val="12"/>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Sale of Emission Allowances</w:t>
      </w:r>
    </w:p>
    <w:p>
      <w:pPr>
        <w:spacing w:after="0" w:line="123" w:lineRule="exact"/>
        <w:rPr>
          <w:sz w:val="20"/>
          <w:szCs w:val="20"/>
          <w:color w:val="auto"/>
        </w:rPr>
      </w:pPr>
    </w:p>
    <w:p>
      <w:pPr>
        <w:ind w:firstLine="261"/>
        <w:spacing w:after="0" w:line="323" w:lineRule="auto"/>
        <w:rPr>
          <w:sz w:val="20"/>
          <w:szCs w:val="20"/>
          <w:color w:val="auto"/>
        </w:rPr>
      </w:pPr>
      <w:r>
        <w:rPr>
          <w:rFonts w:ascii="Arial" w:cs="Arial" w:eastAsia="Arial" w:hAnsi="Arial"/>
          <w:sz w:val="11"/>
          <w:szCs w:val="11"/>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Disaggregated Revenues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represent the Company’s disaggregation of revenue from contracts with customers for the year ended December 31, 2018, along with the reportable segment for each category:</w:t>
      </w:r>
    </w:p>
    <w:p>
      <w:pPr>
        <w:spacing w:after="0" w:line="226" w:lineRule="exact"/>
        <w:rPr>
          <w:sz w:val="20"/>
          <w:szCs w:val="20"/>
          <w:color w:val="auto"/>
        </w:rPr>
      </w:pPr>
    </w:p>
    <w:p>
      <w:pPr>
        <w:ind w:left="7640"/>
        <w:spacing w:after="0"/>
        <w:rPr>
          <w:sz w:val="20"/>
          <w:szCs w:val="20"/>
          <w:color w:val="auto"/>
        </w:rPr>
      </w:pPr>
      <w:r>
        <w:rPr>
          <w:rFonts w:ascii="Arial" w:cs="Arial" w:eastAsia="Arial" w:hAnsi="Arial"/>
          <w:sz w:val="10"/>
          <w:szCs w:val="10"/>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10795</wp:posOffset>
            </wp:positionV>
            <wp:extent cx="407225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72255" cy="5715"/>
                    </a:xfrm>
                    <a:prstGeom prst="rect">
                      <a:avLst/>
                    </a:prstGeom>
                    <a:noFill/>
                  </pic:spPr>
                </pic:pic>
              </a:graphicData>
            </a:graphic>
          </wp:anchor>
        </w:drawing>
      </w:r>
    </w:p>
    <w:p>
      <w:pPr>
        <w:spacing w:after="0" w:line="54" w:lineRule="exact"/>
        <w:rPr>
          <w:sz w:val="20"/>
          <w:szCs w:val="20"/>
          <w:color w:val="auto"/>
        </w:rPr>
      </w:pPr>
    </w:p>
    <w:p>
      <w:pPr>
        <w:ind w:left="20"/>
        <w:spacing w:after="0"/>
        <w:tabs>
          <w:tab w:leader="none" w:pos="5200" w:val="left"/>
          <w:tab w:leader="none" w:pos="6860" w:val="left"/>
          <w:tab w:leader="none" w:pos="8200" w:val="left"/>
          <w:tab w:leader="none" w:pos="9420" w:val="left"/>
          <w:tab w:leader="none" w:pos="10780" w:val="left"/>
        </w:tabs>
        <w:rPr>
          <w:sz w:val="20"/>
          <w:szCs w:val="20"/>
          <w:color w:val="auto"/>
        </w:rPr>
      </w:pPr>
      <w:r>
        <w:rPr>
          <w:rFonts w:ascii="Arial" w:cs="Arial" w:eastAsia="Arial" w:hAnsi="Arial"/>
          <w:sz w:val="10"/>
          <w:szCs w:val="10"/>
          <w:b w:val="1"/>
          <w:bCs w:val="1"/>
          <w:u w:val="single" w:color="auto"/>
          <w:color w:val="auto"/>
        </w:rPr>
        <w:t>(In millions)</w:t>
      </w:r>
      <w:r>
        <w:rPr>
          <w:sz w:val="20"/>
          <w:szCs w:val="20"/>
          <w:color w:val="auto"/>
        </w:rPr>
        <w:tab/>
      </w:r>
      <w:r>
        <w:rPr>
          <w:rFonts w:ascii="Arial" w:cs="Arial" w:eastAsia="Arial" w:hAnsi="Arial"/>
          <w:sz w:val="10"/>
          <w:szCs w:val="10"/>
          <w:b w:val="1"/>
          <w:bCs w:val="1"/>
          <w:u w:val="single" w:color="auto"/>
          <w:color w:val="auto"/>
        </w:rPr>
        <w:t>Conventional Generation</w:t>
      </w:r>
      <w:r>
        <w:rPr>
          <w:sz w:val="20"/>
          <w:szCs w:val="20"/>
          <w:color w:val="auto"/>
        </w:rPr>
        <w:tab/>
      </w:r>
      <w:r>
        <w:rPr>
          <w:rFonts w:ascii="Arial" w:cs="Arial" w:eastAsia="Arial" w:hAnsi="Arial"/>
          <w:sz w:val="10"/>
          <w:szCs w:val="10"/>
          <w:b w:val="1"/>
          <w:bCs w:val="1"/>
          <w:u w:val="single" w:color="auto"/>
          <w:color w:val="auto"/>
        </w:rPr>
        <w:t>Renewables</w:t>
      </w:r>
      <w:r>
        <w:rPr>
          <w:sz w:val="20"/>
          <w:szCs w:val="20"/>
          <w:color w:val="auto"/>
        </w:rPr>
        <w:tab/>
      </w:r>
      <w:r>
        <w:rPr>
          <w:rFonts w:ascii="Arial" w:cs="Arial" w:eastAsia="Arial" w:hAnsi="Arial"/>
          <w:sz w:val="10"/>
          <w:szCs w:val="10"/>
          <w:b w:val="1"/>
          <w:bCs w:val="1"/>
          <w:u w:val="single" w:color="auto"/>
          <w:color w:val="auto"/>
        </w:rPr>
        <w:t>Thermal</w:t>
      </w:r>
      <w:r>
        <w:rPr>
          <w:sz w:val="20"/>
          <w:szCs w:val="20"/>
          <w:color w:val="auto"/>
        </w:rPr>
        <w:tab/>
      </w:r>
      <w:r>
        <w:rPr>
          <w:rFonts w:ascii="Arial" w:cs="Arial" w:eastAsia="Arial" w:hAnsi="Arial"/>
          <w:sz w:val="10"/>
          <w:szCs w:val="10"/>
          <w:b w:val="1"/>
          <w:bCs w:val="1"/>
          <w:u w:val="single" w:color="auto"/>
          <w:color w:val="auto"/>
        </w:rPr>
        <w:t>Corporate</w:t>
      </w:r>
      <w:r>
        <w:rPr>
          <w:sz w:val="20"/>
          <w:szCs w:val="20"/>
          <w:color w:val="auto"/>
        </w:rPr>
        <w:tab/>
      </w:r>
      <w:r>
        <w:rPr>
          <w:rFonts w:ascii="Arial" w:cs="Arial" w:eastAsia="Arial" w:hAnsi="Arial"/>
          <w:sz w:val="8"/>
          <w:szCs w:val="8"/>
          <w:b w:val="1"/>
          <w:bCs w:val="1"/>
          <w:u w:val="single" w:color="auto"/>
          <w:color w:val="auto"/>
        </w:rPr>
        <w:t>Total</w:t>
      </w:r>
    </w:p>
    <w:p>
      <w:pPr>
        <w:sectPr>
          <w:pgSz w:w="11900" w:h="16838" w:orient="portrait"/>
          <w:cols w:equalWidth="0" w:num="1">
            <w:col w:w="11480"/>
          </w:cols>
          <w:pgMar w:left="220" w:top="554" w:right="199" w:bottom="1440" w:gutter="0" w:footer="0" w:header="0"/>
        </w:sectPr>
      </w:pPr>
    </w:p>
    <w:p>
      <w:pPr>
        <w:spacing w:after="0" w:line="45"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1"/>
          <w:szCs w:val="11"/>
          <w:color w:val="auto"/>
        </w:rPr>
        <w:t>Energy revenue</w:t>
      </w:r>
      <w:r>
        <w:rPr>
          <w:rFonts w:ascii="Arial" w:cs="Arial" w:eastAsia="Arial" w:hAnsi="Arial"/>
          <w:sz w:val="14"/>
          <w:szCs w:val="14"/>
          <w:color w:val="auto"/>
          <w:vertAlign w:val="superscript"/>
        </w:rPr>
        <w:t>(a)</w:t>
      </w:r>
      <w:r>
        <w:rPr>
          <w:sz w:val="20"/>
          <w:szCs w:val="20"/>
          <w:color w:val="auto"/>
        </w:rPr>
        <w:tab/>
      </w:r>
      <w:r>
        <w:rPr>
          <w:rFonts w:ascii="Arial" w:cs="Arial" w:eastAsia="Arial" w:hAnsi="Arial"/>
          <w:sz w:val="10"/>
          <w:szCs w:val="10"/>
          <w:color w:val="auto"/>
        </w:rPr>
        <w: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Capacity revenue</w:t>
      </w:r>
      <w:r>
        <w:rPr>
          <w:rFonts w:ascii="Arial" w:cs="Arial" w:eastAsia="Arial" w:hAnsi="Arial"/>
          <w:sz w:val="14"/>
          <w:szCs w:val="14"/>
          <w:color w:val="auto"/>
          <w:vertAlign w:val="superscript"/>
        </w:rPr>
        <w:t>(a)</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revenues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Contract amortization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operating revenue</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Less: Lease revenue</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Less: Contract amortization</w:t>
      </w:r>
    </w:p>
    <w:p>
      <w:pPr>
        <w:spacing w:after="0" w:line="54" w:lineRule="exact"/>
        <w:rPr>
          <w:sz w:val="20"/>
          <w:szCs w:val="20"/>
          <w:color w:val="auto"/>
        </w:rPr>
      </w:pPr>
    </w:p>
    <w:p>
      <w:pPr>
        <w:ind w:left="180"/>
        <w:spacing w:after="0"/>
        <w:tabs>
          <w:tab w:leader="none" w:pos="5040" w:val="left"/>
        </w:tabs>
        <w:rPr>
          <w:sz w:val="20"/>
          <w:szCs w:val="20"/>
          <w:color w:val="auto"/>
        </w:rPr>
      </w:pPr>
      <w:r>
        <w:rPr>
          <w:rFonts w:ascii="Arial" w:cs="Arial" w:eastAsia="Arial" w:hAnsi="Arial"/>
          <w:sz w:val="11"/>
          <w:szCs w:val="11"/>
          <w:color w:val="auto"/>
        </w:rPr>
        <w:t>Total revenue from contracts with customers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146050</wp:posOffset>
            </wp:positionV>
            <wp:extent cx="140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59" w:lineRule="exact"/>
        <w:rPr>
          <w:sz w:val="20"/>
          <w:szCs w:val="20"/>
          <w:color w:val="auto"/>
        </w:rPr>
      </w:pPr>
    </w:p>
    <w:p>
      <w:pPr>
        <w:ind w:left="260" w:hanging="106"/>
        <w:spacing w:after="0"/>
        <w:tabs>
          <w:tab w:leader="none" w:pos="260" w:val="left"/>
        </w:tabs>
        <w:numPr>
          <w:ilvl w:val="0"/>
          <w:numId w:val="37"/>
        </w:numPr>
        <w:rPr>
          <w:rFonts w:ascii="Arial" w:cs="Arial" w:eastAsia="Arial" w:hAnsi="Arial"/>
          <w:sz w:val="11"/>
          <w:szCs w:val="11"/>
          <w:color w:val="auto"/>
          <w:vertAlign w:val="superscript"/>
        </w:rPr>
      </w:pPr>
      <w:r>
        <w:rPr>
          <w:rFonts w:ascii="Arial" w:cs="Arial" w:eastAsia="Arial" w:hAnsi="Arial"/>
          <w:sz w:val="8"/>
          <w:szCs w:val="8"/>
          <w:color w:val="auto"/>
        </w:rPr>
        <w:t>The following amounts of energy and capacity revenue relate to leases and are accounted for under ASC 840:</w:t>
      </w:r>
    </w:p>
    <w:p>
      <w:pPr>
        <w:spacing w:after="0" w:line="152" w:lineRule="exact"/>
        <w:rPr>
          <w:rFonts w:ascii="Arial" w:cs="Arial" w:eastAsia="Arial" w:hAnsi="Arial"/>
          <w:sz w:val="11"/>
          <w:szCs w:val="11"/>
          <w:color w:val="auto"/>
          <w:vertAlign w:val="superscript"/>
        </w:rPr>
      </w:pPr>
    </w:p>
    <w:p>
      <w:pPr>
        <w:ind w:left="3960"/>
        <w:spacing w:after="0"/>
        <w:rPr>
          <w:rFonts w:ascii="Arial" w:cs="Arial" w:eastAsia="Arial" w:hAnsi="Arial"/>
          <w:sz w:val="11"/>
          <w:szCs w:val="11"/>
          <w:color w:val="auto"/>
          <w:vertAlign w:val="superscript"/>
        </w:rPr>
      </w:pPr>
      <w:r>
        <w:rPr>
          <w:rFonts w:ascii="Arial" w:cs="Arial" w:eastAsia="Arial" w:hAnsi="Arial"/>
          <w:sz w:val="8"/>
          <w:szCs w:val="8"/>
          <w:b w:val="1"/>
          <w:bCs w:val="1"/>
          <w:color w:val="auto"/>
        </w:rPr>
        <w:t>Conventional Generation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440" w:type="dxa"/>
            <w:vAlign w:val="bottom"/>
            <w:gridSpan w:val="2"/>
          </w:tcPr>
          <w:p>
            <w:pPr>
              <w:jc w:val="right"/>
              <w:ind w:right="192"/>
              <w:spacing w:after="0"/>
              <w:rPr>
                <w:sz w:val="20"/>
                <w:szCs w:val="20"/>
                <w:color w:val="auto"/>
              </w:rPr>
            </w:pPr>
            <w:r>
              <w:rPr>
                <w:rFonts w:ascii="Arial" w:cs="Arial" w:eastAsia="Arial" w:hAnsi="Arial"/>
                <w:sz w:val="11"/>
                <w:szCs w:val="11"/>
                <w:color w:val="auto"/>
              </w:rPr>
              <w:t>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572</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207"/>
        </w:trPr>
        <w:tc>
          <w:tcPr>
            <w:tcW w:w="440" w:type="dxa"/>
            <w:vAlign w:val="bottom"/>
            <w:gridSpan w:val="2"/>
          </w:tcPr>
          <w:p>
            <w:pPr>
              <w:jc w:val="right"/>
              <w:ind w:right="192"/>
              <w:spacing w:after="0"/>
              <w:rPr>
                <w:sz w:val="20"/>
                <w:szCs w:val="20"/>
                <w:color w:val="auto"/>
              </w:rPr>
            </w:pPr>
            <w:r>
              <w:rPr>
                <w:rFonts w:ascii="Arial" w:cs="Arial" w:eastAsia="Arial" w:hAnsi="Arial"/>
                <w:sz w:val="11"/>
                <w:szCs w:val="11"/>
                <w:color w:val="auto"/>
                <w:w w:val="97"/>
              </w:rPr>
              <w:t>337</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8"/>
                <w:szCs w:val="18"/>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503</w:t>
            </w:r>
          </w:p>
        </w:tc>
        <w:tc>
          <w:tcPr>
            <w:tcW w:w="0" w:type="dxa"/>
            <w:vAlign w:val="bottom"/>
          </w:tcPr>
          <w:p>
            <w:pPr>
              <w:spacing w:after="0"/>
              <w:rPr>
                <w:sz w:val="1"/>
                <w:szCs w:val="1"/>
                <w:color w:val="auto"/>
              </w:rPr>
            </w:pPr>
          </w:p>
        </w:tc>
      </w:tr>
      <w:tr>
        <w:trPr>
          <w:trHeight w:val="225"/>
        </w:trPr>
        <w:tc>
          <w:tcPr>
            <w:tcW w:w="440" w:type="dxa"/>
            <w:vAlign w:val="bottom"/>
            <w:gridSpan w:val="2"/>
          </w:tcPr>
          <w:p>
            <w:pPr>
              <w:jc w:val="right"/>
              <w:ind w:right="192"/>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9"/>
                <w:szCs w:val="19"/>
                <w:color w:val="auto"/>
              </w:rPr>
            </w:pP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9"/>
                <w:szCs w:val="19"/>
                <w:color w:val="auto"/>
              </w:rPr>
            </w:pPr>
          </w:p>
        </w:tc>
        <w:tc>
          <w:tcPr>
            <w:tcW w:w="1140" w:type="dxa"/>
            <w:vAlign w:val="bottom"/>
            <w:gridSpan w:val="3"/>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07"/>
        </w:trPr>
        <w:tc>
          <w:tcPr>
            <w:tcW w:w="440" w:type="dxa"/>
            <w:vAlign w:val="bottom"/>
            <w:gridSpan w:val="2"/>
          </w:tcPr>
          <w:p>
            <w:pPr>
              <w:jc w:val="right"/>
              <w:ind w:right="152"/>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8"/>
                <w:szCs w:val="18"/>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22"/>
        </w:trPr>
        <w:tc>
          <w:tcPr>
            <w:tcW w:w="440" w:type="dxa"/>
            <w:vAlign w:val="bottom"/>
            <w:gridSpan w:val="2"/>
            <w:vMerge w:val="restart"/>
          </w:tcPr>
          <w:p>
            <w:pPr>
              <w:jc w:val="right"/>
              <w:ind w:right="192"/>
              <w:spacing w:after="0"/>
              <w:rPr>
                <w:sz w:val="20"/>
                <w:szCs w:val="20"/>
                <w:color w:val="auto"/>
              </w:rPr>
            </w:pPr>
            <w:r>
              <w:rPr>
                <w:rFonts w:ascii="Arial" w:cs="Arial" w:eastAsia="Arial" w:hAnsi="Arial"/>
                <w:sz w:val="11"/>
                <w:szCs w:val="11"/>
                <w:color w:val="auto"/>
                <w:w w:val="97"/>
              </w:rPr>
              <w:t>337</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15"/>
                <w:szCs w:val="15"/>
                <w:color w:val="auto"/>
              </w:rPr>
            </w:pPr>
          </w:p>
        </w:tc>
        <w:tc>
          <w:tcPr>
            <w:tcW w:w="1140" w:type="dxa"/>
            <w:vAlign w:val="bottom"/>
            <w:gridSpan w:val="3"/>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1,053</w:t>
            </w:r>
          </w:p>
        </w:tc>
        <w:tc>
          <w:tcPr>
            <w:tcW w:w="0" w:type="dxa"/>
            <w:vAlign w:val="bottom"/>
          </w:tcPr>
          <w:p>
            <w:pPr>
              <w:spacing w:after="0"/>
              <w:rPr>
                <w:sz w:val="1"/>
                <w:szCs w:val="1"/>
                <w:color w:val="auto"/>
              </w:rPr>
            </w:pPr>
          </w:p>
        </w:tc>
      </w:tr>
      <w:tr>
        <w:trPr>
          <w:trHeight w:val="207"/>
        </w:trPr>
        <w:tc>
          <w:tcPr>
            <w:tcW w:w="440" w:type="dxa"/>
            <w:vAlign w:val="bottom"/>
            <w:gridSpan w:val="2"/>
          </w:tcPr>
          <w:p>
            <w:pPr>
              <w:jc w:val="right"/>
              <w:ind w:right="152"/>
              <w:spacing w:after="0"/>
              <w:rPr>
                <w:sz w:val="20"/>
                <w:szCs w:val="20"/>
                <w:color w:val="auto"/>
              </w:rPr>
            </w:pPr>
            <w:r>
              <w:rPr>
                <w:rFonts w:ascii="Arial" w:cs="Arial" w:eastAsia="Arial" w:hAnsi="Arial"/>
                <w:sz w:val="11"/>
                <w:szCs w:val="11"/>
                <w:color w:val="auto"/>
                <w:w w:val="85"/>
              </w:rPr>
              <w:t>(342)</w:t>
            </w:r>
          </w:p>
        </w:tc>
        <w:tc>
          <w:tcPr>
            <w:tcW w:w="200" w:type="dxa"/>
            <w:vAlign w:val="bottom"/>
          </w:tcPr>
          <w:p>
            <w:pPr>
              <w:spacing w:after="0"/>
              <w:rPr>
                <w:sz w:val="18"/>
                <w:szCs w:val="18"/>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(878)</w:t>
            </w:r>
          </w:p>
        </w:tc>
        <w:tc>
          <w:tcPr>
            <w:tcW w:w="0" w:type="dxa"/>
            <w:vAlign w:val="bottom"/>
          </w:tcPr>
          <w:p>
            <w:pPr>
              <w:spacing w:after="0"/>
              <w:rPr>
                <w:sz w:val="1"/>
                <w:szCs w:val="1"/>
                <w:color w:val="auto"/>
              </w:rPr>
            </w:pPr>
          </w:p>
        </w:tc>
      </w:tr>
      <w:tr>
        <w:trPr>
          <w:trHeight w:val="207"/>
        </w:trPr>
        <w:tc>
          <w:tcPr>
            <w:tcW w:w="440" w:type="dxa"/>
            <w:vAlign w:val="bottom"/>
            <w:gridSpan w:val="2"/>
          </w:tcPr>
          <w:p>
            <w:pPr>
              <w:jc w:val="right"/>
              <w:ind w:right="192"/>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8"/>
                <w:szCs w:val="18"/>
                <w:color w:val="auto"/>
              </w:rPr>
            </w:pP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8"/>
                <w:szCs w:val="18"/>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40" w:type="dxa"/>
            <w:vAlign w:val="bottom"/>
            <w:gridSpan w:val="2"/>
          </w:tcPr>
          <w:p>
            <w:pPr>
              <w:jc w:val="right"/>
              <w:ind w:right="192"/>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12"/>
                <w:szCs w:val="12"/>
                <w:color w:val="auto"/>
              </w:rPr>
            </w:pPr>
          </w:p>
        </w:tc>
        <w:tc>
          <w:tcPr>
            <w:tcW w:w="1140" w:type="dxa"/>
            <w:vAlign w:val="bottom"/>
            <w:gridSpan w:val="3"/>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245</w:t>
            </w: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3"/>
        </w:trPr>
        <w:tc>
          <w:tcPr>
            <w:tcW w:w="1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82"/>
              </w:rPr>
              <w:t>Renewables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Arial" w:cs="Arial" w:eastAsia="Arial" w:hAnsi="Arial"/>
                <w:sz w:val="10"/>
                <w:szCs w:val="10"/>
                <w:b w:val="1"/>
                <w:bCs w:val="1"/>
                <w:color w:val="auto"/>
              </w:rPr>
              <w:t>Thermal</w:t>
            </w:r>
          </w:p>
        </w:tc>
        <w:tc>
          <w:tcPr>
            <w:tcW w:w="4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rPr>
              <w:t>Total</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-1315085</wp:posOffset>
            </wp:positionV>
            <wp:extent cx="7275195" cy="131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1314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-1051560</wp:posOffset>
            </wp:positionV>
            <wp:extent cx="7275195" cy="663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195" cy="6635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00" w:space="720"/>
            <w:col w:w="5360"/>
          </w:cols>
          <w:pgMar w:left="220" w:top="554" w:right="199" w:bottom="1440" w:gutter="0" w:footer="0" w:header="0"/>
          <w:type w:val="continuous"/>
        </w:sectPr>
      </w:pPr>
    </w:p>
    <w:tbl>
      <w:tblPr>
        <w:tblLayout w:type="fixed"/>
        <w:tblInd w:w="1240" w:type="dxa"/>
        <w:tblCellMar>
          <w:top w:w="0" w:type="dxa"/>
          <w:left w:w="0" w:type="dxa"/>
          <w:bottom w:w="0" w:type="dxa"/>
          <w:right w:w="0" w:type="dxa"/>
        </w:tblCellMar>
      </w:tblPr>
      <w:tr>
        <w:trPr>
          <w:trHeight w:val="15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Energy Revenue</w:t>
            </w:r>
          </w:p>
        </w:tc>
        <w:tc>
          <w:tcPr>
            <w:tcW w:w="56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534</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62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541</w:t>
            </w: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Capacity Revenue</w:t>
            </w:r>
          </w:p>
        </w:tc>
        <w:tc>
          <w:tcPr>
            <w:tcW w:w="560" w:type="dxa"/>
            <w:vAlign w:val="bottom"/>
          </w:tcPr>
          <w:p>
            <w:pPr>
              <w:spacing w:after="0"/>
              <w:rPr>
                <w:sz w:val="13"/>
                <w:szCs w:val="13"/>
                <w:color w:val="auto"/>
              </w:rPr>
            </w:pPr>
          </w:p>
        </w:tc>
        <w:tc>
          <w:tcPr>
            <w:tcW w:w="1600" w:type="dxa"/>
            <w:vAlign w:val="bottom"/>
            <w:gridSpan w:val="2"/>
          </w:tcPr>
          <w:p>
            <w:pPr>
              <w:jc w:val="right"/>
              <w:ind w:right="26"/>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337</w:t>
            </w:r>
          </w:p>
        </w:tc>
      </w:tr>
      <w:tr>
        <w:trPr>
          <w:trHeight w:val="22"/>
        </w:trPr>
        <w:tc>
          <w:tcPr>
            <w:tcW w:w="2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47"/>
        </w:trPr>
        <w:tc>
          <w:tcPr>
            <w:tcW w:w="2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342</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878</w:t>
            </w:r>
          </w:p>
        </w:tc>
      </w:tr>
      <w:tr>
        <w:trPr>
          <w:trHeight w:val="22"/>
        </w:trPr>
        <w:tc>
          <w:tcPr>
            <w:tcW w:w="2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Contract Amortization</w:t>
      </w:r>
    </w:p>
    <w:p>
      <w:pPr>
        <w:spacing w:after="0" w:line="96"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Contract Balances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reflects the contract assets and liabilities included on the Company’s balance sheet as of December 31, 2018:</w:t>
      </w:r>
    </w:p>
    <w:p>
      <w:pPr>
        <w:spacing w:after="0" w:line="224" w:lineRule="exact"/>
        <w:rPr>
          <w:sz w:val="20"/>
          <w:szCs w:val="20"/>
          <w:color w:val="auto"/>
        </w:rPr>
      </w:pPr>
    </w:p>
    <w:tbl>
      <w:tblPr>
        <w:tblLayout w:type="fixed"/>
        <w:tblInd w:w="620" w:type="dxa"/>
        <w:tblCellMar>
          <w:top w:w="0" w:type="dxa"/>
          <w:left w:w="0" w:type="dxa"/>
          <w:bottom w:w="0" w:type="dxa"/>
          <w:right w:w="0" w:type="dxa"/>
        </w:tblCellMar>
      </w:tblPr>
      <w:tr>
        <w:trPr>
          <w:trHeight w:val="115"/>
        </w:trPr>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(In millions)</w:t>
            </w:r>
          </w:p>
        </w:tc>
        <w:tc>
          <w:tcPr>
            <w:tcW w:w="6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December 31, 2018</w:t>
            </w: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December 31, 2017</w:t>
            </w:r>
          </w:p>
        </w:tc>
        <w:tc>
          <w:tcPr>
            <w:tcW w:w="420" w:type="dxa"/>
            <w:vAlign w:val="bottom"/>
          </w:tcPr>
          <w:p>
            <w:pPr>
              <w:spacing w:after="0"/>
              <w:rPr>
                <w:sz w:val="10"/>
                <w:szCs w:val="10"/>
                <w:color w:val="auto"/>
              </w:rPr>
            </w:pPr>
          </w:p>
        </w:tc>
      </w:tr>
      <w:tr>
        <w:trPr>
          <w:trHeight w:val="165"/>
        </w:trPr>
        <w:tc>
          <w:tcPr>
            <w:tcW w:w="6880" w:type="dxa"/>
            <w:vAlign w:val="bottom"/>
            <w:gridSpan w:val="2"/>
          </w:tcPr>
          <w:p>
            <w:pPr>
              <w:spacing w:after="0"/>
              <w:rPr>
                <w:sz w:val="20"/>
                <w:szCs w:val="20"/>
                <w:color w:val="auto"/>
              </w:rPr>
            </w:pPr>
            <w:r>
              <w:rPr>
                <w:rFonts w:ascii="Arial" w:cs="Arial" w:eastAsia="Arial" w:hAnsi="Arial"/>
                <w:sz w:val="11"/>
                <w:szCs w:val="11"/>
                <w:color w:val="auto"/>
              </w:rPr>
              <w:t>Accounts receivable, net - Contracts with customers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40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52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1"/>
                <w:szCs w:val="11"/>
                <w:color w:val="auto"/>
              </w:rPr>
              <w:t>28</w:t>
            </w:r>
          </w:p>
        </w:tc>
      </w:tr>
      <w:tr>
        <w:trPr>
          <w:trHeight w:val="22"/>
        </w:trPr>
        <w:tc>
          <w:tcPr>
            <w:tcW w:w="5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0"/>
        </w:trPr>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Accounts receivable, net - Leases</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69</w:t>
            </w:r>
          </w:p>
        </w:tc>
        <w:tc>
          <w:tcPr>
            <w:tcW w:w="5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67</w:t>
            </w:r>
          </w:p>
        </w:tc>
      </w:tr>
      <w:tr>
        <w:trPr>
          <w:trHeight w:val="176"/>
        </w:trPr>
        <w:tc>
          <w:tcPr>
            <w:tcW w:w="6880" w:type="dxa"/>
            <w:vAlign w:val="bottom"/>
            <w:gridSpan w:val="2"/>
          </w:tcPr>
          <w:p>
            <w:pPr>
              <w:spacing w:after="0"/>
              <w:rPr>
                <w:sz w:val="20"/>
                <w:szCs w:val="20"/>
                <w:color w:val="auto"/>
              </w:rPr>
            </w:pPr>
            <w:r>
              <w:rPr>
                <w:rFonts w:ascii="Arial" w:cs="Arial" w:eastAsia="Arial" w:hAnsi="Arial"/>
                <w:sz w:val="11"/>
                <w:szCs w:val="11"/>
                <w:color w:val="auto"/>
              </w:rPr>
              <w:t>Total accounts receivable, net</w:t>
            </w: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104</w:t>
            </w:r>
          </w:p>
        </w:tc>
        <w:tc>
          <w:tcPr>
            <w:tcW w:w="5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95</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80"/>
          </w:cols>
          <w:pgMar w:left="220" w:top="554" w:right="1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 xml:space="preserve">The Company accounts for derivative financial instruments under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or ASC 815, which requires the Company to record all derivatives on the balance sheet at fair value unless they qualify for a</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NPNS exception. Changes in the fair value of non-hedge derivatives are immediately recognized in earnings. Changes in the fair value of derivatives accounted for as hedges, if elected for hedge accounting, are either:</w:t>
      </w:r>
    </w:p>
    <w:p>
      <w:pPr>
        <w:spacing w:after="0" w:line="117" w:lineRule="exact"/>
        <w:rPr>
          <w:sz w:val="20"/>
          <w:szCs w:val="20"/>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Recognized in earnings as an offset to the changes in the fair value of the related hedged assets, liabilities and firm commitments; or</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Deferred and recorded as a component of accumulated OCI until the hedged transactions occur and are recognized in earnings.</w:t>
      </w:r>
    </w:p>
    <w:p>
      <w:pPr>
        <w:spacing w:after="0" w:line="114"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fuels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analyses to measure the statistical correlation between the derivative and the associated hedged item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78"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2"/>
          <w:szCs w:val="12"/>
          <w:i w:val="1"/>
          <w:iCs w:val="1"/>
          <w:color w:val="auto"/>
        </w:rPr>
        <w:t>Risks related to the PG&amp;E Bankruptcy</w:t>
      </w:r>
      <w:r>
        <w:rPr>
          <w:rFonts w:ascii="Arial" w:cs="Arial" w:eastAsia="Arial" w:hAnsi="Arial"/>
          <w:sz w:val="12"/>
          <w:szCs w:val="12"/>
          <w:color w:val="auto"/>
        </w:rPr>
        <w:t xml:space="preserve"> for a discussion on the Company’s dependence on major customers</w:t>
      </w:r>
      <w:r>
        <w:rPr>
          <w:rFonts w:ascii="Arial" w:cs="Arial" w:eastAsia="Arial" w:hAnsi="Arial"/>
          <w:sz w:val="12"/>
          <w:szCs w:val="12"/>
          <w:color w:val="1F497D"/>
        </w:rPr>
        <w:t>.</w:t>
      </w:r>
      <w:r>
        <w:rPr>
          <w:rFonts w:ascii="Arial" w:cs="Arial" w:eastAsia="Arial" w:hAnsi="Arial"/>
          <w:sz w:val="12"/>
          <w:szCs w:val="12"/>
          <w:color w:val="auto"/>
        </w:rPr>
        <w:t xml:space="preserve"> See Note 6, </w:t>
      </w:r>
      <w:r>
        <w:rPr>
          <w:rFonts w:ascii="Arial" w:cs="Arial" w:eastAsia="Arial" w:hAnsi="Arial"/>
          <w:sz w:val="12"/>
          <w:szCs w:val="12"/>
          <w:i w:val="1"/>
          <w:iCs w:val="1"/>
          <w:color w:val="auto"/>
        </w:rPr>
        <w:t>Fair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Value of Financial Instruments </w:t>
      </w:r>
      <w:r>
        <w:rPr>
          <w:rFonts w:ascii="Arial" w:cs="Arial" w:eastAsia="Arial" w:hAnsi="Arial"/>
          <w:sz w:val="12"/>
          <w:szCs w:val="12"/>
          <w:color w:val="auto"/>
        </w:rPr>
        <w:t>for a further discussion of derivative concentrations and Note 13,</w:t>
      </w:r>
      <w:r>
        <w:rPr>
          <w:rFonts w:ascii="Arial" w:cs="Arial" w:eastAsia="Arial" w:hAnsi="Arial"/>
          <w:sz w:val="12"/>
          <w:szCs w:val="12"/>
          <w:i w:val="1"/>
          <w:iCs w:val="1"/>
          <w:color w:val="auto"/>
        </w:rPr>
        <w:t xml:space="preserve"> Segment Reporting</w:t>
      </w:r>
      <w:r>
        <w:rPr>
          <w:rFonts w:ascii="Arial" w:cs="Arial" w:eastAsia="Arial" w:hAnsi="Arial"/>
          <w:sz w:val="12"/>
          <w:szCs w:val="12"/>
          <w:color w:val="auto"/>
        </w:rPr>
        <w:t>, for concentration of counterparties.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14"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xml:space="preserve"> for a further discussion of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Retirement Obligations</w:t>
      </w:r>
    </w:p>
    <w:p>
      <w:pPr>
        <w:spacing w:after="0" w:line="114"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 xml:space="preserve">Asset retirement obligations, or AROs, are accounted for in accordance with ASC 410-20, </w:t>
      </w:r>
      <w:r>
        <w:rPr>
          <w:rFonts w:ascii="Arial" w:cs="Arial" w:eastAsia="Arial" w:hAnsi="Arial"/>
          <w:sz w:val="11"/>
          <w:szCs w:val="11"/>
          <w:i w:val="1"/>
          <w:iCs w:val="1"/>
          <w:color w:val="auto"/>
        </w:rPr>
        <w:t>Asset Retirement Obligations,</w:t>
      </w:r>
      <w:r>
        <w:rPr>
          <w:rFonts w:ascii="Arial" w:cs="Arial" w:eastAsia="Arial" w:hAnsi="Arial"/>
          <w:sz w:val="11"/>
          <w:szCs w:val="11"/>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69"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0"/>
          </w:cols>
          <w:pgMar w:left="220" w:top="518" w:right="199" w:bottom="1440" w:gutter="0" w:footer="0" w:header="0"/>
        </w:sectPr>
      </w:pPr>
    </w:p>
    <w:bookmarkStart w:id="91" w:name="page92"/>
    <w:bookmarkEnd w:id="91"/>
    <w:p>
      <w:pPr>
        <w:ind w:left="280"/>
        <w:spacing w:after="0"/>
        <w:rPr>
          <w:sz w:val="20"/>
          <w:szCs w:val="20"/>
          <w:color w:val="auto"/>
        </w:rPr>
      </w:pPr>
      <w:r>
        <w:rPr>
          <w:rFonts w:ascii="Arial" w:cs="Arial" w:eastAsia="Arial" w:hAnsi="Arial"/>
          <w:sz w:val="11"/>
          <w:szCs w:val="11"/>
          <w:color w:val="auto"/>
        </w:rPr>
        <w:t>The following table represents the balance of ARO obligations as of December 31, 2018 and 2017, along with the additions and accretion related to the Company's ARO obligations for the year ended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7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(In millions)</w:t>
            </w:r>
          </w:p>
        </w:tc>
      </w:tr>
      <w:tr>
        <w:trPr>
          <w:trHeight w:val="173"/>
        </w:trPr>
        <w:tc>
          <w:tcPr>
            <w:tcW w:w="97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December 31, 2017</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w:t>
            </w:r>
          </w:p>
        </w:tc>
      </w:tr>
      <w:tr>
        <w:trPr>
          <w:trHeight w:val="171"/>
        </w:trPr>
        <w:tc>
          <w:tcPr>
            <w:tcW w:w="9760" w:type="dxa"/>
            <w:vAlign w:val="bottom"/>
          </w:tcPr>
          <w:p>
            <w:pPr>
              <w:ind w:left="100"/>
              <w:spacing w:after="0"/>
              <w:rPr>
                <w:sz w:val="20"/>
                <w:szCs w:val="20"/>
                <w:color w:val="auto"/>
              </w:rPr>
            </w:pPr>
            <w:r>
              <w:rPr>
                <w:rFonts w:ascii="Arial" w:cs="Arial" w:eastAsia="Arial" w:hAnsi="Arial"/>
                <w:sz w:val="12"/>
                <w:szCs w:val="12"/>
                <w:color w:val="auto"/>
              </w:rPr>
              <w:t>Revisions in estimates for current obligations/Additions</w:t>
            </w:r>
          </w:p>
        </w:tc>
        <w:tc>
          <w:tcPr>
            <w:tcW w:w="34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5</w:t>
            </w:r>
          </w:p>
        </w:tc>
      </w:tr>
      <w:tr>
        <w:trPr>
          <w:trHeight w:val="180"/>
        </w:trPr>
        <w:tc>
          <w:tcPr>
            <w:tcW w:w="97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Accretion — expense</w:t>
            </w:r>
          </w:p>
        </w:tc>
        <w:tc>
          <w:tcPr>
            <w:tcW w:w="3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r>
      <w:tr>
        <w:trPr>
          <w:trHeight w:val="185"/>
        </w:trPr>
        <w:tc>
          <w:tcPr>
            <w:tcW w:w="9760" w:type="dxa"/>
            <w:vAlign w:val="bottom"/>
          </w:tcPr>
          <w:p>
            <w:pPr>
              <w:ind w:left="20"/>
              <w:spacing w:after="0"/>
              <w:rPr>
                <w:sz w:val="20"/>
                <w:szCs w:val="20"/>
                <w:color w:val="auto"/>
              </w:rPr>
            </w:pPr>
            <w:r>
              <w:rPr>
                <w:rFonts w:ascii="Arial" w:cs="Arial" w:eastAsia="Arial" w:hAnsi="Arial"/>
                <w:sz w:val="12"/>
                <w:szCs w:val="12"/>
                <w:b w:val="1"/>
                <w:bCs w:val="1"/>
                <w:color w:val="auto"/>
              </w:rPr>
              <w:t>Balance as of December 31, 2018</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w:t>
      </w:r>
    </w:p>
    <w:p>
      <w:pPr>
        <w:spacing w:after="0" w:line="114"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Accounted for by the Equity Method</w:t>
      </w:r>
    </w:p>
    <w:p>
      <w:pPr>
        <w:spacing w:after="0" w:line="114"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2"/>
          <w:szCs w:val="12"/>
          <w:i w:val="1"/>
          <w:iCs w:val="1"/>
          <w:color w:val="auto"/>
        </w:rPr>
        <w:t>Investments Accounted for by the</w:t>
      </w:r>
      <w:r>
        <w:rPr>
          <w:rFonts w:ascii="Arial" w:cs="Arial" w:eastAsia="Arial" w:hAnsi="Arial"/>
          <w:sz w:val="12"/>
          <w:szCs w:val="12"/>
          <w:color w:val="auto"/>
        </w:rPr>
        <w:t xml:space="preserve"> </w:t>
      </w:r>
      <w:r>
        <w:rPr>
          <w:rFonts w:ascii="Arial" w:cs="Arial" w:eastAsia="Arial" w:hAnsi="Arial"/>
          <w:sz w:val="12"/>
          <w:szCs w:val="12"/>
          <w:i w:val="1"/>
          <w:iCs w:val="1"/>
          <w:color w:val="auto"/>
        </w:rPr>
        <w:t>Equity Method and Variable Interest Entities</w:t>
      </w:r>
      <w:r>
        <w:rPr>
          <w:rFonts w:ascii="Arial" w:cs="Arial" w:eastAsia="Arial" w:hAnsi="Arial"/>
          <w:sz w:val="12"/>
          <w:szCs w:val="12"/>
          <w:color w:val="auto"/>
        </w:rPr>
        <w:t>. The equity method of accounting is applied to these investments in affiliates because the ownership structure prevents the Company from exercising a controlling influence over the operating</w:t>
      </w:r>
      <w:r>
        <w:rPr>
          <w:rFonts w:ascii="Arial" w:cs="Arial" w:eastAsia="Arial" w:hAnsi="Arial"/>
          <w:sz w:val="12"/>
          <w:szCs w:val="12"/>
          <w:i w:val="1"/>
          <w:iCs w:val="1"/>
          <w:color w:val="auto"/>
        </w:rPr>
        <w:t xml:space="preserve"> </w:t>
      </w:r>
      <w:r>
        <w:rPr>
          <w:rFonts w:ascii="Arial" w:cs="Arial" w:eastAsia="Arial" w:hAnsi="Arial"/>
          <w:sz w:val="12"/>
          <w:szCs w:val="12"/>
          <w:color w:val="auto"/>
        </w:rPr>
        <w:t>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Leaseback Arrangements</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2"/>
          <w:szCs w:val="12"/>
          <w:i w:val="1"/>
          <w:iCs w:val="1"/>
          <w:color w:val="auto"/>
        </w:rPr>
        <w:t>Sale-Leaseback Transactions</w:t>
      </w:r>
      <w:r>
        <w:rPr>
          <w:rFonts w:ascii="Arial" w:cs="Arial" w:eastAsia="Arial" w:hAnsi="Arial"/>
          <w:sz w:val="12"/>
          <w:szCs w:val="12"/>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8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80"/>
          </w:cols>
          <w:pgMar w:left="220" w:top="518" w:right="199" w:bottom="1440" w:gutter="0" w:footer="0" w:header="0"/>
        </w:sectPr>
      </w:pPr>
    </w:p>
    <w:bookmarkStart w:id="92" w:name="page93"/>
    <w:bookmarkEnd w:id="92"/>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1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accounts for its stock-based compensation in accordance with ASC 718, Compensation — Stock </w:t>
      </w:r>
      <w:r>
        <w:rPr>
          <w:rFonts w:ascii="Arial" w:cs="Arial" w:eastAsia="Arial" w:hAnsi="Arial"/>
          <w:sz w:val="12"/>
          <w:szCs w:val="12"/>
          <w:i w:val="1"/>
          <w:iCs w:val="1"/>
          <w:color w:val="auto"/>
        </w:rPr>
        <w:t>Compensation,</w:t>
      </w:r>
      <w:r>
        <w:rPr>
          <w:rFonts w:ascii="Arial" w:cs="Arial" w:eastAsia="Arial" w:hAnsi="Arial"/>
          <w:sz w:val="12"/>
          <w:szCs w:val="12"/>
          <w:color w:val="auto"/>
        </w:rPr>
        <w:t xml:space="preserve"> or ASC 718. The fair value of the Company's relative performance stock units, or RPSUs, are estimated on the date of grant using the Monte Carlo valuation model. The Company uses the Class A and Class C common stock price on the date of grant as the fair value of the Company's restricted stock units, or RSUs. Forfeiture rates are estimated based on an analysis of the Company's historical forfeitures, employment turnover, and expected future behavior. The Company recognizes compensation expense for both graded and cliff vesting awards on a straightline basis over the requisite service period for the entire award. The Company incurred total stock compensation expense of $3 million and $2 million for the years ended December 31, 2018 and December 31, 2017, respectively, which was primarily recorded in general and administrative expense on the Company's consolidated statements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The Company accounts for income taxes using the liability method in accordance with ASC 740, </w:t>
      </w:r>
      <w:r>
        <w:rPr>
          <w:rFonts w:ascii="Arial" w:cs="Arial" w:eastAsia="Arial" w:hAnsi="Arial"/>
          <w:sz w:val="12"/>
          <w:szCs w:val="12"/>
          <w:i w:val="1"/>
          <w:iCs w:val="1"/>
          <w:color w:val="auto"/>
        </w:rPr>
        <w:t>Income Taxes</w:t>
      </w:r>
      <w:r>
        <w:rPr>
          <w:rFonts w:ascii="Arial" w:cs="Arial" w:eastAsia="Arial" w:hAnsi="Arial"/>
          <w:sz w:val="12"/>
          <w:szCs w:val="12"/>
          <w:color w:val="auto"/>
        </w:rPr>
        <w:t>, or ASC 740, which requires that the Company use the asset and liability method of accounting for deferred income taxes and provide deferred income taxes for all significant temporary differences.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has two categories of income tax expense or benefit — current and deferred, as follows:</w:t>
      </w:r>
    </w:p>
    <w:p>
      <w:pPr>
        <w:spacing w:after="0" w:line="114" w:lineRule="exact"/>
        <w:rPr>
          <w:sz w:val="20"/>
          <w:szCs w:val="20"/>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Current income tax expense or benefit consists solely of current taxes payable less applicable tax credits,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Deferred income tax expense or benefit is the change in the net deferred income tax asset or liability, excluding amounts charged or credited to accumulated other comprehensive income.</w:t>
      </w:r>
    </w:p>
    <w:p>
      <w:pPr>
        <w:spacing w:after="0" w:line="11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including the impact of the Tax Cuts and Jobs Act, the Company considered the profit before tax generated in recent years. A valuation allowance is recorded to reduce the net deferred tax assets to an amount that is more-likely-than-not to be realized.</w:t>
      </w:r>
    </w:p>
    <w:p>
      <w:pPr>
        <w:spacing w:after="0" w:line="9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 The Company recognizes interest and penalties accrued related to uncertain tax benefits as a component of income tax expense.</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1"/>
          <w:szCs w:val="11"/>
          <w:color w:val="auto"/>
        </w:rPr>
        <w:t xml:space="preserve">In accordance with ASC 740 and as discussed further in Note 14, </w:t>
      </w:r>
      <w:r>
        <w:rPr>
          <w:rFonts w:ascii="Arial" w:cs="Arial" w:eastAsia="Arial" w:hAnsi="Arial"/>
          <w:sz w:val="11"/>
          <w:szCs w:val="11"/>
          <w:i w:val="1"/>
          <w:iCs w:val="1"/>
          <w:color w:val="auto"/>
        </w:rPr>
        <w:t>Income Taxes</w:t>
      </w:r>
      <w:r>
        <w:rPr>
          <w:rFonts w:ascii="Arial" w:cs="Arial" w:eastAsia="Arial" w:hAnsi="Arial"/>
          <w:sz w:val="11"/>
          <w:szCs w:val="11"/>
          <w:color w:val="auto"/>
        </w:rPr>
        <w:t>, changes to existing net deferred tax assets, valuation allowances, or changes to uncertain tax benefits, are recorded to income tax expense.</w:t>
      </w:r>
    </w:p>
    <w:p>
      <w:pPr>
        <w:spacing w:after="0" w:line="126"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Prior to the GIP Transaction, Clearway Energy, Inc. was included in certain NRG consolidated unitary state tax return filings which was reflected in the Clearway Energy, Inc. state effective tax rate. Following the GIP Transaction, Clearway Energy, Inc. will file under a separate standalone methodology, resulting in a higher state effective tax rate due to a larger percentage of activity allocated to high-tax jurisdictions.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80"/>
          </w:cols>
          <w:pgMar w:left="220" w:top="518" w:right="19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14"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 xml:space="preserve">The Company accounts for its business combinations 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noncontrolling interest. Transaction costs are expensed as incurred.</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87" w:lineRule="exact"/>
        <w:rPr>
          <w:sz w:val="20"/>
          <w:szCs w:val="20"/>
          <w:color w:val="auto"/>
        </w:rPr>
      </w:pPr>
    </w:p>
    <w:p>
      <w:pPr>
        <w:jc w:val="both"/>
        <w:ind w:firstLine="288"/>
        <w:spacing w:after="0" w:line="340" w:lineRule="auto"/>
        <w:rPr>
          <w:sz w:val="20"/>
          <w:szCs w:val="20"/>
          <w:color w:val="auto"/>
        </w:rPr>
      </w:pPr>
      <w:r>
        <w:rPr>
          <w:rFonts w:ascii="Arial" w:cs="Arial" w:eastAsia="Arial" w:hAnsi="Arial"/>
          <w:sz w:val="10"/>
          <w:szCs w:val="10"/>
          <w:color w:val="auto"/>
        </w:rPr>
        <w:t>In recording transactions and balances resulting from business operations, the Company uses estimates based on the best information available. Estimates are used for such items as plant depreciable lives, tax provisions,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Equity Arrangements</w:t>
      </w:r>
    </w:p>
    <w:p>
      <w:pPr>
        <w:spacing w:after="0" w:line="114"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1"/>
          <w:szCs w:val="11"/>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480"/>
          </w:cols>
          <w:pgMar w:left="220" w:top="518" w:right="199" w:bottom="1440" w:gutter="0" w:footer="0" w:header="0"/>
        </w:sectPr>
      </w:pPr>
    </w:p>
    <w:bookmarkStart w:id="94" w:name="page95"/>
    <w:bookmarkEnd w:id="94"/>
    <w:p>
      <w:pPr>
        <w:spacing w:after="0"/>
        <w:rPr>
          <w:sz w:val="20"/>
          <w:szCs w:val="20"/>
          <w:color w:val="auto"/>
        </w:rPr>
      </w:pPr>
      <w:r>
        <w:rPr>
          <w:rFonts w:ascii="Arial" w:cs="Arial" w:eastAsia="Arial" w:hAnsi="Arial"/>
          <w:sz w:val="12"/>
          <w:szCs w:val="12"/>
          <w:b w:val="1"/>
          <w:bCs w:val="1"/>
          <w:i w:val="1"/>
          <w:iCs w:val="1"/>
          <w:color w:val="auto"/>
        </w:rPr>
        <w:t>Recent Accounting Developments - Adopted in 2019</w:t>
      </w:r>
    </w:p>
    <w:p>
      <w:pPr>
        <w:spacing w:after="0" w:line="96" w:lineRule="exact"/>
        <w:rPr>
          <w:sz w:val="20"/>
          <w:szCs w:val="20"/>
          <w:color w:val="auto"/>
        </w:rPr>
      </w:pPr>
    </w:p>
    <w:p>
      <w:pPr>
        <w:jc w:val="both"/>
        <w:ind w:firstLine="234"/>
        <w:spacing w:after="0" w:line="298" w:lineRule="auto"/>
        <w:rPr>
          <w:sz w:val="20"/>
          <w:szCs w:val="20"/>
          <w:color w:val="auto"/>
        </w:rPr>
      </w:pPr>
      <w:r>
        <w:rPr>
          <w:rFonts w:ascii="Arial" w:cs="Arial" w:eastAsia="Arial" w:hAnsi="Arial"/>
          <w:sz w:val="11"/>
          <w:szCs w:val="11"/>
          <w:i w:val="1"/>
          <w:iCs w:val="1"/>
          <w:color w:val="auto"/>
        </w:rPr>
        <w:t xml:space="preserve">ASU 2016-02 </w:t>
      </w:r>
      <w:r>
        <w:rPr>
          <w:rFonts w:ascii="Arial" w:cs="Arial" w:eastAsia="Arial" w:hAnsi="Arial"/>
          <w:sz w:val="11"/>
          <w:szCs w:val="11"/>
          <w:color w:val="auto"/>
        </w:rPr>
        <w:t>— In February 2016, the FASB issued ASU No. 2016-02,</w:t>
      </w:r>
      <w:r>
        <w:rPr>
          <w:rFonts w:ascii="Arial" w:cs="Arial" w:eastAsia="Arial" w:hAnsi="Arial"/>
          <w:sz w:val="11"/>
          <w:szCs w:val="11"/>
          <w:i w:val="1"/>
          <w:iCs w:val="1"/>
          <w:color w:val="auto"/>
        </w:rPr>
        <w:t xml:space="preserve"> Leases </w:t>
      </w:r>
      <w:r>
        <w:rPr>
          <w:rFonts w:ascii="Arial" w:cs="Arial" w:eastAsia="Arial" w:hAnsi="Arial"/>
          <w:sz w:val="11"/>
          <w:szCs w:val="11"/>
          <w:color w:val="auto"/>
        </w:rPr>
        <w:t>(Topic 842), or Topic 842, as amended, with the objective to increase transparency and comparability among organizations by recognizing lease assets</w:t>
      </w:r>
      <w:r>
        <w:rPr>
          <w:rFonts w:ascii="Arial" w:cs="Arial" w:eastAsia="Arial" w:hAnsi="Arial"/>
          <w:sz w:val="11"/>
          <w:szCs w:val="11"/>
          <w:i w:val="1"/>
          <w:iCs w:val="1"/>
          <w:color w:val="auto"/>
        </w:rPr>
        <w:t xml:space="preserve"> </w:t>
      </w:r>
      <w:r>
        <w:rPr>
          <w:rFonts w:ascii="Arial" w:cs="Arial" w:eastAsia="Arial" w:hAnsi="Arial"/>
          <w:sz w:val="11"/>
          <w:szCs w:val="11"/>
          <w:color w:val="auto"/>
        </w:rPr>
        <w:t>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w:t>
      </w:r>
    </w:p>
    <w:p>
      <w:pPr>
        <w:spacing w:after="0" w:line="69"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2"/>
          <w:szCs w:val="12"/>
          <w:color w:val="auto"/>
        </w:rPr>
        <w:t>The Company adopted the standard effective January 1, 2019 using the modified retrospective transition method and will not restate prior periods for the impact of Topic 842. In addition, the Company elected certain of the permitted practical expedients, including the expedient that permits the Company to retain its existing lease assessment and classification. The company will not record a right-of-use asset and related lease liability for leases with an initial term of 12 months or less and will account for lease and non-lease components for specific asset classes as a single lease component.</w:t>
      </w:r>
    </w:p>
    <w:p>
      <w:pPr>
        <w:spacing w:after="0" w:line="87"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2"/>
          <w:szCs w:val="12"/>
          <w:color w:val="auto"/>
        </w:rPr>
        <w:t>The Company's leases consist mainly of land leases for many operating asset locations, as well as leases of office space and office equipment. The Company estimates it will record lease liabilities of approximately $160 million to $170 million and right-of-use assets of approximately $155 million to $165 million, as of January 1, 2019, with an immaterial impact estimated to retained earnings. The actual amounts recorded may vary from this estimate as the Company completes its adoption of the guidance. Other than disclosed, the Company does not expect that there will be a material impact to the consolidated statements of operations, comprehensive income or consolidated cash flows as a result of adoption of this new guidance.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Business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2018 Acquisitions</w:t>
      </w:r>
    </w:p>
    <w:p>
      <w:pPr>
        <w:spacing w:after="0" w:line="137"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b w:val="1"/>
          <w:bCs w:val="1"/>
          <w:i w:val="1"/>
          <w:iCs w:val="1"/>
          <w:color w:val="auto"/>
        </w:rPr>
        <w:t xml:space="preserve">UPMC Thermal Project Asset Acquisition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June 19, 2018, upon reaching substantial completion, the Company acquired from NRG the UPMC Thermal Project for cash consideration of $84 million, subject to working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adjustments. The Company had a payable of $4 million to NRG as of December 31,2018, $3 million of which was paid in January 2019 upon final completion of the project pursuant to the EPC agreement. The project adds 73 MWt of thermal equivalent capacity and 7.5 MW of emergency backup electrical capacity to the Company's portfolio. The transaction is reflected in the Company's Thermal segment. The acquisition was funded with the proceeds from the sale of the Series E Notes and Series F Notes, as further described in </w:t>
      </w:r>
      <w:r>
        <w:rPr>
          <w:rFonts w:ascii="Arial" w:cs="Arial" w:eastAsia="Arial" w:hAnsi="Arial"/>
          <w:sz w:val="11"/>
          <w:szCs w:val="11"/>
          <w:i w:val="1"/>
          <w:iCs w:val="1"/>
          <w:color w:val="auto"/>
        </w:rPr>
        <w:t>Note 10</w:t>
      </w:r>
      <w:r>
        <w:rPr>
          <w:rFonts w:ascii="Arial" w:cs="Arial" w:eastAsia="Arial" w:hAnsi="Arial"/>
          <w:sz w:val="11"/>
          <w:szCs w:val="11"/>
          <w:color w:val="auto"/>
        </w:rPr>
        <w:t xml:space="preserve">, </w:t>
      </w:r>
      <w:r>
        <w:rPr>
          <w:rFonts w:ascii="Arial" w:cs="Arial" w:eastAsia="Arial" w:hAnsi="Arial"/>
          <w:sz w:val="11"/>
          <w:szCs w:val="11"/>
          <w:i w:val="1"/>
          <w:iCs w:val="1"/>
          <w:color w:val="auto"/>
        </w:rPr>
        <w:t>Long-term Debt</w:t>
      </w:r>
      <w:r>
        <w:rPr>
          <w:rFonts w:ascii="Arial" w:cs="Arial" w:eastAsia="Arial" w:hAnsi="Arial"/>
          <w:sz w:val="11"/>
          <w:szCs w:val="11"/>
          <w:color w:val="auto"/>
        </w:rPr>
        <w:t xml:space="preserve">. The assets transferred to the Company relate to interests under common control by NRG and were recorded at book value in accordance with ASC 805-50, </w:t>
      </w:r>
      <w:r>
        <w:rPr>
          <w:rFonts w:ascii="Arial" w:cs="Arial" w:eastAsia="Arial" w:hAnsi="Arial"/>
          <w:sz w:val="11"/>
          <w:szCs w:val="11"/>
          <w:i w:val="1"/>
          <w:iCs w:val="1"/>
          <w:color w:val="auto"/>
        </w:rPr>
        <w:t>Business Combinations - Related Issues</w:t>
      </w:r>
      <w:r>
        <w:rPr>
          <w:rFonts w:ascii="Arial" w:cs="Arial" w:eastAsia="Arial" w:hAnsi="Arial"/>
          <w:sz w:val="11"/>
          <w:szCs w:val="11"/>
          <w:color w:val="auto"/>
        </w:rPr>
        <w:t>. The difference between the purchase price and book value of the assets was recorded as a distribution to NRG and decreased the balance of its noncontrolling interest. The acquisition was determined to be an asset acquisition and not a business combination, therefore no recast of the historical financial information was deemed necessary.</w:t>
      </w:r>
    </w:p>
    <w:p>
      <w:pPr>
        <w:spacing w:after="0" w:line="72" w:lineRule="exact"/>
        <w:rPr>
          <w:sz w:val="20"/>
          <w:szCs w:val="20"/>
          <w:color w:val="auto"/>
        </w:rPr>
      </w:pPr>
    </w:p>
    <w:p>
      <w:pPr>
        <w:jc w:val="both"/>
        <w:ind w:firstLine="270"/>
        <w:spacing w:after="0" w:line="331" w:lineRule="auto"/>
        <w:rPr>
          <w:sz w:val="20"/>
          <w:szCs w:val="20"/>
          <w:color w:val="auto"/>
        </w:rPr>
      </w:pPr>
      <w:r>
        <w:rPr>
          <w:rFonts w:ascii="Arial" w:cs="Arial" w:eastAsia="Arial" w:hAnsi="Arial"/>
          <w:sz w:val="11"/>
          <w:szCs w:val="11"/>
          <w:b w:val="1"/>
          <w:bCs w:val="1"/>
          <w:i w:val="1"/>
          <w:iCs w:val="1"/>
          <w:color w:val="auto"/>
        </w:rPr>
        <w:t xml:space="preserve">Central CA Fuel Cell 1, LLC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April 18, 2018, the Company acquired the Central CA Fuel Cell 1, LLC project in Tulare, California from FuelCell Energy Finance, Inc., for cash consideration of $11 million, subject to working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adjustments. The project adds 2.8 MW of thermal capacity to the Company's portfolio, with a 20-year PPA contract with the City of Tulare. The transaction is reflected in the Company's Thermal segment.</w:t>
      </w:r>
    </w:p>
    <w:p>
      <w:pPr>
        <w:spacing w:after="0" w:line="47" w:lineRule="exact"/>
        <w:rPr>
          <w:sz w:val="20"/>
          <w:szCs w:val="20"/>
          <w:color w:val="auto"/>
        </w:rPr>
      </w:pPr>
    </w:p>
    <w:p>
      <w:pPr>
        <w:jc w:val="both"/>
        <w:ind w:firstLine="270"/>
        <w:spacing w:after="0" w:line="315" w:lineRule="auto"/>
        <w:rPr>
          <w:sz w:val="20"/>
          <w:szCs w:val="20"/>
          <w:color w:val="auto"/>
        </w:rPr>
      </w:pPr>
      <w:r>
        <w:rPr>
          <w:rFonts w:ascii="Arial" w:cs="Arial" w:eastAsia="Arial" w:hAnsi="Arial"/>
          <w:sz w:val="10"/>
          <w:szCs w:val="10"/>
          <w:b w:val="1"/>
          <w:bCs w:val="1"/>
          <w:i w:val="1"/>
          <w:iCs w:val="1"/>
          <w:color w:val="auto"/>
        </w:rPr>
        <w:t xml:space="preserve">Buckthorn Solar Drop Down Asset </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On March 30, 2018, the Company acquired 100% of NRG's interests in Buckthorn Renewables, LLC, which owns a 154 MW construction-stage utility-scale solar generation project located in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 xml:space="preserve">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0"/>
          <w:szCs w:val="10"/>
          <w:i w:val="1"/>
          <w:iCs w:val="1"/>
          <w:color w:val="auto"/>
        </w:rPr>
        <w:t>Business Combinations - Related Issues</w:t>
      </w:r>
      <w:r>
        <w:rPr>
          <w:rFonts w:ascii="Arial" w:cs="Arial" w:eastAsia="Arial" w:hAnsi="Arial"/>
          <w:sz w:val="10"/>
          <w:szCs w:val="10"/>
          <w:color w:val="auto"/>
        </w:rPr>
        <w:t>. The difference between the cash paid and historical value of the entities' equity was recorded as a distribution to NRG and decreased the balance of its noncontrolling interest. Since the transaction</w:t>
      </w:r>
      <w:r>
        <w:rPr>
          <w:rFonts w:ascii="Arial" w:cs="Arial" w:eastAsia="Arial" w:hAnsi="Arial"/>
          <w:sz w:val="10"/>
          <w:szCs w:val="10"/>
          <w:i w:val="1"/>
          <w:iCs w:val="1"/>
          <w:color w:val="auto"/>
        </w:rPr>
        <w:t xml:space="preserve"> </w:t>
      </w:r>
      <w:r>
        <w:rPr>
          <w:rFonts w:ascii="Arial" w:cs="Arial" w:eastAsia="Arial" w:hAnsi="Arial"/>
          <w:sz w:val="10"/>
          <w:szCs w:val="10"/>
          <w:color w:val="auto"/>
        </w:rPr>
        <w:t>constituted a transfer of net assets under common control, the guidance requires retrospective combination of the entities for all periods presented as if the combination had been in effect since the inception of common control.</w:t>
      </w:r>
    </w:p>
    <w:p>
      <w:pPr>
        <w:spacing w:after="0" w:line="6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80"/>
          </w:cols>
          <w:pgMar w:left="220" w:top="518" w:right="199" w:bottom="1440" w:gutter="0" w:footer="0" w:header="0"/>
        </w:sectPr>
      </w:pPr>
    </w:p>
    <w:bookmarkStart w:id="95" w:name="page96"/>
    <w:bookmarkEnd w:id="95"/>
    <w:p>
      <w:pPr>
        <w:jc w:val="both"/>
        <w:ind w:left="8"/>
        <w:spacing w:after="0" w:line="263" w:lineRule="auto"/>
        <w:rPr>
          <w:sz w:val="20"/>
          <w:szCs w:val="20"/>
          <w:color w:val="auto"/>
        </w:rPr>
      </w:pPr>
      <w:r>
        <w:rPr>
          <w:rFonts w:ascii="Arial" w:cs="Arial" w:eastAsia="Arial" w:hAnsi="Arial"/>
          <w:sz w:val="12"/>
          <w:szCs w:val="12"/>
          <w:color w:val="auto"/>
        </w:rPr>
        <w:t>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w:t>
      </w:r>
    </w:p>
    <w:p>
      <w:pPr>
        <w:spacing w:after="0" w:line="87"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project sells power under a 25-year PPA to the City of Georgetown, Texas, which commenced in July 2018.</w:t>
      </w:r>
    </w:p>
    <w:p>
      <w:pPr>
        <w:spacing w:after="0" w:line="114"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is a summary of net assets transferred in connection with the acquisition of the Buckthorn Solar Drop Down Asset as of March 31, 2018:</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9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(In millions)</w:t>
            </w:r>
          </w:p>
        </w:tc>
      </w:tr>
      <w:tr>
        <w:trPr>
          <w:trHeight w:val="164"/>
        </w:trPr>
        <w:tc>
          <w:tcPr>
            <w:tcW w:w="9880" w:type="dxa"/>
            <w:vAlign w:val="bottom"/>
          </w:tcPr>
          <w:p>
            <w:pPr>
              <w:ind w:left="20"/>
              <w:spacing w:after="0"/>
              <w:rPr>
                <w:sz w:val="20"/>
                <w:szCs w:val="20"/>
                <w:color w:val="auto"/>
              </w:rPr>
            </w:pPr>
            <w:r>
              <w:rPr>
                <w:rFonts w:ascii="Arial" w:cs="Arial" w:eastAsia="Arial" w:hAnsi="Arial"/>
                <w:sz w:val="12"/>
                <w:szCs w:val="12"/>
                <w:color w:val="auto"/>
              </w:rPr>
              <w:t>Assets: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w:t>
            </w:r>
          </w:p>
        </w:tc>
      </w:tr>
      <w:tr>
        <w:trPr>
          <w:trHeight w:val="171"/>
        </w:trPr>
        <w:tc>
          <w:tcPr>
            <w:tcW w:w="988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30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212</w:t>
            </w:r>
          </w:p>
        </w:tc>
      </w:tr>
      <w:tr>
        <w:trPr>
          <w:trHeight w:val="180"/>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69"/>
        </w:trPr>
        <w:tc>
          <w:tcPr>
            <w:tcW w:w="98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235</w:t>
            </w:r>
          </w:p>
        </w:tc>
      </w:tr>
      <w:tr>
        <w:trPr>
          <w:trHeight w:val="178"/>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9880" w:type="dxa"/>
            <w:vAlign w:val="bottom"/>
          </w:tcPr>
          <w:p>
            <w:pPr>
              <w:ind w:left="20"/>
              <w:spacing w:after="0" w:line="180" w:lineRule="exact"/>
              <w:rPr>
                <w:sz w:val="20"/>
                <w:szCs w:val="20"/>
                <w:color w:val="auto"/>
              </w:rPr>
            </w:pPr>
            <w:r>
              <w:rPr>
                <w:rFonts w:ascii="Arial" w:cs="Arial" w:eastAsia="Arial" w:hAnsi="Arial"/>
                <w:sz w:val="12"/>
                <w:szCs w:val="12"/>
                <w:color w:val="auto"/>
              </w:rPr>
              <w:t xml:space="preserve">Debt (Current and non-current) </w:t>
            </w:r>
            <w:r>
              <w:rPr>
                <w:rFonts w:ascii="Arial" w:cs="Arial" w:eastAsia="Arial" w:hAnsi="Arial"/>
                <w:sz w:val="16"/>
                <w:szCs w:val="16"/>
                <w:color w:val="auto"/>
                <w:vertAlign w:val="superscript"/>
              </w:rPr>
              <w:t>(a)</w:t>
            </w:r>
          </w:p>
        </w:tc>
        <w:tc>
          <w:tcPr>
            <w:tcW w:w="300" w:type="dxa"/>
            <w:vAlign w:val="bottom"/>
          </w:tcPr>
          <w:p>
            <w:pPr>
              <w:spacing w:after="0"/>
              <w:rPr>
                <w:sz w:val="15"/>
                <w:szCs w:val="15"/>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176</w:t>
            </w:r>
          </w:p>
        </w:tc>
      </w:tr>
      <w:tr>
        <w:trPr>
          <w:trHeight w:val="171"/>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and non-current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r>
      <w:tr>
        <w:trPr>
          <w:trHeight w:val="169"/>
        </w:trPr>
        <w:tc>
          <w:tcPr>
            <w:tcW w:w="98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liabilities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191</w:t>
            </w:r>
          </w:p>
        </w:tc>
      </w:tr>
      <w:tr>
        <w:trPr>
          <w:trHeight w:val="169"/>
        </w:trPr>
        <w:tc>
          <w:tcPr>
            <w:tcW w:w="9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noncontrolling interest</w:t>
            </w: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w:t>
            </w:r>
          </w:p>
        </w:tc>
      </w:tr>
      <w:tr>
        <w:trPr>
          <w:trHeight w:val="185"/>
        </w:trPr>
        <w:tc>
          <w:tcPr>
            <w:tcW w:w="9880" w:type="dxa"/>
            <w:vAlign w:val="bottom"/>
          </w:tcPr>
          <w:p>
            <w:pPr>
              <w:ind w:left="240"/>
              <w:spacing w:after="0"/>
              <w:rPr>
                <w:sz w:val="20"/>
                <w:szCs w:val="20"/>
                <w:color w:val="auto"/>
              </w:rPr>
            </w:pPr>
            <w:r>
              <w:rPr>
                <w:rFonts w:ascii="Arial" w:cs="Arial" w:eastAsia="Arial" w:hAnsi="Arial"/>
                <w:sz w:val="12"/>
                <w:szCs w:val="12"/>
                <w:color w:val="auto"/>
              </w:rPr>
              <w:t>Net assets acquired</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64" w:lineRule="exact"/>
        <w:rPr>
          <w:sz w:val="20"/>
          <w:szCs w:val="20"/>
          <w:color w:val="auto"/>
        </w:rPr>
      </w:pPr>
    </w:p>
    <w:p>
      <w:pPr>
        <w:ind w:left="128" w:hanging="128"/>
        <w:spacing w:after="0"/>
        <w:tabs>
          <w:tab w:leader="none" w:pos="128" w:val="left"/>
        </w:tabs>
        <w:numPr>
          <w:ilvl w:val="0"/>
          <w:numId w:val="40"/>
        </w:numPr>
        <w:rPr>
          <w:rFonts w:ascii="Arial" w:cs="Arial" w:eastAsia="Arial" w:hAnsi="Arial"/>
          <w:sz w:val="15"/>
          <w:szCs w:val="15"/>
          <w:color w:val="auto"/>
          <w:vertAlign w:val="superscript"/>
        </w:rPr>
      </w:pPr>
      <w:r>
        <w:rPr>
          <w:rFonts w:ascii="Arial" w:cs="Arial" w:eastAsia="Arial" w:hAnsi="Arial"/>
          <w:sz w:val="10"/>
          <w:szCs w:val="10"/>
          <w:color w:val="auto"/>
        </w:rPr>
        <w:t>Net of $7 million of net debt issuance costs.</w:t>
      </w:r>
    </w:p>
    <w:p>
      <w:pPr>
        <w:spacing w:after="0" w:line="103"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The following table presents a summary of the Company's historical information for the year ended December 31, 2017, which combines the financial information for the Buckthorn Solar Drop Down Asset transferred in connection with the acquisition:</w:t>
      </w:r>
    </w:p>
    <w:p>
      <w:pPr>
        <w:spacing w:after="0" w:line="196" w:lineRule="exact"/>
        <w:rPr>
          <w:sz w:val="20"/>
          <w:szCs w:val="20"/>
          <w:color w:val="auto"/>
        </w:rPr>
      </w:pPr>
    </w:p>
    <w:p>
      <w:pPr>
        <w:jc w:val="right"/>
        <w:ind w:right="1640"/>
        <w:spacing w:after="0"/>
        <w:rPr>
          <w:sz w:val="20"/>
          <w:szCs w:val="20"/>
          <w:color w:val="auto"/>
        </w:rPr>
      </w:pPr>
      <w:r>
        <w:rPr>
          <w:rFonts w:ascii="Arial" w:cs="Arial" w:eastAsia="Arial" w:hAnsi="Arial"/>
          <w:sz w:val="11"/>
          <w:szCs w:val="11"/>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22860</wp:posOffset>
            </wp:positionV>
            <wp:extent cx="298577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34" w:lineRule="exact"/>
        <w:rPr>
          <w:sz w:val="20"/>
          <w:szCs w:val="20"/>
          <w:color w:val="auto"/>
        </w:rPr>
      </w:pPr>
    </w:p>
    <w:p>
      <w:pPr>
        <w:jc w:val="right"/>
        <w:ind w:right="1660"/>
        <w:spacing w:after="0"/>
        <w:rPr>
          <w:sz w:val="20"/>
          <w:szCs w:val="20"/>
          <w:color w:val="auto"/>
        </w:rPr>
      </w:pPr>
      <w:r>
        <w:rPr>
          <w:rFonts w:ascii="Arial" w:cs="Arial" w:eastAsia="Arial" w:hAnsi="Arial"/>
          <w:sz w:val="11"/>
          <w:szCs w:val="11"/>
          <w:b w:val="1"/>
          <w:bCs w:val="1"/>
          <w:color w:val="auto"/>
        </w:rPr>
        <w:t>Buckthorn Solar Drop Down</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Previously Reported</w:t>
            </w:r>
          </w:p>
        </w:tc>
        <w:tc>
          <w:tcPr>
            <w:tcW w:w="340" w:type="dxa"/>
            <w:vAlign w:val="bottom"/>
          </w:tcPr>
          <w:p>
            <w:pPr>
              <w:spacing w:after="0"/>
              <w:rPr>
                <w:sz w:val="13"/>
                <w:szCs w:val="13"/>
                <w:color w:val="auto"/>
              </w:rPr>
            </w:pPr>
          </w:p>
        </w:tc>
        <w:tc>
          <w:tcPr>
            <w:tcW w:w="1260" w:type="dxa"/>
            <w:vAlign w:val="bottom"/>
            <w:gridSpan w:val="2"/>
          </w:tcPr>
          <w:p>
            <w:pPr>
              <w:ind w:left="280"/>
              <w:spacing w:after="0"/>
              <w:rPr>
                <w:sz w:val="20"/>
                <w:szCs w:val="20"/>
                <w:color w:val="auto"/>
              </w:rPr>
            </w:pPr>
            <w:r>
              <w:rPr>
                <w:rFonts w:ascii="Arial" w:cs="Arial" w:eastAsia="Arial" w:hAnsi="Arial"/>
                <w:sz w:val="11"/>
                <w:szCs w:val="11"/>
                <w:b w:val="1"/>
                <w:bCs w:val="1"/>
                <w:color w:val="auto"/>
              </w:rPr>
              <w:t>Asset</w:t>
            </w:r>
          </w:p>
        </w:tc>
        <w:tc>
          <w:tcPr>
            <w:tcW w:w="160" w:type="dxa"/>
            <w:vAlign w:val="bottom"/>
          </w:tcPr>
          <w:p>
            <w:pPr>
              <w:spacing w:after="0"/>
              <w:rPr>
                <w:sz w:val="13"/>
                <w:szCs w:val="13"/>
                <w:color w:val="auto"/>
              </w:rPr>
            </w:pPr>
          </w:p>
        </w:tc>
        <w:tc>
          <w:tcPr>
            <w:tcW w:w="1320" w:type="dxa"/>
            <w:vAlign w:val="bottom"/>
          </w:tcPr>
          <w:p>
            <w:pPr>
              <w:jc w:val="right"/>
              <w:ind w:right="186"/>
              <w:spacing w:after="0"/>
              <w:rPr>
                <w:sz w:val="20"/>
                <w:szCs w:val="20"/>
                <w:color w:val="auto"/>
              </w:rPr>
            </w:pPr>
            <w:r>
              <w:rPr>
                <w:rFonts w:ascii="Arial" w:cs="Arial" w:eastAsia="Arial" w:hAnsi="Arial"/>
                <w:sz w:val="10"/>
                <w:szCs w:val="10"/>
                <w:b w:val="1"/>
                <w:bCs w:val="1"/>
                <w:color w:val="auto"/>
                <w:w w:val="99"/>
              </w:rPr>
              <w:t>As Currently Reported</w:t>
            </w:r>
          </w:p>
        </w:tc>
      </w:tr>
      <w:tr>
        <w:trPr>
          <w:trHeight w:val="171"/>
        </w:trPr>
        <w:tc>
          <w:tcPr>
            <w:tcW w:w="67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6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revenues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1,009</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1,009</w:t>
            </w: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Operating income</w:t>
            </w:r>
          </w:p>
        </w:tc>
        <w:tc>
          <w:tcPr>
            <w:tcW w:w="140" w:type="dxa"/>
            <w:vAlign w:val="bottom"/>
          </w:tcPr>
          <w:p>
            <w:pPr>
              <w:spacing w:after="0"/>
              <w:rPr>
                <w:sz w:val="13"/>
                <w:szCs w:val="13"/>
                <w:color w:val="auto"/>
              </w:rPr>
            </w:pPr>
          </w:p>
        </w:tc>
        <w:tc>
          <w:tcPr>
            <w:tcW w:w="1360" w:type="dxa"/>
            <w:vAlign w:val="bottom"/>
          </w:tcPr>
          <w:p>
            <w:pPr>
              <w:jc w:val="right"/>
              <w:ind w:right="66"/>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283</w:t>
            </w:r>
          </w:p>
        </w:tc>
      </w:tr>
      <w:tr>
        <w:trPr>
          <w:trHeight w:val="22"/>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Less: Pre-acquisition net income (loss) of Drop Down Assets</w:t>
            </w:r>
          </w:p>
        </w:tc>
        <w:tc>
          <w:tcPr>
            <w:tcW w:w="140" w:type="dxa"/>
            <w:vAlign w:val="bottom"/>
          </w:tcPr>
          <w:p>
            <w:pPr>
              <w:spacing w:after="0"/>
              <w:rPr>
                <w:sz w:val="13"/>
                <w:szCs w:val="13"/>
                <w:color w:val="auto"/>
              </w:rPr>
            </w:pPr>
          </w:p>
        </w:tc>
        <w:tc>
          <w:tcPr>
            <w:tcW w:w="13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7</w:t>
            </w:r>
          </w:p>
        </w:tc>
      </w:tr>
      <w:tr>
        <w:trPr>
          <w:trHeight w:val="22"/>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Less: Loss attributable to noncontrolling interests</w:t>
            </w: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Net loss attributable to Clearway Energy, Inc.</w:t>
            </w:r>
          </w:p>
        </w:tc>
        <w:tc>
          <w:tcPr>
            <w:tcW w:w="140" w:type="dxa"/>
            <w:vAlign w:val="bottom"/>
          </w:tcPr>
          <w:p>
            <w:pPr>
              <w:spacing w:after="0"/>
              <w:rPr>
                <w:sz w:val="13"/>
                <w:szCs w:val="13"/>
                <w:color w:val="auto"/>
              </w:rPr>
            </w:pPr>
          </w:p>
        </w:tc>
        <w:tc>
          <w:tcPr>
            <w:tcW w:w="136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(16)</w:t>
            </w:r>
          </w:p>
        </w:tc>
      </w:tr>
    </w:tbl>
    <w:p>
      <w:pPr>
        <w:spacing w:after="0" w:line="121"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Buckthorn Solar Drop Down Asset had no impact on the Company's consolidated statements of operations for the year end ended December 31, 2016.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2017 Acquisitions</w:t>
      </w:r>
    </w:p>
    <w:p>
      <w:pPr>
        <w:spacing w:after="0" w:line="137" w:lineRule="exact"/>
        <w:rPr>
          <w:sz w:val="20"/>
          <w:szCs w:val="20"/>
          <w:color w:val="auto"/>
        </w:rPr>
      </w:pPr>
    </w:p>
    <w:p>
      <w:pPr>
        <w:jc w:val="both"/>
        <w:ind w:left="8" w:firstLine="261"/>
        <w:spacing w:after="0" w:line="283" w:lineRule="auto"/>
        <w:rPr>
          <w:sz w:val="20"/>
          <w:szCs w:val="20"/>
          <w:color w:val="auto"/>
        </w:rPr>
      </w:pPr>
      <w:r>
        <w:rPr>
          <w:rFonts w:ascii="Arial" w:cs="Arial" w:eastAsia="Arial" w:hAnsi="Arial"/>
          <w:sz w:val="12"/>
          <w:szCs w:val="12"/>
          <w:b w:val="1"/>
          <w:bCs w:val="1"/>
          <w:i w:val="1"/>
          <w:iCs w:val="1"/>
          <w:color w:val="auto"/>
        </w:rPr>
        <w:t xml:space="preserve">November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November 1, 2017, the Company acquired a 38 MW solar portfolio primarily comprised of assets from NRG's Solar Power Partners (SPP) funds and other projects developed by NRG,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cash consideration of $74 million, including working capital adjustments, plus assumed non-recourse debt of $26 million.</w:t>
      </w:r>
    </w:p>
    <w:p>
      <w:pPr>
        <w:spacing w:after="0" w:line="75" w:lineRule="exact"/>
        <w:rPr>
          <w:sz w:val="20"/>
          <w:szCs w:val="20"/>
          <w:color w:val="auto"/>
        </w:rPr>
      </w:pPr>
    </w:p>
    <w:p>
      <w:pPr>
        <w:jc w:val="both"/>
        <w:ind w:left="8" w:firstLine="261"/>
        <w:spacing w:after="0" w:line="263" w:lineRule="auto"/>
        <w:rPr>
          <w:sz w:val="20"/>
          <w:szCs w:val="20"/>
          <w:color w:val="auto"/>
        </w:rPr>
      </w:pPr>
      <w:r>
        <w:rPr>
          <w:rFonts w:ascii="Arial" w:cs="Arial" w:eastAsia="Arial" w:hAnsi="Arial"/>
          <w:sz w:val="12"/>
          <w:szCs w:val="12"/>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2"/>
          <w:szCs w:val="12"/>
          <w:i w:val="1"/>
          <w:iCs w:val="1"/>
          <w:color w:val="auto"/>
        </w:rPr>
        <w:t>Business Combinations - Related Issues</w:t>
      </w:r>
      <w:r>
        <w:rPr>
          <w:rFonts w:ascii="Arial" w:cs="Arial" w:eastAsia="Arial" w:hAnsi="Arial"/>
          <w:sz w:val="12"/>
          <w:szCs w:val="12"/>
          <w:color w:val="auto"/>
        </w:rPr>
        <w:t>. The difference between the cash paid and historical value of the entities' equity was recorded as a contribution from NRG and increased the balance of its noncontrolling interest. Since the</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88"/>
          </w:cols>
          <w:pgMar w:left="212" w:top="518" w:right="199" w:bottom="1440" w:gutter="0" w:footer="0" w:header="0"/>
        </w:sectPr>
      </w:pPr>
    </w:p>
    <w:bookmarkStart w:id="96" w:name="page97"/>
    <w:bookmarkEnd w:id="96"/>
    <w:p>
      <w:pPr>
        <w:spacing w:after="0"/>
        <w:rPr>
          <w:sz w:val="20"/>
          <w:szCs w:val="20"/>
          <w:color w:val="auto"/>
        </w:rPr>
      </w:pPr>
      <w:r>
        <w:rPr>
          <w:rFonts w:ascii="Arial" w:cs="Arial" w:eastAsia="Arial" w:hAnsi="Arial"/>
          <w:sz w:val="10"/>
          <w:szCs w:val="10"/>
          <w:color w:val="auto"/>
        </w:rPr>
        <w:t>transaction constituted a transfer of net assets under common control, the guidance requires retrospective combination of the entities for all periods presented as if the combination has been in effect since the inception of common control.</w:t>
      </w:r>
    </w:p>
    <w:p>
      <w:pPr>
        <w:spacing w:after="0" w:line="133"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12"/>
          <w:szCs w:val="12"/>
          <w:b w:val="1"/>
          <w:bCs w:val="1"/>
          <w:i w:val="1"/>
          <w:iCs w:val="1"/>
          <w:color w:val="auto"/>
        </w:rPr>
        <w:t xml:space="preserve">August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August 1, 2017, the Company acquired the remaining 25% interest in Wind TE Holdco, a portfolio of 12 wind projects, from NRG for total cash consideration of $44 million, including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8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 xml:space="preserve">The Company originally acquired 75% of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1"/>
          <w:szCs w:val="11"/>
          <w:i w:val="1"/>
          <w:iCs w:val="1"/>
          <w:color w:val="auto"/>
        </w:rPr>
        <w:t>Business Combination - Related Issues.</w:t>
      </w:r>
      <w:r>
        <w:rPr>
          <w:rFonts w:ascii="Arial" w:cs="Arial" w:eastAsia="Arial" w:hAnsi="Arial"/>
          <w:sz w:val="11"/>
          <w:szCs w:val="11"/>
          <w:color w:val="auto"/>
        </w:rPr>
        <w:t xml:space="preserve"> As the Company had reflected NRG's 25% ownership of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b w:val="1"/>
          <w:bCs w:val="1"/>
          <w:i w:val="1"/>
          <w:iCs w:val="1"/>
          <w:color w:val="auto"/>
        </w:rPr>
        <w:t xml:space="preserve">March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27, 2017, the Company acquired the following interests from NRG: (i) Agua Caliente Borrower 2 LLC, which owns a 16% interest (approximately 31% of NRG's 51% interest) in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The Company paid cash consideration of $128 million, which includes $3 million of final net working capital adjustment received by the Company from NRG.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w:t>
      </w:r>
    </w:p>
    <w:p>
      <w:pPr>
        <w:spacing w:after="0" w:line="92"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2"/>
          <w:szCs w:val="12"/>
          <w:i w:val="1"/>
          <w:iCs w:val="1"/>
          <w:color w:val="auto"/>
        </w:rPr>
        <w:t>Business Combination - Related Issues.</w:t>
      </w:r>
      <w:r>
        <w:rPr>
          <w:rFonts w:ascii="Arial" w:cs="Arial" w:eastAsia="Arial" w:hAnsi="Arial"/>
          <w:sz w:val="12"/>
          <w:szCs w:val="12"/>
          <w:color w:val="auto"/>
        </w:rPr>
        <w:t xml:space="preserve"> The difference between the cash paid and the historical value of the entities' equity of $8 million was recorded as an adjustment to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2016 Acquisitions</w:t>
      </w:r>
    </w:p>
    <w:p>
      <w:pPr>
        <w:spacing w:after="0" w:line="110"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2"/>
          <w:szCs w:val="12"/>
          <w:b w:val="1"/>
          <w:bCs w:val="1"/>
          <w:i w:val="1"/>
          <w:iCs w:val="1"/>
          <w:color w:val="auto"/>
        </w:rPr>
        <w:t xml:space="preserve">CVSR Drop Down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Prior to September 1, 2016, the Company had a 48.95% interest in CVSR, which was accounted for as an equity method investment. On September 1, 2016, the Company acquired from NRG the remaining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51.05% interest of CVSR Holdco LLC, which indirectly owns the CVSR solar facility, or the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of the closing date.</w:t>
      </w:r>
    </w:p>
    <w:p>
      <w:pPr>
        <w:spacing w:after="0" w:line="8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 xml:space="preserve">The assets and liabilities transferred to the Company related to interests under common control by NRG and were recorded at historical cost in accordance with ASC 805-50, </w:t>
      </w:r>
      <w:r>
        <w:rPr>
          <w:rFonts w:ascii="Arial" w:cs="Arial" w:eastAsia="Arial" w:hAnsi="Arial"/>
          <w:sz w:val="12"/>
          <w:szCs w:val="12"/>
          <w:i w:val="1"/>
          <w:iCs w:val="1"/>
          <w:color w:val="auto"/>
        </w:rPr>
        <w:t>Business Combinations - Related Issues</w:t>
      </w:r>
      <w:r>
        <w:rPr>
          <w:rFonts w:ascii="Arial" w:cs="Arial" w:eastAsia="Arial" w:hAnsi="Arial"/>
          <w:sz w:val="12"/>
          <w:szCs w:val="12"/>
          <w:color w:val="auto"/>
        </w:rPr>
        <w:t>. The difference between the cash paid and historical value of the CVSR Drop Down of $112 million, as well as $6 million of AOCL, was recorded as a distribution to NRG with the offset to noncontrolling interest.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w:t>
      </w:r>
      <w:r>
        <w:rPr>
          <w:rFonts w:ascii="Arial" w:cs="Arial" w:eastAsia="Arial" w:hAnsi="Arial"/>
          <w:sz w:val="12"/>
          <w:szCs w:val="12"/>
          <w:i w:val="1"/>
          <w:iCs w:val="1"/>
          <w:color w:val="auto"/>
        </w:rPr>
        <w:t>.</w:t>
      </w:r>
      <w:r>
        <w:rPr>
          <w:rFonts w:ascii="Arial" w:cs="Arial" w:eastAsia="Arial" w:hAnsi="Arial"/>
          <w:sz w:val="12"/>
          <w:szCs w:val="12"/>
          <w:color w:val="auto"/>
        </w:rPr>
        <w:t xml:space="preserve"> In addition,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480"/>
          </w:cols>
          <w:pgMar w:left="220" w:top="518" w:right="199" w:bottom="1440" w:gutter="0" w:footer="0" w:header="0"/>
        </w:sectPr>
      </w:pPr>
    </w:p>
    <w:bookmarkStart w:id="97" w:name="page98"/>
    <w:bookmarkEnd w:id="97"/>
    <w:p>
      <w:pPr>
        <w:ind w:left="8"/>
        <w:spacing w:after="0"/>
        <w:rPr>
          <w:sz w:val="20"/>
          <w:szCs w:val="20"/>
          <w:color w:val="auto"/>
        </w:rPr>
      </w:pPr>
      <w:r>
        <w:rPr>
          <w:rFonts w:ascii="Arial" w:cs="Arial" w:eastAsia="Arial" w:hAnsi="Arial"/>
          <w:sz w:val="12"/>
          <w:szCs w:val="12"/>
          <w:b w:val="1"/>
          <w:bCs w:val="1"/>
          <w:color w:val="auto"/>
        </w:rPr>
        <w:t xml:space="preserve">Note 4 — </w:t>
      </w:r>
      <w:r>
        <w:rPr>
          <w:rFonts w:ascii="Arial" w:cs="Arial" w:eastAsia="Arial" w:hAnsi="Arial"/>
          <w:sz w:val="12"/>
          <w:szCs w:val="12"/>
          <w:b w:val="1"/>
          <w:bCs w:val="1"/>
          <w:i w:val="1"/>
          <w:iCs w:val="1"/>
          <w:color w:val="auto"/>
        </w:rPr>
        <w:t>Property, Plant and Equipment</w:t>
      </w:r>
    </w:p>
    <w:p>
      <w:pPr>
        <w:spacing w:after="0" w:line="118"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Company’s major classes of property, plant, and equipment were as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920" w:type="dxa"/>
            <w:vAlign w:val="bottom"/>
          </w:tcPr>
          <w:p>
            <w:pPr>
              <w:spacing w:after="0"/>
              <w:rPr>
                <w:sz w:val="11"/>
                <w:szCs w:val="11"/>
                <w:color w:val="auto"/>
              </w:rPr>
            </w:pPr>
          </w:p>
        </w:tc>
        <w:tc>
          <w:tcPr>
            <w:tcW w:w="172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December 31, 2018</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December 31, 2017</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Depreciable Lives</w:t>
            </w:r>
          </w:p>
        </w:tc>
      </w:tr>
      <w:tr>
        <w:trPr>
          <w:trHeight w:val="169"/>
        </w:trPr>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20" w:type="dxa"/>
            <w:vAlign w:val="bottom"/>
            <w:gridSpan w:val="3"/>
          </w:tcPr>
          <w:p>
            <w:pPr>
              <w:jc w:val="right"/>
              <w:ind w:right="1471"/>
              <w:spacing w:after="0"/>
              <w:rPr>
                <w:sz w:val="20"/>
                <w:szCs w:val="20"/>
                <w:color w:val="auto"/>
              </w:rPr>
            </w:pPr>
            <w:r>
              <w:rPr>
                <w:rFonts w:ascii="Arial" w:cs="Arial" w:eastAsia="Arial" w:hAnsi="Arial"/>
                <w:sz w:val="10"/>
                <w:szCs w:val="10"/>
                <w:b w:val="1"/>
                <w:bCs w:val="1"/>
                <w:color w:val="auto"/>
              </w:rPr>
              <w:t>(In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4"/>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Facilities and equipment</w:t>
            </w:r>
          </w:p>
        </w:tc>
        <w:tc>
          <w:tcPr>
            <w:tcW w:w="1720" w:type="dxa"/>
            <w:vAlign w:val="bottom"/>
            <w:shd w:val="clear" w:color="auto" w:fill="CCEEFF"/>
          </w:tcPr>
          <w:p>
            <w:pPr>
              <w:jc w:val="right"/>
              <w:ind w:right="1584"/>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6,638</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159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6,291</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2 - 45 Years</w:t>
            </w:r>
          </w:p>
        </w:tc>
      </w:tr>
      <w:tr>
        <w:trPr>
          <w:trHeight w:val="171"/>
        </w:trPr>
        <w:tc>
          <w:tcPr>
            <w:tcW w:w="4920" w:type="dxa"/>
            <w:vAlign w:val="bottom"/>
          </w:tcPr>
          <w:p>
            <w:pPr>
              <w:ind w:left="20"/>
              <w:spacing w:after="0"/>
              <w:rPr>
                <w:sz w:val="20"/>
                <w:szCs w:val="20"/>
                <w:color w:val="auto"/>
              </w:rPr>
            </w:pPr>
            <w:r>
              <w:rPr>
                <w:rFonts w:ascii="Arial" w:cs="Arial" w:eastAsia="Arial" w:hAnsi="Arial"/>
                <w:sz w:val="12"/>
                <w:szCs w:val="12"/>
                <w:color w:val="auto"/>
              </w:rPr>
              <w:t>Land and improvements</w:t>
            </w:r>
          </w:p>
        </w:tc>
        <w:tc>
          <w:tcPr>
            <w:tcW w:w="172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Construction in progress </w:t>
            </w:r>
            <w:r>
              <w:rPr>
                <w:rFonts w:ascii="Arial" w:cs="Arial" w:eastAsia="Arial" w:hAnsi="Arial"/>
                <w:sz w:val="16"/>
                <w:szCs w:val="16"/>
                <w:color w:val="auto"/>
                <w:vertAlign w:val="superscript"/>
              </w:rPr>
              <w:t>(a)</w:t>
            </w:r>
          </w:p>
        </w:tc>
        <w:tc>
          <w:tcPr>
            <w:tcW w:w="17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238</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60"/>
        </w:trPr>
        <w:tc>
          <w:tcPr>
            <w:tcW w:w="4920" w:type="dxa"/>
            <w:vAlign w:val="bottom"/>
          </w:tcPr>
          <w:p>
            <w:pPr>
              <w:ind w:left="180"/>
              <w:spacing w:after="0"/>
              <w:rPr>
                <w:sz w:val="20"/>
                <w:szCs w:val="20"/>
                <w:color w:val="auto"/>
              </w:rPr>
            </w:pPr>
            <w:r>
              <w:rPr>
                <w:rFonts w:ascii="Arial" w:cs="Arial" w:eastAsia="Arial" w:hAnsi="Arial"/>
                <w:sz w:val="12"/>
                <w:szCs w:val="12"/>
                <w:color w:val="auto"/>
              </w:rPr>
              <w:t>Total property, plant and equipment</w:t>
            </w:r>
          </w:p>
        </w:tc>
        <w:tc>
          <w:tcPr>
            <w:tcW w:w="1720" w:type="dxa"/>
            <w:vAlign w:val="bottom"/>
          </w:tcPr>
          <w:p>
            <w:pPr>
              <w:spacing w:after="0"/>
              <w:rPr>
                <w:sz w:val="13"/>
                <w:szCs w:val="13"/>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6,835</w:t>
            </w: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6,695</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depreciation</w:t>
            </w:r>
          </w:p>
        </w:tc>
        <w:tc>
          <w:tcPr>
            <w:tcW w:w="17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(1,285)</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5"/>
        </w:trPr>
        <w:tc>
          <w:tcPr>
            <w:tcW w:w="4920" w:type="dxa"/>
            <w:vAlign w:val="bottom"/>
          </w:tcPr>
          <w:p>
            <w:pPr>
              <w:ind w:left="180"/>
              <w:spacing w:after="0"/>
              <w:rPr>
                <w:sz w:val="20"/>
                <w:szCs w:val="20"/>
                <w:color w:val="auto"/>
              </w:rPr>
            </w:pPr>
            <w:r>
              <w:rPr>
                <w:rFonts w:ascii="Arial" w:cs="Arial" w:eastAsia="Arial" w:hAnsi="Arial"/>
                <w:sz w:val="12"/>
                <w:szCs w:val="12"/>
                <w:color w:val="auto"/>
              </w:rPr>
              <w:t>Net property, plant and equipment</w:t>
            </w:r>
          </w:p>
        </w:tc>
        <w:tc>
          <w:tcPr>
            <w:tcW w:w="1720" w:type="dxa"/>
            <w:vAlign w:val="bottom"/>
            <w:tcBorders>
              <w:bottom w:val="single" w:sz="8" w:color="auto"/>
            </w:tcBorders>
          </w:tcPr>
          <w:p>
            <w:pPr>
              <w:jc w:val="right"/>
              <w:ind w:right="158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5,245</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right"/>
              <w:ind w:right="159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5,410</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4185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214" w:lineRule="exact"/>
        <w:rPr>
          <w:sz w:val="20"/>
          <w:szCs w:val="20"/>
          <w:color w:val="auto"/>
        </w:rPr>
      </w:pPr>
    </w:p>
    <w:p>
      <w:pPr>
        <w:ind w:left="108" w:hanging="108"/>
        <w:spacing w:after="0"/>
        <w:tabs>
          <w:tab w:leader="none" w:pos="108" w:val="left"/>
        </w:tabs>
        <w:numPr>
          <w:ilvl w:val="0"/>
          <w:numId w:val="41"/>
        </w:numPr>
        <w:rPr>
          <w:rFonts w:ascii="Arial" w:cs="Arial" w:eastAsia="Arial" w:hAnsi="Arial"/>
          <w:sz w:val="13"/>
          <w:szCs w:val="13"/>
          <w:color w:val="auto"/>
          <w:vertAlign w:val="superscript"/>
        </w:rPr>
      </w:pPr>
      <w:r>
        <w:rPr>
          <w:rFonts w:ascii="Arial" w:cs="Arial" w:eastAsia="Arial" w:hAnsi="Arial"/>
          <w:sz w:val="10"/>
          <w:szCs w:val="10"/>
          <w:color w:val="auto"/>
        </w:rPr>
        <w:t>As of December 31, 2018 and 2017, construction in progress includes $6 million and $24 million of capital expenditures that relate to prepaid long-term service agreements in the Conventional segment, respectively.</w:t>
      </w:r>
    </w:p>
    <w:p>
      <w:pPr>
        <w:spacing w:after="0" w:line="94" w:lineRule="exact"/>
        <w:rPr>
          <w:rFonts w:ascii="Arial" w:cs="Arial" w:eastAsia="Arial" w:hAnsi="Arial"/>
          <w:sz w:val="13"/>
          <w:szCs w:val="13"/>
          <w:color w:val="auto"/>
          <w:vertAlign w:val="superscript"/>
        </w:rPr>
      </w:pPr>
    </w:p>
    <w:p>
      <w:pPr>
        <w:ind w:left="268"/>
        <w:spacing w:after="0"/>
        <w:rPr>
          <w:rFonts w:ascii="Arial" w:cs="Arial" w:eastAsia="Arial" w:hAnsi="Arial"/>
          <w:sz w:val="13"/>
          <w:szCs w:val="13"/>
          <w:color w:val="auto"/>
          <w:vertAlign w:val="superscript"/>
        </w:rPr>
      </w:pPr>
      <w:r>
        <w:rPr>
          <w:rFonts w:ascii="Arial" w:cs="Arial" w:eastAsia="Arial" w:hAnsi="Arial"/>
          <w:sz w:val="12"/>
          <w:szCs w:val="12"/>
          <w:color w:val="auto"/>
        </w:rPr>
        <w:t xml:space="preserve">The Company recorded long-lived asset impairments during the year ended December 31, 2017, as further described in Note 9, </w:t>
      </w:r>
      <w:r>
        <w:rPr>
          <w:rFonts w:ascii="Arial" w:cs="Arial" w:eastAsia="Arial" w:hAnsi="Arial"/>
          <w:sz w:val="12"/>
          <w:szCs w:val="12"/>
          <w:i w:val="1"/>
          <w:iCs w:val="1"/>
          <w:color w:val="auto"/>
        </w:rPr>
        <w:t>Asset Impairments.</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5 — Investments Accounted for by the Equity Method and Variable Interest Entities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Equity Method Investments</w:t>
      </w:r>
    </w:p>
    <w:p>
      <w:pPr>
        <w:spacing w:after="0" w:line="118"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summarizes the Company's equity method investments as of December 31, 2018:</w:t>
      </w:r>
    </w:p>
    <w:p>
      <w:pPr>
        <w:spacing w:after="0" w:line="159" w:lineRule="exact"/>
        <w:rPr>
          <w:sz w:val="20"/>
          <w:szCs w:val="20"/>
          <w:color w:val="auto"/>
        </w:rPr>
      </w:pPr>
    </w:p>
    <w:tbl>
      <w:tblPr>
        <w:tblLayout w:type="fixed"/>
        <w:tblInd w:w="28" w:type="dxa"/>
        <w:tblCellMar>
          <w:top w:w="0" w:type="dxa"/>
          <w:left w:w="0" w:type="dxa"/>
          <w:bottom w:w="0" w:type="dxa"/>
          <w:right w:w="0" w:type="dxa"/>
        </w:tblCellMar>
      </w:tblPr>
      <w:tr>
        <w:trPr>
          <w:trHeight w:val="140"/>
        </w:trPr>
        <w:tc>
          <w:tcPr>
            <w:tcW w:w="630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2620" w:type="dxa"/>
            <w:vAlign w:val="bottom"/>
            <w:gridSpan w:val="2"/>
          </w:tcPr>
          <w:p>
            <w:pPr>
              <w:ind w:left="820"/>
              <w:spacing w:after="0"/>
              <w:rPr>
                <w:sz w:val="20"/>
                <w:szCs w:val="20"/>
                <w:color w:val="auto"/>
              </w:rPr>
            </w:pPr>
            <w:r>
              <w:rPr>
                <w:rFonts w:ascii="Arial" w:cs="Arial" w:eastAsia="Arial" w:hAnsi="Arial"/>
                <w:sz w:val="11"/>
                <w:szCs w:val="11"/>
                <w:b w:val="1"/>
                <w:bCs w:val="1"/>
                <w:color w:val="auto"/>
              </w:rPr>
              <w:t>Economic Interest</w:t>
            </w:r>
          </w:p>
        </w:tc>
        <w:tc>
          <w:tcPr>
            <w:tcW w:w="2500" w:type="dxa"/>
            <w:vAlign w:val="bottom"/>
          </w:tcPr>
          <w:p>
            <w:pPr>
              <w:jc w:val="center"/>
              <w:spacing w:after="0"/>
              <w:rPr>
                <w:sz w:val="20"/>
                <w:szCs w:val="20"/>
                <w:color w:val="auto"/>
              </w:rPr>
            </w:pPr>
            <w:r>
              <w:rPr>
                <w:rFonts w:ascii="Arial" w:cs="Arial" w:eastAsia="Arial" w:hAnsi="Arial"/>
                <w:sz w:val="11"/>
                <w:szCs w:val="11"/>
                <w:b w:val="1"/>
                <w:bCs w:val="1"/>
                <w:color w:val="auto"/>
                <w:w w:val="87"/>
              </w:rPr>
              <w:t>Investment Balance</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47"/>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Arial" w:cs="Arial" w:eastAsia="Arial" w:hAnsi="Arial"/>
                <w:sz w:val="11"/>
                <w:szCs w:val="11"/>
                <w:b w:val="1"/>
                <w:bCs w:val="1"/>
                <w:color w:val="auto"/>
                <w:w w:val="93"/>
              </w:rPr>
              <w:t>(In millions)</w:t>
            </w:r>
          </w:p>
        </w:tc>
      </w:tr>
      <w:tr>
        <w:trPr>
          <w:trHeight w:val="22"/>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Utah Solar Portfolio </w:t>
            </w:r>
            <w:r>
              <w:rPr>
                <w:rFonts w:ascii="Arial" w:cs="Arial" w:eastAsia="Arial" w:hAnsi="Arial"/>
                <w:sz w:val="14"/>
                <w:szCs w:val="14"/>
                <w:color w:val="auto"/>
                <w:vertAlign w:val="superscript"/>
              </w:rPr>
              <w:t>(a)</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50%</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$317</w:t>
            </w:r>
          </w:p>
        </w:tc>
      </w:tr>
      <w:tr>
        <w:trPr>
          <w:trHeight w:val="180"/>
        </w:trPr>
        <w:tc>
          <w:tcPr>
            <w:tcW w:w="6300" w:type="dxa"/>
            <w:vAlign w:val="bottom"/>
            <w:gridSpan w:val="2"/>
          </w:tcPr>
          <w:p>
            <w:pPr>
              <w:ind w:left="20"/>
              <w:spacing w:after="0"/>
              <w:rPr>
                <w:sz w:val="20"/>
                <w:szCs w:val="20"/>
                <w:color w:val="auto"/>
              </w:rPr>
            </w:pPr>
            <w:r>
              <w:rPr>
                <w:rFonts w:ascii="Arial" w:cs="Arial" w:eastAsia="Arial" w:hAnsi="Arial"/>
                <w:sz w:val="11"/>
                <w:szCs w:val="11"/>
                <w:color w:val="auto"/>
              </w:rPr>
              <w:t>Desert Sunlight</w:t>
            </w:r>
            <w:r>
              <w:rPr>
                <w:rFonts w:ascii="Arial" w:cs="Arial" w:eastAsia="Arial" w:hAnsi="Arial"/>
                <w:sz w:val="14"/>
                <w:szCs w:val="14"/>
                <w:color w:val="auto"/>
                <w:vertAlign w:val="superscript"/>
              </w:rPr>
              <w:t>(e)</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25%</w:t>
            </w:r>
          </w:p>
        </w:tc>
        <w:tc>
          <w:tcPr>
            <w:tcW w:w="1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264</w:t>
            </w:r>
          </w:p>
        </w:tc>
      </w:tr>
      <w:tr>
        <w:trPr>
          <w:trHeight w:val="18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GenConn</w:t>
            </w:r>
            <w:r>
              <w:rPr>
                <w:rFonts w:ascii="Arial" w:cs="Arial" w:eastAsia="Arial" w:hAnsi="Arial"/>
                <w:sz w:val="14"/>
                <w:szCs w:val="14"/>
                <w:color w:val="auto"/>
                <w:vertAlign w:val="superscript"/>
              </w:rPr>
              <w:t>(b)</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50%</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98</w:t>
            </w:r>
          </w:p>
        </w:tc>
      </w:tr>
      <w:tr>
        <w:trPr>
          <w:trHeight w:val="180"/>
        </w:trPr>
        <w:tc>
          <w:tcPr>
            <w:tcW w:w="6300" w:type="dxa"/>
            <w:vAlign w:val="bottom"/>
            <w:gridSpan w:val="2"/>
          </w:tcPr>
          <w:p>
            <w:pPr>
              <w:ind w:left="20"/>
              <w:spacing w:after="0"/>
              <w:rPr>
                <w:sz w:val="20"/>
                <w:szCs w:val="20"/>
                <w:color w:val="auto"/>
              </w:rPr>
            </w:pPr>
            <w:r>
              <w:rPr>
                <w:rFonts w:ascii="Arial" w:cs="Arial" w:eastAsia="Arial" w:hAnsi="Arial"/>
                <w:sz w:val="11"/>
                <w:szCs w:val="11"/>
                <w:color w:val="auto"/>
              </w:rPr>
              <w:t>Agua Caliente Solar</w:t>
            </w:r>
            <w:r>
              <w:rPr>
                <w:rFonts w:ascii="Arial" w:cs="Arial" w:eastAsia="Arial" w:hAnsi="Arial"/>
                <w:sz w:val="14"/>
                <w:szCs w:val="14"/>
                <w:color w:val="auto"/>
                <w:vertAlign w:val="superscript"/>
              </w:rPr>
              <w:t>(e)</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16%</w:t>
            </w:r>
          </w:p>
        </w:tc>
        <w:tc>
          <w:tcPr>
            <w:tcW w:w="1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90</w:t>
            </w:r>
          </w:p>
        </w:tc>
      </w:tr>
      <w:tr>
        <w:trPr>
          <w:trHeight w:val="18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Elkhorn Ridge</w:t>
            </w:r>
            <w:r>
              <w:rPr>
                <w:rFonts w:ascii="Arial" w:cs="Arial" w:eastAsia="Arial" w:hAnsi="Arial"/>
                <w:sz w:val="14"/>
                <w:szCs w:val="14"/>
                <w:color w:val="auto"/>
                <w:vertAlign w:val="superscript"/>
              </w:rPr>
              <w:t>(c)</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66.7%</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59</w:t>
            </w:r>
          </w:p>
        </w:tc>
      </w:tr>
      <w:tr>
        <w:trPr>
          <w:trHeight w:val="180"/>
        </w:trPr>
        <w:tc>
          <w:tcPr>
            <w:tcW w:w="6300" w:type="dxa"/>
            <w:vAlign w:val="bottom"/>
            <w:gridSpan w:val="2"/>
          </w:tcPr>
          <w:p>
            <w:pPr>
              <w:ind w:left="20"/>
              <w:spacing w:after="0"/>
              <w:rPr>
                <w:sz w:val="20"/>
                <w:szCs w:val="20"/>
                <w:color w:val="auto"/>
              </w:rPr>
            </w:pPr>
            <w:r>
              <w:rPr>
                <w:rFonts w:ascii="Arial" w:cs="Arial" w:eastAsia="Arial" w:hAnsi="Arial"/>
                <w:sz w:val="11"/>
                <w:szCs w:val="11"/>
                <w:color w:val="auto"/>
              </w:rPr>
              <w:t>San Juan Mesa</w:t>
            </w:r>
            <w:r>
              <w:rPr>
                <w:rFonts w:ascii="Arial" w:cs="Arial" w:eastAsia="Arial" w:hAnsi="Arial"/>
                <w:sz w:val="14"/>
                <w:szCs w:val="14"/>
                <w:color w:val="auto"/>
                <w:vertAlign w:val="superscript"/>
              </w:rPr>
              <w:t>(c)</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75%</w:t>
            </w:r>
          </w:p>
        </w:tc>
        <w:tc>
          <w:tcPr>
            <w:tcW w:w="1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57</w:t>
            </w:r>
          </w:p>
        </w:tc>
      </w:tr>
      <w:tr>
        <w:trPr>
          <w:trHeight w:val="18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DGPV Holdco 1 LLC </w:t>
            </w:r>
            <w:r>
              <w:rPr>
                <w:rFonts w:ascii="Arial" w:cs="Arial" w:eastAsia="Arial" w:hAnsi="Arial"/>
                <w:sz w:val="14"/>
                <w:szCs w:val="14"/>
                <w:color w:val="auto"/>
                <w:vertAlign w:val="superscript"/>
              </w:rPr>
              <w:t>(d)</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95%</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81</w:t>
            </w:r>
          </w:p>
        </w:tc>
      </w:tr>
      <w:tr>
        <w:trPr>
          <w:trHeight w:val="180"/>
        </w:trPr>
        <w:tc>
          <w:tcPr>
            <w:tcW w:w="6300" w:type="dxa"/>
            <w:vAlign w:val="bottom"/>
            <w:gridSpan w:val="2"/>
          </w:tcPr>
          <w:p>
            <w:pPr>
              <w:ind w:left="20"/>
              <w:spacing w:after="0"/>
              <w:rPr>
                <w:sz w:val="20"/>
                <w:szCs w:val="20"/>
                <w:color w:val="auto"/>
              </w:rPr>
            </w:pPr>
            <w:r>
              <w:rPr>
                <w:rFonts w:ascii="Arial" w:cs="Arial" w:eastAsia="Arial" w:hAnsi="Arial"/>
                <w:sz w:val="11"/>
                <w:szCs w:val="11"/>
                <w:color w:val="auto"/>
              </w:rPr>
              <w:t xml:space="preserve">DGPV Holdco 2 LLC </w:t>
            </w:r>
            <w:r>
              <w:rPr>
                <w:rFonts w:ascii="Arial" w:cs="Arial" w:eastAsia="Arial" w:hAnsi="Arial"/>
                <w:sz w:val="14"/>
                <w:szCs w:val="14"/>
                <w:color w:val="auto"/>
                <w:vertAlign w:val="superscript"/>
              </w:rPr>
              <w:t>(d)</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95%</w:t>
            </w:r>
          </w:p>
        </w:tc>
        <w:tc>
          <w:tcPr>
            <w:tcW w:w="1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63</w:t>
            </w:r>
          </w:p>
        </w:tc>
      </w:tr>
      <w:tr>
        <w:trPr>
          <w:trHeight w:val="18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DGPV Holdco 3 LLC </w:t>
            </w:r>
            <w:r>
              <w:rPr>
                <w:rFonts w:ascii="Arial" w:cs="Arial" w:eastAsia="Arial" w:hAnsi="Arial"/>
                <w:sz w:val="14"/>
                <w:szCs w:val="14"/>
                <w:color w:val="auto"/>
                <w:vertAlign w:val="superscript"/>
              </w:rPr>
              <w:t>(d)</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99%</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6"/>
              </w:rPr>
              <w:t>116</w:t>
            </w:r>
          </w:p>
        </w:tc>
      </w:tr>
      <w:tr>
        <w:trPr>
          <w:trHeight w:val="180"/>
        </w:trPr>
        <w:tc>
          <w:tcPr>
            <w:tcW w:w="6300" w:type="dxa"/>
            <w:vAlign w:val="bottom"/>
            <w:gridSpan w:val="2"/>
          </w:tcPr>
          <w:p>
            <w:pPr>
              <w:ind w:left="20"/>
              <w:spacing w:after="0"/>
              <w:rPr>
                <w:sz w:val="20"/>
                <w:szCs w:val="20"/>
                <w:color w:val="auto"/>
              </w:rPr>
            </w:pPr>
            <w:r>
              <w:rPr>
                <w:rFonts w:ascii="Arial" w:cs="Arial" w:eastAsia="Arial" w:hAnsi="Arial"/>
                <w:sz w:val="11"/>
                <w:szCs w:val="11"/>
                <w:color w:val="auto"/>
              </w:rPr>
              <w:t>RPV Holdco 1 LLC</w:t>
            </w:r>
            <w:r>
              <w:rPr>
                <w:rFonts w:ascii="Arial" w:cs="Arial" w:eastAsia="Arial" w:hAnsi="Arial"/>
                <w:sz w:val="14"/>
                <w:szCs w:val="14"/>
                <w:color w:val="auto"/>
                <w:vertAlign w:val="superscript"/>
              </w:rPr>
              <w:t>(d)</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95%</w:t>
            </w:r>
          </w:p>
        </w:tc>
        <w:tc>
          <w:tcPr>
            <w:tcW w:w="1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29</w:t>
            </w:r>
          </w:p>
        </w:tc>
      </w:tr>
      <w:tr>
        <w:trPr>
          <w:trHeight w:val="18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Avenal</w:t>
            </w:r>
            <w:r>
              <w:rPr>
                <w:rFonts w:ascii="Arial" w:cs="Arial" w:eastAsia="Arial" w:hAnsi="Arial"/>
                <w:sz w:val="14"/>
                <w:szCs w:val="14"/>
                <w:color w:val="auto"/>
                <w:vertAlign w:val="superscript"/>
              </w:rPr>
              <w:t>(e)</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50%</w:t>
            </w:r>
          </w:p>
        </w:tc>
        <w:tc>
          <w:tcPr>
            <w:tcW w:w="120" w:type="dxa"/>
            <w:vAlign w:val="bottom"/>
            <w:shd w:val="clear" w:color="auto" w:fill="CCEEFF"/>
          </w:tcPr>
          <w:p>
            <w:pPr>
              <w:spacing w:after="0"/>
              <w:rPr>
                <w:sz w:val="15"/>
                <w:szCs w:val="15"/>
                <w:color w:val="auto"/>
              </w:rPr>
            </w:pP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(2)</w:t>
            </w:r>
          </w:p>
        </w:tc>
      </w:tr>
      <w:tr>
        <w:trPr>
          <w:trHeight w:val="13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$1,172</w:t>
            </w:r>
          </w:p>
        </w:tc>
      </w:tr>
      <w:tr>
        <w:trPr>
          <w:trHeight w:val="29"/>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185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175" w:lineRule="exact"/>
        <w:rPr>
          <w:sz w:val="20"/>
          <w:szCs w:val="20"/>
          <w:color w:val="auto"/>
        </w:rPr>
      </w:pPr>
    </w:p>
    <w:p>
      <w:pPr>
        <w:ind w:left="88" w:hanging="88"/>
        <w:spacing w:after="0"/>
        <w:tabs>
          <w:tab w:leader="none" w:pos="88" w:val="left"/>
        </w:tabs>
        <w:numPr>
          <w:ilvl w:val="0"/>
          <w:numId w:val="42"/>
        </w:numPr>
        <w:rPr>
          <w:rFonts w:ascii="Arial" w:cs="Arial" w:eastAsia="Arial" w:hAnsi="Arial"/>
          <w:sz w:val="6"/>
          <w:szCs w:val="6"/>
          <w:color w:val="auto"/>
        </w:rPr>
      </w:pPr>
      <w:r>
        <w:rPr>
          <w:rFonts w:ascii="Arial" w:cs="Arial" w:eastAsia="Arial" w:hAnsi="Arial"/>
          <w:sz w:val="10"/>
          <w:szCs w:val="10"/>
          <w:color w:val="auto"/>
        </w:rPr>
        <w:t>Economic interest based on cash to be distributed. Four Brothers Solar, LLC, Granite Mountain Holdings, LLC and Iron Springs Holdings, LLC are tax equity structures and VIEs. The related allocations are described below.</w:t>
      </w:r>
    </w:p>
    <w:p>
      <w:pPr>
        <w:spacing w:after="0" w:line="11" w:lineRule="exact"/>
        <w:rPr>
          <w:rFonts w:ascii="Arial" w:cs="Arial" w:eastAsia="Arial" w:hAnsi="Arial"/>
          <w:sz w:val="6"/>
          <w:szCs w:val="6"/>
          <w:color w:val="auto"/>
        </w:rPr>
      </w:pPr>
    </w:p>
    <w:p>
      <w:pPr>
        <w:ind w:left="88" w:hanging="88"/>
        <w:spacing w:after="0"/>
        <w:tabs>
          <w:tab w:leader="none" w:pos="88" w:val="left"/>
        </w:tabs>
        <w:numPr>
          <w:ilvl w:val="0"/>
          <w:numId w:val="42"/>
        </w:numPr>
        <w:rPr>
          <w:rFonts w:ascii="Arial" w:cs="Arial" w:eastAsia="Arial" w:hAnsi="Arial"/>
          <w:sz w:val="6"/>
          <w:szCs w:val="6"/>
          <w:color w:val="auto"/>
        </w:rPr>
      </w:pPr>
      <w:r>
        <w:rPr>
          <w:rFonts w:ascii="Arial" w:cs="Arial" w:eastAsia="Arial" w:hAnsi="Arial"/>
          <w:sz w:val="10"/>
          <w:szCs w:val="10"/>
          <w:color w:val="auto"/>
        </w:rPr>
        <w:t>GenConn is a variable interest entity.</w:t>
      </w:r>
    </w:p>
    <w:p>
      <w:pPr>
        <w:spacing w:after="0" w:line="11" w:lineRule="exact"/>
        <w:rPr>
          <w:rFonts w:ascii="Arial" w:cs="Arial" w:eastAsia="Arial" w:hAnsi="Arial"/>
          <w:sz w:val="6"/>
          <w:szCs w:val="6"/>
          <w:color w:val="auto"/>
        </w:rPr>
      </w:pPr>
    </w:p>
    <w:p>
      <w:pPr>
        <w:ind w:left="88" w:hanging="88"/>
        <w:spacing w:after="0"/>
        <w:tabs>
          <w:tab w:leader="none" w:pos="88" w:val="left"/>
        </w:tabs>
        <w:numPr>
          <w:ilvl w:val="0"/>
          <w:numId w:val="42"/>
        </w:numPr>
        <w:rPr>
          <w:rFonts w:ascii="Arial" w:cs="Arial" w:eastAsia="Arial" w:hAnsi="Arial"/>
          <w:sz w:val="5"/>
          <w:szCs w:val="5"/>
          <w:color w:val="auto"/>
        </w:rPr>
      </w:pPr>
      <w:r>
        <w:rPr>
          <w:rFonts w:ascii="Arial" w:cs="Arial" w:eastAsia="Arial" w:hAnsi="Arial"/>
          <w:sz w:val="8"/>
          <w:szCs w:val="8"/>
          <w:color w:val="auto"/>
        </w:rPr>
        <w:t>San Juan Mesa and Elkhorn Ridge are part of the Wind TE Holdco tax equity structure, as described below. San Juan Mesa and Elkhorn Ridge are owned 75% and 66.7%, respectively, by Wind TE Holdco. The Company owns 100% of the Class B interests in Wind TE Holdco.</w:t>
      </w:r>
    </w:p>
    <w:p>
      <w:pPr>
        <w:spacing w:after="0" w:line="34" w:lineRule="exact"/>
        <w:rPr>
          <w:rFonts w:ascii="Arial" w:cs="Arial" w:eastAsia="Arial" w:hAnsi="Arial"/>
          <w:sz w:val="5"/>
          <w:szCs w:val="5"/>
          <w:color w:val="auto"/>
        </w:rPr>
      </w:pPr>
    </w:p>
    <w:p>
      <w:pPr>
        <w:ind w:left="88" w:hanging="88"/>
        <w:spacing w:after="0"/>
        <w:tabs>
          <w:tab w:leader="none" w:pos="88" w:val="left"/>
        </w:tabs>
        <w:numPr>
          <w:ilvl w:val="0"/>
          <w:numId w:val="42"/>
        </w:numPr>
        <w:rPr>
          <w:rFonts w:ascii="Arial" w:cs="Arial" w:eastAsia="Arial" w:hAnsi="Arial"/>
          <w:sz w:val="6"/>
          <w:szCs w:val="6"/>
          <w:color w:val="auto"/>
        </w:rPr>
      </w:pPr>
      <w:r>
        <w:rPr>
          <w:rFonts w:ascii="Arial" w:cs="Arial" w:eastAsia="Arial" w:hAnsi="Arial"/>
          <w:sz w:val="10"/>
          <w:szCs w:val="10"/>
          <w:color w:val="auto"/>
        </w:rPr>
        <w:t>Economic interest based on cash to be distributed. DGPV Holdco 1 LLC, DGPV Holdco 2 LLC, DGPV Holdco 3 LLC and RPV Holdco 1 LLC are tax equity structures and VIEs. The related allocations are described below.</w:t>
      </w:r>
    </w:p>
    <w:p>
      <w:pPr>
        <w:spacing w:after="0" w:line="11" w:lineRule="exact"/>
        <w:rPr>
          <w:rFonts w:ascii="Arial" w:cs="Arial" w:eastAsia="Arial" w:hAnsi="Arial"/>
          <w:sz w:val="6"/>
          <w:szCs w:val="6"/>
          <w:color w:val="auto"/>
        </w:rPr>
      </w:pPr>
    </w:p>
    <w:p>
      <w:pPr>
        <w:jc w:val="both"/>
        <w:ind w:left="8" w:hanging="8"/>
        <w:spacing w:after="0" w:line="273" w:lineRule="auto"/>
        <w:tabs>
          <w:tab w:leader="none" w:pos="98" w:val="left"/>
        </w:tabs>
        <w:numPr>
          <w:ilvl w:val="0"/>
          <w:numId w:val="42"/>
        </w:numPr>
        <w:rPr>
          <w:rFonts w:ascii="Arial" w:cs="Arial" w:eastAsia="Arial" w:hAnsi="Arial"/>
          <w:sz w:val="5"/>
          <w:szCs w:val="5"/>
          <w:color w:val="231F20"/>
        </w:rPr>
      </w:pPr>
      <w:r>
        <w:rPr>
          <w:rFonts w:ascii="Arial" w:cs="Arial" w:eastAsia="Arial" w:hAnsi="Arial"/>
          <w:sz w:val="8"/>
          <w:szCs w:val="8"/>
          <w:color w:val="231F20"/>
        </w:rPr>
        <w:t>Entities that have PPAs with PG&amp;E. On January 29, 2019, PG&amp;E filed for bankruptcy under Chapter 11 of the U.S. Bankruptcy Code. The Company has non-recourse project-level debt, and in some cases holding company debt, related to each of its subsidiaries that sell their output to PG&amp;E under long-term PPAs. The PG&amp;E bankruptcy filing is an event of default under the related financing agreements, and as a result, the respective lenders under these arrangements may accelerate the repayment of these debt balances. In addition, the event of default may have an impact on the Company’s ability to distribute cash from the project-level cash accounts to the parent entities. The Company continues to operate the projects in the normal course of business and is currently in the process of negotiating forbearance agreements with the related lenders.</w:t>
      </w:r>
    </w:p>
    <w:p>
      <w:pPr>
        <w:spacing w:after="0" w:line="1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488"/>
          </w:cols>
          <w:pgMar w:left="212" w:top="514" w:right="199" w:bottom="1440" w:gutter="0" w:footer="0" w:header="0"/>
        </w:sectPr>
      </w:pPr>
    </w:p>
    <w:bookmarkStart w:id="98" w:name="page99"/>
    <w:bookmarkEnd w:id="98"/>
    <w:p>
      <w:pPr>
        <w:ind w:left="260"/>
        <w:spacing w:after="0"/>
        <w:rPr>
          <w:sz w:val="20"/>
          <w:szCs w:val="20"/>
          <w:color w:val="auto"/>
        </w:rPr>
      </w:pPr>
      <w:r>
        <w:rPr>
          <w:rFonts w:ascii="Arial" w:cs="Arial" w:eastAsia="Arial" w:hAnsi="Arial"/>
          <w:sz w:val="12"/>
          <w:szCs w:val="12"/>
          <w:color w:val="auto"/>
        </w:rPr>
        <w:t>As of December 31, 2018 and 2017, the Company had $87 million and $57 million, respectively, of undistributed earnings from its equity method investments.</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(losses) over the related useful life of the underlying assets acquired.</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Non-recourse project-level debt of unconsolidated affiliates</w:t>
      </w:r>
    </w:p>
    <w:p>
      <w:pPr>
        <w:spacing w:after="0" w:line="114"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The Company's pro-rata share of non-recourse debt held by unconsolidated affiliates was $878 million as of December 31, 2018. This included $432 million attributable to Desert Sunlight, Agua Caliente Solar, and Avenal, the unconsolidated affiliates that sell output to PG&amp;E under long-term PPAs.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80"/>
          </w:cols>
          <w:pgMar w:left="220" w:top="518" w:right="199" w:bottom="1440" w:gutter="0" w:footer="0" w:header="0"/>
        </w:sectPr>
      </w:pPr>
    </w:p>
    <w:bookmarkStart w:id="99" w:name="page100"/>
    <w:bookmarkEnd w:id="99"/>
    <w:p>
      <w:pPr>
        <w:ind w:left="268"/>
        <w:spacing w:after="0"/>
        <w:rPr>
          <w:sz w:val="20"/>
          <w:szCs w:val="20"/>
          <w:color w:val="auto"/>
        </w:rPr>
      </w:pPr>
      <w:r>
        <w:rPr>
          <w:rFonts w:ascii="Arial" w:cs="Arial" w:eastAsia="Arial" w:hAnsi="Arial"/>
          <w:sz w:val="12"/>
          <w:szCs w:val="12"/>
          <w:color w:val="auto"/>
        </w:rPr>
        <w:t>The following tables present summarized financial information for the Company's significant equity method investments:</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4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167"/>
              <w:spacing w:after="0"/>
              <w:rPr>
                <w:sz w:val="20"/>
                <w:szCs w:val="20"/>
                <w:color w:val="auto"/>
              </w:rPr>
            </w:pPr>
            <w:r>
              <w:rPr>
                <w:rFonts w:ascii="Arial" w:cs="Arial" w:eastAsia="Arial" w:hAnsi="Arial"/>
                <w:sz w:val="10"/>
                <w:szCs w:val="10"/>
                <w:b w:val="1"/>
                <w:bCs w:val="1"/>
                <w:color w:val="auto"/>
                <w:w w:val="86"/>
              </w:rPr>
              <w:t>Year Ended December 31,</w:t>
            </w:r>
          </w:p>
        </w:tc>
        <w:tc>
          <w:tcPr>
            <w:tcW w:w="6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65"/>
        </w:trPr>
        <w:tc>
          <w:tcPr>
            <w:tcW w:w="6420" w:type="dxa"/>
            <w:vAlign w:val="bottom"/>
          </w:tcPr>
          <w:p>
            <w:pPr>
              <w:spacing w:after="0"/>
              <w:rPr>
                <w:sz w:val="14"/>
                <w:szCs w:val="14"/>
                <w:color w:val="auto"/>
              </w:rPr>
            </w:pP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2018</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47"/>
              <w:spacing w:after="0"/>
              <w:rPr>
                <w:sz w:val="20"/>
                <w:szCs w:val="20"/>
                <w:color w:val="auto"/>
              </w:rPr>
            </w:pPr>
            <w:r>
              <w:rPr>
                <w:rFonts w:ascii="Arial" w:cs="Arial" w:eastAsia="Arial" w:hAnsi="Arial"/>
                <w:sz w:val="10"/>
                <w:szCs w:val="10"/>
                <w:b w:val="1"/>
                <w:bCs w:val="1"/>
                <w:color w:val="auto"/>
                <w:w w:val="89"/>
              </w:rPr>
              <w:t>2017</w:t>
            </w: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b w:val="1"/>
                <w:bCs w:val="1"/>
                <w:color w:val="auto"/>
              </w:rPr>
              <w:t>2016</w:t>
            </w:r>
          </w:p>
        </w:tc>
      </w:tr>
      <w:tr>
        <w:trPr>
          <w:trHeight w:val="155"/>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Income Statement Data:</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167"/>
              <w:spacing w:after="0"/>
              <w:rPr>
                <w:sz w:val="20"/>
                <w:szCs w:val="20"/>
                <w:color w:val="auto"/>
              </w:rPr>
            </w:pPr>
            <w:r>
              <w:rPr>
                <w:rFonts w:ascii="Arial" w:cs="Arial" w:eastAsia="Arial" w:hAnsi="Arial"/>
                <w:sz w:val="10"/>
                <w:szCs w:val="10"/>
                <w:b w:val="1"/>
                <w:bCs w:val="1"/>
                <w:color w:val="auto"/>
                <w:w w:val="89"/>
              </w:rPr>
              <w:t>(In millions)</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GenConn</w:t>
            </w:r>
          </w:p>
        </w:tc>
        <w:tc>
          <w:tcPr>
            <w:tcW w:w="1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20" w:type="dxa"/>
            <w:vAlign w:val="bottom"/>
          </w:tcPr>
          <w:p>
            <w:pPr>
              <w:jc w:val="right"/>
              <w:ind w:right="98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65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71</w:t>
            </w:r>
          </w:p>
        </w:tc>
        <w:tc>
          <w:tcPr>
            <w:tcW w:w="60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72</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32</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36</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26</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26</w:t>
            </w:r>
          </w:p>
        </w:tc>
      </w:tr>
      <w:tr>
        <w:trPr>
          <w:trHeight w:val="16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Desert Sunlight</w:t>
            </w:r>
          </w:p>
        </w:tc>
        <w:tc>
          <w:tcPr>
            <w:tcW w:w="1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208</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207</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211</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129</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127</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84</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80</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80</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DGPV entities </w:t>
            </w:r>
            <w:r>
              <w:rPr>
                <w:rFonts w:ascii="Arial" w:cs="Arial" w:eastAsia="Arial" w:hAnsi="Arial"/>
                <w:sz w:val="14"/>
                <w:szCs w:val="14"/>
                <w:b w:val="1"/>
                <w:bCs w:val="1"/>
                <w:color w:val="auto"/>
                <w:vertAlign w:val="superscript"/>
              </w:rPr>
              <w:t>(a)</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69</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37</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14</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23</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7</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11</w:t>
            </w:r>
          </w:p>
        </w:tc>
        <w:tc>
          <w:tcPr>
            <w:tcW w:w="160" w:type="dxa"/>
            <w:vAlign w:val="bottom"/>
          </w:tcPr>
          <w:p>
            <w:pPr>
              <w:spacing w:after="0"/>
              <w:rPr>
                <w:sz w:val="14"/>
                <w:szCs w:val="14"/>
                <w:color w:val="auto"/>
              </w:rPr>
            </w:pPr>
          </w:p>
        </w:tc>
        <w:tc>
          <w:tcPr>
            <w:tcW w:w="14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6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RPV Holdco</w:t>
            </w:r>
          </w:p>
        </w:tc>
        <w:tc>
          <w:tcPr>
            <w:tcW w:w="1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16</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13</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3</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Other </w:t>
            </w:r>
            <w:r>
              <w:rPr>
                <w:rFonts w:ascii="Arial" w:cs="Arial" w:eastAsia="Arial" w:hAnsi="Arial"/>
                <w:sz w:val="14"/>
                <w:szCs w:val="14"/>
                <w:b w:val="1"/>
                <w:bCs w:val="1"/>
                <w:color w:val="auto"/>
                <w:vertAlign w:val="superscript"/>
              </w:rPr>
              <w:t>(b)</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2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249</w:t>
            </w: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247</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193</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103</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89</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Pr>
          <w:p>
            <w:pPr>
              <w:jc w:val="right"/>
              <w:ind w:right="98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75</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56</w:t>
            </w:r>
          </w:p>
        </w:tc>
        <w:tc>
          <w:tcPr>
            <w:tcW w:w="6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38</w:t>
            </w:r>
          </w:p>
        </w:tc>
      </w:tr>
      <w:tr>
        <w:trPr>
          <w:trHeight w:val="165"/>
        </w:trPr>
        <w:tc>
          <w:tcPr>
            <w:tcW w:w="6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0"/>
                <w:szCs w:val="10"/>
                <w:b w:val="1"/>
                <w:bCs w:val="1"/>
                <w:color w:val="auto"/>
              </w:rPr>
              <w:t>As of December 31,</w:t>
            </w:r>
          </w:p>
        </w:tc>
        <w:tc>
          <w:tcPr>
            <w:tcW w:w="1060" w:type="dxa"/>
            <w:vAlign w:val="bottom"/>
            <w:tcBorders>
              <w:bottom w:val="single" w:sz="8" w:color="auto"/>
            </w:tcBorders>
          </w:tcPr>
          <w:p>
            <w:pPr>
              <w:spacing w:after="0"/>
              <w:rPr>
                <w:sz w:val="14"/>
                <w:szCs w:val="14"/>
                <w:color w:val="auto"/>
              </w:rPr>
            </w:pPr>
          </w:p>
        </w:tc>
      </w:tr>
      <w:tr>
        <w:trPr>
          <w:trHeight w:val="165"/>
        </w:trPr>
        <w:tc>
          <w:tcPr>
            <w:tcW w:w="6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47"/>
              <w:spacing w:after="0"/>
              <w:rPr>
                <w:sz w:val="20"/>
                <w:szCs w:val="20"/>
                <w:color w:val="auto"/>
              </w:rPr>
            </w:pPr>
            <w:r>
              <w:rPr>
                <w:rFonts w:ascii="Arial" w:cs="Arial" w:eastAsia="Arial" w:hAnsi="Arial"/>
                <w:sz w:val="10"/>
                <w:szCs w:val="10"/>
                <w:b w:val="1"/>
                <w:bCs w:val="1"/>
                <w:color w:val="auto"/>
                <w:w w:val="89"/>
              </w:rPr>
              <w:t>2018</w:t>
            </w: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b w:val="1"/>
                <w:bCs w:val="1"/>
                <w:color w:val="auto"/>
              </w:rPr>
              <w:t>2017</w:t>
            </w:r>
          </w:p>
        </w:tc>
      </w:tr>
      <w:tr>
        <w:trPr>
          <w:trHeight w:val="16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Balance Sheet Data:</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2"/>
          </w:tcPr>
          <w:p>
            <w:pPr>
              <w:jc w:val="right"/>
              <w:ind w:right="266"/>
              <w:spacing w:after="0"/>
              <w:rPr>
                <w:sz w:val="20"/>
                <w:szCs w:val="20"/>
                <w:color w:val="auto"/>
              </w:rPr>
            </w:pPr>
            <w:r>
              <w:rPr>
                <w:rFonts w:ascii="Arial" w:cs="Arial" w:eastAsia="Arial" w:hAnsi="Arial"/>
                <w:sz w:val="10"/>
                <w:szCs w:val="10"/>
                <w:b w:val="1"/>
                <w:bCs w:val="1"/>
                <w:color w:val="auto"/>
              </w:rPr>
              <w:t>(In millions)</w:t>
            </w:r>
          </w:p>
        </w:tc>
        <w:tc>
          <w:tcPr>
            <w:tcW w:w="1060" w:type="dxa"/>
            <w:vAlign w:val="bottom"/>
          </w:tcPr>
          <w:p>
            <w:pPr>
              <w:spacing w:after="0"/>
              <w:rPr>
                <w:sz w:val="13"/>
                <w:szCs w:val="13"/>
                <w:color w:val="auto"/>
              </w:rPr>
            </w:pPr>
          </w:p>
        </w:tc>
      </w:tr>
      <w:tr>
        <w:trPr>
          <w:trHeight w:val="166"/>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GenConn</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
        </w:trPr>
        <w:tc>
          <w:tcPr>
            <w:tcW w:w="6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43</w:t>
            </w:r>
          </w:p>
        </w:tc>
        <w:tc>
          <w:tcPr>
            <w:tcW w:w="60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358</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374</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22</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182</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189</w:t>
            </w:r>
          </w:p>
        </w:tc>
      </w:tr>
      <w:tr>
        <w:trPr>
          <w:trHeight w:val="16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Desert Sunlight</w:t>
            </w:r>
          </w:p>
        </w:tc>
        <w:tc>
          <w:tcPr>
            <w:tcW w:w="1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133</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133</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1,298</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1,350</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58</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64</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962</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1,003</w:t>
            </w:r>
          </w:p>
        </w:tc>
      </w:tr>
      <w:tr>
        <w:trPr>
          <w:trHeight w:val="18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 xml:space="preserve">DGPV entities </w:t>
            </w:r>
            <w:r>
              <w:rPr>
                <w:rFonts w:ascii="Arial" w:cs="Arial" w:eastAsia="Arial" w:hAnsi="Arial"/>
                <w:sz w:val="14"/>
                <w:szCs w:val="14"/>
                <w:b w:val="1"/>
                <w:bCs w:val="1"/>
                <w:color w:val="auto"/>
                <w:vertAlign w:val="superscript"/>
              </w:rPr>
              <w:t>(a)</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79</w:t>
            </w: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784</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671</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84</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314</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216</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Redeemable Noncontrolling Interest</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44</w:t>
            </w:r>
          </w:p>
        </w:tc>
      </w:tr>
      <w:tr>
        <w:trPr>
          <w:trHeight w:val="158"/>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RPV Holdco</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
        </w:trPr>
        <w:tc>
          <w:tcPr>
            <w:tcW w:w="6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2</w:t>
            </w: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173</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183</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1</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7</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Redeemable Noncontrolling Interest</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26</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r>
      <w:tr>
        <w:trPr>
          <w:trHeight w:val="180"/>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 xml:space="preserve">Other </w:t>
            </w:r>
            <w:r>
              <w:rPr>
                <w:rFonts w:ascii="Arial" w:cs="Arial" w:eastAsia="Arial" w:hAnsi="Arial"/>
                <w:sz w:val="14"/>
                <w:szCs w:val="14"/>
                <w:b w:val="1"/>
                <w:bCs w:val="1"/>
                <w:color w:val="auto"/>
                <w:vertAlign w:val="superscript"/>
              </w:rPr>
              <w:t>(b)</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148</w:t>
            </w: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139</w:t>
            </w:r>
          </w:p>
        </w:tc>
      </w:tr>
      <w:tr>
        <w:trPr>
          <w:trHeight w:val="171"/>
        </w:trPr>
        <w:tc>
          <w:tcPr>
            <w:tcW w:w="642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2,511</w:t>
            </w:r>
          </w:p>
        </w:tc>
        <w:tc>
          <w:tcPr>
            <w:tcW w:w="6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2,621</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58</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r>
      <w:tr>
        <w:trPr>
          <w:trHeight w:val="162"/>
        </w:trPr>
        <w:tc>
          <w:tcPr>
            <w:tcW w:w="642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107"/>
              <w:spacing w:after="0"/>
              <w:rPr>
                <w:sz w:val="20"/>
                <w:szCs w:val="20"/>
                <w:color w:val="auto"/>
              </w:rPr>
            </w:pPr>
            <w:r>
              <w:rPr>
                <w:rFonts w:ascii="Arial" w:cs="Arial" w:eastAsia="Arial" w:hAnsi="Arial"/>
                <w:sz w:val="11"/>
                <w:szCs w:val="11"/>
                <w:color w:val="auto"/>
              </w:rPr>
              <w:t>889</w:t>
            </w:r>
          </w:p>
        </w:tc>
        <w:tc>
          <w:tcPr>
            <w:tcW w:w="60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302577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25775" cy="5715"/>
                    </a:xfrm>
                    <a:prstGeom prst="rect">
                      <a:avLst/>
                    </a:prstGeom>
                    <a:noFill/>
                  </pic:spPr>
                </pic:pic>
              </a:graphicData>
            </a:graphic>
          </wp:anchor>
        </w:drawing>
      </w:r>
    </w:p>
    <w:p>
      <w:pPr>
        <w:spacing w:after="0" w:line="176" w:lineRule="exact"/>
        <w:rPr>
          <w:sz w:val="20"/>
          <w:szCs w:val="20"/>
          <w:color w:val="auto"/>
        </w:rPr>
      </w:pPr>
    </w:p>
    <w:p>
      <w:pPr>
        <w:ind w:left="88" w:hanging="88"/>
        <w:spacing w:after="0"/>
        <w:tabs>
          <w:tab w:leader="none" w:pos="88" w:val="left"/>
        </w:tabs>
        <w:numPr>
          <w:ilvl w:val="0"/>
          <w:numId w:val="43"/>
        </w:numPr>
        <w:rPr>
          <w:rFonts w:ascii="Arial" w:cs="Arial" w:eastAsia="Arial" w:hAnsi="Arial"/>
          <w:sz w:val="6"/>
          <w:szCs w:val="6"/>
          <w:color w:val="auto"/>
        </w:rPr>
      </w:pPr>
      <w:r>
        <w:rPr>
          <w:rFonts w:ascii="Arial" w:cs="Arial" w:eastAsia="Arial" w:hAnsi="Arial"/>
          <w:sz w:val="10"/>
          <w:szCs w:val="10"/>
          <w:color w:val="auto"/>
        </w:rPr>
        <w:t>Includes DGPV Holdco 1, DGPV Holdco 2 and DGPV Holdco 3.</w:t>
      </w:r>
    </w:p>
    <w:p>
      <w:pPr>
        <w:ind w:left="88" w:hanging="88"/>
        <w:spacing w:after="0" w:line="236" w:lineRule="auto"/>
        <w:tabs>
          <w:tab w:leader="none" w:pos="88" w:val="left"/>
        </w:tabs>
        <w:numPr>
          <w:ilvl w:val="0"/>
          <w:numId w:val="43"/>
        </w:numPr>
        <w:rPr>
          <w:rFonts w:ascii="Arial" w:cs="Arial" w:eastAsia="Arial" w:hAnsi="Arial"/>
          <w:sz w:val="6"/>
          <w:szCs w:val="6"/>
          <w:color w:val="auto"/>
        </w:rPr>
      </w:pPr>
      <w:r>
        <w:rPr>
          <w:rFonts w:ascii="Arial" w:cs="Arial" w:eastAsia="Arial" w:hAnsi="Arial"/>
          <w:sz w:val="10"/>
          <w:szCs w:val="10"/>
          <w:color w:val="auto"/>
        </w:rPr>
        <w:t>Includes Agua Caliente, Utah Solar Portfolio, Avenal, Elkhorn Ridge and San Juan Mesa.</w:t>
      </w:r>
    </w:p>
    <w:p>
      <w:pPr>
        <w:spacing w:after="0" w:line="2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68"/>
          </w:cols>
          <w:pgMar w:left="212" w:top="518" w:right="21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b w:val="1"/>
          <w:bCs w:val="1"/>
          <w:color w:val="auto"/>
        </w:rPr>
        <w:t>Variable Interest Entities, or VIEs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Entities that are Consolidated</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 xml:space="preserve">The Company has a controlling financial interest in certain entities which have been identified as VIEs under ASC 810, </w:t>
      </w:r>
      <w:r>
        <w:rPr>
          <w:rFonts w:ascii="Arial" w:cs="Arial" w:eastAsia="Arial" w:hAnsi="Arial"/>
          <w:sz w:val="12"/>
          <w:szCs w:val="12"/>
          <w:i w:val="1"/>
          <w:iCs w:val="1"/>
          <w:color w:val="auto"/>
        </w:rPr>
        <w:t>Consolidations,</w:t>
      </w:r>
      <w:r>
        <w:rPr>
          <w:rFonts w:ascii="Arial" w:cs="Arial" w:eastAsia="Arial" w:hAnsi="Arial"/>
          <w:sz w:val="12"/>
          <w:szCs w:val="12"/>
          <w:color w:val="auto"/>
        </w:rPr>
        <w:t xml:space="preserve"> or ASC 810. These arrangements are primarily related to tax equity arrangements entered into with third parties in order to monetize certain tax credits associated with wind facilities and are further described below.</w:t>
      </w:r>
    </w:p>
    <w:p>
      <w:pPr>
        <w:spacing w:after="0" w:line="75"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b w:val="1"/>
          <w:bCs w:val="1"/>
          <w:i w:val="1"/>
          <w:iCs w:val="1"/>
          <w:color w:val="auto"/>
        </w:rPr>
        <w:t xml:space="preserve">Buckthorn Renewables, LLC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described in Note 3,</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Business Acquisitions</w:t>
      </w:r>
      <w:r>
        <w:rPr>
          <w:rFonts w:ascii="Arial" w:cs="Arial" w:eastAsia="Arial" w:hAnsi="Arial"/>
          <w:sz w:val="11"/>
          <w:szCs w:val="11"/>
          <w:color w:val="auto"/>
        </w:rPr>
        <w:t>, on March 30, 2018, the Company acquired 100% of NRG’s interest in a 154 MW construction-stage utility-scale solar generation project, Buckthorn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to determine the net income or loss allocated to the tax equity investor noncontrolling interest. The Company recorded $55 million of loss attributable to noncontrolling interest in Buckthorn Renewables, LLC during the period ended December 31, 2018.</w:t>
      </w:r>
    </w:p>
    <w:p>
      <w:pPr>
        <w:spacing w:after="0" w:line="72"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2"/>
          <w:szCs w:val="12"/>
          <w:b w:val="1"/>
          <w:bCs w:val="1"/>
          <w:i w:val="1"/>
          <w:iCs w:val="1"/>
          <w:color w:val="auto"/>
        </w:rPr>
        <w:t xml:space="preserve">Wind TE Holdco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of December 31, 2018, Wind TE Holdco was a VIE and the Company, as the holder of Class B shares and the primary beneficiary through its position as managing member consolidated Wind TE Holdco.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Class A shares of Wind TE Holdco were owned by a tax equity investor, who received 99% of allocations of taxable income and other items.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On January 2, the Company bought out 100% of the Class A membership interests from the TE Investor, for cash consideration of $19 million.</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On August 30, 2018, Wind TE Holdco, entered into a partnership with Clearway Renew LLC, an indirect subsidiary of CEG, in order to facilitate the repowering of wind facilities of the two of its indirect subsidiaries, Elbow Creek Wind Project LLC and Wildorado Wind LLC. Wind TE Holdco contributed its interests in the two facilities and Clearway Renew LLC contributed a turbine supply agreement, including title to certain components that qualify for production tax credits. Clearway Renew LLC paid a total of $35 million to the service provider, which was recorded to other non current assets on the Company's consolidated balance sheets as of December 31, 2018. Wind TE Holdco is the managing member of Repowering Partnership LLC and consolidates the entity, which is a VIE. Clearway Renew LLC is entitled to allocations of 21% of income, which is reflected in Wind TE Holdco’s noncontrolling interests.</w:t>
      </w:r>
    </w:p>
    <w:p>
      <w:pPr>
        <w:spacing w:after="0" w:line="69"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1"/>
          <w:szCs w:val="11"/>
          <w:b w:val="1"/>
          <w:bCs w:val="1"/>
          <w:i w:val="1"/>
          <w:iCs w:val="1"/>
          <w:color w:val="auto"/>
        </w:rPr>
        <w:t xml:space="preserve">Alta TE Holdco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June 30, 2015, the Company sold an economic interest in Alta TE Holdco to a financial institution in order to monetize certain cash and tax attributes, primarily PTCs. The financial institution, or Alta Investor,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72"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b w:val="1"/>
          <w:bCs w:val="1"/>
          <w:i w:val="1"/>
          <w:iCs w:val="1"/>
          <w:color w:val="auto"/>
        </w:rPr>
        <w:t xml:space="preserve">Spring Canyon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Company holds 90.1% of the Class B interests in Spring Canyon II, a 32 MW wind facility, and Spring Canyon III, a 28 MW wind facility, each located in Logan County, Colorado, and Invenergy Wind Global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480"/>
          </w:cols>
          <w:pgMar w:left="220" w:top="604" w:right="199" w:bottom="1440" w:gutter="0" w:footer="0" w:header="0"/>
        </w:sectPr>
      </w:pPr>
    </w:p>
    <w:bookmarkStart w:id="101" w:name="page102"/>
    <w:bookmarkEnd w:id="101"/>
    <w:p>
      <w:pPr>
        <w:ind w:left="260"/>
        <w:spacing w:after="0"/>
        <w:rPr>
          <w:sz w:val="20"/>
          <w:szCs w:val="20"/>
          <w:color w:val="auto"/>
        </w:rPr>
      </w:pPr>
      <w:r>
        <w:rPr>
          <w:rFonts w:ascii="Arial" w:cs="Arial" w:eastAsia="Arial" w:hAnsi="Arial"/>
          <w:sz w:val="12"/>
          <w:szCs w:val="12"/>
          <w:color w:val="auto"/>
        </w:rPr>
        <w:t>Summarized financial information for the Company's consolidated VIEs consisted of the following as of December 31, 2018:</w:t>
      </w:r>
    </w:p>
    <w:p>
      <w:pPr>
        <w:spacing w:after="0" w:line="262" w:lineRule="exact"/>
        <w:rPr>
          <w:sz w:val="20"/>
          <w:szCs w:val="20"/>
          <w:color w:val="auto"/>
        </w:rPr>
      </w:pPr>
    </w:p>
    <w:tbl>
      <w:tblPr>
        <w:tblLayout w:type="fixed"/>
        <w:tblInd w:w="600" w:type="dxa"/>
        <w:tblCellMar>
          <w:top w:w="0" w:type="dxa"/>
          <w:left w:w="0" w:type="dxa"/>
          <w:bottom w:w="0" w:type="dxa"/>
          <w:right w:w="0" w:type="dxa"/>
        </w:tblCellMar>
      </w:tblPr>
      <w:tr>
        <w:trPr>
          <w:trHeight w:val="128"/>
        </w:trPr>
        <w:tc>
          <w:tcPr>
            <w:tcW w:w="47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1"/>
                <w:szCs w:val="11"/>
                <w:color w:val="auto"/>
              </w:rPr>
            </w:pPr>
          </w:p>
        </w:tc>
        <w:tc>
          <w:tcPr>
            <w:tcW w:w="1260" w:type="dxa"/>
            <w:vAlign w:val="bottom"/>
            <w:gridSpan w:val="2"/>
          </w:tcPr>
          <w:p>
            <w:pPr>
              <w:ind w:left="140"/>
              <w:spacing w:after="0"/>
              <w:rPr>
                <w:sz w:val="20"/>
                <w:szCs w:val="20"/>
                <w:color w:val="auto"/>
              </w:rPr>
            </w:pPr>
            <w:r>
              <w:rPr>
                <w:rFonts w:ascii="Arial" w:cs="Arial" w:eastAsia="Arial" w:hAnsi="Arial"/>
                <w:sz w:val="10"/>
                <w:szCs w:val="10"/>
                <w:b w:val="1"/>
                <w:bCs w:val="1"/>
                <w:color w:val="auto"/>
              </w:rPr>
              <w:t>Wind TE Holdco</w:t>
            </w:r>
          </w:p>
        </w:tc>
        <w:tc>
          <w:tcPr>
            <w:tcW w:w="22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Alta TE Holdco</w:t>
            </w:r>
          </w:p>
        </w:tc>
        <w:tc>
          <w:tcPr>
            <w:tcW w:w="200" w:type="dxa"/>
            <w:vAlign w:val="bottom"/>
          </w:tcPr>
          <w:p>
            <w:pPr>
              <w:spacing w:after="0"/>
              <w:rPr>
                <w:sz w:val="11"/>
                <w:szCs w:val="11"/>
                <w:color w:val="auto"/>
              </w:rPr>
            </w:pPr>
          </w:p>
        </w:tc>
        <w:tc>
          <w:tcPr>
            <w:tcW w:w="1120" w:type="dxa"/>
            <w:vAlign w:val="bottom"/>
            <w:gridSpan w:val="2"/>
          </w:tcPr>
          <w:p>
            <w:pPr>
              <w:ind w:left="100"/>
              <w:spacing w:after="0"/>
              <w:rPr>
                <w:sz w:val="20"/>
                <w:szCs w:val="20"/>
                <w:color w:val="auto"/>
              </w:rPr>
            </w:pPr>
            <w:r>
              <w:rPr>
                <w:rFonts w:ascii="Arial" w:cs="Arial" w:eastAsia="Arial" w:hAnsi="Arial"/>
                <w:sz w:val="10"/>
                <w:szCs w:val="10"/>
                <w:b w:val="1"/>
                <w:bCs w:val="1"/>
                <w:color w:val="auto"/>
              </w:rPr>
              <w:t>Spring Canyon</w:t>
            </w:r>
          </w:p>
        </w:tc>
        <w:tc>
          <w:tcPr>
            <w:tcW w:w="1320" w:type="dxa"/>
            <w:vAlign w:val="bottom"/>
            <w:gridSpan w:val="2"/>
          </w:tcPr>
          <w:p>
            <w:pPr>
              <w:jc w:val="right"/>
              <w:spacing w:after="0"/>
              <w:rPr>
                <w:sz w:val="20"/>
                <w:szCs w:val="20"/>
                <w:color w:val="auto"/>
              </w:rPr>
            </w:pPr>
            <w:r>
              <w:rPr>
                <w:rFonts w:ascii="Arial" w:cs="Arial" w:eastAsia="Arial" w:hAnsi="Arial"/>
                <w:sz w:val="10"/>
                <w:szCs w:val="10"/>
                <w:b w:val="1"/>
                <w:bCs w:val="1"/>
                <w:color w:val="auto"/>
                <w:w w:val="91"/>
              </w:rPr>
              <w:t>Buckthorn Renewables, LLC</w:t>
            </w:r>
          </w:p>
        </w:tc>
      </w:tr>
      <w:tr>
        <w:trPr>
          <w:trHeight w:val="17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current and non-current assets</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424"/>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2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223</w:t>
            </w: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472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563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676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238</w:t>
            </w: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and non-current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r>
      <w:tr>
        <w:trPr>
          <w:trHeight w:val="169"/>
        </w:trPr>
        <w:tc>
          <w:tcPr>
            <w:tcW w:w="4720" w:type="dxa"/>
            <w:vAlign w:val="bottom"/>
          </w:tcPr>
          <w:p>
            <w:pPr>
              <w:ind w:left="18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210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135</w:t>
            </w:r>
          </w:p>
        </w:tc>
      </w:tr>
      <w:tr>
        <w:trPr>
          <w:trHeight w:val="180"/>
        </w:trPr>
        <w:tc>
          <w:tcPr>
            <w:tcW w:w="4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Noncontrolling interest</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43</w:t>
            </w:r>
          </w:p>
        </w:tc>
      </w:tr>
      <w:tr>
        <w:trPr>
          <w:trHeight w:val="185"/>
        </w:trPr>
        <w:tc>
          <w:tcPr>
            <w:tcW w:w="4720" w:type="dxa"/>
            <w:vAlign w:val="bottom"/>
          </w:tcPr>
          <w:p>
            <w:pPr>
              <w:ind w:left="320"/>
              <w:spacing w:after="0"/>
              <w:rPr>
                <w:sz w:val="20"/>
                <w:szCs w:val="20"/>
                <w:color w:val="auto"/>
              </w:rPr>
            </w:pPr>
            <w:r>
              <w:rPr>
                <w:rFonts w:ascii="Arial" w:cs="Arial" w:eastAsia="Arial" w:hAnsi="Arial"/>
                <w:sz w:val="12"/>
                <w:szCs w:val="12"/>
                <w:color w:val="auto"/>
              </w:rPr>
              <w:t>Net assets less noncontrolling interests</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604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Entities that are not Consolidated</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 xml:space="preserve">The Company has interests in entities that are considered VIEs under ASC 810, </w:t>
      </w:r>
      <w:r>
        <w:rPr>
          <w:rFonts w:ascii="Arial" w:cs="Arial" w:eastAsia="Arial" w:hAnsi="Arial"/>
          <w:sz w:val="12"/>
          <w:szCs w:val="12"/>
          <w:i w:val="1"/>
          <w:iCs w:val="1"/>
          <w:color w:val="auto"/>
        </w:rPr>
        <w:t>Consolidation</w:t>
      </w:r>
      <w:r>
        <w:rPr>
          <w:rFonts w:ascii="Arial" w:cs="Arial" w:eastAsia="Arial" w:hAnsi="Arial"/>
          <w:sz w:val="12"/>
          <w:szCs w:val="12"/>
          <w:color w:val="auto"/>
        </w:rPr>
        <w:t>, but for which it is not considered the primary beneficiary. The Company accounts for its interests in these entities under the equity method of accounting.</w:t>
      </w:r>
    </w:p>
    <w:p>
      <w:pPr>
        <w:spacing w:after="0" w:line="75" w:lineRule="exact"/>
        <w:rPr>
          <w:sz w:val="20"/>
          <w:szCs w:val="20"/>
          <w:color w:val="auto"/>
        </w:rPr>
      </w:pPr>
    </w:p>
    <w:p>
      <w:pPr>
        <w:jc w:val="both"/>
        <w:ind w:firstLine="270"/>
        <w:spacing w:after="0" w:line="285" w:lineRule="auto"/>
        <w:rPr>
          <w:sz w:val="20"/>
          <w:szCs w:val="20"/>
          <w:color w:val="auto"/>
        </w:rPr>
      </w:pPr>
      <w:r>
        <w:rPr>
          <w:rFonts w:ascii="Arial" w:cs="Arial" w:eastAsia="Arial" w:hAnsi="Arial"/>
          <w:sz w:val="11"/>
          <w:szCs w:val="11"/>
          <w:b w:val="1"/>
          <w:bCs w:val="1"/>
          <w:i w:val="1"/>
          <w:iCs w:val="1"/>
          <w:color w:val="auto"/>
        </w:rPr>
        <w:t xml:space="preserve">Utah Solar Portfolio Assets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described in Note 3,</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Business Acquisitions</w:t>
      </w:r>
      <w:r>
        <w:rPr>
          <w:rFonts w:ascii="Arial" w:cs="Arial" w:eastAsia="Arial" w:hAnsi="Arial"/>
          <w:sz w:val="11"/>
          <w:szCs w:val="11"/>
          <w:color w:val="auto"/>
        </w:rPr>
        <w:t>, as part of the March 2017 Drop Down Assets acquisition, the Company acquired from NRG 100% of the Class A equity interests in the Utah Solar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on the last day of the calendar month on which the Class B member does not have an agreed upon adjusted capital account deficit, but not prior to the 10th day after the five year anniversary of the last project to achieve its placed in service date,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72"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2"/>
          <w:szCs w:val="12"/>
          <w:b w:val="1"/>
          <w:bCs w:val="1"/>
          <w:i w:val="1"/>
          <w:iCs w:val="1"/>
          <w:color w:val="auto"/>
        </w:rPr>
        <w:t xml:space="preserve">DGPV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CEG are parties to the DGPV Holdco 1 LLC partnership, or DGPV Holdco 1, the purpose of which is to own or purchase solar power generation projects and other ancillary related assets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Clearway Energy Group LLC or its subsidiaries via intermediate funds. The Company owns approximately 52 MW of distributed solar capacity, based on cash to be distributed, with a weighted average contract life of 17 years. Under this partnership, the Company committed to fund up to $100 million of capital.</w:t>
      </w:r>
    </w:p>
    <w:p>
      <w:pPr>
        <w:spacing w:after="0" w:line="80" w:lineRule="exact"/>
        <w:rPr>
          <w:sz w:val="20"/>
          <w:szCs w:val="20"/>
          <w:color w:val="auto"/>
        </w:rPr>
      </w:pPr>
    </w:p>
    <w:p>
      <w:pPr>
        <w:jc w:val="both"/>
        <w:ind w:firstLine="270"/>
        <w:spacing w:after="0" w:line="267" w:lineRule="auto"/>
        <w:rPr>
          <w:sz w:val="20"/>
          <w:szCs w:val="20"/>
          <w:color w:val="auto"/>
        </w:rPr>
      </w:pPr>
      <w:r>
        <w:rPr>
          <w:rFonts w:ascii="Arial" w:cs="Arial" w:eastAsia="Arial" w:hAnsi="Arial"/>
          <w:sz w:val="12"/>
          <w:szCs w:val="12"/>
          <w:b w:val="1"/>
          <w:bCs w:val="1"/>
          <w:i w:val="1"/>
          <w:iCs w:val="1"/>
          <w:color w:val="auto"/>
        </w:rPr>
        <w:t xml:space="preserve">DGPV Holdco 2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CEG are parties to the DGPV Holdco 2 LLC partnership, or DGPV Holdco 2, the purpose of which is to own or hold solar power generation projects as well as other ancillary related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from Clearway Energy Group LLC or its subsidiaries. The Company owns approximately 113 MW of distributed solar capacity, based on cash to be distributed, with a weighted average contract life of 20 years. Under this partnership, the Company committed to fund up to $60 million of capital.</w:t>
      </w:r>
    </w:p>
    <w:p>
      <w:pPr>
        <w:spacing w:after="0" w:line="80"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2"/>
          <w:szCs w:val="12"/>
          <w:b w:val="1"/>
          <w:bCs w:val="1"/>
          <w:i w:val="1"/>
          <w:iCs w:val="1"/>
          <w:color w:val="auto"/>
        </w:rPr>
        <w:t xml:space="preserve">DGPV Holdco 3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CEG are parties to the DGPV Holdco 3 LLC partnership, or DGPV Holdco 3, in which the Company would invest up to $50 million in an operating portfolio of distributed solar assets,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comprised of community solar projects, developed by CEG. The Company owns approximately 59 MW of distributed solar capacity, based on cash to be distributed, with a weighted average contract life of approximately 21 years as of December 31, 2018. In December 2018, the Company and CEG amended the DGPV Holdco 3 partnership agreement to increase the capital commitment of $50 million to $70 million. The Company had a $9 million payable due to DGPV Holdco 3 LLC as of December 31, 2018.</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Company's maximum exposure to loss is limited to its equity investment in DGPV Holdco 1, DGPV Holdco 2 and DGPV Holdco 3, which was $260 million on a combined basis.</w:t>
      </w:r>
    </w:p>
    <w:p>
      <w:pPr>
        <w:spacing w:after="0" w:line="110" w:lineRule="exact"/>
        <w:rPr>
          <w:sz w:val="20"/>
          <w:szCs w:val="20"/>
          <w:color w:val="auto"/>
        </w:rPr>
      </w:pPr>
    </w:p>
    <w:p>
      <w:pPr>
        <w:jc w:val="both"/>
        <w:ind w:firstLine="270"/>
        <w:spacing w:after="0" w:line="261" w:lineRule="auto"/>
        <w:rPr>
          <w:sz w:val="20"/>
          <w:szCs w:val="20"/>
          <w:color w:val="auto"/>
        </w:rPr>
      </w:pPr>
      <w:r>
        <w:rPr>
          <w:rFonts w:ascii="Arial" w:cs="Arial" w:eastAsia="Arial" w:hAnsi="Arial"/>
          <w:sz w:val="12"/>
          <w:szCs w:val="12"/>
          <w:b w:val="1"/>
          <w:bCs w:val="1"/>
          <w:i w:val="1"/>
          <w:iCs w:val="1"/>
          <w:color w:val="auto"/>
        </w:rPr>
        <w:t xml:space="preserve">RPV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CEG are parties to the RPV Holdco 1 LLC partnership, or RPV Holdco, the purpose of which is to hold operating portfolios of residential solar assets developed by NRG's residential solar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business, including: (i) an existing, unlevered portfolio of over 2,200 leases across nine states representing approximately 14 MW, based on cash to be distributed, with a weighted average remaining lease term of approximately 14 years that was acquired outside of the partnership; and (ii) a tax equity-financed portfolio of approximately 5,400 leases representing approximately 30 MW, based on cash to be distributed, with a weighted average remaining lease term for the existing and new leases of approximately 17 years. The Company has fully funded the partnership as of December 31, 2017.</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480"/>
          </w:cols>
          <w:pgMar w:left="220" w:top="518" w:right="199" w:bottom="1440" w:gutter="0" w:footer="0" w:header="0"/>
        </w:sectPr>
      </w:pPr>
    </w:p>
    <w:bookmarkStart w:id="102" w:name="page103"/>
    <w:bookmarkEnd w:id="102"/>
    <w:p>
      <w:pPr>
        <w:ind w:left="268"/>
        <w:spacing w:after="0"/>
        <w:rPr>
          <w:sz w:val="20"/>
          <w:szCs w:val="20"/>
          <w:color w:val="auto"/>
        </w:rPr>
      </w:pPr>
      <w:r>
        <w:rPr>
          <w:rFonts w:ascii="Arial" w:cs="Arial" w:eastAsia="Arial" w:hAnsi="Arial"/>
          <w:sz w:val="12"/>
          <w:szCs w:val="12"/>
          <w:color w:val="auto"/>
        </w:rPr>
        <w:t>The Company's maximum exposure to loss is limited to its equity investment, which was $29 million as of December 31, 2018.</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6 — Fair Value of Financial Instruments</w:t>
      </w:r>
    </w:p>
    <w:p>
      <w:pPr>
        <w:spacing w:after="0" w:line="118" w:lineRule="exact"/>
        <w:rPr>
          <w:sz w:val="20"/>
          <w:szCs w:val="20"/>
          <w:color w:val="auto"/>
        </w:rPr>
      </w:pPr>
    </w:p>
    <w:p>
      <w:pPr>
        <w:ind w:left="8" w:firstLine="324"/>
        <w:spacing w:after="0" w:line="276" w:lineRule="auto"/>
        <w:rPr>
          <w:sz w:val="20"/>
          <w:szCs w:val="20"/>
          <w:color w:val="auto"/>
        </w:rPr>
      </w:pPr>
      <w:r>
        <w:rPr>
          <w:rFonts w:ascii="Arial" w:cs="Arial" w:eastAsia="Arial" w:hAnsi="Arial"/>
          <w:sz w:val="12"/>
          <w:szCs w:val="12"/>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79"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estimated carrying amounts and fair values of the Company’s recorded financial instruments not carried at fair market value are as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0"/>
                <w:szCs w:val="10"/>
                <w:b w:val="1"/>
                <w:bCs w:val="1"/>
                <w:color w:val="auto"/>
              </w:rPr>
              <w:t>As of December 31, 2018</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0"/>
                <w:szCs w:val="10"/>
                <w:b w:val="1"/>
                <w:bCs w:val="1"/>
                <w:color w:val="auto"/>
              </w:rPr>
              <w:t>As of December 31, 2017</w:t>
            </w:r>
          </w:p>
        </w:tc>
      </w:tr>
      <w:tr>
        <w:trPr>
          <w:trHeight w:val="169"/>
        </w:trPr>
        <w:tc>
          <w:tcPr>
            <w:tcW w:w="6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w w:val="97"/>
              </w:rPr>
              <w:t>Carrying Amount</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2"/>
              </w:rPr>
              <w:t>Carrying Amount</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Fair Value</w:t>
            </w:r>
          </w:p>
        </w:tc>
      </w:tr>
      <w:tr>
        <w:trPr>
          <w:trHeight w:val="160"/>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71"/>
        </w:trPr>
        <w:tc>
          <w:tcPr>
            <w:tcW w:w="6080" w:type="dxa"/>
            <w:vAlign w:val="bottom"/>
          </w:tcPr>
          <w:p>
            <w:pPr>
              <w:ind w:left="100"/>
              <w:spacing w:after="0"/>
              <w:rPr>
                <w:sz w:val="20"/>
                <w:szCs w:val="20"/>
                <w:color w:val="auto"/>
              </w:rPr>
            </w:pPr>
            <w:r>
              <w:rPr>
                <w:rFonts w:ascii="Arial" w:cs="Arial" w:eastAsia="Arial" w:hAnsi="Arial"/>
                <w:sz w:val="12"/>
                <w:szCs w:val="12"/>
                <w:color w:val="auto"/>
              </w:rPr>
              <w:t>Notes receivable, including current portion</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6"/>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6"/>
              <w:spacing w:after="0"/>
              <w:rPr>
                <w:sz w:val="20"/>
                <w:szCs w:val="20"/>
                <w:color w:val="auto"/>
              </w:rPr>
            </w:pPr>
            <w:r>
              <w:rPr>
                <w:rFonts w:ascii="Arial" w:cs="Arial" w:eastAsia="Arial" w:hAnsi="Arial"/>
                <w:sz w:val="12"/>
                <w:szCs w:val="12"/>
                <w:color w:val="auto"/>
              </w:rPr>
              <w:t>13</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4"/>
              <w:spacing w:after="0"/>
              <w:rPr>
                <w:sz w:val="20"/>
                <w:szCs w:val="20"/>
                <w:color w:val="auto"/>
              </w:rPr>
            </w:pPr>
            <w:r>
              <w:rPr>
                <w:rFonts w:ascii="Arial" w:cs="Arial" w:eastAsia="Arial" w:hAnsi="Arial"/>
                <w:sz w:val="12"/>
                <w:szCs w:val="12"/>
                <w:color w:val="auto"/>
              </w:rPr>
              <w:t>13</w:t>
            </w: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6"/>
        </w:trPr>
        <w:tc>
          <w:tcPr>
            <w:tcW w:w="6080" w:type="dxa"/>
            <w:vAlign w:val="bottom"/>
          </w:tcPr>
          <w:p>
            <w:pPr>
              <w:ind w:left="100"/>
              <w:spacing w:after="0"/>
              <w:rPr>
                <w:sz w:val="20"/>
                <w:szCs w:val="20"/>
                <w:color w:val="auto"/>
              </w:rPr>
            </w:pPr>
            <w:r>
              <w:rPr>
                <w:rFonts w:ascii="Arial" w:cs="Arial" w:eastAsia="Arial" w:hAnsi="Arial"/>
                <w:sz w:val="12"/>
                <w:szCs w:val="12"/>
                <w:color w:val="auto"/>
              </w:rPr>
              <w:t xml:space="preserve">Long-term debt, including current portion </w:t>
            </w:r>
            <w:r>
              <w:rPr>
                <w:rFonts w:ascii="Arial" w:cs="Arial" w:eastAsia="Arial" w:hAnsi="Arial"/>
                <w:sz w:val="16"/>
                <w:szCs w:val="16"/>
                <w:color w:val="auto"/>
                <w:vertAlign w:val="superscript"/>
              </w:rPr>
              <w:t>(a)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6"/>
              <w:spacing w:after="0"/>
              <w:rPr>
                <w:sz w:val="20"/>
                <w:szCs w:val="20"/>
                <w:color w:val="auto"/>
              </w:rPr>
            </w:pPr>
            <w:r>
              <w:rPr>
                <w:rFonts w:ascii="Arial" w:cs="Arial" w:eastAsia="Arial" w:hAnsi="Arial"/>
                <w:sz w:val="12"/>
                <w:szCs w:val="12"/>
                <w:color w:val="auto"/>
              </w:rPr>
              <w:t>6,043</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6"/>
              <w:spacing w:after="0"/>
              <w:rPr>
                <w:sz w:val="20"/>
                <w:szCs w:val="20"/>
                <w:color w:val="auto"/>
              </w:rPr>
            </w:pPr>
            <w:r>
              <w:rPr>
                <w:rFonts w:ascii="Arial" w:cs="Arial" w:eastAsia="Arial" w:hAnsi="Arial"/>
                <w:sz w:val="12"/>
                <w:szCs w:val="12"/>
                <w:color w:val="auto"/>
              </w:rPr>
              <w:t>5,943</w:t>
            </w:r>
          </w:p>
        </w:tc>
        <w:tc>
          <w:tcPr>
            <w:tcW w:w="120" w:type="dxa"/>
            <w:vAlign w:val="bottom"/>
          </w:tcPr>
          <w:p>
            <w:pPr>
              <w:spacing w:after="0"/>
              <w:rPr>
                <w:sz w:val="19"/>
                <w:szCs w:val="19"/>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6"/>
              <w:spacing w:after="0"/>
              <w:rPr>
                <w:sz w:val="20"/>
                <w:szCs w:val="20"/>
                <w:color w:val="auto"/>
              </w:rPr>
            </w:pPr>
            <w:r>
              <w:rPr>
                <w:rFonts w:ascii="Arial" w:cs="Arial" w:eastAsia="Arial" w:hAnsi="Arial"/>
                <w:sz w:val="12"/>
                <w:szCs w:val="12"/>
                <w:color w:val="auto"/>
              </w:rPr>
              <w:t>6,066</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4"/>
              <w:spacing w:after="0"/>
              <w:rPr>
                <w:sz w:val="20"/>
                <w:szCs w:val="20"/>
                <w:color w:val="auto"/>
              </w:rPr>
            </w:pPr>
            <w:r>
              <w:rPr>
                <w:rFonts w:ascii="Arial" w:cs="Arial" w:eastAsia="Arial" w:hAnsi="Arial"/>
                <w:sz w:val="12"/>
                <w:szCs w:val="12"/>
                <w:color w:val="auto"/>
              </w:rPr>
              <w:t>6,099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4243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13" w:lineRule="exact"/>
        <w:rPr>
          <w:sz w:val="20"/>
          <w:szCs w:val="20"/>
          <w:color w:val="auto"/>
        </w:rPr>
      </w:pPr>
    </w:p>
    <w:p>
      <w:pPr>
        <w:ind w:left="108" w:hanging="108"/>
        <w:spacing w:after="0"/>
        <w:tabs>
          <w:tab w:leader="none" w:pos="108" w:val="left"/>
        </w:tabs>
        <w:numPr>
          <w:ilvl w:val="0"/>
          <w:numId w:val="44"/>
        </w:numPr>
        <w:rPr>
          <w:rFonts w:ascii="Arial" w:cs="Arial" w:eastAsia="Arial" w:hAnsi="Arial"/>
          <w:sz w:val="13"/>
          <w:szCs w:val="13"/>
          <w:color w:val="auto"/>
          <w:vertAlign w:val="superscript"/>
        </w:rPr>
      </w:pPr>
      <w:r>
        <w:rPr>
          <w:rFonts w:ascii="Arial" w:cs="Arial" w:eastAsia="Arial" w:hAnsi="Arial"/>
          <w:sz w:val="9"/>
          <w:szCs w:val="9"/>
          <w:color w:val="auto"/>
        </w:rPr>
        <w:t>Carrying amounts are presented net of discounts.</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Fair Value Accounting under ASC 820</w:t>
      </w:r>
    </w:p>
    <w:p>
      <w:pPr>
        <w:spacing w:after="0" w:line="114" w:lineRule="exact"/>
        <w:rPr>
          <w:sz w:val="20"/>
          <w:szCs w:val="20"/>
          <w:color w:val="auto"/>
        </w:rPr>
      </w:pPr>
    </w:p>
    <w:p>
      <w:pPr>
        <w:ind w:left="268"/>
        <w:spacing w:after="0"/>
        <w:rPr>
          <w:sz w:val="20"/>
          <w:szCs w:val="20"/>
          <w:color w:val="auto"/>
        </w:rPr>
      </w:pPr>
      <w:r>
        <w:rPr>
          <w:rFonts w:ascii="Arial" w:cs="Arial" w:eastAsia="Arial" w:hAnsi="Arial"/>
          <w:sz w:val="12"/>
          <w:szCs w:val="12"/>
          <w:color w:val="auto"/>
        </w:rPr>
        <w:t>ASC 820 establishes a fair value hierarchy that prioritizes the inputs to valuation techniques used to measure fair value into three levels as follows:</w:t>
      </w:r>
    </w:p>
    <w:p>
      <w:pPr>
        <w:spacing w:after="0" w:line="42" w:lineRule="exact"/>
        <w:rPr>
          <w:sz w:val="20"/>
          <w:szCs w:val="20"/>
          <w:color w:val="auto"/>
        </w:rPr>
      </w:pPr>
    </w:p>
    <w:p>
      <w:pPr>
        <w:ind w:left="808" w:hanging="159"/>
        <w:spacing w:after="0"/>
        <w:tabs>
          <w:tab w:leader="none" w:pos="8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Level 1—quoted prices (unadjusted) in active markets for identical assets or liabilities that the Company has the ability to access as of the measurement date.</w:t>
      </w:r>
    </w:p>
    <w:p>
      <w:pPr>
        <w:spacing w:after="0" w:line="42" w:lineRule="exact"/>
        <w:rPr>
          <w:rFonts w:ascii="Arial" w:cs="Arial" w:eastAsia="Arial" w:hAnsi="Arial"/>
          <w:sz w:val="12"/>
          <w:szCs w:val="12"/>
          <w:color w:val="auto"/>
        </w:rPr>
      </w:pPr>
    </w:p>
    <w:p>
      <w:pPr>
        <w:ind w:left="808" w:hanging="159"/>
        <w:spacing w:after="0"/>
        <w:tabs>
          <w:tab w:leader="none" w:pos="8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Level 2—inputs other than quoted prices included within Level 1 that are directly observable for the asset or liability or indirectly observable through corroboration with observable market data.</w:t>
      </w:r>
    </w:p>
    <w:p>
      <w:pPr>
        <w:spacing w:after="0" w:line="42" w:lineRule="exact"/>
        <w:rPr>
          <w:rFonts w:ascii="Arial" w:cs="Arial" w:eastAsia="Arial" w:hAnsi="Arial"/>
          <w:sz w:val="12"/>
          <w:szCs w:val="12"/>
          <w:color w:val="auto"/>
        </w:rPr>
      </w:pPr>
    </w:p>
    <w:p>
      <w:pPr>
        <w:ind w:left="808" w:hanging="159"/>
        <w:spacing w:after="0"/>
        <w:tabs>
          <w:tab w:leader="none" w:pos="8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Level 3—unobservable inputs for the asset or liability only used when there is little, if any, market activity for the asset or liability at the measurement date.</w:t>
      </w:r>
    </w:p>
    <w:p>
      <w:pPr>
        <w:spacing w:after="0" w:line="78" w:lineRule="exact"/>
        <w:rPr>
          <w:sz w:val="20"/>
          <w:szCs w:val="20"/>
          <w:color w:val="auto"/>
        </w:rPr>
      </w:pPr>
    </w:p>
    <w:p>
      <w:pPr>
        <w:ind w:left="268"/>
        <w:spacing w:after="0"/>
        <w:rPr>
          <w:sz w:val="20"/>
          <w:szCs w:val="20"/>
          <w:color w:val="auto"/>
        </w:rPr>
      </w:pPr>
      <w:r>
        <w:rPr>
          <w:rFonts w:ascii="Arial" w:cs="Arial" w:eastAsia="Arial" w:hAnsi="Arial"/>
          <w:sz w:val="10"/>
          <w:szCs w:val="10"/>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9" w:lineRule="exact"/>
        <w:rPr>
          <w:sz w:val="20"/>
          <w:szCs w:val="20"/>
          <w:color w:val="auto"/>
        </w:rPr>
      </w:pPr>
    </w:p>
    <w:p>
      <w:pPr>
        <w:jc w:val="both"/>
        <w:ind w:left="8" w:firstLine="270"/>
        <w:spacing w:after="0" w:line="263" w:lineRule="auto"/>
        <w:rPr>
          <w:sz w:val="20"/>
          <w:szCs w:val="20"/>
          <w:color w:val="auto"/>
        </w:rPr>
      </w:pPr>
      <w:r>
        <w:rPr>
          <w:rFonts w:ascii="Arial" w:cs="Arial" w:eastAsia="Arial" w:hAnsi="Arial"/>
          <w:sz w:val="12"/>
          <w:szCs w:val="12"/>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2018 and 2017:</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6"/>
              </w:rPr>
              <w:t>As of December 31, 2018</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As of December 31, 2017</w:t>
            </w:r>
          </w:p>
        </w:tc>
        <w:tc>
          <w:tcPr>
            <w:tcW w:w="780" w:type="dxa"/>
            <w:vAlign w:val="bottom"/>
            <w:tcBorders>
              <w:bottom w:val="single" w:sz="8" w:color="auto"/>
            </w:tcBorders>
          </w:tcPr>
          <w:p>
            <w:pPr>
              <w:spacing w:after="0"/>
              <w:rPr>
                <w:sz w:val="11"/>
                <w:szCs w:val="11"/>
                <w:color w:val="auto"/>
              </w:rPr>
            </w:pPr>
          </w:p>
        </w:tc>
      </w:tr>
      <w:tr>
        <w:trPr>
          <w:trHeight w:val="169"/>
        </w:trPr>
        <w:tc>
          <w:tcPr>
            <w:tcW w:w="60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b w:val="1"/>
                <w:bCs w:val="1"/>
                <w:color w:val="auto"/>
              </w:rPr>
              <w:t>Level 2</w:t>
            </w: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w w:val="82"/>
              </w:rPr>
              <w:t>Level 3</w:t>
            </w:r>
          </w:p>
        </w:tc>
      </w:tr>
      <w:tr>
        <w:trPr>
          <w:trHeight w:val="124"/>
        </w:trPr>
        <w:tc>
          <w:tcPr>
            <w:tcW w:w="6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(In millions)</w:t>
            </w: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4"/>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 including current portion</w:t>
            </w: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1,620</w:t>
            </w:r>
          </w:p>
        </w:tc>
        <w:tc>
          <w:tcPr>
            <w:tcW w:w="5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4,323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1,502</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4,597</w:t>
            </w:r>
          </w:p>
        </w:tc>
      </w:tr>
    </w:tbl>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488"/>
          </w:cols>
          <w:pgMar w:left="212" w:top="518" w:right="199" w:bottom="1440" w:gutter="0" w:footer="0" w:header="0"/>
        </w:sectPr>
      </w:pPr>
    </w:p>
    <w:bookmarkStart w:id="103" w:name="page104"/>
    <w:bookmarkEnd w:id="103"/>
    <w:p>
      <w:pPr>
        <w:ind w:left="8"/>
        <w:spacing w:after="0"/>
        <w:rPr>
          <w:sz w:val="20"/>
          <w:szCs w:val="20"/>
          <w:color w:val="auto"/>
        </w:rPr>
      </w:pPr>
      <w:r>
        <w:rPr>
          <w:rFonts w:ascii="Arial" w:cs="Arial" w:eastAsia="Arial" w:hAnsi="Arial"/>
          <w:sz w:val="12"/>
          <w:szCs w:val="12"/>
          <w:b w:val="1"/>
          <w:bCs w:val="1"/>
          <w:i w:val="1"/>
          <w:iCs w:val="1"/>
          <w:color w:val="auto"/>
        </w:rPr>
        <w:t>Recurring Fair Value Measurements</w:t>
      </w:r>
    </w:p>
    <w:p>
      <w:pPr>
        <w:spacing w:after="0" w:line="114" w:lineRule="exact"/>
        <w:rPr>
          <w:sz w:val="20"/>
          <w:szCs w:val="20"/>
          <w:color w:val="auto"/>
        </w:rPr>
      </w:pPr>
    </w:p>
    <w:p>
      <w:pPr>
        <w:ind w:left="8" w:firstLine="270"/>
        <w:spacing w:after="0" w:line="276" w:lineRule="auto"/>
        <w:rPr>
          <w:sz w:val="20"/>
          <w:szCs w:val="20"/>
          <w:color w:val="auto"/>
        </w:rPr>
      </w:pPr>
      <w:r>
        <w:rPr>
          <w:rFonts w:ascii="Arial" w:cs="Arial" w:eastAsia="Arial" w:hAnsi="Arial"/>
          <w:sz w:val="12"/>
          <w:szCs w:val="12"/>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240" w:type="dxa"/>
            <w:vAlign w:val="bottom"/>
          </w:tcPr>
          <w:p>
            <w:pPr>
              <w:spacing w:after="0"/>
              <w:rPr>
                <w:sz w:val="11"/>
                <w:szCs w:val="11"/>
                <w:color w:val="auto"/>
              </w:rPr>
            </w:pPr>
          </w:p>
        </w:tc>
        <w:tc>
          <w:tcPr>
            <w:tcW w:w="1680" w:type="dxa"/>
            <w:vAlign w:val="bottom"/>
            <w:tcBorders>
              <w:bottom w:val="single" w:sz="8" w:color="auto"/>
            </w:tcBorders>
          </w:tcPr>
          <w:p>
            <w:pPr>
              <w:jc w:val="center"/>
              <w:ind w:left="325"/>
              <w:spacing w:after="0"/>
              <w:rPr>
                <w:sz w:val="20"/>
                <w:szCs w:val="20"/>
                <w:color w:val="auto"/>
              </w:rPr>
            </w:pPr>
            <w:r>
              <w:rPr>
                <w:rFonts w:ascii="Arial" w:cs="Arial" w:eastAsia="Arial" w:hAnsi="Arial"/>
                <w:sz w:val="10"/>
                <w:szCs w:val="10"/>
                <w:b w:val="1"/>
                <w:bCs w:val="1"/>
                <w:color w:val="auto"/>
                <w:w w:val="86"/>
              </w:rPr>
              <w:t>As of December 31, 2018</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86"/>
              </w:rPr>
              <w:t>As of December 31, 2017</w:t>
            </w:r>
          </w:p>
        </w:tc>
      </w:tr>
      <w:tr>
        <w:trPr>
          <w:trHeight w:val="169"/>
        </w:trPr>
        <w:tc>
          <w:tcPr>
            <w:tcW w:w="7240" w:type="dxa"/>
            <w:vAlign w:val="bottom"/>
          </w:tcPr>
          <w:p>
            <w:pPr>
              <w:spacing w:after="0"/>
              <w:rPr>
                <w:sz w:val="14"/>
                <w:szCs w:val="14"/>
                <w:color w:val="auto"/>
              </w:rPr>
            </w:pPr>
          </w:p>
        </w:tc>
        <w:tc>
          <w:tcPr>
            <w:tcW w:w="1680" w:type="dxa"/>
            <w:vAlign w:val="bottom"/>
            <w:tcBorders>
              <w:bottom w:val="single" w:sz="8" w:color="auto"/>
            </w:tcBorders>
          </w:tcPr>
          <w:p>
            <w:pPr>
              <w:jc w:val="center"/>
              <w:ind w:left="345"/>
              <w:spacing w:after="0"/>
              <w:rPr>
                <w:sz w:val="20"/>
                <w:szCs w:val="20"/>
                <w:color w:val="auto"/>
              </w:rPr>
            </w:pPr>
            <w:r>
              <w:rPr>
                <w:rFonts w:ascii="Arial" w:cs="Arial" w:eastAsia="Arial" w:hAnsi="Arial"/>
                <w:sz w:val="10"/>
                <w:szCs w:val="10"/>
                <w:b w:val="1"/>
                <w:bCs w:val="1"/>
                <w:color w:val="auto"/>
                <w:w w:val="91"/>
              </w:rPr>
              <w:t xml:space="preserve">Fair Value </w:t>
            </w:r>
            <w:r>
              <w:rPr>
                <w:rFonts w:ascii="Arial" w:cs="Arial" w:eastAsia="Arial" w:hAnsi="Arial"/>
                <w:sz w:val="5"/>
                <w:szCs w:val="5"/>
                <w:b w:val="1"/>
                <w:bCs w:val="1"/>
                <w:color w:val="auto"/>
                <w:w w:val="91"/>
              </w:rPr>
              <w:t>(a)</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95"/>
              </w:rPr>
              <w:t xml:space="preserve">Fair Value </w:t>
            </w:r>
            <w:r>
              <w:rPr>
                <w:rFonts w:ascii="Arial" w:cs="Arial" w:eastAsia="Arial" w:hAnsi="Arial"/>
                <w:sz w:val="5"/>
                <w:szCs w:val="5"/>
                <w:b w:val="1"/>
                <w:bCs w:val="1"/>
                <w:color w:val="auto"/>
                <w:w w:val="95"/>
              </w:rPr>
              <w:t>(a)</w:t>
            </w:r>
          </w:p>
        </w:tc>
      </w:tr>
      <w:tr>
        <w:trPr>
          <w:trHeight w:val="16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680" w:type="dxa"/>
            <w:vAlign w:val="bottom"/>
            <w:tcBorders>
              <w:bottom w:val="single" w:sz="8" w:color="auto"/>
            </w:tcBorders>
          </w:tcPr>
          <w:p>
            <w:pPr>
              <w:jc w:val="center"/>
              <w:ind w:left="325"/>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88"/>
              </w:rPr>
              <w:t>Level 2</w:t>
            </w:r>
          </w:p>
        </w:tc>
      </w:tr>
      <w:tr>
        <w:trPr>
          <w:trHeight w:val="173"/>
        </w:trPr>
        <w:tc>
          <w:tcPr>
            <w:tcW w:w="7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assets:</w:t>
            </w:r>
          </w:p>
        </w:tc>
        <w:tc>
          <w:tcPr>
            <w:tcW w:w="1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75"/>
        </w:trPr>
        <w:tc>
          <w:tcPr>
            <w:tcW w:w="7240" w:type="dxa"/>
            <w:vAlign w:val="bottom"/>
          </w:tcPr>
          <w:p>
            <w:pPr>
              <w:ind w:left="240"/>
              <w:spacing w:after="0"/>
              <w:rPr>
                <w:sz w:val="20"/>
                <w:szCs w:val="20"/>
                <w:color w:val="auto"/>
              </w:rPr>
            </w:pPr>
            <w:r>
              <w:rPr>
                <w:rFonts w:ascii="Arial" w:cs="Arial" w:eastAsia="Arial" w:hAnsi="Arial"/>
                <w:sz w:val="12"/>
                <w:szCs w:val="12"/>
                <w:color w:val="auto"/>
              </w:rPr>
              <w:t xml:space="preserve">Commodity contracts </w:t>
            </w:r>
            <w:r>
              <w:rPr>
                <w:rFonts w:ascii="Arial" w:cs="Arial" w:eastAsia="Arial" w:hAnsi="Arial"/>
                <w:sz w:val="12"/>
                <w:szCs w:val="12"/>
                <w:b w:val="1"/>
                <w:bCs w:val="1"/>
                <w:color w:val="auto"/>
                <w:vertAlign w:val="superscript"/>
              </w:rPr>
              <w:t>(b)</w:t>
            </w:r>
          </w:p>
        </w:tc>
        <w:tc>
          <w:tcPr>
            <w:tcW w:w="1680" w:type="dxa"/>
            <w:vAlign w:val="bottom"/>
          </w:tcPr>
          <w:p>
            <w:pPr>
              <w:jc w:val="right"/>
              <w:ind w:right="1545"/>
              <w:spacing w:after="0"/>
              <w:rPr>
                <w:sz w:val="20"/>
                <w:szCs w:val="20"/>
                <w:color w:val="auto"/>
              </w:rPr>
            </w:pPr>
            <w:r>
              <w:rPr>
                <w:rFonts w:ascii="Arial" w:cs="Arial" w:eastAsia="Arial" w:hAnsi="Arial"/>
                <w:sz w:val="12"/>
                <w:szCs w:val="12"/>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60" w:type="dxa"/>
            <w:vAlign w:val="bottom"/>
          </w:tcPr>
          <w:p>
            <w:pPr>
              <w:jc w:val="right"/>
              <w:ind w:right="64"/>
              <w:spacing w:after="0"/>
              <w:rPr>
                <w:sz w:val="20"/>
                <w:szCs w:val="20"/>
                <w:color w:val="auto"/>
              </w:rPr>
            </w:pPr>
            <w:r>
              <w:rPr>
                <w:rFonts w:ascii="Arial" w:cs="Arial" w:eastAsia="Arial" w:hAnsi="Arial"/>
                <w:sz w:val="12"/>
                <w:szCs w:val="12"/>
                <w:color w:val="auto"/>
              </w:rPr>
              <w:t>1</w:t>
            </w:r>
          </w:p>
        </w:tc>
      </w:tr>
      <w:tr>
        <w:trPr>
          <w:trHeight w:val="176"/>
        </w:trPr>
        <w:tc>
          <w:tcPr>
            <w:tcW w:w="7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rate contracts</w:t>
            </w:r>
          </w:p>
        </w:tc>
        <w:tc>
          <w:tcPr>
            <w:tcW w:w="16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w:t>
            </w:r>
          </w:p>
        </w:tc>
      </w:tr>
      <w:tr>
        <w:trPr>
          <w:trHeight w:val="185"/>
        </w:trPr>
        <w:tc>
          <w:tcPr>
            <w:tcW w:w="7240" w:type="dxa"/>
            <w:vAlign w:val="bottom"/>
            <w:tcBorders>
              <w:bottom w:val="single" w:sz="8" w:color="CCEEFF"/>
            </w:tcBorders>
          </w:tcPr>
          <w:p>
            <w:pPr>
              <w:ind w:left="380"/>
              <w:spacing w:after="0"/>
              <w:rPr>
                <w:sz w:val="20"/>
                <w:szCs w:val="20"/>
                <w:color w:val="auto"/>
              </w:rPr>
            </w:pPr>
            <w:r>
              <w:rPr>
                <w:rFonts w:ascii="Arial" w:cs="Arial" w:eastAsia="Arial" w:hAnsi="Arial"/>
                <w:sz w:val="12"/>
                <w:szCs w:val="12"/>
                <w:b w:val="1"/>
                <w:bCs w:val="1"/>
                <w:color w:val="auto"/>
              </w:rPr>
              <w:t>Total assets</w:t>
            </w:r>
          </w:p>
        </w:tc>
        <w:tc>
          <w:tcPr>
            <w:tcW w:w="1680" w:type="dxa"/>
            <w:vAlign w:val="bottom"/>
            <w:tcBorders>
              <w:bottom w:val="single" w:sz="8" w:color="auto"/>
            </w:tcBorders>
          </w:tcPr>
          <w:p>
            <w:pPr>
              <w:jc w:val="right"/>
              <w:ind w:right="1545"/>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w:t>
            </w:r>
          </w:p>
        </w:tc>
      </w:tr>
      <w:tr>
        <w:trPr>
          <w:trHeight w:val="180"/>
        </w:trPr>
        <w:tc>
          <w:tcPr>
            <w:tcW w:w="7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liabilities:</w:t>
            </w:r>
          </w:p>
        </w:tc>
        <w:tc>
          <w:tcPr>
            <w:tcW w:w="1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75"/>
        </w:trPr>
        <w:tc>
          <w:tcPr>
            <w:tcW w:w="7240" w:type="dxa"/>
            <w:vAlign w:val="bottom"/>
          </w:tcPr>
          <w:p>
            <w:pPr>
              <w:ind w:left="240"/>
              <w:spacing w:after="0"/>
              <w:rPr>
                <w:sz w:val="20"/>
                <w:szCs w:val="20"/>
                <w:color w:val="auto"/>
              </w:rPr>
            </w:pPr>
            <w:r>
              <w:rPr>
                <w:rFonts w:ascii="Arial" w:cs="Arial" w:eastAsia="Arial" w:hAnsi="Arial"/>
                <w:sz w:val="12"/>
                <w:szCs w:val="12"/>
                <w:color w:val="auto"/>
              </w:rPr>
              <w:t xml:space="preserve">Commodity contracts </w:t>
            </w:r>
            <w:r>
              <w:rPr>
                <w:rFonts w:ascii="Arial" w:cs="Arial" w:eastAsia="Arial" w:hAnsi="Arial"/>
                <w:sz w:val="12"/>
                <w:szCs w:val="12"/>
                <w:b w:val="1"/>
                <w:bCs w:val="1"/>
                <w:color w:val="auto"/>
                <w:vertAlign w:val="superscript"/>
              </w:rPr>
              <w:t>(b)</w:t>
            </w:r>
          </w:p>
        </w:tc>
        <w:tc>
          <w:tcPr>
            <w:tcW w:w="1680" w:type="dxa"/>
            <w:vAlign w:val="bottom"/>
          </w:tcPr>
          <w:p>
            <w:pPr>
              <w:jc w:val="right"/>
              <w:ind w:right="1545"/>
              <w:spacing w:after="0"/>
              <w:rPr>
                <w:sz w:val="20"/>
                <w:szCs w:val="20"/>
                <w:color w:val="auto"/>
              </w:rPr>
            </w:pPr>
            <w:r>
              <w:rPr>
                <w:rFonts w:ascii="Arial" w:cs="Arial" w:eastAsia="Arial" w:hAnsi="Arial"/>
                <w:sz w:val="12"/>
                <w:szCs w:val="12"/>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60" w:type="dxa"/>
            <w:vAlign w:val="bottom"/>
          </w:tcPr>
          <w:p>
            <w:pPr>
              <w:jc w:val="right"/>
              <w:ind w:right="64"/>
              <w:spacing w:after="0"/>
              <w:rPr>
                <w:sz w:val="20"/>
                <w:szCs w:val="20"/>
                <w:color w:val="auto"/>
              </w:rPr>
            </w:pPr>
            <w:r>
              <w:rPr>
                <w:rFonts w:ascii="Arial" w:cs="Arial" w:eastAsia="Arial" w:hAnsi="Arial"/>
                <w:sz w:val="12"/>
                <w:szCs w:val="12"/>
                <w:color w:val="auto"/>
              </w:rPr>
              <w:t>1</w:t>
            </w:r>
          </w:p>
        </w:tc>
      </w:tr>
      <w:tr>
        <w:trPr>
          <w:trHeight w:val="176"/>
        </w:trPr>
        <w:tc>
          <w:tcPr>
            <w:tcW w:w="7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rate contracts</w:t>
            </w:r>
          </w:p>
        </w:tc>
        <w:tc>
          <w:tcPr>
            <w:tcW w:w="16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21</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48</w:t>
            </w:r>
          </w:p>
        </w:tc>
      </w:tr>
      <w:tr>
        <w:trPr>
          <w:trHeight w:val="185"/>
        </w:trPr>
        <w:tc>
          <w:tcPr>
            <w:tcW w:w="7240" w:type="dxa"/>
            <w:vAlign w:val="bottom"/>
          </w:tcPr>
          <w:p>
            <w:pPr>
              <w:ind w:left="380"/>
              <w:spacing w:after="0"/>
              <w:rPr>
                <w:sz w:val="20"/>
                <w:szCs w:val="20"/>
                <w:color w:val="auto"/>
              </w:rPr>
            </w:pPr>
            <w:r>
              <w:rPr>
                <w:rFonts w:ascii="Arial" w:cs="Arial" w:eastAsia="Arial" w:hAnsi="Arial"/>
                <w:sz w:val="12"/>
                <w:szCs w:val="12"/>
                <w:b w:val="1"/>
                <w:bCs w:val="1"/>
                <w:color w:val="auto"/>
              </w:rPr>
              <w:t>Total liabilities</w:t>
            </w:r>
          </w:p>
        </w:tc>
        <w:tc>
          <w:tcPr>
            <w:tcW w:w="1680" w:type="dxa"/>
            <w:vAlign w:val="bottom"/>
            <w:tcBorders>
              <w:bottom w:val="single" w:sz="8" w:color="auto"/>
            </w:tcBorders>
          </w:tcPr>
          <w:p>
            <w:pPr>
              <w:jc w:val="right"/>
              <w:ind w:right="1545"/>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42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20" w:lineRule="exact"/>
        <w:rPr>
          <w:sz w:val="20"/>
          <w:szCs w:val="20"/>
          <w:color w:val="auto"/>
        </w:rPr>
      </w:pPr>
    </w:p>
    <w:p>
      <w:pPr>
        <w:ind w:left="88" w:hanging="88"/>
        <w:spacing w:after="0"/>
        <w:tabs>
          <w:tab w:leader="none" w:pos="88" w:val="left"/>
        </w:tabs>
        <w:numPr>
          <w:ilvl w:val="0"/>
          <w:numId w:val="46"/>
        </w:numPr>
        <w:rPr>
          <w:rFonts w:ascii="Arial" w:cs="Arial" w:eastAsia="Arial" w:hAnsi="Arial"/>
          <w:sz w:val="6"/>
          <w:szCs w:val="6"/>
          <w:color w:val="auto"/>
        </w:rPr>
      </w:pPr>
      <w:r>
        <w:rPr>
          <w:rFonts w:ascii="Arial" w:cs="Arial" w:eastAsia="Arial" w:hAnsi="Arial"/>
          <w:sz w:val="10"/>
          <w:szCs w:val="10"/>
          <w:color w:val="auto"/>
        </w:rPr>
        <w:t>There were no derivative assets or liabilities classified as Level 1 or 3 as of December 31, 2018 and 2017.</w:t>
      </w:r>
    </w:p>
    <w:p>
      <w:pPr>
        <w:spacing w:after="0" w:line="29" w:lineRule="exact"/>
        <w:rPr>
          <w:rFonts w:ascii="Arial" w:cs="Arial" w:eastAsia="Arial" w:hAnsi="Arial"/>
          <w:sz w:val="6"/>
          <w:szCs w:val="6"/>
          <w:color w:val="auto"/>
        </w:rPr>
      </w:pPr>
    </w:p>
    <w:p>
      <w:pPr>
        <w:ind w:left="88" w:hanging="88"/>
        <w:spacing w:after="0"/>
        <w:tabs>
          <w:tab w:leader="none" w:pos="88" w:val="left"/>
        </w:tabs>
        <w:numPr>
          <w:ilvl w:val="0"/>
          <w:numId w:val="46"/>
        </w:numPr>
        <w:rPr>
          <w:rFonts w:ascii="Arial" w:cs="Arial" w:eastAsia="Arial" w:hAnsi="Arial"/>
          <w:sz w:val="6"/>
          <w:szCs w:val="6"/>
          <w:color w:val="auto"/>
        </w:rPr>
      </w:pPr>
      <w:r>
        <w:rPr>
          <w:rFonts w:ascii="Arial" w:cs="Arial" w:eastAsia="Arial" w:hAnsi="Arial"/>
          <w:sz w:val="10"/>
          <w:szCs w:val="10"/>
          <w:color w:val="auto"/>
        </w:rPr>
        <w:t>The fair value of commodities was not material as of December 31, 2018.</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Derivative Fair Value Measurements</w:t>
      </w:r>
    </w:p>
    <w:p>
      <w:pPr>
        <w:spacing w:after="0" w:line="114"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79" w:lineRule="exact"/>
        <w:rPr>
          <w:sz w:val="20"/>
          <w:szCs w:val="20"/>
          <w:color w:val="auto"/>
        </w:rPr>
      </w:pPr>
    </w:p>
    <w:p>
      <w:pPr>
        <w:jc w:val="both"/>
        <w:ind w:left="8" w:firstLine="270"/>
        <w:spacing w:after="0" w:line="257" w:lineRule="auto"/>
        <w:rPr>
          <w:sz w:val="20"/>
          <w:szCs w:val="20"/>
          <w:color w:val="auto"/>
        </w:rPr>
      </w:pPr>
      <w:r>
        <w:rPr>
          <w:rFonts w:ascii="Arial" w:cs="Arial" w:eastAsia="Arial" w:hAnsi="Arial"/>
          <w:sz w:val="12"/>
          <w:szCs w:val="12"/>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the Company's net exposure under a specific master agreement is an asset, the Company uses the counterparty's default swap rate. If the exposure under a specific master agreement is a liability, the Company uses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2018, the credit reserve was not material. It is possible that future market prices could vary from those used in recording assets and liabilities and such variations could be material.</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96" w:lineRule="exact"/>
        <w:rPr>
          <w:sz w:val="20"/>
          <w:szCs w:val="20"/>
          <w:color w:val="auto"/>
        </w:rPr>
      </w:pPr>
    </w:p>
    <w:p>
      <w:pPr>
        <w:jc w:val="both"/>
        <w:ind w:left="8" w:firstLine="270"/>
        <w:spacing w:after="0" w:line="286" w:lineRule="auto"/>
        <w:rPr>
          <w:sz w:val="20"/>
          <w:szCs w:val="20"/>
          <w:color w:val="auto"/>
        </w:rPr>
      </w:pPr>
      <w:r>
        <w:rPr>
          <w:rFonts w:ascii="Arial" w:cs="Arial" w:eastAsia="Arial" w:hAnsi="Arial"/>
          <w:sz w:val="11"/>
          <w:szCs w:val="11"/>
          <w:color w:val="auto"/>
        </w:rPr>
        <w:t xml:space="preserve">In addition to the credit risk discussion as disclosed in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75" w:lineRule="exact"/>
        <w:rPr>
          <w:sz w:val="20"/>
          <w:szCs w:val="20"/>
          <w:color w:val="auto"/>
        </w:rPr>
      </w:pPr>
    </w:p>
    <w:p>
      <w:pPr>
        <w:jc w:val="both"/>
        <w:ind w:left="8" w:firstLine="270"/>
        <w:spacing w:after="0" w:line="257" w:lineRule="auto"/>
        <w:rPr>
          <w:sz w:val="20"/>
          <w:szCs w:val="20"/>
          <w:color w:val="auto"/>
        </w:rPr>
      </w:pPr>
      <w:r>
        <w:rPr>
          <w:rFonts w:ascii="Arial" w:cs="Arial" w:eastAsia="Arial" w:hAnsi="Arial"/>
          <w:sz w:val="12"/>
          <w:szCs w:val="12"/>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2018, credit risk exposure to these counterparties attributable to the Company's ownership interests was approximately $2.3 billion for the next five years. The majority of these power contracts are with utilities with strong credit quality and public utility commission or other regulatory support</w:t>
      </w:r>
      <w:r>
        <w:rPr>
          <w:rFonts w:ascii="Arial" w:cs="Arial" w:eastAsia="Arial" w:hAnsi="Arial"/>
          <w:sz w:val="12"/>
          <w:szCs w:val="12"/>
          <w:i w:val="1"/>
          <w:iCs w:val="1"/>
          <w:color w:val="auto"/>
        </w:rPr>
        <w:t>.</w:t>
      </w:r>
      <w:r>
        <w:rPr>
          <w:rFonts w:ascii="Arial" w:cs="Arial" w:eastAsia="Arial" w:hAnsi="Arial"/>
          <w:sz w:val="12"/>
          <w:szCs w:val="12"/>
          <w:color w:val="auto"/>
        </w:rPr>
        <w:t xml:space="preserve"> However, such regulated utility counterparties can be impacted by changes in government regulations, which the Company is unable to predict.</w:t>
      </w:r>
    </w:p>
    <w:p>
      <w:pPr>
        <w:spacing w:after="0" w:line="2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488"/>
          </w:cols>
          <w:pgMar w:left="212" w:top="518" w:right="199" w:bottom="1440" w:gutter="0" w:footer="0" w:header="0"/>
        </w:sectPr>
      </w:pPr>
    </w:p>
    <w:bookmarkStart w:id="104" w:name="page105"/>
    <w:bookmarkEnd w:id="104"/>
    <w:p>
      <w:pPr>
        <w:jc w:val="both"/>
        <w:ind w:right="20" w:firstLine="261"/>
        <w:spacing w:after="0" w:line="298" w:lineRule="auto"/>
        <w:rPr>
          <w:sz w:val="20"/>
          <w:szCs w:val="20"/>
          <w:color w:val="auto"/>
        </w:rPr>
      </w:pPr>
      <w:r>
        <w:rPr>
          <w:rFonts w:ascii="Arial" w:cs="Arial" w:eastAsia="Arial" w:hAnsi="Arial"/>
          <w:sz w:val="11"/>
          <w:szCs w:val="11"/>
          <w:color w:val="auto"/>
        </w:rPr>
        <w:t>As previously described, 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$17 million in accounts receivable for its consolidated projects as of December 31, 2018. All of these amounts were collected in January 2019.</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Accounting for Derivative Instruments and Hedging Activities</w:t>
      </w:r>
    </w:p>
    <w:p>
      <w:pPr>
        <w:spacing w:after="0" w:line="118" w:lineRule="exact"/>
        <w:rPr>
          <w:sz w:val="20"/>
          <w:szCs w:val="20"/>
          <w:color w:val="auto"/>
        </w:rPr>
      </w:pPr>
    </w:p>
    <w:p>
      <w:pPr>
        <w:jc w:val="both"/>
        <w:ind w:right="20" w:firstLine="288"/>
        <w:spacing w:after="0" w:line="290" w:lineRule="auto"/>
        <w:rPr>
          <w:sz w:val="20"/>
          <w:szCs w:val="20"/>
          <w:color w:val="auto"/>
        </w:rPr>
      </w:pPr>
      <w:r>
        <w:rPr>
          <w:rFonts w:ascii="Arial" w:cs="Arial" w:eastAsia="Arial" w:hAnsi="Arial"/>
          <w:sz w:val="11"/>
          <w:szCs w:val="11"/>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Energy-Related Commodities</w:t>
      </w:r>
    </w:p>
    <w:p>
      <w:pPr>
        <w:spacing w:after="0" w:line="114"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2018, the Company had forward contracts for the purchase of fuel commodities relating to the forecasted usage of the Company’s district energy centers extending through 2020 and electricity contracts to supply retail power to the Company's district energy centers extending through 2020. At December 31, 2018, these contracts were not designated as cash flow or fair value hedges.</w:t>
      </w:r>
    </w:p>
    <w:p>
      <w:pPr>
        <w:spacing w:after="0" w:line="90"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Also, as of December 31, 2018, the Company had other energy-related contracts that did not meet the definition of a derivative instrument or qualified for the NPNS exception and were therefore exempt from fair value accounting treatment as follows:</w:t>
      </w:r>
    </w:p>
    <w:p>
      <w:pPr>
        <w:spacing w:after="0" w:line="7" w:lineRule="exact"/>
        <w:rPr>
          <w:sz w:val="20"/>
          <w:szCs w:val="20"/>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Power purchase agreements through 2043,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Natural gas transportation contracts through 2028.</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Swaps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is exposed to changes in interest rates through the issuance of variable rate debt. In order to manage interest rate risk, it enters into interest rate swap agreements.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December 31, 2018, the Company had interest rate derivative instruments on non-recourse debt extending through 2041, a portion of which are designated as cash flow hedges.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Volumetric Underlying Derivative Transactions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the net notional volume buy/(sell) of the Company's open derivative transactions broken out by commodity as of December 31, 2018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0"/>
                <w:szCs w:val="10"/>
                <w:b w:val="1"/>
                <w:bCs w:val="1"/>
                <w:color w:val="auto"/>
                <w:w w:val="89"/>
              </w:rPr>
              <w:t>Total Volume</w:t>
            </w:r>
          </w:p>
        </w:tc>
        <w:tc>
          <w:tcPr>
            <w:tcW w:w="1460" w:type="dxa"/>
            <w:vAlign w:val="bottom"/>
            <w:tcBorders>
              <w:bottom w:val="single" w:sz="8" w:color="auto"/>
            </w:tcBorders>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December 31, 2018</w:t>
            </w: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December 31, 2017</w:t>
            </w:r>
          </w:p>
        </w:tc>
      </w:tr>
      <w:tr>
        <w:trPr>
          <w:trHeight w:val="137"/>
        </w:trPr>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Commodity</w:t>
            </w:r>
          </w:p>
        </w:tc>
        <w:tc>
          <w:tcPr>
            <w:tcW w:w="2320" w:type="dxa"/>
            <w:vAlign w:val="bottom"/>
            <w:gridSpan w:val="2"/>
          </w:tcPr>
          <w:p>
            <w:pPr>
              <w:spacing w:after="0"/>
              <w:rPr>
                <w:sz w:val="20"/>
                <w:szCs w:val="20"/>
                <w:color w:val="auto"/>
              </w:rPr>
            </w:pPr>
            <w:r>
              <w:rPr>
                <w:rFonts w:ascii="Arial" w:cs="Arial" w:eastAsia="Arial" w:hAnsi="Arial"/>
                <w:sz w:val="10"/>
                <w:szCs w:val="10"/>
                <w:b w:val="1"/>
                <w:bCs w:val="1"/>
                <w:color w:val="auto"/>
              </w:rPr>
              <w:t>Units</w:t>
            </w:r>
          </w:p>
        </w:tc>
        <w:tc>
          <w:tcPr>
            <w:tcW w:w="39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gridSpan w:val="2"/>
          </w:tcPr>
          <w:p>
            <w:pPr>
              <w:jc w:val="center"/>
              <w:ind w:left="46"/>
              <w:spacing w:after="0"/>
              <w:rPr>
                <w:sz w:val="20"/>
                <w:szCs w:val="20"/>
                <w:color w:val="auto"/>
              </w:rPr>
            </w:pPr>
            <w:r>
              <w:rPr>
                <w:rFonts w:ascii="Arial" w:cs="Arial" w:eastAsia="Arial" w:hAnsi="Arial"/>
                <w:sz w:val="10"/>
                <w:szCs w:val="10"/>
                <w:b w:val="1"/>
                <w:bCs w:val="1"/>
                <w:color w:val="auto"/>
                <w:w w:val="92"/>
              </w:rPr>
              <w:t>(In millions)</w:t>
            </w:r>
          </w:p>
        </w:tc>
        <w:tc>
          <w:tcPr>
            <w:tcW w:w="1460" w:type="dxa"/>
            <w:vAlign w:val="bottom"/>
          </w:tcPr>
          <w:p>
            <w:pPr>
              <w:spacing w:after="0"/>
              <w:rPr>
                <w:sz w:val="11"/>
                <w:szCs w:val="1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0"/>
        </w:trPr>
        <w:tc>
          <w:tcPr>
            <w:tcW w:w="14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Natural Gas</w:t>
            </w:r>
          </w:p>
        </w:tc>
        <w:tc>
          <w:tcPr>
            <w:tcW w:w="2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MMBtu</w:t>
            </w:r>
          </w:p>
        </w:tc>
        <w:tc>
          <w:tcPr>
            <w:tcW w:w="39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w:t>
            </w:r>
          </w:p>
        </w:tc>
      </w:tr>
      <w:tr>
        <w:trPr>
          <w:trHeight w:val="162"/>
        </w:trPr>
        <w:tc>
          <w:tcPr>
            <w:tcW w:w="1400" w:type="dxa"/>
            <w:vAlign w:val="bottom"/>
            <w:gridSpan w:val="3"/>
          </w:tcPr>
          <w:p>
            <w:pPr>
              <w:ind w:left="20"/>
              <w:spacing w:after="0"/>
              <w:rPr>
                <w:sz w:val="20"/>
                <w:szCs w:val="20"/>
                <w:color w:val="auto"/>
              </w:rPr>
            </w:pPr>
            <w:r>
              <w:rPr>
                <w:rFonts w:ascii="Arial" w:cs="Arial" w:eastAsia="Arial" w:hAnsi="Arial"/>
                <w:sz w:val="12"/>
                <w:szCs w:val="12"/>
                <w:color w:val="auto"/>
              </w:rPr>
              <w:t>Interest</w:t>
            </w:r>
          </w:p>
        </w:tc>
        <w:tc>
          <w:tcPr>
            <w:tcW w:w="2320" w:type="dxa"/>
            <w:vAlign w:val="bottom"/>
            <w:gridSpan w:val="2"/>
          </w:tcPr>
          <w:p>
            <w:pPr>
              <w:spacing w:after="0"/>
              <w:rPr>
                <w:sz w:val="20"/>
                <w:szCs w:val="20"/>
                <w:color w:val="auto"/>
              </w:rPr>
            </w:pPr>
            <w:r>
              <w:rPr>
                <w:rFonts w:ascii="Arial" w:cs="Arial" w:eastAsia="Arial" w:hAnsi="Arial"/>
                <w:sz w:val="12"/>
                <w:szCs w:val="12"/>
                <w:color w:val="auto"/>
              </w:rPr>
              <w:t>Dollars</w:t>
            </w:r>
          </w:p>
        </w:tc>
        <w:tc>
          <w:tcPr>
            <w:tcW w:w="5360" w:type="dxa"/>
            <w:vAlign w:val="bottom"/>
            <w:gridSpan w:val="2"/>
          </w:tcPr>
          <w:p>
            <w:pPr>
              <w:jc w:val="right"/>
              <w:ind w:right="1252"/>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6"/>
              <w:spacing w:after="0"/>
              <w:rPr>
                <w:sz w:val="20"/>
                <w:szCs w:val="20"/>
                <w:color w:val="auto"/>
              </w:rPr>
            </w:pPr>
            <w:r>
              <w:rPr>
                <w:rFonts w:ascii="Arial" w:cs="Arial" w:eastAsia="Arial" w:hAnsi="Arial"/>
                <w:sz w:val="12"/>
                <w:szCs w:val="12"/>
                <w:color w:val="auto"/>
              </w:rPr>
              <w:t>1,862</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64"/>
              <w:spacing w:after="0"/>
              <w:rPr>
                <w:sz w:val="20"/>
                <w:szCs w:val="20"/>
                <w:color w:val="auto"/>
              </w:rPr>
            </w:pPr>
            <w:r>
              <w:rPr>
                <w:rFonts w:ascii="Arial" w:cs="Arial" w:eastAsia="Arial" w:hAnsi="Arial"/>
                <w:sz w:val="12"/>
                <w:szCs w:val="12"/>
                <w:color w:val="auto"/>
              </w:rPr>
              <w:t>2,050</w:t>
            </w: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80" w:type="dxa"/>
            <w:vAlign w:val="bottom"/>
          </w:tcPr>
          <w:p>
            <w:pPr>
              <w:jc w:val="right"/>
              <w:ind w:right="1820"/>
              <w:spacing w:after="0"/>
              <w:rPr>
                <w:sz w:val="20"/>
                <w:szCs w:val="20"/>
                <w:color w:val="auto"/>
              </w:rPr>
            </w:pPr>
            <w:r>
              <w:rPr>
                <w:rFonts w:ascii="Arial" w:cs="Arial" w:eastAsia="Arial" w:hAnsi="Arial"/>
                <w:sz w:val="12"/>
                <w:szCs w:val="12"/>
                <w:color w:val="auto"/>
              </w:rPr>
              <w:t>105</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80"/>
          </w:cols>
          <w:pgMar w:left="220" w:top="518" w:right="199" w:bottom="1440" w:gutter="0" w:footer="0" w:header="0"/>
        </w:sectPr>
      </w:pPr>
    </w:p>
    <w:bookmarkStart w:id="105" w:name="page106"/>
    <w:bookmarkEnd w:id="105"/>
    <w:p>
      <w:pPr>
        <w:ind w:left="8"/>
        <w:spacing w:after="0"/>
        <w:rPr>
          <w:sz w:val="20"/>
          <w:szCs w:val="20"/>
          <w:color w:val="auto"/>
        </w:rPr>
      </w:pPr>
      <w:r>
        <w:rPr>
          <w:rFonts w:ascii="Arial" w:cs="Arial" w:eastAsia="Arial" w:hAnsi="Arial"/>
          <w:sz w:val="12"/>
          <w:szCs w:val="12"/>
          <w:b w:val="1"/>
          <w:bCs w:val="1"/>
          <w:color w:val="auto"/>
        </w:rPr>
        <w:t>Fair Value of Derivative Instruments</w:t>
      </w:r>
    </w:p>
    <w:p>
      <w:pPr>
        <w:spacing w:after="0" w:line="100"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summarizes the fair value within the derivative instrument valuation on the balance sheet:</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1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Fair Value</w:t>
            </w: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69"/>
        </w:trPr>
        <w:tc>
          <w:tcPr>
            <w:tcW w:w="5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 xml:space="preserve">Derivative Assets </w:t>
            </w:r>
            <w:r>
              <w:rPr>
                <w:rFonts w:ascii="Arial" w:cs="Arial" w:eastAsia="Arial" w:hAnsi="Arial"/>
                <w:sz w:val="5"/>
                <w:szCs w:val="5"/>
                <w:b w:val="1"/>
                <w:bCs w:val="1"/>
                <w:color w:val="auto"/>
                <w:w w:val="86"/>
              </w:rPr>
              <w:t>(a)</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0"/>
                <w:szCs w:val="10"/>
                <w:b w:val="1"/>
                <w:bCs w:val="1"/>
                <w:color w:val="auto"/>
              </w:rPr>
              <w:t>Derivative Liabilities</w:t>
            </w:r>
          </w:p>
        </w:tc>
      </w:tr>
      <w:tr>
        <w:trPr>
          <w:trHeight w:val="169"/>
        </w:trPr>
        <w:tc>
          <w:tcPr>
            <w:tcW w:w="5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w w:val="97"/>
              </w:rPr>
              <w:t>December 31, 2017</w:t>
            </w:r>
          </w:p>
        </w:tc>
      </w:tr>
      <w:tr>
        <w:trPr>
          <w:trHeight w:val="160"/>
        </w:trPr>
        <w:tc>
          <w:tcPr>
            <w:tcW w:w="5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(In millions)</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4"/>
        </w:trPr>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Derivatives Designated as Cash Flow Hedges:</w:t>
            </w: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5160" w:type="dxa"/>
            <w:vAlign w:val="bottom"/>
          </w:tcPr>
          <w:p>
            <w:pPr>
              <w:ind w:left="100"/>
              <w:spacing w:after="0"/>
              <w:rPr>
                <w:sz w:val="20"/>
                <w:szCs w:val="20"/>
                <w:color w:val="auto"/>
              </w:rPr>
            </w:pPr>
            <w:r>
              <w:rPr>
                <w:rFonts w:ascii="Arial" w:cs="Arial" w:eastAsia="Arial" w:hAnsi="Arial"/>
                <w:sz w:val="12"/>
                <w:szCs w:val="12"/>
                <w:color w:val="auto"/>
              </w:rPr>
              <w:t>Interest rate contracts current</w:t>
            </w:r>
          </w:p>
        </w:tc>
        <w:tc>
          <w:tcPr>
            <w:tcW w:w="1160" w:type="dxa"/>
            <w:vAlign w:val="bottom"/>
          </w:tcPr>
          <w:p>
            <w:pPr>
              <w:jc w:val="right"/>
              <w:ind w:right="1024"/>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4</w:t>
            </w:r>
          </w:p>
        </w:tc>
      </w:tr>
      <w:tr>
        <w:trPr>
          <w:trHeight w:val="189"/>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contracts long-term</w:t>
            </w:r>
          </w:p>
        </w:tc>
        <w:tc>
          <w:tcPr>
            <w:tcW w:w="11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r>
      <w:tr>
        <w:trPr>
          <w:trHeight w:val="16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Derivatives Designated as Cash Flow Hedges</w:t>
            </w:r>
          </w:p>
        </w:tc>
        <w:tc>
          <w:tcPr>
            <w:tcW w:w="1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r>
      <w:tr>
        <w:trPr>
          <w:trHeight w:val="178"/>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Derivatives Not Designated as Cash Flow Hedges:</w:t>
            </w: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1"/>
        </w:trPr>
        <w:tc>
          <w:tcPr>
            <w:tcW w:w="5160" w:type="dxa"/>
            <w:vAlign w:val="bottom"/>
          </w:tcPr>
          <w:p>
            <w:pPr>
              <w:ind w:left="100"/>
              <w:spacing w:after="0"/>
              <w:rPr>
                <w:sz w:val="20"/>
                <w:szCs w:val="20"/>
                <w:color w:val="auto"/>
              </w:rPr>
            </w:pPr>
            <w:r>
              <w:rPr>
                <w:rFonts w:ascii="Arial" w:cs="Arial" w:eastAsia="Arial" w:hAnsi="Arial"/>
                <w:sz w:val="12"/>
                <w:szCs w:val="12"/>
                <w:color w:val="auto"/>
              </w:rPr>
              <w:t>Interest rate contracts current</w:t>
            </w:r>
          </w:p>
        </w:tc>
        <w:tc>
          <w:tcPr>
            <w:tcW w:w="1160" w:type="dxa"/>
            <w:vAlign w:val="bottom"/>
          </w:tcPr>
          <w:p>
            <w:pPr>
              <w:spacing w:after="0"/>
              <w:rPr>
                <w:sz w:val="14"/>
                <w:szCs w:val="14"/>
                <w:color w:val="auto"/>
              </w:rPr>
            </w:pPr>
          </w:p>
        </w:tc>
        <w:tc>
          <w:tcPr>
            <w:tcW w:w="3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13</w:t>
            </w:r>
          </w:p>
        </w:tc>
      </w:tr>
      <w:tr>
        <w:trPr>
          <w:trHeight w:val="189"/>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contracts long-term</w:t>
            </w: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w:t>
            </w:r>
          </w:p>
        </w:tc>
      </w:tr>
      <w:tr>
        <w:trPr>
          <w:trHeight w:val="175"/>
        </w:trPr>
        <w:tc>
          <w:tcPr>
            <w:tcW w:w="5160" w:type="dxa"/>
            <w:vAlign w:val="bottom"/>
          </w:tcPr>
          <w:p>
            <w:pPr>
              <w:ind w:left="100"/>
              <w:spacing w:after="0"/>
              <w:rPr>
                <w:sz w:val="20"/>
                <w:szCs w:val="20"/>
                <w:color w:val="auto"/>
              </w:rPr>
            </w:pPr>
            <w:r>
              <w:rPr>
                <w:rFonts w:ascii="Arial" w:cs="Arial" w:eastAsia="Arial" w:hAnsi="Arial"/>
                <w:sz w:val="12"/>
                <w:szCs w:val="12"/>
                <w:color w:val="auto"/>
              </w:rPr>
              <w:t xml:space="preserve">Commodity contracts current </w:t>
            </w:r>
            <w:r>
              <w:rPr>
                <w:rFonts w:ascii="Arial" w:cs="Arial" w:eastAsia="Arial" w:hAnsi="Arial"/>
                <w:sz w:val="12"/>
                <w:szCs w:val="12"/>
                <w:color w:val="auto"/>
                <w:vertAlign w:val="superscript"/>
              </w:rPr>
              <w:t>(b)</w:t>
            </w:r>
          </w:p>
        </w:tc>
        <w:tc>
          <w:tcPr>
            <w:tcW w:w="116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1140" w:type="dxa"/>
            <w:vAlign w:val="bottom"/>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1</w:t>
            </w:r>
          </w:p>
        </w:tc>
      </w:tr>
      <w:tr>
        <w:trPr>
          <w:trHeight w:val="165"/>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Derivatives Not Designated as Cash Flow Hedges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36</w:t>
            </w:r>
          </w:p>
        </w:tc>
      </w:tr>
      <w:tr>
        <w:trPr>
          <w:trHeight w:val="185"/>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Total Derivatives</w:t>
            </w:r>
          </w:p>
        </w:tc>
        <w:tc>
          <w:tcPr>
            <w:tcW w:w="1160" w:type="dxa"/>
            <w:vAlign w:val="bottom"/>
            <w:tcBorders>
              <w:bottom w:val="single" w:sz="8" w:color="auto"/>
            </w:tcBorders>
          </w:tcPr>
          <w:p>
            <w:pPr>
              <w:jc w:val="right"/>
              <w:ind w:right="102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w:t>
            </w:r>
          </w:p>
        </w:tc>
      </w:tr>
    </w:tbl>
    <w:p>
      <w:pPr>
        <w:spacing w:after="0" w:line="168" w:lineRule="exact"/>
        <w:rPr>
          <w:sz w:val="20"/>
          <w:szCs w:val="20"/>
          <w:color w:val="auto"/>
        </w:rPr>
      </w:pPr>
    </w:p>
    <w:p>
      <w:pPr>
        <w:ind w:left="88" w:hanging="88"/>
        <w:spacing w:after="0"/>
        <w:tabs>
          <w:tab w:leader="none" w:pos="88" w:val="left"/>
        </w:tabs>
        <w:numPr>
          <w:ilvl w:val="0"/>
          <w:numId w:val="48"/>
        </w:numPr>
        <w:rPr>
          <w:rFonts w:ascii="Arial" w:cs="Arial" w:eastAsia="Arial" w:hAnsi="Arial"/>
          <w:sz w:val="6"/>
          <w:szCs w:val="6"/>
          <w:color w:val="auto"/>
        </w:rPr>
      </w:pPr>
      <w:r>
        <w:rPr>
          <w:rFonts w:ascii="Arial" w:cs="Arial" w:eastAsia="Arial" w:hAnsi="Arial"/>
          <w:sz w:val="10"/>
          <w:szCs w:val="10"/>
          <w:color w:val="auto"/>
        </w:rPr>
        <w:t>Derivative Asset balances classified as current are included within the prepayments and other current assets line item of the Consolidated Balance Sheet.</w:t>
      </w:r>
    </w:p>
    <w:p>
      <w:pPr>
        <w:spacing w:after="0" w:line="29" w:lineRule="exact"/>
        <w:rPr>
          <w:rFonts w:ascii="Arial" w:cs="Arial" w:eastAsia="Arial" w:hAnsi="Arial"/>
          <w:sz w:val="6"/>
          <w:szCs w:val="6"/>
          <w:color w:val="auto"/>
        </w:rPr>
      </w:pPr>
    </w:p>
    <w:p>
      <w:pPr>
        <w:ind w:left="88" w:hanging="88"/>
        <w:spacing w:after="0"/>
        <w:tabs>
          <w:tab w:leader="none" w:pos="88" w:val="left"/>
        </w:tabs>
        <w:numPr>
          <w:ilvl w:val="0"/>
          <w:numId w:val="48"/>
        </w:numPr>
        <w:rPr>
          <w:rFonts w:ascii="Arial" w:cs="Arial" w:eastAsia="Arial" w:hAnsi="Arial"/>
          <w:sz w:val="6"/>
          <w:szCs w:val="6"/>
          <w:color w:val="auto"/>
        </w:rPr>
      </w:pPr>
      <w:r>
        <w:rPr>
          <w:rFonts w:ascii="Arial" w:cs="Arial" w:eastAsia="Arial" w:hAnsi="Arial"/>
          <w:sz w:val="10"/>
          <w:szCs w:val="10"/>
          <w:color w:val="auto"/>
        </w:rPr>
        <w:t>The fair value of commodities was not material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14243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85" w:lineRule="exact"/>
        <w:rPr>
          <w:sz w:val="20"/>
          <w:szCs w:val="20"/>
          <w:color w:val="auto"/>
        </w:rPr>
      </w:pPr>
    </w:p>
    <w:p>
      <w:pPr>
        <w:ind w:left="8" w:right="20" w:firstLine="270"/>
        <w:spacing w:after="0" w:line="323" w:lineRule="auto"/>
        <w:rPr>
          <w:sz w:val="20"/>
          <w:szCs w:val="20"/>
          <w:color w:val="auto"/>
        </w:rPr>
      </w:pPr>
      <w:r>
        <w:rPr>
          <w:rFonts w:ascii="Arial" w:cs="Arial" w:eastAsia="Arial" w:hAnsi="Arial"/>
          <w:sz w:val="11"/>
          <w:szCs w:val="11"/>
          <w:color w:val="auto"/>
        </w:rPr>
        <w:t>The Company has elected to present derivative assets and liabilities on the balance sheet on a trade-by-trade basis and does not offset amounts at the counterparty master agreement level. As of December 31, 2018 and 2017, there was no outstanding collateral paid or received. As of December 31, 2018, the commodity balances were not material. The following tables summarize the offsetting of derivatives by counterparty master agreement level:</w:t>
      </w:r>
    </w:p>
    <w:p>
      <w:pPr>
        <w:spacing w:after="0" w:line="203"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5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gridSpan w:val="6"/>
          </w:tcPr>
          <w:p>
            <w:pPr>
              <w:jc w:val="center"/>
              <w:ind w:left="1124"/>
              <w:spacing w:after="0"/>
              <w:rPr>
                <w:sz w:val="20"/>
                <w:szCs w:val="20"/>
                <w:color w:val="auto"/>
              </w:rPr>
            </w:pPr>
            <w:r>
              <w:rPr>
                <w:rFonts w:ascii="Arial" w:cs="Arial" w:eastAsia="Arial" w:hAnsi="Arial"/>
                <w:sz w:val="10"/>
                <w:szCs w:val="10"/>
                <w:b w:val="1"/>
                <w:bCs w:val="1"/>
                <w:color w:val="auto"/>
                <w:w w:val="85"/>
              </w:rPr>
              <w:t>Gross Amounts Not Offset in the Statement of Financial Position</w:t>
            </w: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 December 31, 2018</w:t>
            </w: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gridSpan w:val="2"/>
          </w:tcPr>
          <w:p>
            <w:pPr>
              <w:jc w:val="center"/>
              <w:ind w:right="320"/>
              <w:spacing w:after="0" w:line="96" w:lineRule="exact"/>
              <w:rPr>
                <w:sz w:val="20"/>
                <w:szCs w:val="20"/>
                <w:color w:val="auto"/>
              </w:rPr>
            </w:pPr>
            <w:r>
              <w:rPr>
                <w:rFonts w:ascii="Arial" w:cs="Arial" w:eastAsia="Arial" w:hAnsi="Arial"/>
                <w:sz w:val="10"/>
                <w:szCs w:val="10"/>
                <w:b w:val="1"/>
                <w:bCs w:val="1"/>
                <w:color w:val="auto"/>
                <w:w w:val="84"/>
              </w:rPr>
              <w:t>Gross Amounts of Recognized</w:t>
            </w: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56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3"/>
              </w:rPr>
              <w:t>Assets/Liabilities</w:t>
            </w:r>
          </w:p>
        </w:tc>
        <w:tc>
          <w:tcPr>
            <w:tcW w:w="260" w:type="dxa"/>
            <w:vAlign w:val="bottom"/>
          </w:tcPr>
          <w:p>
            <w:pPr>
              <w:spacing w:after="0"/>
              <w:rPr>
                <w:sz w:val="10"/>
                <w:szCs w:val="10"/>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8"/>
              </w:rPr>
              <w:t>Derivative Instruments</w:t>
            </w:r>
          </w:p>
        </w:tc>
        <w:tc>
          <w:tcPr>
            <w:tcW w:w="460" w:type="dxa"/>
            <w:vAlign w:val="bottom"/>
          </w:tcPr>
          <w:p>
            <w:pPr>
              <w:spacing w:after="0"/>
              <w:rPr>
                <w:sz w:val="10"/>
                <w:szCs w:val="10"/>
                <w:color w:val="auto"/>
              </w:rPr>
            </w:pPr>
          </w:p>
        </w:tc>
        <w:tc>
          <w:tcPr>
            <w:tcW w:w="1360" w:type="dxa"/>
            <w:vAlign w:val="bottom"/>
          </w:tcPr>
          <w:p>
            <w:pPr>
              <w:jc w:val="right"/>
              <w:ind w:right="602"/>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rPr>
                <w:sz w:val="20"/>
                <w:szCs w:val="20"/>
                <w:color w:val="auto"/>
              </w:rPr>
            </w:pPr>
            <w:r>
              <w:rPr>
                <w:rFonts w:ascii="Arial" w:cs="Arial" w:eastAsia="Arial" w:hAnsi="Arial"/>
                <w:sz w:val="12"/>
                <w:szCs w:val="12"/>
                <w:b w:val="1"/>
                <w:bCs w:val="1"/>
                <w:color w:val="auto"/>
              </w:rPr>
              <w:t>Interest rate contracts:</w:t>
            </w:r>
          </w:p>
        </w:tc>
        <w:tc>
          <w:tcPr>
            <w:tcW w:w="2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interest rate contracts</w:t>
            </w:r>
          </w:p>
        </w:tc>
        <w:tc>
          <w:tcPr>
            <w:tcW w:w="2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Arial" w:cs="Arial" w:eastAsia="Arial" w:hAnsi="Arial"/>
                <w:sz w:val="12"/>
                <w:szCs w:val="12"/>
                <w:b w:val="1"/>
                <w:bCs w:val="1"/>
                <w:color w:val="auto"/>
              </w:rPr>
              <w:t>Total derivative instruments</w:t>
            </w:r>
          </w:p>
        </w:tc>
        <w:tc>
          <w:tcPr>
            <w:tcW w:w="2180" w:type="dxa"/>
            <w:vAlign w:val="bottom"/>
          </w:tcPr>
          <w:p>
            <w:pPr>
              <w:spacing w:after="0"/>
              <w:rPr>
                <w:sz w:val="17"/>
                <w:szCs w:val="17"/>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55"/>
        </w:trPr>
        <w:tc>
          <w:tcPr>
            <w:tcW w:w="3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6"/>
          </w:tcPr>
          <w:p>
            <w:pPr>
              <w:jc w:val="center"/>
              <w:ind w:left="1124"/>
              <w:spacing w:after="0"/>
              <w:rPr>
                <w:sz w:val="20"/>
                <w:szCs w:val="20"/>
                <w:color w:val="auto"/>
              </w:rPr>
            </w:pPr>
            <w:r>
              <w:rPr>
                <w:rFonts w:ascii="Arial" w:cs="Arial" w:eastAsia="Arial" w:hAnsi="Arial"/>
                <w:sz w:val="10"/>
                <w:szCs w:val="10"/>
                <w:b w:val="1"/>
                <w:bCs w:val="1"/>
                <w:color w:val="auto"/>
                <w:w w:val="85"/>
              </w:rPr>
              <w:t>Gross Amounts Not Offset in the Statement of Financial Position</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3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 December 31, 2017</w:t>
            </w: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gridSpan w:val="2"/>
          </w:tcPr>
          <w:p>
            <w:pPr>
              <w:jc w:val="center"/>
              <w:ind w:right="320"/>
              <w:spacing w:after="0" w:line="96" w:lineRule="exact"/>
              <w:rPr>
                <w:sz w:val="20"/>
                <w:szCs w:val="20"/>
                <w:color w:val="auto"/>
              </w:rPr>
            </w:pPr>
            <w:r>
              <w:rPr>
                <w:rFonts w:ascii="Arial" w:cs="Arial" w:eastAsia="Arial" w:hAnsi="Arial"/>
                <w:sz w:val="10"/>
                <w:szCs w:val="10"/>
                <w:b w:val="1"/>
                <w:bCs w:val="1"/>
                <w:color w:val="auto"/>
                <w:w w:val="84"/>
              </w:rPr>
              <w:t>Gross Amounts of Recognized</w:t>
            </w: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56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3"/>
              </w:rPr>
              <w:t>Assets/Liabilities</w:t>
            </w:r>
          </w:p>
        </w:tc>
        <w:tc>
          <w:tcPr>
            <w:tcW w:w="2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8"/>
              </w:rPr>
              <w:t>Derivative Instruments</w:t>
            </w:r>
          </w:p>
        </w:tc>
        <w:tc>
          <w:tcPr>
            <w:tcW w:w="4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64"/>
        </w:trPr>
        <w:tc>
          <w:tcPr>
            <w:tcW w:w="3560" w:type="dxa"/>
            <w:vAlign w:val="bottom"/>
          </w:tcPr>
          <w:p>
            <w:pPr>
              <w:ind w:left="20"/>
              <w:spacing w:after="0"/>
              <w:rPr>
                <w:sz w:val="20"/>
                <w:szCs w:val="20"/>
                <w:color w:val="auto"/>
              </w:rPr>
            </w:pPr>
            <w:r>
              <w:rPr>
                <w:rFonts w:ascii="Arial" w:cs="Arial" w:eastAsia="Arial" w:hAnsi="Arial"/>
                <w:sz w:val="12"/>
                <w:szCs w:val="12"/>
                <w:b w:val="1"/>
                <w:bCs w:val="1"/>
                <w:color w:val="auto"/>
              </w:rPr>
              <w:t>Commodity contracts:</w:t>
            </w: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(In millions)</w:t>
            </w: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8"/>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commodity contracts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3560" w:type="dxa"/>
            <w:vAlign w:val="bottom"/>
          </w:tcPr>
          <w:p>
            <w:pPr>
              <w:ind w:left="20"/>
              <w:spacing w:after="0"/>
              <w:rPr>
                <w:sz w:val="20"/>
                <w:szCs w:val="20"/>
                <w:color w:val="auto"/>
              </w:rPr>
            </w:pPr>
            <w:r>
              <w:rPr>
                <w:rFonts w:ascii="Arial" w:cs="Arial" w:eastAsia="Arial" w:hAnsi="Arial"/>
                <w:sz w:val="12"/>
                <w:szCs w:val="12"/>
                <w:b w:val="1"/>
                <w:bCs w:val="1"/>
                <w:color w:val="auto"/>
              </w:rPr>
              <w:t>Interest rate contracts:</w:t>
            </w:r>
          </w:p>
        </w:tc>
        <w:tc>
          <w:tcPr>
            <w:tcW w:w="2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interest rate contracts</w:t>
            </w:r>
          </w:p>
        </w:tc>
        <w:tc>
          <w:tcPr>
            <w:tcW w:w="2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Arial" w:cs="Arial" w:eastAsia="Arial" w:hAnsi="Arial"/>
                <w:sz w:val="12"/>
                <w:szCs w:val="12"/>
                <w:b w:val="1"/>
                <w:bCs w:val="1"/>
                <w:color w:val="auto"/>
              </w:rPr>
              <w:t>Total derivative instruments</w:t>
            </w:r>
          </w:p>
        </w:tc>
        <w:tc>
          <w:tcPr>
            <w:tcW w:w="2180" w:type="dxa"/>
            <w:vAlign w:val="bottom"/>
          </w:tcPr>
          <w:p>
            <w:pPr>
              <w:spacing w:after="0"/>
              <w:rPr>
                <w:sz w:val="17"/>
                <w:szCs w:val="17"/>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331"/>
        </w:trPr>
        <w:tc>
          <w:tcPr>
            <w:tcW w:w="3560" w:type="dxa"/>
            <w:vAlign w:val="bottom"/>
          </w:tcPr>
          <w:p>
            <w:pPr>
              <w:spacing w:after="0"/>
              <w:rPr>
                <w:sz w:val="24"/>
                <w:szCs w:val="24"/>
                <w:color w:val="auto"/>
              </w:rPr>
            </w:pPr>
          </w:p>
        </w:tc>
        <w:tc>
          <w:tcPr>
            <w:tcW w:w="2380" w:type="dxa"/>
            <w:vAlign w:val="bottom"/>
            <w:gridSpan w:val="2"/>
          </w:tcPr>
          <w:p>
            <w:pPr>
              <w:jc w:val="right"/>
              <w:ind w:right="60"/>
              <w:spacing w:after="0"/>
              <w:rPr>
                <w:sz w:val="20"/>
                <w:szCs w:val="20"/>
                <w:color w:val="auto"/>
              </w:rPr>
            </w:pPr>
            <w:r>
              <w:rPr>
                <w:rFonts w:ascii="Arial" w:cs="Arial" w:eastAsia="Arial" w:hAnsi="Arial"/>
                <w:sz w:val="12"/>
                <w:szCs w:val="12"/>
                <w:color w:val="auto"/>
              </w:rPr>
              <w:t>106</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514" w:right="19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b w:val="1"/>
          <w:bCs w:val="1"/>
          <w:i w:val="1"/>
          <w:iCs w:val="1"/>
          <w:color w:val="auto"/>
        </w:rPr>
        <w:t>Accumulated Other Comprehensive Loss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the effects on the Company’s accumulated OCL balance attributable to interest rate swaps designated as cash flow hedge derivatives, net of tax: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5"/>
              </w:rPr>
              <w:t>Year ended December 31,</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69"/>
        </w:trPr>
        <w:tc>
          <w:tcPr>
            <w:tcW w:w="7780" w:type="dxa"/>
            <w:vAlign w:val="bottom"/>
          </w:tcPr>
          <w:p>
            <w:pPr>
              <w:spacing w:after="0"/>
              <w:rPr>
                <w:sz w:val="14"/>
                <w:szCs w:val="14"/>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2018</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80"/>
              </w:rPr>
              <w:t>2017</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2016</w:t>
            </w:r>
          </w:p>
        </w:tc>
      </w:tr>
      <w:tr>
        <w:trPr>
          <w:trHeight w:val="160"/>
        </w:trPr>
        <w:tc>
          <w:tcPr>
            <w:tcW w:w="77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(In millions)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7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OCL beginning balance</w:t>
            </w: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w:t>
            </w:r>
          </w:p>
        </w:tc>
      </w:tr>
      <w:tr>
        <w:trPr>
          <w:trHeight w:val="171"/>
        </w:trPr>
        <w:tc>
          <w:tcPr>
            <w:tcW w:w="7780" w:type="dxa"/>
            <w:vAlign w:val="bottom"/>
          </w:tcPr>
          <w:p>
            <w:pPr>
              <w:ind w:left="120"/>
              <w:spacing w:after="0"/>
              <w:rPr>
                <w:sz w:val="20"/>
                <w:szCs w:val="20"/>
                <w:color w:val="auto"/>
              </w:rPr>
            </w:pPr>
            <w:r>
              <w:rPr>
                <w:rFonts w:ascii="Arial" w:cs="Arial" w:eastAsia="Arial" w:hAnsi="Arial"/>
                <w:sz w:val="12"/>
                <w:szCs w:val="12"/>
                <w:color w:val="auto"/>
              </w:rPr>
              <w:t>Reclassified from accumulated OCL to income due to realization of previously deferred amounts</w:t>
            </w:r>
          </w:p>
        </w:tc>
        <w:tc>
          <w:tcPr>
            <w:tcW w:w="78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13</w:t>
            </w:r>
          </w:p>
        </w:tc>
      </w:tr>
      <w:tr>
        <w:trPr>
          <w:trHeight w:val="180"/>
        </w:trPr>
        <w:tc>
          <w:tcPr>
            <w:tcW w:w="7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Mark-to-market of cash flow hedge accounting contracts</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8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OCL ending balance, net of income tax benefit of $7, $9 and $16, respectively</w:t>
            </w:r>
          </w:p>
        </w:tc>
        <w:tc>
          <w:tcPr>
            <w:tcW w:w="7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2"/>
                <w:szCs w:val="12"/>
                <w:color w:val="auto"/>
              </w:rPr>
              <w:t>(60)</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(70)</w:t>
            </w:r>
          </w:p>
        </w:tc>
      </w:tr>
      <w:tr>
        <w:trPr>
          <w:trHeight w:val="171"/>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OCL attributable to noncontrolling interests</w:t>
            </w:r>
          </w:p>
        </w:tc>
        <w:tc>
          <w:tcPr>
            <w:tcW w:w="7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(42)</w:t>
            </w:r>
          </w:p>
        </w:tc>
      </w:tr>
      <w:tr>
        <w:trPr>
          <w:trHeight w:val="18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OCL attributable to Clearway Energy, Inc.</w:t>
            </w:r>
          </w:p>
        </w:tc>
        <w:tc>
          <w:tcPr>
            <w:tcW w:w="780" w:type="dxa"/>
            <w:vAlign w:val="bottom"/>
            <w:tcBorders>
              <w:bottom w:val="single" w:sz="8" w:color="auto"/>
            </w:tcBorders>
          </w:tcPr>
          <w:p>
            <w:pPr>
              <w:jc w:val="right"/>
              <w:ind w:right="642"/>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w:t>
            </w:r>
          </w:p>
        </w:tc>
      </w:tr>
      <w:tr>
        <w:trPr>
          <w:trHeight w:val="180"/>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Losses expected to be realized from OCL during the next 12 months, net of income tax benefit of $1</w:t>
            </w: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bl>
    <w:p>
      <w:pPr>
        <w:spacing w:after="0" w:line="20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Amounts reclassified from accumulated OCL into income are recorded to interest expense.</w:t>
      </w:r>
    </w:p>
    <w:p>
      <w:pPr>
        <w:spacing w:after="0" w:line="150" w:lineRule="exact"/>
        <w:rPr>
          <w:sz w:val="20"/>
          <w:szCs w:val="20"/>
          <w:color w:val="auto"/>
        </w:rPr>
      </w:pPr>
    </w:p>
    <w:p>
      <w:pPr>
        <w:jc w:val="both"/>
        <w:ind w:firstLine="261"/>
        <w:spacing w:after="0" w:line="323" w:lineRule="auto"/>
        <w:rPr>
          <w:sz w:val="20"/>
          <w:szCs w:val="20"/>
          <w:color w:val="auto"/>
        </w:rPr>
      </w:pPr>
      <w:r>
        <w:rPr>
          <w:rFonts w:ascii="Arial" w:cs="Arial" w:eastAsia="Arial" w:hAnsi="Arial"/>
          <w:sz w:val="11"/>
          <w:szCs w:val="11"/>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of Derivative Instruments on the Statements of Income</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Company has interest rate derivative instruments that are not designated as cash flow hedges. The effect of interest rate hedges is recorded to interest expense. For the years ended December 31, 2018, 2017 and 2016 the impact to the consolidated statements of income was a gain of $15 million, a gain of $6 million and a loss of $2 million, respectively.</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See Note 6,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for a discussion regarding concentration of credit risk.</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Intangible Assets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Intangible Assets </w:t>
      </w:r>
      <w:r>
        <w:rPr>
          <w:rFonts w:ascii="Arial" w:cs="Arial" w:eastAsia="Arial" w:hAnsi="Arial"/>
          <w:sz w:val="12"/>
          <w:szCs w:val="12"/>
          <w:color w:val="auto"/>
        </w:rPr>
        <w:t>— The Company's intangible assets as of December 31, 2018 and 2017 primarily reflect intangible assets established from its business acquisitions and are comprised of the following:</w:t>
      </w:r>
    </w:p>
    <w:p>
      <w:pPr>
        <w:spacing w:after="0" w:line="114" w:lineRule="exact"/>
        <w:rPr>
          <w:sz w:val="20"/>
          <w:szCs w:val="20"/>
          <w:color w:val="auto"/>
        </w:rPr>
      </w:pPr>
    </w:p>
    <w:p>
      <w:pPr>
        <w:ind w:left="420" w:right="20" w:hanging="212"/>
        <w:spacing w:after="0" w:line="276" w:lineRule="auto"/>
        <w:tabs>
          <w:tab w:leader="none" w:pos="420" w:val="left"/>
        </w:tabs>
        <w:numPr>
          <w:ilvl w:val="0"/>
          <w:numId w:val="49"/>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PPAs </w:t>
      </w:r>
      <w:r>
        <w:rPr>
          <w:rFonts w:ascii="Arial" w:cs="Arial" w:eastAsia="Arial" w:hAnsi="Arial"/>
          <w:sz w:val="12"/>
          <w:szCs w:val="12"/>
          <w:color w:val="auto"/>
        </w:rPr>
        <w:t>— Established predominantly with the acquisitions of the Alta Wind Portfolio, Walnut Creek, Tapestry and Laredo Ridge, these represent the fair value of the PPAs acquired. These are amortized, generally on a straight-line</w:t>
      </w:r>
      <w:r>
        <w:rPr>
          <w:rFonts w:ascii="Arial" w:cs="Arial" w:eastAsia="Arial" w:hAnsi="Arial"/>
          <w:sz w:val="12"/>
          <w:szCs w:val="12"/>
          <w:i w:val="1"/>
          <w:iCs w:val="1"/>
          <w:color w:val="auto"/>
        </w:rPr>
        <w:t xml:space="preserve"> </w:t>
      </w:r>
      <w:r>
        <w:rPr>
          <w:rFonts w:ascii="Arial" w:cs="Arial" w:eastAsia="Arial" w:hAnsi="Arial"/>
          <w:sz w:val="12"/>
          <w:szCs w:val="12"/>
          <w:color w:val="auto"/>
        </w:rPr>
        <w:t>basis, over the term of the PPA.</w:t>
      </w:r>
    </w:p>
    <w:p>
      <w:pPr>
        <w:spacing w:after="0" w:line="42" w:lineRule="exact"/>
        <w:rPr>
          <w:rFonts w:ascii="Arial" w:cs="Arial" w:eastAsia="Arial" w:hAnsi="Arial"/>
          <w:sz w:val="12"/>
          <w:szCs w:val="12"/>
          <w:i w:val="1"/>
          <w:iCs w:val="1"/>
          <w:color w:val="auto"/>
        </w:rPr>
      </w:pPr>
    </w:p>
    <w:p>
      <w:pPr>
        <w:ind w:left="420" w:right="80" w:hanging="212"/>
        <w:spacing w:after="0" w:line="276" w:lineRule="auto"/>
        <w:tabs>
          <w:tab w:leader="none" w:pos="420" w:val="left"/>
        </w:tabs>
        <w:numPr>
          <w:ilvl w:val="0"/>
          <w:numId w:val="49"/>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Leasehold Rights </w:t>
      </w:r>
      <w:r>
        <w:rPr>
          <w:rFonts w:ascii="Arial" w:cs="Arial" w:eastAsia="Arial" w:hAnsi="Arial"/>
          <w:sz w:val="12"/>
          <w:szCs w:val="12"/>
          <w:color w:val="auto"/>
        </w:rPr>
        <w:t>— Established with the acquisition of the Alta Wind Portfolio, this represents the fair value of contractual rights to receive royalty payments equal to a percentage of PPA revenue from certain projects. These are</w:t>
      </w:r>
      <w:r>
        <w:rPr>
          <w:rFonts w:ascii="Arial" w:cs="Arial" w:eastAsia="Arial" w:hAnsi="Arial"/>
          <w:sz w:val="12"/>
          <w:szCs w:val="12"/>
          <w:i w:val="1"/>
          <w:iCs w:val="1"/>
          <w:color w:val="auto"/>
        </w:rPr>
        <w:t xml:space="preserve"> </w:t>
      </w:r>
      <w:r>
        <w:rPr>
          <w:rFonts w:ascii="Arial" w:cs="Arial" w:eastAsia="Arial" w:hAnsi="Arial"/>
          <w:sz w:val="12"/>
          <w:szCs w:val="12"/>
          <w:color w:val="auto"/>
        </w:rPr>
        <w:t>amortized on a straight-line basis.</w:t>
      </w:r>
    </w:p>
    <w:p>
      <w:pPr>
        <w:spacing w:after="0" w:line="42" w:lineRule="exact"/>
        <w:rPr>
          <w:rFonts w:ascii="Arial" w:cs="Arial" w:eastAsia="Arial" w:hAnsi="Arial"/>
          <w:sz w:val="12"/>
          <w:szCs w:val="12"/>
          <w:i w:val="1"/>
          <w:iCs w:val="1"/>
          <w:color w:val="auto"/>
        </w:rPr>
      </w:pPr>
    </w:p>
    <w:p>
      <w:pPr>
        <w:ind w:left="420" w:right="280" w:hanging="212"/>
        <w:spacing w:after="0" w:line="276" w:lineRule="auto"/>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Customer relationships </w:t>
      </w:r>
      <w:r>
        <w:rPr>
          <w:rFonts w:ascii="Arial" w:cs="Arial" w:eastAsia="Arial" w:hAnsi="Arial"/>
          <w:sz w:val="12"/>
          <w:szCs w:val="12"/>
          <w:color w:val="auto"/>
        </w:rPr>
        <w:t>— Established with the acquisition of Energy Center Phoenix and Energy Center Omaha, these intangibles represent the fair value at the acquisition date of the businesses' customer base. The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are amortized to depreciation and amortization expense based on the expected discounted future net cash flows by year.</w:t>
      </w:r>
    </w:p>
    <w:p>
      <w:pPr>
        <w:spacing w:after="0" w:line="42" w:lineRule="exact"/>
        <w:rPr>
          <w:rFonts w:ascii="Arial" w:cs="Arial" w:eastAsia="Arial" w:hAnsi="Arial"/>
          <w:sz w:val="12"/>
          <w:szCs w:val="12"/>
          <w:color w:val="auto"/>
        </w:rPr>
      </w:pPr>
    </w:p>
    <w:p>
      <w:pPr>
        <w:ind w:left="420" w:right="400" w:hanging="212"/>
        <w:spacing w:after="0" w:line="276" w:lineRule="auto"/>
        <w:tabs>
          <w:tab w:leader="none" w:pos="420" w:val="left"/>
        </w:tabs>
        <w:numPr>
          <w:ilvl w:val="0"/>
          <w:numId w:val="49"/>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Customer contracts </w:t>
      </w:r>
      <w:r>
        <w:rPr>
          <w:rFonts w:ascii="Arial" w:cs="Arial" w:eastAsia="Arial" w:hAnsi="Arial"/>
          <w:sz w:val="12"/>
          <w:szCs w:val="12"/>
          <w:color w:val="auto"/>
        </w:rPr>
        <w:t>— Established with the acquisition of Energy Center Phoenix, these intangibles represent the fair value at the acquisition date of contracts that primarily provide chilled water, steam and electricity to its</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These contracts are amortized to revenues based on expected volumes.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480"/>
          </w:cols>
          <w:pgMar w:left="220" w:top="518" w:right="199" w:bottom="1440" w:gutter="0" w:footer="0" w:header="0"/>
        </w:sectPr>
      </w:pPr>
    </w:p>
    <w:bookmarkStart w:id="107" w:name="page108"/>
    <w:bookmarkEnd w:id="107"/>
    <w:p>
      <w:pPr>
        <w:ind w:left="428" w:hanging="212"/>
        <w:spacing w:after="0" w:line="243" w:lineRule="auto"/>
        <w:tabs>
          <w:tab w:leader="none" w:pos="428" w:val="left"/>
        </w:tabs>
        <w:numPr>
          <w:ilvl w:val="0"/>
          <w:numId w:val="50"/>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Emission Allowances </w:t>
      </w:r>
      <w:r>
        <w:rPr>
          <w:rFonts w:ascii="Arial" w:cs="Arial" w:eastAsia="Arial" w:hAnsi="Arial"/>
          <w:sz w:val="12"/>
          <w:szCs w:val="12"/>
          <w:color w:val="auto"/>
        </w:rPr>
        <w:t>— These intangibles primarily consist of SO</w:t>
      </w:r>
      <w:r>
        <w:rPr>
          <w:rFonts w:ascii="Arial" w:cs="Arial" w:eastAsia="Arial" w:hAnsi="Arial"/>
          <w:sz w:val="16"/>
          <w:szCs w:val="16"/>
          <w:color w:val="auto"/>
          <w:vertAlign w:val="subscript"/>
        </w:rPr>
        <w:t>2</w:t>
      </w:r>
      <w:r>
        <w:rPr>
          <w:rFonts w:ascii="Arial" w:cs="Arial" w:eastAsia="Arial" w:hAnsi="Arial"/>
          <w:sz w:val="12"/>
          <w:szCs w:val="12"/>
          <w:i w:val="1"/>
          <w:iCs w:val="1"/>
          <w:color w:val="auto"/>
        </w:rPr>
        <w:t xml:space="preserve"> </w:t>
      </w:r>
      <w:r>
        <w:rPr>
          <w:rFonts w:ascii="Arial" w:cs="Arial" w:eastAsia="Arial" w:hAnsi="Arial"/>
          <w:sz w:val="12"/>
          <w:szCs w:val="12"/>
          <w:color w:val="auto"/>
        </w:rPr>
        <w:t>and NO</w:t>
      </w:r>
      <w:r>
        <w:rPr>
          <w:rFonts w:ascii="Arial" w:cs="Arial" w:eastAsia="Arial" w:hAnsi="Arial"/>
          <w:sz w:val="9"/>
          <w:szCs w:val="9"/>
          <w:color w:val="auto"/>
        </w:rPr>
        <w:t>x</w:t>
      </w:r>
      <w:r>
        <w:rPr>
          <w:rFonts w:ascii="Arial" w:cs="Arial" w:eastAsia="Arial" w:hAnsi="Arial"/>
          <w:sz w:val="12"/>
          <w:szCs w:val="12"/>
          <w:i w:val="1"/>
          <w:iCs w:val="1"/>
          <w:color w:val="auto"/>
        </w:rPr>
        <w:t xml:space="preserve"> </w:t>
      </w:r>
      <w:r>
        <w:rPr>
          <w:rFonts w:ascii="Arial" w:cs="Arial" w:eastAsia="Arial" w:hAnsi="Arial"/>
          <w:sz w:val="12"/>
          <w:szCs w:val="12"/>
          <w:color w:val="auto"/>
        </w:rPr>
        <w:t>emission allowances established with the El Segundo and Walnut Creek acquisitions. These emission allowances are held-for-use and are amortized to</w:t>
      </w:r>
      <w:r>
        <w:rPr>
          <w:rFonts w:ascii="Arial" w:cs="Arial" w:eastAsia="Arial" w:hAnsi="Arial"/>
          <w:sz w:val="12"/>
          <w:szCs w:val="12"/>
          <w:i w:val="1"/>
          <w:iCs w:val="1"/>
          <w:color w:val="auto"/>
        </w:rPr>
        <w:t xml:space="preserve"> </w:t>
      </w:r>
      <w:r>
        <w:rPr>
          <w:rFonts w:ascii="Arial" w:cs="Arial" w:eastAsia="Arial" w:hAnsi="Arial"/>
          <w:sz w:val="12"/>
          <w:szCs w:val="12"/>
          <w:color w:val="auto"/>
        </w:rPr>
        <w:t>cost of operations, with NO</w:t>
      </w:r>
      <w:r>
        <w:rPr>
          <w:rFonts w:ascii="Arial" w:cs="Arial" w:eastAsia="Arial" w:hAnsi="Arial"/>
          <w:sz w:val="9"/>
          <w:szCs w:val="9"/>
          <w:color w:val="auto"/>
        </w:rPr>
        <w:t>x</w:t>
      </w:r>
      <w:r>
        <w:rPr>
          <w:rFonts w:ascii="Arial" w:cs="Arial" w:eastAsia="Arial" w:hAnsi="Arial"/>
          <w:sz w:val="12"/>
          <w:szCs w:val="12"/>
          <w:color w:val="auto"/>
        </w:rPr>
        <w:t xml:space="preserve"> allowances amortized on a straight-line basis and SO</w:t>
      </w:r>
      <w:r>
        <w:rPr>
          <w:rFonts w:ascii="Arial" w:cs="Arial" w:eastAsia="Arial" w:hAnsi="Arial"/>
          <w:sz w:val="16"/>
          <w:szCs w:val="16"/>
          <w:color w:val="auto"/>
          <w:vertAlign w:val="subscript"/>
        </w:rPr>
        <w:t>2</w:t>
      </w:r>
      <w:r>
        <w:rPr>
          <w:rFonts w:ascii="Arial" w:cs="Arial" w:eastAsia="Arial" w:hAnsi="Arial"/>
          <w:sz w:val="12"/>
          <w:szCs w:val="12"/>
          <w:color w:val="auto"/>
        </w:rPr>
        <w:t xml:space="preserve"> allowances amortized based on units of production.</w:t>
      </w:r>
    </w:p>
    <w:p>
      <w:pPr>
        <w:spacing w:after="0" w:line="63" w:lineRule="exact"/>
        <w:rPr>
          <w:rFonts w:ascii="Arial" w:cs="Arial" w:eastAsia="Arial" w:hAnsi="Arial"/>
          <w:sz w:val="12"/>
          <w:szCs w:val="12"/>
          <w:i w:val="1"/>
          <w:iCs w:val="1"/>
          <w:color w:val="auto"/>
        </w:rPr>
      </w:pPr>
    </w:p>
    <w:p>
      <w:pPr>
        <w:ind w:left="428" w:hanging="212"/>
        <w:spacing w:after="0" w:line="276" w:lineRule="auto"/>
        <w:tabs>
          <w:tab w:leader="none" w:pos="4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b) development rights related to certain solar businesses acquired in 2010 and 2011.</w:t>
      </w:r>
    </w:p>
    <w:p>
      <w:pPr>
        <w:spacing w:after="0" w:line="43"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tables summarize the components of intangible assets subject to amortization:</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Customer</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92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Year ended December 31, 2018</w:t>
            </w:r>
          </w:p>
        </w:tc>
        <w:tc>
          <w:tcPr>
            <w:tcW w:w="260" w:type="dxa"/>
            <w:vAlign w:val="bottom"/>
          </w:tcPr>
          <w:p>
            <w:pPr>
              <w:spacing w:after="0"/>
              <w:rPr>
                <w:sz w:val="9"/>
                <w:szCs w:val="9"/>
                <w:color w:val="auto"/>
              </w:rPr>
            </w:pPr>
          </w:p>
        </w:tc>
        <w:tc>
          <w:tcPr>
            <w:tcW w:w="980" w:type="dxa"/>
            <w:vAlign w:val="bottom"/>
            <w:gridSpan w:val="3"/>
          </w:tcPr>
          <w:p>
            <w:pPr>
              <w:ind w:left="180"/>
              <w:spacing w:after="0" w:line="105" w:lineRule="exact"/>
              <w:rPr>
                <w:sz w:val="20"/>
                <w:szCs w:val="20"/>
                <w:color w:val="auto"/>
              </w:rPr>
            </w:pPr>
            <w:r>
              <w:rPr>
                <w:rFonts w:ascii="Arial" w:cs="Arial" w:eastAsia="Arial" w:hAnsi="Arial"/>
                <w:sz w:val="10"/>
                <w:szCs w:val="10"/>
                <w:b w:val="1"/>
                <w:bCs w:val="1"/>
                <w:color w:val="auto"/>
              </w:rPr>
              <w:t>PPAs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Leasehold Rights</w:t>
            </w:r>
          </w:p>
        </w:tc>
        <w:tc>
          <w:tcPr>
            <w:tcW w:w="140" w:type="dxa"/>
            <w:vAlign w:val="bottom"/>
          </w:tcPr>
          <w:p>
            <w:pPr>
              <w:spacing w:after="0"/>
              <w:rPr>
                <w:sz w:val="9"/>
                <w:szCs w:val="9"/>
                <w:color w:val="auto"/>
              </w:rPr>
            </w:pPr>
          </w:p>
        </w:tc>
        <w:tc>
          <w:tcPr>
            <w:tcW w:w="13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5"/>
              </w:rPr>
              <w:t>Relationships</w:t>
            </w:r>
          </w:p>
        </w:tc>
        <w:tc>
          <w:tcPr>
            <w:tcW w:w="100" w:type="dxa"/>
            <w:vAlign w:val="bottom"/>
          </w:tcPr>
          <w:p>
            <w:pPr>
              <w:spacing w:after="0"/>
              <w:rPr>
                <w:sz w:val="9"/>
                <w:szCs w:val="9"/>
                <w:color w:val="auto"/>
              </w:rPr>
            </w:pPr>
          </w:p>
        </w:tc>
        <w:tc>
          <w:tcPr>
            <w:tcW w:w="1120" w:type="dxa"/>
            <w:vAlign w:val="bottom"/>
            <w:gridSpan w:val="3"/>
          </w:tcPr>
          <w:p>
            <w:pPr>
              <w:ind w:left="40"/>
              <w:spacing w:after="0" w:line="105" w:lineRule="exact"/>
              <w:rPr>
                <w:sz w:val="20"/>
                <w:szCs w:val="20"/>
                <w:color w:val="auto"/>
              </w:rPr>
            </w:pPr>
            <w:r>
              <w:rPr>
                <w:rFonts w:ascii="Arial" w:cs="Arial" w:eastAsia="Arial" w:hAnsi="Arial"/>
                <w:sz w:val="10"/>
                <w:szCs w:val="10"/>
                <w:b w:val="1"/>
                <w:bCs w:val="1"/>
                <w:color w:val="auto"/>
              </w:rPr>
              <w:t>Customer Contracts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Emission Allowances</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3"/>
          </w:tcPr>
          <w:p>
            <w:pPr>
              <w:ind w:left="120"/>
              <w:spacing w:after="0" w:line="105" w:lineRule="exact"/>
              <w:rPr>
                <w:sz w:val="20"/>
                <w:szCs w:val="20"/>
                <w:color w:val="auto"/>
              </w:rPr>
            </w:pPr>
            <w:r>
              <w:rPr>
                <w:rFonts w:ascii="Arial" w:cs="Arial" w:eastAsia="Arial" w:hAnsi="Arial"/>
                <w:sz w:val="10"/>
                <w:szCs w:val="10"/>
                <w:b w:val="1"/>
                <w:bCs w:val="1"/>
                <w:color w:val="auto"/>
              </w:rPr>
              <w:t>Other</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ind w:right="282"/>
              <w:spacing w:after="0" w:line="105" w:lineRule="exact"/>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tcPr>
          <w:p>
            <w:pPr>
              <w:ind w:left="20"/>
              <w:spacing w:after="0"/>
              <w:rPr>
                <w:sz w:val="20"/>
                <w:szCs w:val="20"/>
                <w:color w:val="auto"/>
              </w:rPr>
            </w:pPr>
            <w:r>
              <w:rPr>
                <w:rFonts w:ascii="Arial" w:cs="Arial" w:eastAsia="Arial" w:hAnsi="Arial"/>
                <w:sz w:val="12"/>
                <w:szCs w:val="12"/>
                <w:color w:val="auto"/>
              </w:rPr>
              <w:t>December 31, 2018</w:t>
            </w:r>
          </w:p>
        </w:tc>
        <w:tc>
          <w:tcPr>
            <w:tcW w:w="260" w:type="dxa"/>
            <w:vAlign w:val="bottom"/>
          </w:tcPr>
          <w:p>
            <w:pPr>
              <w:jc w:val="right"/>
              <w:ind w:right="145"/>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1,280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3"/>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3"/>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accumulated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(269)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gridSpan w:val="3"/>
          </w:tcPr>
          <w:p>
            <w:pPr>
              <w:ind w:left="20"/>
              <w:spacing w:after="0"/>
              <w:rPr>
                <w:sz w:val="20"/>
                <w:szCs w:val="20"/>
                <w:color w:val="auto"/>
              </w:rPr>
            </w:pPr>
            <w:r>
              <w:rPr>
                <w:rFonts w:ascii="Arial" w:cs="Arial" w:eastAsia="Arial" w:hAnsi="Arial"/>
                <w:sz w:val="12"/>
                <w:szCs w:val="12"/>
                <w:color w:val="auto"/>
              </w:rPr>
              <w:t>Net carrying amount</w:t>
            </w:r>
          </w:p>
        </w:tc>
        <w:tc>
          <w:tcPr>
            <w:tcW w:w="26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5"/>
              </w:rPr>
              <w:t>Emission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92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Year ended December 31, 2017</w:t>
            </w:r>
          </w:p>
        </w:tc>
        <w:tc>
          <w:tcPr>
            <w:tcW w:w="260" w:type="dxa"/>
            <w:vAlign w:val="bottom"/>
          </w:tcPr>
          <w:p>
            <w:pPr>
              <w:spacing w:after="0"/>
              <w:rPr>
                <w:sz w:val="9"/>
                <w:szCs w:val="9"/>
                <w:color w:val="auto"/>
              </w:rPr>
            </w:pPr>
          </w:p>
        </w:tc>
        <w:tc>
          <w:tcPr>
            <w:tcW w:w="980" w:type="dxa"/>
            <w:vAlign w:val="bottom"/>
            <w:gridSpan w:val="3"/>
          </w:tcPr>
          <w:p>
            <w:pPr>
              <w:ind w:left="200"/>
              <w:spacing w:after="0" w:line="105" w:lineRule="exact"/>
              <w:rPr>
                <w:sz w:val="20"/>
                <w:szCs w:val="20"/>
                <w:color w:val="auto"/>
              </w:rPr>
            </w:pPr>
            <w:r>
              <w:rPr>
                <w:rFonts w:ascii="Arial" w:cs="Arial" w:eastAsia="Arial" w:hAnsi="Arial"/>
                <w:sz w:val="10"/>
                <w:szCs w:val="10"/>
                <w:b w:val="1"/>
                <w:bCs w:val="1"/>
                <w:color w:val="auto"/>
              </w:rPr>
              <w:t>PPAs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Leasehold Rights</w:t>
            </w:r>
          </w:p>
        </w:tc>
        <w:tc>
          <w:tcPr>
            <w:tcW w:w="140" w:type="dxa"/>
            <w:vAlign w:val="bottom"/>
          </w:tcPr>
          <w:p>
            <w:pPr>
              <w:spacing w:after="0"/>
              <w:rPr>
                <w:sz w:val="9"/>
                <w:szCs w:val="9"/>
                <w:color w:val="auto"/>
              </w:rPr>
            </w:pPr>
          </w:p>
        </w:tc>
        <w:tc>
          <w:tcPr>
            <w:tcW w:w="134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85"/>
              </w:rPr>
              <w:t>Customer Relationships</w:t>
            </w:r>
          </w:p>
        </w:tc>
        <w:tc>
          <w:tcPr>
            <w:tcW w:w="100" w:type="dxa"/>
            <w:vAlign w:val="bottom"/>
          </w:tcPr>
          <w:p>
            <w:pPr>
              <w:spacing w:after="0"/>
              <w:rPr>
                <w:sz w:val="9"/>
                <w:szCs w:val="9"/>
                <w:color w:val="auto"/>
              </w:rPr>
            </w:pPr>
          </w:p>
        </w:tc>
        <w:tc>
          <w:tcPr>
            <w:tcW w:w="1120" w:type="dxa"/>
            <w:vAlign w:val="bottom"/>
            <w:gridSpan w:val="3"/>
          </w:tcPr>
          <w:p>
            <w:pPr>
              <w:ind w:left="40"/>
              <w:spacing w:after="0" w:line="105" w:lineRule="exact"/>
              <w:rPr>
                <w:sz w:val="20"/>
                <w:szCs w:val="20"/>
                <w:color w:val="auto"/>
              </w:rPr>
            </w:pPr>
            <w:r>
              <w:rPr>
                <w:rFonts w:ascii="Arial" w:cs="Arial" w:eastAsia="Arial" w:hAnsi="Arial"/>
                <w:sz w:val="10"/>
                <w:szCs w:val="10"/>
                <w:b w:val="1"/>
                <w:bCs w:val="1"/>
                <w:color w:val="auto"/>
              </w:rPr>
              <w:t>Customer Contracts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tcPr>
          <w:p>
            <w:pPr>
              <w:jc w:val="center"/>
              <w:ind w:right="180"/>
              <w:spacing w:after="0" w:line="105" w:lineRule="exact"/>
              <w:rPr>
                <w:sz w:val="20"/>
                <w:szCs w:val="20"/>
                <w:color w:val="auto"/>
              </w:rPr>
            </w:pPr>
            <w:r>
              <w:rPr>
                <w:rFonts w:ascii="Arial" w:cs="Arial" w:eastAsia="Arial" w:hAnsi="Arial"/>
                <w:sz w:val="10"/>
                <w:szCs w:val="10"/>
                <w:b w:val="1"/>
                <w:bCs w:val="1"/>
                <w:color w:val="auto"/>
                <w:w w:val="83"/>
              </w:rPr>
              <w:t>Allowances</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3"/>
          </w:tcPr>
          <w:p>
            <w:pPr>
              <w:ind w:left="120"/>
              <w:spacing w:after="0" w:line="105" w:lineRule="exact"/>
              <w:rPr>
                <w:sz w:val="20"/>
                <w:szCs w:val="20"/>
                <w:color w:val="auto"/>
              </w:rPr>
            </w:pPr>
            <w:r>
              <w:rPr>
                <w:rFonts w:ascii="Arial" w:cs="Arial" w:eastAsia="Arial" w:hAnsi="Arial"/>
                <w:sz w:val="10"/>
                <w:szCs w:val="10"/>
                <w:b w:val="1"/>
                <w:bCs w:val="1"/>
                <w:color w:val="auto"/>
              </w:rPr>
              <w:t>Other</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right"/>
              <w:ind w:right="262"/>
              <w:spacing w:after="0" w:line="105" w:lineRule="exact"/>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tcPr>
          <w:p>
            <w:pPr>
              <w:ind w:left="20"/>
              <w:spacing w:after="0"/>
              <w:rPr>
                <w:sz w:val="20"/>
                <w:szCs w:val="20"/>
                <w:color w:val="auto"/>
              </w:rPr>
            </w:pPr>
            <w:r>
              <w:rPr>
                <w:rFonts w:ascii="Arial" w:cs="Arial" w:eastAsia="Arial" w:hAnsi="Arial"/>
                <w:sz w:val="12"/>
                <w:szCs w:val="12"/>
                <w:color w:val="auto"/>
              </w:rPr>
              <w:t>January 1, 2017</w:t>
            </w:r>
          </w:p>
        </w:tc>
        <w:tc>
          <w:tcPr>
            <w:tcW w:w="260" w:type="dxa"/>
            <w:vAlign w:val="bottom"/>
          </w:tcPr>
          <w:p>
            <w:pPr>
              <w:jc w:val="right"/>
              <w:ind w:right="125"/>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1,286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3"/>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1,471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xml:space="preserve">Asset Impairments </w:t>
            </w:r>
            <w:r>
              <w:rPr>
                <w:rFonts w:ascii="Arial" w:cs="Arial" w:eastAsia="Arial" w:hAnsi="Arial"/>
                <w:sz w:val="16"/>
                <w:szCs w:val="16"/>
                <w:color w:val="auto"/>
                <w:vertAlign w:val="superscript"/>
              </w:rPr>
              <w:t>(a)</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920" w:type="dxa"/>
            <w:vAlign w:val="bottom"/>
            <w:gridSpan w:val="3"/>
          </w:tcPr>
          <w:p>
            <w:pPr>
              <w:ind w:left="20"/>
              <w:spacing w:after="0"/>
              <w:rPr>
                <w:sz w:val="20"/>
                <w:szCs w:val="20"/>
                <w:color w:val="auto"/>
              </w:rPr>
            </w:pPr>
            <w:r>
              <w:rPr>
                <w:rFonts w:ascii="Arial" w:cs="Arial" w:eastAsia="Arial" w:hAnsi="Arial"/>
                <w:sz w:val="12"/>
                <w:szCs w:val="12"/>
                <w:color w:val="auto"/>
              </w:rPr>
              <w:t>December 31, 2017</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1,280</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15</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2"/>
                <w:szCs w:val="12"/>
                <w:color w:val="auto"/>
              </w:rPr>
              <w:t>9</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1,465</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accumulated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(205)</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gridSpan w:val="3"/>
          </w:tcPr>
          <w:p>
            <w:pPr>
              <w:ind w:left="20"/>
              <w:spacing w:after="0"/>
              <w:rPr>
                <w:sz w:val="20"/>
                <w:szCs w:val="20"/>
                <w:color w:val="auto"/>
              </w:rPr>
            </w:pPr>
            <w:r>
              <w:rPr>
                <w:rFonts w:ascii="Arial" w:cs="Arial" w:eastAsia="Arial" w:hAnsi="Arial"/>
                <w:sz w:val="12"/>
                <w:szCs w:val="12"/>
                <w:color w:val="auto"/>
              </w:rPr>
              <w:t>Net carrying amount</w:t>
            </w:r>
          </w:p>
        </w:tc>
        <w:tc>
          <w:tcPr>
            <w:tcW w:w="26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1,075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1,228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74" w:lineRule="exact"/>
        <w:rPr>
          <w:sz w:val="20"/>
          <w:szCs w:val="20"/>
          <w:color w:val="auto"/>
        </w:rPr>
      </w:pPr>
    </w:p>
    <w:p>
      <w:pPr>
        <w:ind w:left="108" w:hanging="108"/>
        <w:spacing w:after="0"/>
        <w:tabs>
          <w:tab w:leader="none" w:pos="108" w:val="left"/>
        </w:tabs>
        <w:numPr>
          <w:ilvl w:val="0"/>
          <w:numId w:val="51"/>
        </w:numPr>
        <w:rPr>
          <w:rFonts w:ascii="Arial" w:cs="Arial" w:eastAsia="Arial" w:hAnsi="Arial"/>
          <w:sz w:val="13"/>
          <w:szCs w:val="13"/>
          <w:color w:val="auto"/>
          <w:vertAlign w:val="superscript"/>
        </w:rPr>
      </w:pPr>
      <w:r>
        <w:rPr>
          <w:rFonts w:ascii="Arial" w:cs="Arial" w:eastAsia="Arial" w:hAnsi="Arial"/>
          <w:sz w:val="9"/>
          <w:szCs w:val="9"/>
          <w:color w:val="auto"/>
        </w:rPr>
        <w:t xml:space="preserve">$6 million of asset impairments relate to one of the November 2017 Drop Down Assets that was recorded by NRG during the quarter ended September 30, 2017, as further described in Note 9, </w:t>
      </w:r>
      <w:r>
        <w:rPr>
          <w:rFonts w:ascii="Arial" w:cs="Arial" w:eastAsia="Arial" w:hAnsi="Arial"/>
          <w:sz w:val="9"/>
          <w:szCs w:val="9"/>
          <w:i w:val="1"/>
          <w:iCs w:val="1"/>
          <w:color w:val="auto"/>
        </w:rPr>
        <w:t>Asset Impairments.</w:t>
      </w:r>
    </w:p>
    <w:p>
      <w:pPr>
        <w:spacing w:after="0" w:line="107" w:lineRule="exact"/>
        <w:rPr>
          <w:sz w:val="20"/>
          <w:szCs w:val="20"/>
          <w:color w:val="auto"/>
        </w:rPr>
      </w:pPr>
    </w:p>
    <w:p>
      <w:pPr>
        <w:jc w:val="both"/>
        <w:ind w:left="8" w:firstLine="270"/>
        <w:spacing w:after="0" w:line="380" w:lineRule="auto"/>
        <w:rPr>
          <w:sz w:val="20"/>
          <w:szCs w:val="20"/>
          <w:color w:val="auto"/>
        </w:rPr>
      </w:pPr>
      <w:r>
        <w:rPr>
          <w:rFonts w:ascii="Arial" w:cs="Arial" w:eastAsia="Arial" w:hAnsi="Arial"/>
          <w:sz w:val="10"/>
          <w:szCs w:val="10"/>
          <w:color w:val="auto"/>
        </w:rPr>
        <w:t>The Company recorded amortization expense of $71 million during the years ended December 31, 2018, 2017 and 2016. Of these amounts, $70 million for the years ended December 31, 2018, 2017 and 2016 were recorded to contract amortization expense and reduced operating revenues in the consolidated statements of operations. The Company estimates the future amortization expense for its intangibles to be $71 million for the next five years through 2023.</w:t>
      </w:r>
    </w:p>
    <w:p>
      <w:pPr>
        <w:spacing w:after="0" w:line="203" w:lineRule="exact"/>
        <w:rPr>
          <w:sz w:val="20"/>
          <w:szCs w:val="20"/>
          <w:color w:val="auto"/>
        </w:rPr>
      </w:pPr>
    </w:p>
    <w:p>
      <w:pPr>
        <w:jc w:val="both"/>
        <w:ind w:left="8" w:firstLine="270"/>
        <w:spacing w:after="0" w:line="286" w:lineRule="auto"/>
        <w:rPr>
          <w:sz w:val="20"/>
          <w:szCs w:val="20"/>
          <w:color w:val="auto"/>
        </w:rPr>
      </w:pPr>
      <w:r>
        <w:rPr>
          <w:rFonts w:ascii="Arial" w:cs="Arial" w:eastAsia="Arial" w:hAnsi="Arial"/>
          <w:sz w:val="11"/>
          <w:szCs w:val="11"/>
          <w:i w:val="1"/>
          <w:iCs w:val="1"/>
          <w:color w:val="auto"/>
        </w:rPr>
        <w:t xml:space="preserve">Out-of-market contracts </w:t>
      </w:r>
      <w:r>
        <w:rPr>
          <w:rFonts w:ascii="Arial" w:cs="Arial" w:eastAsia="Arial" w:hAnsi="Arial"/>
          <w:sz w:val="11"/>
          <w:szCs w:val="11"/>
          <w:color w:val="auto"/>
        </w:rPr>
        <w:t>— The out-of-market contract liability represents the out-of-market value of the PPAs for the Blythe solar project and Spring Canyon wind projects and the out-of-market value of the land lease for Alta Wind</w:t>
      </w:r>
      <w:r>
        <w:rPr>
          <w:rFonts w:ascii="Arial" w:cs="Arial" w:eastAsia="Arial" w:hAnsi="Arial"/>
          <w:sz w:val="11"/>
          <w:szCs w:val="11"/>
          <w:i w:val="1"/>
          <w:iCs w:val="1"/>
          <w:color w:val="auto"/>
        </w:rPr>
        <w:t xml:space="preserve"> </w:t>
      </w:r>
      <w:r>
        <w:rPr>
          <w:rFonts w:ascii="Arial" w:cs="Arial" w:eastAsia="Arial" w:hAnsi="Arial"/>
          <w:sz w:val="11"/>
          <w:szCs w:val="11"/>
          <w:color w:val="auto"/>
        </w:rPr>
        <w:t>XI, LLC, as of their respective acquisition dates. The Blythe solar project's liability of $7 million was recorded to other non-current liabilities on the consolidated balance sheet and is amortized to revenue in the consolidated statements of income on a units-of-production basis over the twenty-year term of the agreement. Spring Canyon's liability of $3 million was recorded to other non-current liabilities and is amortized to revenue on a straight-line basis over the twenty-five year term of the agreement. The Alta Wind XI, LLC's liability of $5 million was recorded to other non-current liabilities and is amortized as a reduction to cost of operations on a straight-line basis over the thirty-four year term of the land lease. At December 31, 2018, accumulated amortization of out-of-market contracts was $4 million and amortization expense was $1 million for each of the years ended December 31, 2018 and 2017.</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9 — Asset Impairments</w:t>
      </w:r>
    </w:p>
    <w:p>
      <w:pPr>
        <w:spacing w:after="0" w:line="118" w:lineRule="exact"/>
        <w:rPr>
          <w:sz w:val="20"/>
          <w:szCs w:val="20"/>
          <w:color w:val="auto"/>
        </w:rPr>
      </w:pPr>
    </w:p>
    <w:p>
      <w:pPr>
        <w:jc w:val="both"/>
        <w:ind w:left="8" w:firstLine="270"/>
        <w:spacing w:after="0" w:line="286" w:lineRule="auto"/>
        <w:rPr>
          <w:sz w:val="20"/>
          <w:szCs w:val="20"/>
          <w:color w:val="auto"/>
        </w:rPr>
      </w:pPr>
      <w:r>
        <w:rPr>
          <w:rFonts w:ascii="Arial" w:cs="Arial" w:eastAsia="Arial" w:hAnsi="Arial"/>
          <w:sz w:val="11"/>
          <w:szCs w:val="11"/>
          <w:color w:val="auto"/>
        </w:rPr>
        <w:t>During the fourth quarter of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488"/>
          </w:cols>
          <w:pgMar w:left="212" w:top="460" w:right="199" w:bottom="1440" w:gutter="0" w:footer="0" w:header="0"/>
        </w:sectPr>
      </w:pPr>
    </w:p>
    <w:bookmarkStart w:id="108" w:name="page109"/>
    <w:bookmarkEnd w:id="108"/>
    <w:p>
      <w:pPr>
        <w:jc w:val="both"/>
        <w:ind w:firstLine="270"/>
        <w:spacing w:after="0" w:line="298" w:lineRule="auto"/>
        <w:rPr>
          <w:sz w:val="20"/>
          <w:szCs w:val="20"/>
          <w:color w:val="auto"/>
        </w:rPr>
      </w:pPr>
      <w:r>
        <w:rPr>
          <w:rFonts w:ascii="Arial" w:cs="Arial" w:eastAsia="Arial" w:hAnsi="Arial"/>
          <w:sz w:val="11"/>
          <w:szCs w:val="11"/>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Arial" w:cs="Arial" w:eastAsia="Arial" w:hAnsi="Arial"/>
          <w:sz w:val="11"/>
          <w:szCs w:val="11"/>
          <w:i w:val="1"/>
          <w:iCs w:val="1"/>
          <w:color w:val="auto"/>
        </w:rPr>
        <w:t>Intangible Assets</w:t>
      </w:r>
      <w:r>
        <w:rPr>
          <w:rFonts w:ascii="Arial" w:cs="Arial" w:eastAsia="Arial" w:hAnsi="Arial"/>
          <w:sz w:val="11"/>
          <w:szCs w:val="11"/>
          <w:color w:val="auto"/>
        </w:rPr>
        <w:t>. In accordance with the guidance for transfer of assets under common control, the impairment is reflected in the pre-acquisition net income of Drop Down Assets of the Company's consolidated statements of operations for the period ended December 31, 2018.</w:t>
      </w:r>
    </w:p>
    <w:p>
      <w:pPr>
        <w:spacing w:after="0" w:line="6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2"/>
          <w:szCs w:val="12"/>
          <w:color w:val="auto"/>
        </w:rPr>
        <w:t>During the fourth quarter of 2016, as the Company updated its estimated cash flows in connection with the preparation and review of the Company's annual budget, the Company determined that the cash flows for the Elbow Creek and Goat Wind projects and the Forward project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as part of the Renewables segment of the Company. The projects were recorded at historical cost at acquisition date as they were related to interests under 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41" w:lineRule="exact"/>
        <w:rPr>
          <w:sz w:val="20"/>
          <w:szCs w:val="20"/>
          <w:color w:val="auto"/>
        </w:rPr>
      </w:pPr>
    </w:p>
    <w:p>
      <w:pPr>
        <w:jc w:val="both"/>
        <w:ind w:right="20" w:firstLine="270"/>
        <w:spacing w:after="0" w:line="380" w:lineRule="auto"/>
        <w:rPr>
          <w:sz w:val="20"/>
          <w:szCs w:val="20"/>
          <w:color w:val="auto"/>
        </w:rPr>
      </w:pPr>
      <w:r>
        <w:rPr>
          <w:rFonts w:ascii="Arial" w:cs="Arial" w:eastAsia="Arial" w:hAnsi="Arial"/>
          <w:sz w:val="10"/>
          <w:szCs w:val="10"/>
          <w:color w:val="auto"/>
        </w:rPr>
        <w:t>Other Impairments — During the fourth quarter of 2016, NRG recorded impairment losses of approximately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periods ending December 31, 2016.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480"/>
          </w:cols>
          <w:pgMar w:left="220" w:top="518" w:right="199" w:bottom="1440" w:gutter="0" w:footer="0" w:header="0"/>
        </w:sectPr>
      </w:pPr>
    </w:p>
    <w:bookmarkStart w:id="109" w:name="page110"/>
    <w:bookmarkEnd w:id="109"/>
    <w:p>
      <w:pPr>
        <w:ind w:left="8"/>
        <w:spacing w:after="0"/>
        <w:rPr>
          <w:sz w:val="20"/>
          <w:szCs w:val="20"/>
          <w:color w:val="auto"/>
        </w:rPr>
      </w:pPr>
      <w:r>
        <w:rPr>
          <w:rFonts w:ascii="Arial" w:cs="Arial" w:eastAsia="Arial" w:hAnsi="Arial"/>
          <w:sz w:val="12"/>
          <w:szCs w:val="12"/>
          <w:b w:val="1"/>
          <w:bCs w:val="1"/>
          <w:color w:val="auto"/>
        </w:rPr>
        <w:t>Note 10 — Long-term Debt</w:t>
      </w:r>
    </w:p>
    <w:p>
      <w:pPr>
        <w:spacing w:after="0" w:line="118"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Company's borrowings, including short term and long term portions consisted of the following:</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December 31, 2018</w:t>
            </w:r>
          </w:p>
        </w:tc>
        <w:tc>
          <w:tcPr>
            <w:tcW w:w="160" w:type="dxa"/>
            <w:vAlign w:val="bottom"/>
          </w:tcPr>
          <w:p>
            <w:pPr>
              <w:spacing w:after="0"/>
              <w:rPr>
                <w:sz w:val="8"/>
                <w:szCs w:val="8"/>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December 31, 2017</w:t>
            </w:r>
          </w:p>
        </w:tc>
        <w:tc>
          <w:tcPr>
            <w:tcW w:w="15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 xml:space="preserve">Interest rate % </w:t>
            </w:r>
            <w:r>
              <w:rPr>
                <w:rFonts w:ascii="Arial" w:cs="Arial" w:eastAsia="Arial" w:hAnsi="Arial"/>
                <w:sz w:val="5"/>
                <w:szCs w:val="5"/>
                <w:b w:val="1"/>
                <w:bCs w:val="1"/>
                <w:color w:val="auto"/>
              </w:rPr>
              <w:t>(a)</w:t>
            </w:r>
          </w:p>
        </w:tc>
        <w:tc>
          <w:tcPr>
            <w:tcW w:w="120" w:type="dxa"/>
            <w:vAlign w:val="bottom"/>
          </w:tcPr>
          <w:p>
            <w:pPr>
              <w:spacing w:after="0"/>
              <w:rPr>
                <w:sz w:val="8"/>
                <w:szCs w:val="8"/>
                <w:color w:val="auto"/>
              </w:rPr>
            </w:pPr>
          </w:p>
        </w:tc>
        <w:tc>
          <w:tcPr>
            <w:tcW w:w="1460" w:type="dxa"/>
            <w:vAlign w:val="bottom"/>
          </w:tcPr>
          <w:p>
            <w:pPr>
              <w:jc w:val="right"/>
              <w:ind w:right="132"/>
              <w:spacing w:after="0"/>
              <w:rPr>
                <w:sz w:val="20"/>
                <w:szCs w:val="20"/>
                <w:color w:val="auto"/>
              </w:rPr>
            </w:pPr>
            <w:r>
              <w:rPr>
                <w:rFonts w:ascii="Arial" w:cs="Arial" w:eastAsia="Arial" w:hAnsi="Arial"/>
                <w:sz w:val="9"/>
                <w:szCs w:val="9"/>
                <w:b w:val="1"/>
                <w:bCs w:val="1"/>
                <w:color w:val="auto"/>
                <w:w w:val="92"/>
              </w:rPr>
              <w:t>Letters of Credit Outstanding at</w:t>
            </w:r>
          </w:p>
        </w:tc>
        <w:tc>
          <w:tcPr>
            <w:tcW w:w="0" w:type="dxa"/>
            <w:vAlign w:val="bottom"/>
          </w:tcPr>
          <w:p>
            <w:pPr>
              <w:spacing w:after="0"/>
              <w:rPr>
                <w:sz w:val="1"/>
                <w:szCs w:val="1"/>
                <w:color w:val="auto"/>
              </w:rPr>
            </w:pPr>
          </w:p>
        </w:tc>
      </w:tr>
      <w:tr>
        <w:trPr>
          <w:trHeight w:val="122"/>
        </w:trPr>
        <w:tc>
          <w:tcPr>
            <w:tcW w:w="5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right"/>
              <w:ind w:right="392"/>
              <w:spacing w:after="0"/>
              <w:rPr>
                <w:sz w:val="20"/>
                <w:szCs w:val="20"/>
                <w:color w:val="auto"/>
              </w:rPr>
            </w:pPr>
            <w:r>
              <w:rPr>
                <w:rFonts w:ascii="Arial" w:cs="Arial" w:eastAsia="Arial" w:hAnsi="Arial"/>
                <w:sz w:val="9"/>
                <w:szCs w:val="9"/>
                <w:b w:val="1"/>
                <w:bCs w:val="1"/>
                <w:color w:val="auto"/>
              </w:rPr>
              <w:t>December 31, 2018</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(In millions, except rates)</w:t>
            </w: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2019 Convertible Notes</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345</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3.500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2020 Convertible Notes</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288</w:t>
            </w:r>
          </w:p>
        </w:tc>
        <w:tc>
          <w:tcPr>
            <w:tcW w:w="320" w:type="dxa"/>
            <w:vAlign w:val="bottom"/>
          </w:tcPr>
          <w:p>
            <w:pPr>
              <w:spacing w:after="0"/>
              <w:rPr>
                <w:sz w:val="15"/>
                <w:szCs w:val="15"/>
                <w:color w:val="auto"/>
              </w:rPr>
            </w:pPr>
          </w:p>
        </w:tc>
        <w:tc>
          <w:tcPr>
            <w:tcW w:w="1400" w:type="dxa"/>
            <w:vAlign w:val="bottom"/>
          </w:tcPr>
          <w:p>
            <w:pPr>
              <w:jc w:val="right"/>
              <w:ind w:right="52"/>
              <w:spacing w:after="0"/>
              <w:rPr>
                <w:sz w:val="20"/>
                <w:szCs w:val="20"/>
                <w:color w:val="auto"/>
              </w:rPr>
            </w:pPr>
            <w:r>
              <w:rPr>
                <w:rFonts w:ascii="Arial" w:cs="Arial" w:eastAsia="Arial" w:hAnsi="Arial"/>
                <w:sz w:val="10"/>
                <w:szCs w:val="10"/>
                <w:color w:val="auto"/>
              </w:rPr>
              <w:t>3.250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2024 Senior Notes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500</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5.375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2025 Senior Notes</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600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0"/>
                <w:szCs w:val="10"/>
                <w:color w:val="auto"/>
              </w:rPr>
              <w:t>—</w:t>
            </w:r>
          </w:p>
        </w:tc>
        <w:tc>
          <w:tcPr>
            <w:tcW w:w="1400" w:type="dxa"/>
            <w:vAlign w:val="bottom"/>
          </w:tcPr>
          <w:p>
            <w:pPr>
              <w:jc w:val="right"/>
              <w:ind w:right="52"/>
              <w:spacing w:after="0"/>
              <w:rPr>
                <w:sz w:val="20"/>
                <w:szCs w:val="20"/>
                <w:color w:val="auto"/>
              </w:rPr>
            </w:pPr>
            <w:r>
              <w:rPr>
                <w:rFonts w:ascii="Arial" w:cs="Arial" w:eastAsia="Arial" w:hAnsi="Arial"/>
                <w:sz w:val="10"/>
                <w:szCs w:val="10"/>
                <w:color w:val="auto"/>
              </w:rPr>
              <w:t>5.750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2026 Senior Notes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350</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 xml:space="preserve">Clearway Energy LLC and Clearway Energy Operating LLC Revolving Credit Facility, due 2019 </w:t>
            </w:r>
            <w:r>
              <w:rPr>
                <w:rFonts w:ascii="Arial" w:cs="Arial" w:eastAsia="Arial" w:hAnsi="Arial"/>
                <w:sz w:val="5"/>
                <w:szCs w:val="5"/>
                <w:color w:val="auto"/>
              </w:rPr>
              <w:t>(b)</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55</w:t>
            </w:r>
          </w:p>
        </w:tc>
        <w:tc>
          <w:tcPr>
            <w:tcW w:w="3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L+1.75</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Project-level debt: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 xml:space="preserve">Agua Caliente Borrower 2, due 2038 </w:t>
            </w:r>
            <w:r>
              <w:rPr>
                <w:rFonts w:ascii="Arial" w:cs="Arial" w:eastAsia="Arial" w:hAnsi="Arial"/>
                <w:sz w:val="5"/>
                <w:szCs w:val="5"/>
                <w:color w:val="auto"/>
              </w:rPr>
              <w:t>(d)</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41</w:t>
            </w:r>
          </w:p>
        </w:tc>
        <w:tc>
          <w:tcPr>
            <w:tcW w:w="320" w:type="dxa"/>
            <w:vAlign w:val="bottom"/>
          </w:tcPr>
          <w:p>
            <w:pPr>
              <w:spacing w:after="0"/>
              <w:rPr>
                <w:sz w:val="15"/>
                <w:szCs w:val="15"/>
                <w:color w:val="auto"/>
              </w:rPr>
            </w:pPr>
          </w:p>
        </w:tc>
        <w:tc>
          <w:tcPr>
            <w:tcW w:w="1400" w:type="dxa"/>
            <w:vAlign w:val="bottom"/>
          </w:tcPr>
          <w:p>
            <w:pPr>
              <w:jc w:val="right"/>
              <w:ind w:right="52"/>
              <w:spacing w:after="0"/>
              <w:rPr>
                <w:sz w:val="20"/>
                <w:szCs w:val="20"/>
                <w:color w:val="auto"/>
              </w:rPr>
            </w:pPr>
            <w:r>
              <w:rPr>
                <w:rFonts w:ascii="Arial" w:cs="Arial" w:eastAsia="Arial" w:hAnsi="Arial"/>
                <w:sz w:val="10"/>
                <w:szCs w:val="10"/>
                <w:color w:val="auto"/>
              </w:rPr>
              <w:t>5.430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Alpine, due 2022 </w:t>
            </w:r>
            <w:r>
              <w:rPr>
                <w:rFonts w:ascii="Arial" w:cs="Arial" w:eastAsia="Arial" w:hAnsi="Arial"/>
                <w:sz w:val="5"/>
                <w:szCs w:val="5"/>
                <w:color w:val="auto"/>
              </w:rPr>
              <w:t>(d)</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135</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L+1.750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Alta Wind I - V lease financing arrangements, due 2034 and 2035</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886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926</w:t>
            </w:r>
          </w:p>
        </w:tc>
        <w:tc>
          <w:tcPr>
            <w:tcW w:w="320" w:type="dxa"/>
            <w:vAlign w:val="bottom"/>
          </w:tcPr>
          <w:p>
            <w:pPr>
              <w:spacing w:after="0"/>
              <w:rPr>
                <w:sz w:val="15"/>
                <w:szCs w:val="15"/>
                <w:color w:val="auto"/>
              </w:rPr>
            </w:pPr>
          </w:p>
        </w:tc>
        <w:tc>
          <w:tcPr>
            <w:tcW w:w="1400" w:type="dxa"/>
            <w:vAlign w:val="bottom"/>
          </w:tcPr>
          <w:p>
            <w:pPr>
              <w:jc w:val="right"/>
              <w:ind w:right="52"/>
              <w:spacing w:after="0"/>
              <w:rPr>
                <w:sz w:val="20"/>
                <w:szCs w:val="20"/>
                <w:color w:val="auto"/>
              </w:rPr>
            </w:pPr>
            <w:r>
              <w:rPr>
                <w:rFonts w:ascii="Arial" w:cs="Arial" w:eastAsia="Arial" w:hAnsi="Arial"/>
                <w:sz w:val="10"/>
                <w:szCs w:val="10"/>
                <w:color w:val="auto"/>
              </w:rPr>
              <w:t>5.696 - 7.015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Buckthorn Solar, due 2025</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169</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L+1.750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 xml:space="preserve">CVSR, due 2037 </w:t>
            </w:r>
            <w:r>
              <w:rPr>
                <w:rFonts w:ascii="Arial" w:cs="Arial" w:eastAsia="Arial" w:hAnsi="Arial"/>
                <w:sz w:val="5"/>
                <w:szCs w:val="5"/>
                <w:color w:val="auto"/>
              </w:rPr>
              <w:t>(d)</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720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746</w:t>
            </w:r>
          </w:p>
        </w:tc>
        <w:tc>
          <w:tcPr>
            <w:tcW w:w="320" w:type="dxa"/>
            <w:vAlign w:val="bottom"/>
          </w:tcPr>
          <w:p>
            <w:pPr>
              <w:spacing w:after="0"/>
              <w:rPr>
                <w:sz w:val="15"/>
                <w:szCs w:val="15"/>
                <w:color w:val="auto"/>
              </w:rPr>
            </w:pPr>
          </w:p>
        </w:tc>
        <w:tc>
          <w:tcPr>
            <w:tcW w:w="1400" w:type="dxa"/>
            <w:vAlign w:val="bottom"/>
          </w:tcPr>
          <w:p>
            <w:pPr>
              <w:jc w:val="right"/>
              <w:ind w:right="52"/>
              <w:spacing w:after="0"/>
              <w:rPr>
                <w:sz w:val="20"/>
                <w:szCs w:val="20"/>
                <w:color w:val="auto"/>
              </w:rPr>
            </w:pPr>
            <w:r>
              <w:rPr>
                <w:rFonts w:ascii="Arial" w:cs="Arial" w:eastAsia="Arial" w:hAnsi="Arial"/>
                <w:sz w:val="10"/>
                <w:szCs w:val="10"/>
                <w:color w:val="auto"/>
              </w:rPr>
              <w:t>2.339 - 3.775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CVSR Holdco Notes, due 2037 </w:t>
            </w:r>
            <w:r>
              <w:rPr>
                <w:rFonts w:ascii="Arial" w:cs="Arial" w:eastAsia="Arial" w:hAnsi="Arial"/>
                <w:sz w:val="5"/>
                <w:szCs w:val="5"/>
                <w:color w:val="auto"/>
              </w:rPr>
              <w:t>(d)</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194</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4.680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El Segundo Energy Center, due 2023</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352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400</w:t>
            </w:r>
          </w:p>
        </w:tc>
        <w:tc>
          <w:tcPr>
            <w:tcW w:w="3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L+1.75 - L+2.375</w:t>
            </w: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138</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Energy Center Minneapolis Series C, D, E, F, G, H Notes, due 2025-2037</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208</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0"/>
                <w:szCs w:val="10"/>
                <w:color w:val="auto"/>
              </w:rPr>
              <w:t>various</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Laredo Ridge, due 2028</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95</w:t>
            </w:r>
          </w:p>
        </w:tc>
        <w:tc>
          <w:tcPr>
            <w:tcW w:w="3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L+1.875</w:t>
            </w: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Kansas South, due 2030 </w:t>
            </w:r>
            <w:r>
              <w:rPr>
                <w:rFonts w:ascii="Arial" w:cs="Arial" w:eastAsia="Arial" w:hAnsi="Arial"/>
                <w:sz w:val="5"/>
                <w:szCs w:val="5"/>
                <w:color w:val="auto"/>
              </w:rPr>
              <w:t>(d)</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L+2.00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 xml:space="preserve">Marsh Landing, due 2023 </w:t>
            </w:r>
            <w:r>
              <w:rPr>
                <w:rFonts w:ascii="Arial" w:cs="Arial" w:eastAsia="Arial" w:hAnsi="Arial"/>
                <w:sz w:val="5"/>
                <w:szCs w:val="5"/>
                <w:color w:val="auto"/>
              </w:rPr>
              <w:t>(d)</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263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318</w:t>
            </w:r>
          </w:p>
        </w:tc>
        <w:tc>
          <w:tcPr>
            <w:tcW w:w="3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L+2.125</w:t>
            </w: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South Trent Wind, due 2020</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L+1.625</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Tapestry, due 2021</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151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162</w:t>
            </w:r>
          </w:p>
        </w:tc>
        <w:tc>
          <w:tcPr>
            <w:tcW w:w="3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L+1.75</w:t>
            </w: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Utah Solar Portfolio, due 2022</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0"/>
                <w:szCs w:val="10"/>
                <w:color w:val="auto"/>
              </w:rPr>
              <w:t>various</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Viento, due 2023</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146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163</w:t>
            </w:r>
          </w:p>
        </w:tc>
        <w:tc>
          <w:tcPr>
            <w:tcW w:w="3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L+2.00</w:t>
            </w:r>
          </w:p>
        </w:tc>
        <w:tc>
          <w:tcPr>
            <w:tcW w:w="12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Walnut Creek, due 2023</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267</w:t>
            </w:r>
          </w:p>
        </w:tc>
        <w:tc>
          <w:tcPr>
            <w:tcW w:w="3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L+1.75</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361</w:t>
            </w:r>
          </w:p>
        </w:tc>
        <w:tc>
          <w:tcPr>
            <w:tcW w:w="32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gridSpan w:val="2"/>
          </w:tcPr>
          <w:p>
            <w:pPr>
              <w:ind w:left="1020"/>
              <w:spacing w:after="0"/>
              <w:rPr>
                <w:sz w:val="20"/>
                <w:szCs w:val="20"/>
                <w:color w:val="auto"/>
              </w:rPr>
            </w:pPr>
            <w:r>
              <w:rPr>
                <w:rFonts w:ascii="Arial" w:cs="Arial" w:eastAsia="Arial" w:hAnsi="Arial"/>
                <w:sz w:val="10"/>
                <w:szCs w:val="10"/>
                <w:color w:val="auto"/>
              </w:rPr>
              <w:t>various</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Subtotal project-level debt</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4,329</w:t>
            </w: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4,545</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0"/>
                <w:szCs w:val="10"/>
                <w:color w:val="auto"/>
              </w:rPr>
              <w:t>Total debt</w:t>
            </w:r>
          </w:p>
        </w:tc>
        <w:tc>
          <w:tcPr>
            <w:tcW w:w="160" w:type="dxa"/>
            <w:vAlign w:val="bottom"/>
          </w:tcPr>
          <w:p>
            <w:pPr>
              <w:spacing w:after="0"/>
              <w:rPr>
                <w:sz w:val="13"/>
                <w:szCs w:val="13"/>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6,044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6,083</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current maturities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(339)</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0"/>
                <w:szCs w:val="10"/>
                <w:color w:val="auto"/>
              </w:rPr>
              <w:t>Less net debt issuance costs</w:t>
            </w:r>
          </w:p>
        </w:tc>
        <w:tc>
          <w:tcPr>
            <w:tcW w:w="160" w:type="dxa"/>
            <w:vAlign w:val="bottom"/>
          </w:tcPr>
          <w:p>
            <w:pPr>
              <w:spacing w:after="0"/>
              <w:rPr>
                <w:sz w:val="15"/>
                <w:szCs w:val="15"/>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(61)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(68)</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discounts</w:t>
            </w:r>
            <w:r>
              <w:rPr>
                <w:rFonts w:ascii="Arial" w:cs="Arial" w:eastAsia="Arial" w:hAnsi="Arial"/>
                <w:sz w:val="5"/>
                <w:szCs w:val="5"/>
                <w:color w:val="auto"/>
              </w:rPr>
              <w:t>(c)</w:t>
            </w: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(17)</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100"/>
              <w:spacing w:after="0"/>
              <w:rPr>
                <w:sz w:val="20"/>
                <w:szCs w:val="20"/>
                <w:color w:val="auto"/>
              </w:rPr>
            </w:pPr>
            <w:r>
              <w:rPr>
                <w:rFonts w:ascii="Arial" w:cs="Arial" w:eastAsia="Arial" w:hAnsi="Arial"/>
                <w:sz w:val="10"/>
                <w:szCs w:val="10"/>
                <w:color w:val="auto"/>
              </w:rPr>
              <w:t>Total long-term debt</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5,447</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5,659</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4071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11" w:lineRule="exact"/>
        <w:rPr>
          <w:sz w:val="20"/>
          <w:szCs w:val="20"/>
          <w:color w:val="auto"/>
        </w:rPr>
      </w:pPr>
    </w:p>
    <w:p>
      <w:pPr>
        <w:ind w:left="88" w:hanging="88"/>
        <w:spacing w:after="0"/>
        <w:tabs>
          <w:tab w:leader="none" w:pos="88" w:val="left"/>
        </w:tabs>
        <w:numPr>
          <w:ilvl w:val="0"/>
          <w:numId w:val="52"/>
        </w:numPr>
        <w:rPr>
          <w:rFonts w:ascii="Arial" w:cs="Arial" w:eastAsia="Arial" w:hAnsi="Arial"/>
          <w:sz w:val="6"/>
          <w:szCs w:val="6"/>
          <w:color w:val="auto"/>
        </w:rPr>
      </w:pPr>
      <w:r>
        <w:rPr>
          <w:rFonts w:ascii="Arial" w:cs="Arial" w:eastAsia="Arial" w:hAnsi="Arial"/>
          <w:sz w:val="10"/>
          <w:szCs w:val="10"/>
          <w:color w:val="auto"/>
        </w:rPr>
        <w:t>As of December 31, 2018, L+ equals 3 month LIBOR plus x%, except for Viento, due 2023 and Kansas South, due 2030 where L+ equals 6 month LIBOR plus 2.00% and Utah Solar Portfolio, where L+equals 1 month LIBOR plus x%.</w:t>
      </w:r>
    </w:p>
    <w:p>
      <w:pPr>
        <w:spacing w:after="0" w:line="11" w:lineRule="exact"/>
        <w:rPr>
          <w:rFonts w:ascii="Arial" w:cs="Arial" w:eastAsia="Arial" w:hAnsi="Arial"/>
          <w:sz w:val="6"/>
          <w:szCs w:val="6"/>
          <w:color w:val="auto"/>
        </w:rPr>
      </w:pPr>
    </w:p>
    <w:p>
      <w:pPr>
        <w:ind w:left="88" w:hanging="88"/>
        <w:spacing w:after="0"/>
        <w:tabs>
          <w:tab w:leader="none" w:pos="88" w:val="left"/>
        </w:tabs>
        <w:numPr>
          <w:ilvl w:val="0"/>
          <w:numId w:val="52"/>
        </w:numPr>
        <w:rPr>
          <w:rFonts w:ascii="Arial" w:cs="Arial" w:eastAsia="Arial" w:hAnsi="Arial"/>
          <w:sz w:val="6"/>
          <w:szCs w:val="6"/>
          <w:color w:val="auto"/>
        </w:rPr>
      </w:pPr>
      <w:r>
        <w:rPr>
          <w:rFonts w:ascii="Arial" w:cs="Arial" w:eastAsia="Arial" w:hAnsi="Arial"/>
          <w:sz w:val="10"/>
          <w:szCs w:val="10"/>
          <w:color w:val="auto"/>
        </w:rPr>
        <w:t>Applicable rate is determined by the borrower leverage ratio, as defined in the credit agreement.</w:t>
      </w:r>
    </w:p>
    <w:p>
      <w:pPr>
        <w:spacing w:after="0" w:line="11" w:lineRule="exact"/>
        <w:rPr>
          <w:rFonts w:ascii="Arial" w:cs="Arial" w:eastAsia="Arial" w:hAnsi="Arial"/>
          <w:sz w:val="6"/>
          <w:szCs w:val="6"/>
          <w:color w:val="auto"/>
        </w:rPr>
      </w:pPr>
    </w:p>
    <w:p>
      <w:pPr>
        <w:ind w:left="88" w:hanging="88"/>
        <w:spacing w:after="0"/>
        <w:tabs>
          <w:tab w:leader="none" w:pos="88" w:val="left"/>
        </w:tabs>
        <w:numPr>
          <w:ilvl w:val="0"/>
          <w:numId w:val="52"/>
        </w:numPr>
        <w:rPr>
          <w:rFonts w:ascii="Arial" w:cs="Arial" w:eastAsia="Arial" w:hAnsi="Arial"/>
          <w:sz w:val="6"/>
          <w:szCs w:val="6"/>
          <w:color w:val="auto"/>
        </w:rPr>
      </w:pPr>
      <w:r>
        <w:rPr>
          <w:rFonts w:ascii="Arial" w:cs="Arial" w:eastAsia="Arial" w:hAnsi="Arial"/>
          <w:sz w:val="10"/>
          <w:szCs w:val="10"/>
          <w:color w:val="auto"/>
        </w:rPr>
        <w:t>Discounts relate to the 2019 Convertible Notes and 2020 Convertible Notes.</w:t>
      </w:r>
    </w:p>
    <w:p>
      <w:pPr>
        <w:spacing w:after="0" w:line="11" w:lineRule="exact"/>
        <w:rPr>
          <w:rFonts w:ascii="Arial" w:cs="Arial" w:eastAsia="Arial" w:hAnsi="Arial"/>
          <w:sz w:val="6"/>
          <w:szCs w:val="6"/>
          <w:color w:val="auto"/>
        </w:rPr>
      </w:pPr>
    </w:p>
    <w:p>
      <w:pPr>
        <w:ind w:left="168" w:hanging="168"/>
        <w:spacing w:after="0" w:line="273" w:lineRule="auto"/>
        <w:tabs>
          <w:tab w:leader="none" w:pos="100" w:val="left"/>
        </w:tabs>
        <w:numPr>
          <w:ilvl w:val="0"/>
          <w:numId w:val="52"/>
        </w:numPr>
        <w:rPr>
          <w:rFonts w:ascii="Arial" w:cs="Arial" w:eastAsia="Arial" w:hAnsi="Arial"/>
          <w:sz w:val="5"/>
          <w:szCs w:val="5"/>
          <w:color w:val="auto"/>
        </w:rPr>
      </w:pPr>
      <w:r>
        <w:rPr>
          <w:rFonts w:ascii="Arial" w:cs="Arial" w:eastAsia="Arial" w:hAnsi="Arial"/>
          <w:sz w:val="8"/>
          <w:szCs w:val="8"/>
          <w:color w:val="231F20"/>
        </w:rPr>
        <w:t>On January 29, 2019, PG&amp;E filed for bankruptcy under Chapter 11 of the U.S. Bankruptcy Code. The Company has non-recourse project-level debt, and in some cases holding company debt, related to each of its subsidiaries that sell their output to PG&amp;E under long-term PPAs. The PG&amp;E bankruptcy filing is an event of default under the related financing agreements, and as a result, the respective lenders under these arrangements may accelerate the repayment of these debt balances. In addition, the event of default may have an impact on the Company’s ability to distribute cash from the project-level cash accounts to the parent entities. The Company continues to operate the projects in the normal course of business and is currently in the process of negotiating forbearance agreements with the related lenders.</w:t>
      </w:r>
    </w:p>
    <w:p>
      <w:pPr>
        <w:spacing w:after="0" w:line="59" w:lineRule="exact"/>
        <w:rPr>
          <w:sz w:val="20"/>
          <w:szCs w:val="20"/>
          <w:color w:val="auto"/>
        </w:rPr>
      </w:pPr>
    </w:p>
    <w:p>
      <w:pPr>
        <w:ind w:left="8" w:right="20" w:firstLine="270"/>
        <w:spacing w:after="0" w:line="276" w:lineRule="auto"/>
        <w:rPr>
          <w:sz w:val="20"/>
          <w:szCs w:val="20"/>
          <w:color w:val="auto"/>
        </w:rPr>
      </w:pPr>
      <w:r>
        <w:rPr>
          <w:rFonts w:ascii="Arial" w:cs="Arial" w:eastAsia="Arial" w:hAnsi="Arial"/>
          <w:sz w:val="12"/>
          <w:szCs w:val="12"/>
          <w:color w:val="auto"/>
        </w:rPr>
        <w:t>The financing arrangements listed above contain certain covenants, including financial covenants that the Company is required to be in compliance with during the term of the respective arrangement. As of December 31, 2018, the Company was in compliance with all of the required covenants.</w:t>
      </w:r>
    </w:p>
    <w:p>
      <w:pPr>
        <w:spacing w:after="0" w:line="79" w:lineRule="exact"/>
        <w:rPr>
          <w:sz w:val="20"/>
          <w:szCs w:val="20"/>
          <w:color w:val="auto"/>
        </w:rPr>
      </w:pPr>
    </w:p>
    <w:p>
      <w:pPr>
        <w:ind w:left="268"/>
        <w:spacing w:after="0"/>
        <w:rPr>
          <w:sz w:val="20"/>
          <w:szCs w:val="20"/>
          <w:color w:val="auto"/>
        </w:rPr>
      </w:pPr>
      <w:r>
        <w:rPr>
          <w:rFonts w:ascii="Arial" w:cs="Arial" w:eastAsia="Arial" w:hAnsi="Arial"/>
          <w:sz w:val="12"/>
          <w:szCs w:val="12"/>
          <w:b w:val="1"/>
          <w:bCs w:val="1"/>
          <w:i w:val="1"/>
          <w:iCs w:val="1"/>
          <w:color w:val="auto"/>
        </w:rPr>
        <w:t>Clearway Energy LLC and Clearway Energy Operating LLC Revolving Credit Facility</w:t>
      </w:r>
    </w:p>
    <w:p>
      <w:pPr>
        <w:spacing w:after="0" w:line="114" w:lineRule="exact"/>
        <w:rPr>
          <w:sz w:val="20"/>
          <w:szCs w:val="20"/>
          <w:color w:val="auto"/>
        </w:rPr>
      </w:pPr>
    </w:p>
    <w:p>
      <w:pPr>
        <w:ind w:left="268"/>
        <w:spacing w:after="0"/>
        <w:rPr>
          <w:sz w:val="20"/>
          <w:szCs w:val="20"/>
          <w:color w:val="auto"/>
        </w:rPr>
      </w:pPr>
      <w:r>
        <w:rPr>
          <w:rFonts w:ascii="Arial" w:cs="Arial" w:eastAsia="Arial" w:hAnsi="Arial"/>
          <w:sz w:val="12"/>
          <w:szCs w:val="12"/>
          <w:color w:val="231F20"/>
        </w:rPr>
        <w:t xml:space="preserve">The Company borrowed $55 million from the revolving credit facility during the </w:t>
      </w:r>
      <w:r>
        <w:rPr>
          <w:rFonts w:ascii="Arial" w:cs="Arial" w:eastAsia="Arial" w:hAnsi="Arial"/>
          <w:sz w:val="12"/>
          <w:szCs w:val="12"/>
          <w:color w:val="000000"/>
        </w:rPr>
        <w:t>year ended</w:t>
      </w:r>
      <w:r>
        <w:rPr>
          <w:rFonts w:ascii="Arial" w:cs="Arial" w:eastAsia="Arial" w:hAnsi="Arial"/>
          <w:sz w:val="12"/>
          <w:szCs w:val="12"/>
          <w:color w:val="231F20"/>
        </w:rPr>
        <w:t xml:space="preserve"> December 31, 2017 for general corporate needs as well as to fund dividend payments.</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1488"/>
          </w:cols>
          <w:pgMar w:left="212" w:top="514" w:right="199" w:bottom="1440" w:gutter="0" w:footer="0" w:header="0"/>
        </w:sectPr>
      </w:pPr>
    </w:p>
    <w:bookmarkStart w:id="110" w:name="page111"/>
    <w:bookmarkEnd w:id="110"/>
    <w:p>
      <w:pPr>
        <w:jc w:val="both"/>
        <w:ind w:firstLine="270"/>
        <w:spacing w:after="0" w:line="263" w:lineRule="auto"/>
        <w:rPr>
          <w:sz w:val="20"/>
          <w:szCs w:val="20"/>
          <w:color w:val="auto"/>
        </w:rPr>
      </w:pPr>
      <w:r>
        <w:rPr>
          <w:rFonts w:ascii="Arial" w:cs="Arial" w:eastAsia="Arial" w:hAnsi="Arial"/>
          <w:sz w:val="12"/>
          <w:szCs w:val="12"/>
          <w:color w:val="auto"/>
        </w:rPr>
        <w:t>On April 30, 2018, the Company closed on the refinancing of the revolving credit facility, which extended the maturity of the facility to April 28, 2023, and decreased the Company's overall cost of borrowing from L+2.50% to L+1.75%. The applicable rate is determined by the borrower leverage ratio, as defined in the credit agreement, and was L+1.75% as of December 31, 2018. The facility will continue to be used for general corporate purposes including financing of future acquisitions and posting letters of credit.</w:t>
      </w:r>
    </w:p>
    <w:p>
      <w:pPr>
        <w:spacing w:after="0" w:line="87"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231F20"/>
        </w:rPr>
        <w:t xml:space="preserve">On October 9, 2018, the Company terminated certain letters of credit relating to certain project PPAs in exchange for a one-time payment, which reduced the outstanding letters of credit under the revolving credit facility. As of </w:t>
      </w:r>
      <w:r>
        <w:rPr>
          <w:rFonts w:ascii="Arial" w:cs="Arial" w:eastAsia="Arial" w:hAnsi="Arial"/>
          <w:sz w:val="12"/>
          <w:szCs w:val="12"/>
          <w:color w:val="000000"/>
        </w:rPr>
        <w:t>December 31, 2018</w:t>
      </w:r>
      <w:r>
        <w:rPr>
          <w:rFonts w:ascii="Arial" w:cs="Arial" w:eastAsia="Arial" w:hAnsi="Arial"/>
          <w:sz w:val="12"/>
          <w:szCs w:val="12"/>
          <w:color w:val="231F20"/>
        </w:rPr>
        <w:t>, there were no outstanding borrowings under the revolving credit facility and the Company had $41 million of letters of credit outstanding.</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Bridge Credit Agreement</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On August 31, 2018, the Company entered into a senior unsecured 364-day bridge credit agreement, or the Bridge Credit Agreement, which provided total borrowings of up to a maximum amount of $1.5 billion at a rate per annum equal to LIBOR or a base rate plus an applicable margin equal to 3.00% in the case of LIBOR loans and 2.00% in the case of base rate loans.</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October 2018, the Company reduced the lenders' commitments under the bridge agreement from $1.5 billion to $867.5 million following the offering of the 2025 Senior Notes and the convertible notes tender offer results, each described below. On October 31, 2018, the Company terminated the Bridge Credit Agreement.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2025 Senior Notes</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On October 1, 2018, Clearway Energy Operating LLC issued $600 million of senior unsecured notes, or the 2025 Senior Notes. The 2025 Senior Notes bear interest at 5.750% and mature on October 15, 2025. Interest on the 2025 Senior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 The proceeds from the 2025 Senior Notes were partially used to repay the 2019 Convertible Notes.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2020 Convertible Senior Notes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has outstanding $45 million aggregate principal amount of 3.25% Convertible Senior Notes due 2020, or the</w:t>
      </w:r>
    </w:p>
    <w:p>
      <w:pPr>
        <w:spacing w:after="0" w:line="15"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2020 Convertible Notes. The 2020 Convertible Notes are convertible, under certain circumstances, into the Company’s Class C common stock, cash or a combination thereof at an initial conversion price of $27.50 per Class C common share, which is equivalent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to a conversion rate of approximately 36.3636 shares of Class C common stock per$1,000 principal amount of notes. Interest 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2020 Convertible Notes is payable semi-annually in arrears on June 1 and December 1 of each year. Prior to the close of business</w:t>
      </w:r>
    </w:p>
    <w:p>
      <w:pPr>
        <w:spacing w:after="0" w:line="6" w:lineRule="exact"/>
        <w:rPr>
          <w:sz w:val="20"/>
          <w:szCs w:val="20"/>
          <w:color w:val="auto"/>
        </w:rPr>
      </w:pPr>
    </w:p>
    <w:p>
      <w:pPr>
        <w:jc w:val="both"/>
        <w:ind w:right="20"/>
        <w:spacing w:after="0" w:line="250" w:lineRule="auto"/>
        <w:rPr>
          <w:sz w:val="20"/>
          <w:szCs w:val="20"/>
          <w:color w:val="auto"/>
        </w:rPr>
      </w:pPr>
      <w:r>
        <w:rPr>
          <w:rFonts w:ascii="Arial" w:cs="Arial" w:eastAsia="Arial" w:hAnsi="Arial"/>
          <w:sz w:val="12"/>
          <w:szCs w:val="12"/>
          <w:color w:val="auto"/>
        </w:rPr>
        <w:t>on the business day immediately preceding December 1, 2019, the 2020 Convertible Notes will be convertible only upon the occurrence of certain events and during certain periods, and thereafter, at any time until the close of business on the second scheduled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trading day immediately preceding the maturity date. The 2020 Convertible Notes are guaranteed by Clearway Energy Operating LLC and Clearway Energy LLC.</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Company separately accounts for the liability (debt) and equity (conversion option) components of the 2020 Convertible Notes and recognized $23 million as the value for the equity component in 2015 with the offset to debt discount. The debt discount is amortized to interest expense using the effective interest method through June 2020.</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a result of the tender offer, as further described below, a total of $45 million aggregate principal amount of the 2020 Convertible Notes remained outstanding.</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December 31, 2018, the 2020 Convertible Notes were trading at approximately 95.36% of their face value, resulting in a total market value of $43 million. The actual conversion value of the 2020 Convertible Notes is based on the product of the conversion rate and the market price of the Company's Class C common stock, as defined in the 2020 Convertible Notes indenture. As of December 31, 2018, the Company's Class C common stock closed at $17.25 per share, resulting in a pro forma conversion value for the 2020 Convertible Notes of approximately $28 million.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2019 Convertible Senior Notes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had outstanding $220 million aggregate principal amount of 3.50% Convertible Notes due 2019, or the 2019</w:t>
      </w:r>
    </w:p>
    <w:p>
      <w:pPr>
        <w:spacing w:after="0" w:line="15" w:lineRule="exact"/>
        <w:rPr>
          <w:sz w:val="20"/>
          <w:szCs w:val="20"/>
          <w:color w:val="auto"/>
        </w:rPr>
      </w:pPr>
    </w:p>
    <w:p>
      <w:pPr>
        <w:jc w:val="both"/>
        <w:ind w:right="20"/>
        <w:spacing w:after="0" w:line="361" w:lineRule="auto"/>
        <w:rPr>
          <w:sz w:val="20"/>
          <w:szCs w:val="20"/>
          <w:color w:val="auto"/>
        </w:rPr>
      </w:pPr>
      <w:r>
        <w:rPr>
          <w:rFonts w:ascii="Arial" w:cs="Arial" w:eastAsia="Arial" w:hAnsi="Arial"/>
          <w:sz w:val="10"/>
          <w:szCs w:val="10"/>
          <w:color w:val="auto"/>
        </w:rPr>
        <w:t>Convertible Notes. The 2019 Convertible Notes were convertible, under certain circumstances, into the Company’s Class A common stock, cash or a combination thereof at a conversion rate was of approximately 42.9644 shares of Class A common stock per$1,000 principal amount of 2019 Convertible Notes in accordance with the terms of the related indenture. The 2019 Convertible Notes are guaranteed by Clearway Energy Operating LLC and Clearway Energy LLC.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480"/>
          </w:cols>
          <w:pgMar w:left="220" w:top="518" w:right="199" w:bottom="1440" w:gutter="0" w:footer="0" w:header="0"/>
        </w:sectPr>
      </w:pPr>
    </w:p>
    <w:bookmarkStart w:id="111" w:name="page112"/>
    <w:bookmarkEnd w:id="111"/>
    <w:p>
      <w:pPr>
        <w:ind w:left="260"/>
        <w:spacing w:after="0"/>
        <w:rPr>
          <w:sz w:val="20"/>
          <w:szCs w:val="20"/>
          <w:color w:val="auto"/>
        </w:rPr>
      </w:pPr>
      <w:r>
        <w:rPr>
          <w:rFonts w:ascii="Arial" w:cs="Arial" w:eastAsia="Arial" w:hAnsi="Arial"/>
          <w:sz w:val="12"/>
          <w:szCs w:val="12"/>
          <w:color w:val="auto"/>
        </w:rPr>
        <w:t>The Company separately accounted for the liability (debt) and equity (conversion option) components of the 2019 Convertible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Notes and recognized $23 million as the value for the equity component in 2014 with the offset to debt discount. The debt discount was amortized to interest expense using the effective interest method through February 2019.</w:t>
      </w:r>
    </w:p>
    <w:p>
      <w:pPr>
        <w:spacing w:after="0" w:line="11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August 2018, the Company repurchased an aggregate principal amount of $16 million of the 2019 Convertible Notes in open market transactions. The repurchases were funded through a partial repayment of the intercompany note between Clearway Energy Operating LLC and Clearway Energy, Inc., which was reduced by $16 million.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a result of the tender offer, as further described below, a total of $220 million aggregate principal amount of the 2019 Convertible Notes remained outstanding as of December 31, 2018.</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of December 31, 2018, the 2019 Convertible Notes were trading at approximately 99.81% of their face value, resulting in a total market value of $219.6 million. The actual conversion value of the 2019 Convertible Notes is based on the product of the conversion rate and the market price of the Company's Class A common stock, as defined in the Convertible Debt indenture. As of December 31, 2018, the Company's Class A common stock closed at $16.92 per share, resulting in a pro forma conversion value for the Convertible Notes of approximately $160 million.</w:t>
      </w:r>
    </w:p>
    <w:p>
      <w:pPr>
        <w:spacing w:after="0" w:line="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January 2019, the Company repurchased an additional aggregate principal amount of $50 million of the 2019 Convertible Notes in open market transactions. The repurchase was funded through a partial repayment of the intercompany note between Clearway Energy Operating LLC and Clearway Energy, Inc., which was reduced by $50 million.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2019 Convertible Notes matured on February 1, 2019 and the Company paid off the remaining balance of an aggregate principal amount of $170 million.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During the years ended December 31, 2018 and 2017, the Company recorded the following expenses in relation to the 2020 and 2019 Convertible Notes on a combined basis at the effective rates of 5.10% and 5.00%,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60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31, 2018</w:t>
            </w:r>
          </w:p>
        </w:tc>
        <w:tc>
          <w:tcPr>
            <w:tcW w:w="300" w:type="dxa"/>
            <w:vAlign w:val="bottom"/>
          </w:tcPr>
          <w:p>
            <w:pPr>
              <w:spacing w:after="0"/>
              <w:rPr>
                <w:sz w:val="11"/>
                <w:szCs w:val="11"/>
                <w:color w:val="auto"/>
              </w:rPr>
            </w:pPr>
          </w:p>
        </w:tc>
        <w:tc>
          <w:tcPr>
            <w:tcW w:w="150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2017</w:t>
            </w:r>
          </w:p>
        </w:tc>
      </w:tr>
      <w:tr>
        <w:trPr>
          <w:trHeight w:val="173"/>
        </w:trPr>
        <w:tc>
          <w:tcPr>
            <w:tcW w:w="632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6"/>
                <w:szCs w:val="16"/>
                <w:color w:val="auto"/>
                <w:vertAlign w:val="superscript"/>
              </w:rPr>
              <w:t>(a)</w:t>
            </w: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w:t>
            </w: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color w:val="auto"/>
              </w:rPr>
              <w:t>Debt discount amortization</w:t>
            </w:r>
          </w:p>
        </w:tc>
        <w:tc>
          <w:tcPr>
            <w:tcW w:w="300" w:type="dxa"/>
            <w:vAlign w:val="bottom"/>
          </w:tcPr>
          <w:p>
            <w:pPr>
              <w:spacing w:after="0"/>
              <w:rPr>
                <w:sz w:val="14"/>
                <w:szCs w:val="14"/>
                <w:color w:val="auto"/>
              </w:rPr>
            </w:pPr>
          </w:p>
        </w:tc>
        <w:tc>
          <w:tcPr>
            <w:tcW w:w="150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2"/>
              <w:spacing w:after="0"/>
              <w:rPr>
                <w:sz w:val="20"/>
                <w:szCs w:val="20"/>
                <w:color w:val="auto"/>
              </w:rPr>
            </w:pPr>
            <w:r>
              <w:rPr>
                <w:rFonts w:ascii="Arial" w:cs="Arial" w:eastAsia="Arial" w:hAnsi="Arial"/>
                <w:sz w:val="12"/>
                <w:szCs w:val="12"/>
                <w:color w:val="auto"/>
              </w:rPr>
              <w:t>9</w:t>
            </w: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 issuance costs amortization</w:t>
            </w: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w:t>
            </w:r>
          </w:p>
        </w:tc>
      </w:tr>
      <w:tr>
        <w:trPr>
          <w:trHeight w:val="185"/>
        </w:trPr>
        <w:tc>
          <w:tcPr>
            <w:tcW w:w="63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108585</wp:posOffset>
            </wp:positionV>
            <wp:extent cx="16643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4335" cy="5715"/>
                    </a:xfrm>
                    <a:prstGeom prst="rect">
                      <a:avLst/>
                    </a:prstGeom>
                    <a:noFill/>
                  </pic:spPr>
                </pic:pic>
              </a:graphicData>
            </a:graphic>
          </wp:anchor>
        </w:drawing>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 Interest expense is calculated using coupon rate of 3.25% and 3.50% for 2020 and 2019 Convertible Notes, respectively.</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2019 Convertible Notes and 2020 Convertible Notes Tender Offer</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On September 10, 2018, pursuant to the 2019 Convertible Notes and the 2020 Convertible Notes indentures, the Company delivered to the holders of the 2019 Convertible Notes and the 2020 Convertible Notes a fundamental change notice and offer to repurchase any and all of the 2019 Convertible Notes and 2020 Convertible Notes for cash at a price equal to 100% of the principal amount of the Convertible Notes plus any accrued and unpaid interest. An aggregate principal amount of $109 million of the 2019 Convertible Notes and $243 million of the 2020 Convertible Notes were tendered on or prior to the expiration date of October 9, 2018 and accepted by the Company for purchase. The Company recorded a loss on extinguishment in the amount $7 million primarily related to the repurchase of the 2020 Convertible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480"/>
          </w:cols>
          <w:pgMar w:left="220" w:top="518" w:right="19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i w:val="1"/>
          <w:iCs w:val="1"/>
          <w:color w:val="auto"/>
        </w:rPr>
        <w:t>Project - level Debt</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Energy Center Minneapolis Series E, F, G, H Notes</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On June 19, 2018,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96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2"/>
                <w:szCs w:val="12"/>
                <w:color w:val="auto"/>
              </w:rPr>
            </w:pPr>
          </w:p>
        </w:tc>
        <w:tc>
          <w:tcPr>
            <w:tcW w:w="1240" w:type="dxa"/>
            <w:vAlign w:val="bottom"/>
          </w:tcPr>
          <w:p>
            <w:pPr>
              <w:jc w:val="right"/>
              <w:ind w:right="546"/>
              <w:spacing w:after="0"/>
              <w:rPr>
                <w:sz w:val="20"/>
                <w:szCs w:val="20"/>
                <w:color w:val="auto"/>
              </w:rPr>
            </w:pPr>
            <w:r>
              <w:rPr>
                <w:rFonts w:ascii="Arial" w:cs="Arial" w:eastAsia="Arial" w:hAnsi="Arial"/>
                <w:sz w:val="11"/>
                <w:szCs w:val="11"/>
                <w:b w:val="1"/>
                <w:bCs w:val="1"/>
                <w:color w:val="auto"/>
              </w:rPr>
              <w:t>Amount</w:t>
            </w:r>
          </w:p>
        </w:tc>
        <w:tc>
          <w:tcPr>
            <w:tcW w:w="1800" w:type="dxa"/>
            <w:vAlign w:val="bottom"/>
          </w:tcPr>
          <w:p>
            <w:pPr>
              <w:jc w:val="right"/>
              <w:ind w:right="486"/>
              <w:spacing w:after="0"/>
              <w:rPr>
                <w:sz w:val="20"/>
                <w:szCs w:val="20"/>
                <w:color w:val="auto"/>
              </w:rPr>
            </w:pPr>
            <w:r>
              <w:rPr>
                <w:rFonts w:ascii="Arial" w:cs="Arial" w:eastAsia="Arial" w:hAnsi="Arial"/>
                <w:sz w:val="11"/>
                <w:szCs w:val="11"/>
                <w:b w:val="1"/>
                <w:bCs w:val="1"/>
                <w:color w:val="auto"/>
              </w:rPr>
              <w:t>Interest Rate</w:t>
            </w:r>
          </w:p>
        </w:tc>
      </w:tr>
      <w:tr>
        <w:trPr>
          <w:trHeight w:val="22"/>
        </w:trPr>
        <w:tc>
          <w:tcPr>
            <w:tcW w:w="7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Energy Center Minneapolis Series E Notes, due 2033</w:t>
            </w: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4.80%</w:t>
            </w:r>
          </w:p>
        </w:tc>
      </w:tr>
      <w:tr>
        <w:trPr>
          <w:trHeight w:val="158"/>
        </w:trPr>
        <w:tc>
          <w:tcPr>
            <w:tcW w:w="7960" w:type="dxa"/>
            <w:vAlign w:val="bottom"/>
          </w:tcPr>
          <w:p>
            <w:pPr>
              <w:ind w:left="20"/>
              <w:spacing w:after="0"/>
              <w:rPr>
                <w:sz w:val="20"/>
                <w:szCs w:val="20"/>
                <w:color w:val="auto"/>
              </w:rPr>
            </w:pPr>
            <w:r>
              <w:rPr>
                <w:rFonts w:ascii="Arial" w:cs="Arial" w:eastAsia="Arial" w:hAnsi="Arial"/>
                <w:sz w:val="11"/>
                <w:szCs w:val="11"/>
                <w:color w:val="auto"/>
              </w:rPr>
              <w:t>Energy Center Minneapolis Series F Notes, due 2033</w:t>
            </w:r>
          </w:p>
        </w:tc>
        <w:tc>
          <w:tcPr>
            <w:tcW w:w="340" w:type="dxa"/>
            <w:vAlign w:val="bottom"/>
          </w:tcPr>
          <w:p>
            <w:pPr>
              <w:spacing w:after="0"/>
              <w:rPr>
                <w:sz w:val="13"/>
                <w:szCs w:val="13"/>
                <w:color w:val="auto"/>
              </w:rPr>
            </w:pPr>
          </w:p>
        </w:tc>
        <w:tc>
          <w:tcPr>
            <w:tcW w:w="124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800" w:type="dxa"/>
            <w:vAlign w:val="bottom"/>
          </w:tcPr>
          <w:p>
            <w:pPr>
              <w:jc w:val="right"/>
              <w:spacing w:after="0"/>
              <w:rPr>
                <w:sz w:val="20"/>
                <w:szCs w:val="20"/>
                <w:color w:val="auto"/>
              </w:rPr>
            </w:pPr>
            <w:r>
              <w:rPr>
                <w:rFonts w:ascii="Arial" w:cs="Arial" w:eastAsia="Arial" w:hAnsi="Arial"/>
                <w:sz w:val="11"/>
                <w:szCs w:val="11"/>
                <w:color w:val="auto"/>
              </w:rPr>
              <w:t>4.60%</w:t>
            </w:r>
          </w:p>
        </w:tc>
      </w:tr>
      <w:tr>
        <w:trPr>
          <w:trHeight w:val="22"/>
        </w:trPr>
        <w:tc>
          <w:tcPr>
            <w:tcW w:w="7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Energy Center Minneapolis Series G Notes, due 2035</w:t>
            </w:r>
          </w:p>
        </w:tc>
        <w:tc>
          <w:tcPr>
            <w:tcW w:w="3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5.90%</w:t>
            </w:r>
          </w:p>
        </w:tc>
      </w:tr>
      <w:tr>
        <w:trPr>
          <w:trHeight w:val="158"/>
        </w:trPr>
        <w:tc>
          <w:tcPr>
            <w:tcW w:w="7960" w:type="dxa"/>
            <w:vAlign w:val="bottom"/>
          </w:tcPr>
          <w:p>
            <w:pPr>
              <w:ind w:left="20"/>
              <w:spacing w:after="0"/>
              <w:rPr>
                <w:sz w:val="20"/>
                <w:szCs w:val="20"/>
                <w:color w:val="auto"/>
              </w:rPr>
            </w:pPr>
            <w:r>
              <w:rPr>
                <w:rFonts w:ascii="Arial" w:cs="Arial" w:eastAsia="Arial" w:hAnsi="Arial"/>
                <w:sz w:val="11"/>
                <w:szCs w:val="11"/>
                <w:color w:val="auto"/>
              </w:rPr>
              <w:t>Energy Center Minneapolis Series H Notes, due 2037</w:t>
            </w:r>
          </w:p>
        </w:tc>
        <w:tc>
          <w:tcPr>
            <w:tcW w:w="340" w:type="dxa"/>
            <w:vAlign w:val="bottom"/>
          </w:tcPr>
          <w:p>
            <w:pPr>
              <w:spacing w:after="0"/>
              <w:rPr>
                <w:sz w:val="13"/>
                <w:szCs w:val="13"/>
                <w:color w:val="auto"/>
              </w:rPr>
            </w:pPr>
          </w:p>
        </w:tc>
        <w:tc>
          <w:tcPr>
            <w:tcW w:w="124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800" w:type="dxa"/>
            <w:vAlign w:val="bottom"/>
          </w:tcPr>
          <w:p>
            <w:pPr>
              <w:jc w:val="right"/>
              <w:spacing w:after="0"/>
              <w:rPr>
                <w:sz w:val="20"/>
                <w:szCs w:val="20"/>
                <w:color w:val="auto"/>
              </w:rPr>
            </w:pPr>
            <w:r>
              <w:rPr>
                <w:rFonts w:ascii="Arial" w:cs="Arial" w:eastAsia="Arial" w:hAnsi="Arial"/>
                <w:sz w:val="11"/>
                <w:szCs w:val="11"/>
                <w:color w:val="auto"/>
              </w:rPr>
              <w:t>4.83%</w:t>
            </w: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r>
      <w:tr>
        <w:trPr>
          <w:trHeight w:val="14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Total proceeds</w:t>
            </w: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203</w:t>
            </w:r>
          </w:p>
        </w:tc>
        <w:tc>
          <w:tcPr>
            <w:tcW w:w="1800" w:type="dxa"/>
            <w:vAlign w:val="bottom"/>
            <w:tcBorders>
              <w:bottom w:val="single" w:sz="8" w:color="CCEEFF"/>
            </w:tcBorders>
            <w:shd w:val="clear" w:color="auto" w:fill="CCEEFF"/>
          </w:tcPr>
          <w:p>
            <w:pPr>
              <w:spacing w:after="0"/>
              <w:rPr>
                <w:sz w:val="12"/>
                <w:szCs w:val="12"/>
                <w:color w:val="auto"/>
              </w:rPr>
            </w:pPr>
          </w:p>
        </w:tc>
      </w:tr>
      <w:tr>
        <w:trPr>
          <w:trHeight w:val="158"/>
        </w:trPr>
        <w:tc>
          <w:tcPr>
            <w:tcW w:w="7960" w:type="dxa"/>
            <w:vAlign w:val="bottom"/>
          </w:tcPr>
          <w:p>
            <w:pPr>
              <w:ind w:left="20"/>
              <w:spacing w:after="0"/>
              <w:rPr>
                <w:sz w:val="20"/>
                <w:szCs w:val="20"/>
                <w:color w:val="auto"/>
              </w:rPr>
            </w:pPr>
            <w:r>
              <w:rPr>
                <w:rFonts w:ascii="Arial" w:cs="Arial" w:eastAsia="Arial" w:hAnsi="Arial"/>
                <w:sz w:val="11"/>
                <w:szCs w:val="11"/>
                <w:color w:val="auto"/>
              </w:rPr>
              <w:t>Repayment of Energy Center Minneapolis Series C Notes, due 2025</w:t>
            </w:r>
          </w:p>
        </w:tc>
        <w:tc>
          <w:tcPr>
            <w:tcW w:w="3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1800" w:type="dxa"/>
            <w:vAlign w:val="bottom"/>
          </w:tcPr>
          <w:p>
            <w:pPr>
              <w:jc w:val="right"/>
              <w:spacing w:after="0"/>
              <w:rPr>
                <w:sz w:val="20"/>
                <w:szCs w:val="20"/>
                <w:color w:val="auto"/>
              </w:rPr>
            </w:pPr>
            <w:r>
              <w:rPr>
                <w:rFonts w:ascii="Arial" w:cs="Arial" w:eastAsia="Arial" w:hAnsi="Arial"/>
                <w:sz w:val="11"/>
                <w:szCs w:val="11"/>
                <w:color w:val="auto"/>
              </w:rPr>
              <w:t>5.95%</w:t>
            </w: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r>
      <w:tr>
        <w:trPr>
          <w:trHeight w:val="167"/>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Net borrowings</w:t>
            </w: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120</w:t>
            </w:r>
          </w:p>
        </w:tc>
        <w:tc>
          <w:tcPr>
            <w:tcW w:w="1800" w:type="dxa"/>
            <w:vAlign w:val="bottom"/>
            <w:tcBorders>
              <w:bottom w:val="single" w:sz="8" w:color="CCEEFF"/>
            </w:tcBorders>
            <w:shd w:val="clear" w:color="auto" w:fill="CCEEFF"/>
          </w:tcPr>
          <w:p>
            <w:pPr>
              <w:spacing w:after="0"/>
              <w:rPr>
                <w:sz w:val="14"/>
                <w:szCs w:val="14"/>
                <w:color w:val="auto"/>
              </w:rPr>
            </w:pPr>
          </w:p>
        </w:tc>
      </w:tr>
    </w:tbl>
    <w:p>
      <w:pPr>
        <w:spacing w:after="0" w:line="9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Series G Notes were used to refinance the Series C Notes as noted above in the table. The Series H Notes were used to make a dividend to Clearway Energy Operating LLC.</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amended and restated Thermal note purchase and private shelf agreement also established a private shelf facility for the future issuance of notes in the amount of $40 million.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Buckthorn Solar Drop Down Asset Debt</w:t>
      </w:r>
    </w:p>
    <w:p>
      <w:pPr>
        <w:spacing w:after="0" w:line="114"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 xml:space="preserve">As part of the Buckthorn Solar Drop Down Asset acquisition, as further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contribution from the Class A member in the amount of $80 million upon the project reaching substantial completion in May 2018.</w:t>
      </w:r>
    </w:p>
    <w:p>
      <w:pPr>
        <w:spacing w:after="0" w:line="8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November 2017 Drop Down Assets Debt</w:t>
      </w:r>
    </w:p>
    <w:p>
      <w:pPr>
        <w:spacing w:after="0" w:line="114" w:lineRule="exact"/>
        <w:rPr>
          <w:sz w:val="20"/>
          <w:szCs w:val="20"/>
          <w:color w:val="auto"/>
        </w:rPr>
      </w:pPr>
    </w:p>
    <w:p>
      <w:pPr>
        <w:jc w:val="both"/>
        <w:ind w:firstLine="261"/>
        <w:spacing w:after="0" w:line="298" w:lineRule="auto"/>
        <w:rPr>
          <w:sz w:val="20"/>
          <w:szCs w:val="20"/>
          <w:color w:val="auto"/>
        </w:rPr>
      </w:pPr>
      <w:r>
        <w:rPr>
          <w:rFonts w:ascii="Arial" w:cs="Arial" w:eastAsia="Arial" w:hAnsi="Arial"/>
          <w:sz w:val="11"/>
          <w:szCs w:val="11"/>
          <w:color w:val="auto"/>
        </w:rPr>
        <w:t>As part of the November 2017 Drop Down acquisition, the Company assumed non-recourse debt of $26 million relating to certain SPP funds. The assumed debt consisted of the following: a) a term loan under a credit agreement with a bank, with a maturity date of December 31, 2038 and interest rate of 4.69%. The credit agreement includes a letter of credit supporting debt service requirements and a letter of credit in support of the PPA; b) and financing obligation in connection with a sale-leaseback transaction with a bank for a period through March 31, 2032. The company will accrete the financing obligation over the lease term based on the lease's implicit interest rate of 8%.</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Agua Caliente Borrower 2, due 2038</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held $39 million of the Agua Caliente Holdco debt as of December 31, 2018.</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debt is joint and several with respect to Agua Caliente Borrower 1 LLC and Agua Caliente Borrower 2 LLC and is secured by the equity interests of each borrower in the Agua Caliente solar facility.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480"/>
          </w:cols>
          <w:pgMar w:left="220" w:top="660" w:right="199" w:bottom="1440" w:gutter="0" w:footer="0" w:header="0"/>
        </w:sectPr>
      </w:pPr>
    </w:p>
    <w:bookmarkStart w:id="113" w:name="page114"/>
    <w:bookmarkEnd w:id="113"/>
    <w:p>
      <w:pPr>
        <w:ind w:left="260"/>
        <w:spacing w:after="0"/>
        <w:rPr>
          <w:sz w:val="20"/>
          <w:szCs w:val="20"/>
          <w:color w:val="auto"/>
        </w:rPr>
      </w:pPr>
      <w:r>
        <w:rPr>
          <w:rFonts w:ascii="Arial" w:cs="Arial" w:eastAsia="Arial" w:hAnsi="Arial"/>
          <w:sz w:val="12"/>
          <w:szCs w:val="12"/>
          <w:b w:val="1"/>
          <w:bCs w:val="1"/>
          <w:i w:val="1"/>
          <w:iCs w:val="1"/>
          <w:color w:val="auto"/>
        </w:rPr>
        <w:t>Utah Solar Portfolio, due 2022</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part of the March 2017 Drop Down Assets acquisition, the Company assumed non-recourse debt of $287 million relating to the Utah Solar Portfolio at an interest rate of LIBOR plus 2.625%. The debt matures on December 16,</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2022. The $287 million consisted of $222 million outstanding at the time of NRG's acquisition of the Utah Solar Portfolio on November 2, 2016, and additional borrowings of $65 million, net of debt issuance costs, incurred during 2016.</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Company held $267 million of the Utah Solar Portfolio debt as of December 31, 2018.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Interest Rate Swaps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Project Financings</w:t>
      </w:r>
    </w:p>
    <w:p>
      <w:pPr>
        <w:spacing w:after="0" w:line="11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the swaps, some of which are forward starting as indicated, related to the Company's project level debt as of December 31,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Fixed Interest</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Notional Amount at December 31,</w:t>
            </w: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 of Principal</w:t>
            </w: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Rate</w:t>
            </w:r>
          </w:p>
        </w:tc>
        <w:tc>
          <w:tcPr>
            <w:tcW w:w="1600" w:type="dxa"/>
            <w:vAlign w:val="bottom"/>
            <w:gridSpan w:val="2"/>
          </w:tcPr>
          <w:p>
            <w:pPr>
              <w:ind w:left="240"/>
              <w:spacing w:after="0"/>
              <w:rPr>
                <w:sz w:val="20"/>
                <w:szCs w:val="20"/>
                <w:color w:val="auto"/>
              </w:rPr>
            </w:pPr>
            <w:r>
              <w:rPr>
                <w:rFonts w:ascii="Arial" w:cs="Arial" w:eastAsia="Arial" w:hAnsi="Arial"/>
                <w:sz w:val="11"/>
                <w:szCs w:val="11"/>
                <w:b w:val="1"/>
                <w:bCs w:val="1"/>
                <w:color w:val="auto"/>
              </w:rPr>
              <w:t>Floating Interest Rate</w:t>
            </w:r>
          </w:p>
        </w:tc>
        <w:tc>
          <w:tcPr>
            <w:tcW w:w="80" w:type="dxa"/>
            <w:vAlign w:val="bottom"/>
          </w:tcPr>
          <w:p>
            <w:pPr>
              <w:spacing w:after="0"/>
              <w:rPr>
                <w:sz w:val="12"/>
                <w:szCs w:val="12"/>
                <w:color w:val="auto"/>
              </w:rPr>
            </w:pPr>
          </w:p>
        </w:tc>
        <w:tc>
          <w:tcPr>
            <w:tcW w:w="1640" w:type="dxa"/>
            <w:vAlign w:val="bottom"/>
          </w:tcPr>
          <w:p>
            <w:pPr>
              <w:jc w:val="right"/>
              <w:ind w:right="386"/>
              <w:spacing w:after="0"/>
              <w:rPr>
                <w:sz w:val="20"/>
                <w:szCs w:val="20"/>
                <w:color w:val="auto"/>
              </w:rPr>
            </w:pPr>
            <w:r>
              <w:rPr>
                <w:rFonts w:ascii="Arial" w:cs="Arial" w:eastAsia="Arial" w:hAnsi="Arial"/>
                <w:sz w:val="11"/>
                <w:szCs w:val="11"/>
                <w:b w:val="1"/>
                <w:bCs w:val="1"/>
                <w:color w:val="auto"/>
              </w:rPr>
              <w:t>2018 (In millions)</w:t>
            </w:r>
          </w:p>
        </w:tc>
        <w:tc>
          <w:tcPr>
            <w:tcW w:w="120" w:type="dxa"/>
            <w:vAlign w:val="bottom"/>
          </w:tcPr>
          <w:p>
            <w:pPr>
              <w:spacing w:after="0"/>
              <w:rPr>
                <w:sz w:val="12"/>
                <w:szCs w:val="12"/>
                <w:color w:val="auto"/>
              </w:rPr>
            </w:pPr>
          </w:p>
        </w:tc>
        <w:tc>
          <w:tcPr>
            <w:tcW w:w="2060" w:type="dxa"/>
            <w:vAlign w:val="bottom"/>
            <w:gridSpan w:val="2"/>
          </w:tcPr>
          <w:p>
            <w:pPr>
              <w:ind w:left="640"/>
              <w:spacing w:after="0"/>
              <w:rPr>
                <w:sz w:val="20"/>
                <w:szCs w:val="20"/>
                <w:color w:val="auto"/>
              </w:rPr>
            </w:pPr>
            <w:r>
              <w:rPr>
                <w:rFonts w:ascii="Arial" w:cs="Arial" w:eastAsia="Arial" w:hAnsi="Arial"/>
                <w:sz w:val="11"/>
                <w:szCs w:val="11"/>
                <w:b w:val="1"/>
                <w:bCs w:val="1"/>
                <w:color w:val="auto"/>
              </w:rPr>
              <w:t>Effective Date</w:t>
            </w:r>
          </w:p>
        </w:tc>
        <w:tc>
          <w:tcPr>
            <w:tcW w:w="1940" w:type="dxa"/>
            <w:vAlign w:val="bottom"/>
          </w:tcPr>
          <w:p>
            <w:pPr>
              <w:jc w:val="right"/>
              <w:ind w:right="586"/>
              <w:spacing w:after="0"/>
              <w:rPr>
                <w:sz w:val="20"/>
                <w:szCs w:val="20"/>
                <w:color w:val="auto"/>
              </w:rPr>
            </w:pPr>
            <w:r>
              <w:rPr>
                <w:rFonts w:ascii="Arial" w:cs="Arial" w:eastAsia="Arial" w:hAnsi="Arial"/>
                <w:sz w:val="11"/>
                <w:szCs w:val="11"/>
                <w:b w:val="1"/>
                <w:bCs w:val="1"/>
                <w:color w:val="auto"/>
              </w:rPr>
              <w:t>Maturity Date</w:t>
            </w:r>
          </w:p>
        </w:tc>
      </w:tr>
      <w:tr>
        <w:trPr>
          <w:trHeight w:val="22"/>
        </w:trPr>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4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Alpine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1"/>
                <w:szCs w:val="11"/>
                <w:color w:val="auto"/>
              </w:rPr>
              <w:t>various</w:t>
            </w: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c>
          <w:tcPr>
            <w:tcW w:w="12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Avra Valley</w:t>
            </w:r>
          </w:p>
        </w:tc>
        <w:tc>
          <w:tcPr>
            <w:tcW w:w="920" w:type="dxa"/>
            <w:vAlign w:val="bottom"/>
          </w:tcPr>
          <w:p>
            <w:pPr>
              <w:jc w:val="right"/>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2.333%</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November 30, 2012</w:t>
            </w:r>
          </w:p>
        </w:tc>
        <w:tc>
          <w:tcPr>
            <w:tcW w:w="1940" w:type="dxa"/>
            <w:vAlign w:val="bottom"/>
          </w:tcPr>
          <w:p>
            <w:pPr>
              <w:jc w:val="right"/>
              <w:spacing w:after="0"/>
              <w:rPr>
                <w:sz w:val="20"/>
                <w:szCs w:val="20"/>
                <w:color w:val="auto"/>
              </w:rPr>
            </w:pPr>
            <w:r>
              <w:rPr>
                <w:rFonts w:ascii="Arial" w:cs="Arial" w:eastAsia="Arial" w:hAnsi="Arial"/>
                <w:sz w:val="11"/>
                <w:szCs w:val="11"/>
                <w:color w:val="auto"/>
              </w:rPr>
              <w:t>November 30, 2030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AWAM</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1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May 22, 2013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May 15, 2031</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Blythe</w:t>
            </w:r>
          </w:p>
        </w:tc>
        <w:tc>
          <w:tcPr>
            <w:tcW w:w="920" w:type="dxa"/>
            <w:vAlign w:val="bottom"/>
          </w:tcPr>
          <w:p>
            <w:pPr>
              <w:jc w:val="right"/>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3.563%</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June 25, 2010</w:t>
            </w:r>
          </w:p>
        </w:tc>
        <w:tc>
          <w:tcPr>
            <w:tcW w:w="1940" w:type="dxa"/>
            <w:vAlign w:val="bottom"/>
          </w:tcPr>
          <w:p>
            <w:pPr>
              <w:jc w:val="right"/>
              <w:spacing w:after="0"/>
              <w:rPr>
                <w:sz w:val="20"/>
                <w:szCs w:val="20"/>
                <w:color w:val="auto"/>
              </w:rPr>
            </w:pPr>
            <w:r>
              <w:rPr>
                <w:rFonts w:ascii="Arial" w:cs="Arial" w:eastAsia="Arial" w:hAnsi="Arial"/>
                <w:sz w:val="11"/>
                <w:szCs w:val="11"/>
                <w:color w:val="auto"/>
              </w:rPr>
              <w:t>June 25, 2028</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Borrego</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1.125%</w:t>
            </w:r>
          </w:p>
        </w:tc>
        <w:tc>
          <w:tcPr>
            <w:tcW w:w="1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April 3, 2013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June 30, 2020</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Buckthorn Solar</w:t>
            </w:r>
          </w:p>
        </w:tc>
        <w:tc>
          <w:tcPr>
            <w:tcW w:w="920" w:type="dxa"/>
            <w:vAlign w:val="bottom"/>
          </w:tcPr>
          <w:p>
            <w:pPr>
              <w:jc w:val="right"/>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13"/>
                <w:szCs w:val="13"/>
                <w:color w:val="auto"/>
              </w:rPr>
            </w:pPr>
          </w:p>
        </w:tc>
        <w:tc>
          <w:tcPr>
            <w:tcW w:w="820" w:type="dxa"/>
            <w:vAlign w:val="bottom"/>
            <w:gridSpan w:val="2"/>
          </w:tcPr>
          <w:p>
            <w:pPr>
              <w:ind w:left="260"/>
              <w:spacing w:after="0"/>
              <w:rPr>
                <w:sz w:val="20"/>
                <w:szCs w:val="20"/>
                <w:color w:val="auto"/>
              </w:rPr>
            </w:pPr>
            <w:r>
              <w:rPr>
                <w:rFonts w:ascii="Arial" w:cs="Arial" w:eastAsia="Arial" w:hAnsi="Arial"/>
                <w:sz w:val="11"/>
                <w:szCs w:val="11"/>
                <w:color w:val="auto"/>
              </w:rPr>
              <w:t>various</w:t>
            </w: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February 28, 2018</w:t>
            </w:r>
          </w:p>
        </w:tc>
        <w:tc>
          <w:tcPr>
            <w:tcW w:w="1940" w:type="dxa"/>
            <w:vAlign w:val="bottom"/>
          </w:tcPr>
          <w:p>
            <w:pPr>
              <w:jc w:val="right"/>
              <w:spacing w:after="0"/>
              <w:rPr>
                <w:sz w:val="20"/>
                <w:szCs w:val="20"/>
                <w:color w:val="auto"/>
              </w:rPr>
            </w:pPr>
            <w:r>
              <w:rPr>
                <w:rFonts w:ascii="Arial" w:cs="Arial" w:eastAsia="Arial" w:hAnsi="Arial"/>
                <w:sz w:val="11"/>
                <w:szCs w:val="11"/>
                <w:color w:val="auto"/>
              </w:rPr>
              <w:t>December 31, 2041</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El Segundo</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1"/>
                <w:szCs w:val="11"/>
                <w:color w:val="auto"/>
              </w:rPr>
              <w:t>various</w:t>
            </w: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299</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Kansas South</w:t>
            </w:r>
          </w:p>
        </w:tc>
        <w:tc>
          <w:tcPr>
            <w:tcW w:w="920" w:type="dxa"/>
            <w:vAlign w:val="bottom"/>
          </w:tcPr>
          <w:p>
            <w:pPr>
              <w:jc w:val="right"/>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2.368%</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6-Month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June 28, 2013</w:t>
            </w:r>
          </w:p>
        </w:tc>
        <w:tc>
          <w:tcPr>
            <w:tcW w:w="1940" w:type="dxa"/>
            <w:vAlign w:val="bottom"/>
          </w:tcPr>
          <w:p>
            <w:pPr>
              <w:jc w:val="right"/>
              <w:spacing w:after="0"/>
              <w:rPr>
                <w:sz w:val="20"/>
                <w:szCs w:val="20"/>
                <w:color w:val="auto"/>
              </w:rPr>
            </w:pPr>
            <w:r>
              <w:rPr>
                <w:rFonts w:ascii="Arial" w:cs="Arial" w:eastAsia="Arial" w:hAnsi="Arial"/>
                <w:sz w:val="11"/>
                <w:szCs w:val="11"/>
                <w:color w:val="auto"/>
              </w:rPr>
              <w:t>December 31, 2030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Laredo Ridge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1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March 31, 2011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March 31, 2026</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Marsh Landing</w:t>
            </w:r>
          </w:p>
        </w:tc>
        <w:tc>
          <w:tcPr>
            <w:tcW w:w="920" w:type="dxa"/>
            <w:vAlign w:val="bottom"/>
          </w:tcPr>
          <w:p>
            <w:pPr>
              <w:jc w:val="right"/>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3.244%</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246</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June 28, 2013</w:t>
            </w:r>
          </w:p>
        </w:tc>
        <w:tc>
          <w:tcPr>
            <w:tcW w:w="1940" w:type="dxa"/>
            <w:vAlign w:val="bottom"/>
          </w:tcPr>
          <w:p>
            <w:pPr>
              <w:jc w:val="right"/>
              <w:spacing w:after="0"/>
              <w:rPr>
                <w:sz w:val="20"/>
                <w:szCs w:val="20"/>
                <w:color w:val="auto"/>
              </w:rPr>
            </w:pPr>
            <w:r>
              <w:rPr>
                <w:rFonts w:ascii="Arial" w:cs="Arial" w:eastAsia="Arial" w:hAnsi="Arial"/>
                <w:sz w:val="11"/>
                <w:szCs w:val="11"/>
                <w:color w:val="auto"/>
              </w:rPr>
              <w:t>June 30, 2023</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Roadrunner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4.313%</w:t>
            </w:r>
          </w:p>
        </w:tc>
        <w:tc>
          <w:tcPr>
            <w:tcW w:w="1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September 30, 2011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December 31, 2029</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South Trent</w:t>
            </w:r>
          </w:p>
        </w:tc>
        <w:tc>
          <w:tcPr>
            <w:tcW w:w="920" w:type="dxa"/>
            <w:vAlign w:val="bottom"/>
          </w:tcPr>
          <w:p>
            <w:pPr>
              <w:jc w:val="right"/>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3.265%</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June 15, 2010</w:t>
            </w:r>
          </w:p>
        </w:tc>
        <w:tc>
          <w:tcPr>
            <w:tcW w:w="1940" w:type="dxa"/>
            <w:vAlign w:val="bottom"/>
          </w:tcPr>
          <w:p>
            <w:pPr>
              <w:jc w:val="right"/>
              <w:spacing w:after="0"/>
              <w:rPr>
                <w:sz w:val="20"/>
                <w:szCs w:val="20"/>
                <w:color w:val="auto"/>
              </w:rPr>
            </w:pPr>
            <w:r>
              <w:rPr>
                <w:rFonts w:ascii="Arial" w:cs="Arial" w:eastAsia="Arial" w:hAnsi="Arial"/>
                <w:sz w:val="11"/>
                <w:szCs w:val="11"/>
                <w:color w:val="auto"/>
              </w:rPr>
              <w:t>June 14, 2020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South Trent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4.95%</w:t>
            </w:r>
          </w:p>
        </w:tc>
        <w:tc>
          <w:tcPr>
            <w:tcW w:w="1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June 30, 2020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June 14, 2028</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Tapestry</w:t>
            </w:r>
          </w:p>
        </w:tc>
        <w:tc>
          <w:tcPr>
            <w:tcW w:w="920" w:type="dxa"/>
            <w:vAlign w:val="bottom"/>
          </w:tcPr>
          <w:p>
            <w:pPr>
              <w:jc w:val="right"/>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136</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December 30, 2011</w:t>
            </w:r>
          </w:p>
        </w:tc>
        <w:tc>
          <w:tcPr>
            <w:tcW w:w="1940" w:type="dxa"/>
            <w:vAlign w:val="bottom"/>
          </w:tcPr>
          <w:p>
            <w:pPr>
              <w:jc w:val="right"/>
              <w:spacing w:after="0"/>
              <w:rPr>
                <w:sz w:val="20"/>
                <w:szCs w:val="20"/>
                <w:color w:val="auto"/>
              </w:rPr>
            </w:pPr>
            <w:r>
              <w:rPr>
                <w:rFonts w:ascii="Arial" w:cs="Arial" w:eastAsia="Arial" w:hAnsi="Arial"/>
                <w:sz w:val="11"/>
                <w:szCs w:val="11"/>
                <w:color w:val="auto"/>
              </w:rPr>
              <w:t>December 21, 2021</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Tapestry</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1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December 21, 2021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December 21, 2029</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Utah Solar Portfolio</w:t>
            </w:r>
          </w:p>
        </w:tc>
        <w:tc>
          <w:tcPr>
            <w:tcW w:w="920" w:type="dxa"/>
            <w:vAlign w:val="bottom"/>
          </w:tcPr>
          <w:p>
            <w:pPr>
              <w:jc w:val="right"/>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3"/>
                <w:szCs w:val="13"/>
                <w:color w:val="auto"/>
              </w:rPr>
            </w:pPr>
          </w:p>
        </w:tc>
        <w:tc>
          <w:tcPr>
            <w:tcW w:w="820" w:type="dxa"/>
            <w:vAlign w:val="bottom"/>
            <w:gridSpan w:val="2"/>
          </w:tcPr>
          <w:p>
            <w:pPr>
              <w:ind w:left="260"/>
              <w:spacing w:after="0"/>
              <w:rPr>
                <w:sz w:val="20"/>
                <w:szCs w:val="20"/>
                <w:color w:val="auto"/>
              </w:rPr>
            </w:pPr>
            <w:r>
              <w:rPr>
                <w:rFonts w:ascii="Arial" w:cs="Arial" w:eastAsia="Arial" w:hAnsi="Arial"/>
                <w:sz w:val="11"/>
                <w:szCs w:val="11"/>
                <w:color w:val="auto"/>
              </w:rPr>
              <w:t>various</w:t>
            </w: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1-Month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various</w:t>
            </w:r>
          </w:p>
        </w:tc>
        <w:tc>
          <w:tcPr>
            <w:tcW w:w="1940" w:type="dxa"/>
            <w:vAlign w:val="bottom"/>
          </w:tcPr>
          <w:p>
            <w:pPr>
              <w:jc w:val="right"/>
              <w:spacing w:after="0"/>
              <w:rPr>
                <w:sz w:val="20"/>
                <w:szCs w:val="20"/>
                <w:color w:val="auto"/>
              </w:rPr>
            </w:pPr>
            <w:r>
              <w:rPr>
                <w:rFonts w:ascii="Arial" w:cs="Arial" w:eastAsia="Arial" w:hAnsi="Arial"/>
                <w:sz w:val="11"/>
                <w:szCs w:val="11"/>
                <w:color w:val="auto"/>
              </w:rPr>
              <w:t>September 30, 2036</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Viento Funding II</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1"/>
                <w:szCs w:val="11"/>
                <w:color w:val="auto"/>
              </w:rPr>
              <w:t>various</w:t>
            </w: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6-Month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Viento Funding II</w:t>
            </w:r>
          </w:p>
        </w:tc>
        <w:tc>
          <w:tcPr>
            <w:tcW w:w="920" w:type="dxa"/>
            <w:vAlign w:val="bottom"/>
          </w:tcPr>
          <w:p>
            <w:pPr>
              <w:jc w:val="right"/>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4.985%</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6-Month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July 11, 2023</w:t>
            </w:r>
          </w:p>
        </w:tc>
        <w:tc>
          <w:tcPr>
            <w:tcW w:w="1940" w:type="dxa"/>
            <w:vAlign w:val="bottom"/>
          </w:tcPr>
          <w:p>
            <w:pPr>
              <w:jc w:val="right"/>
              <w:spacing w:after="0"/>
              <w:rPr>
                <w:sz w:val="20"/>
                <w:szCs w:val="20"/>
                <w:color w:val="auto"/>
              </w:rPr>
            </w:pPr>
            <w:r>
              <w:rPr>
                <w:rFonts w:ascii="Arial" w:cs="Arial" w:eastAsia="Arial" w:hAnsi="Arial"/>
                <w:sz w:val="11"/>
                <w:szCs w:val="11"/>
                <w:color w:val="auto"/>
              </w:rPr>
              <w:t>June 30, 2028</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Walnut Creek Energy</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1"/>
                <w:szCs w:val="11"/>
                <w:color w:val="auto"/>
              </w:rPr>
              <w:t>various</w:t>
            </w:r>
          </w:p>
        </w:tc>
        <w:tc>
          <w:tcPr>
            <w:tcW w:w="16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200</w:t>
            </w:r>
          </w:p>
        </w:tc>
        <w:tc>
          <w:tcPr>
            <w:tcW w:w="12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June 28, 2013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May 31, 2023</w:t>
            </w:r>
          </w:p>
        </w:tc>
      </w:tr>
      <w:tr>
        <w:trPr>
          <w:trHeight w:val="158"/>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WCEP Holdings</w:t>
            </w:r>
          </w:p>
        </w:tc>
        <w:tc>
          <w:tcPr>
            <w:tcW w:w="92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4.003%</w:t>
            </w:r>
          </w:p>
        </w:tc>
        <w:tc>
          <w:tcPr>
            <w:tcW w:w="120" w:type="dxa"/>
            <w:vAlign w:val="bottom"/>
          </w:tcPr>
          <w:p>
            <w:pPr>
              <w:spacing w:after="0"/>
              <w:rPr>
                <w:sz w:val="13"/>
                <w:szCs w:val="13"/>
                <w:color w:val="auto"/>
              </w:rPr>
            </w:pPr>
          </w:p>
        </w:tc>
        <w:tc>
          <w:tcPr>
            <w:tcW w:w="1600" w:type="dxa"/>
            <w:vAlign w:val="bottom"/>
            <w:gridSpan w:val="2"/>
          </w:tcPr>
          <w:p>
            <w:pPr>
              <w:ind w:left="740"/>
              <w:spacing w:after="0"/>
              <w:rPr>
                <w:sz w:val="20"/>
                <w:szCs w:val="20"/>
                <w:color w:val="auto"/>
              </w:rPr>
            </w:pPr>
            <w:r>
              <w:rPr>
                <w:rFonts w:ascii="Arial" w:cs="Arial" w:eastAsia="Arial" w:hAnsi="Arial"/>
                <w:sz w:val="11"/>
                <w:szCs w:val="11"/>
                <w:color w:val="auto"/>
              </w:rPr>
              <w:t>3-Month LIBOR</w:t>
            </w:r>
          </w:p>
        </w:tc>
        <w:tc>
          <w:tcPr>
            <w:tcW w:w="80" w:type="dxa"/>
            <w:vAlign w:val="bottom"/>
          </w:tcPr>
          <w:p>
            <w:pPr>
              <w:spacing w:after="0"/>
              <w:rPr>
                <w:sz w:val="13"/>
                <w:szCs w:val="13"/>
                <w:color w:val="auto"/>
              </w:rPr>
            </w:pPr>
          </w:p>
        </w:tc>
        <w:tc>
          <w:tcPr>
            <w:tcW w:w="164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3"/>
                <w:szCs w:val="13"/>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1"/>
                <w:szCs w:val="11"/>
                <w:color w:val="auto"/>
              </w:rPr>
              <w:t>June 28, 2013</w:t>
            </w:r>
          </w:p>
        </w:tc>
        <w:tc>
          <w:tcPr>
            <w:tcW w:w="1940" w:type="dxa"/>
            <w:vAlign w:val="bottom"/>
          </w:tcPr>
          <w:p>
            <w:pPr>
              <w:jc w:val="right"/>
              <w:spacing w:after="0"/>
              <w:rPr>
                <w:sz w:val="20"/>
                <w:szCs w:val="20"/>
                <w:color w:val="auto"/>
              </w:rPr>
            </w:pPr>
            <w:r>
              <w:rPr>
                <w:rFonts w:ascii="Arial" w:cs="Arial" w:eastAsia="Arial" w:hAnsi="Arial"/>
                <w:sz w:val="11"/>
                <w:szCs w:val="11"/>
                <w:color w:val="auto"/>
              </w:rPr>
              <w:t>May 31, 2023</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r>
      <w:tr>
        <w:trPr>
          <w:trHeight w:val="167"/>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1,862</w:t>
            </w:r>
          </w:p>
        </w:tc>
        <w:tc>
          <w:tcPr>
            <w:tcW w:w="1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Maturities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320" w:type="dxa"/>
            <w:vAlign w:val="bottom"/>
          </w:tcPr>
          <w:p>
            <w:pPr>
              <w:ind w:left="280"/>
              <w:spacing w:after="0"/>
              <w:rPr>
                <w:sz w:val="20"/>
                <w:szCs w:val="20"/>
                <w:color w:val="auto"/>
              </w:rPr>
            </w:pPr>
            <w:r>
              <w:rPr>
                <w:rFonts w:ascii="Arial" w:cs="Arial" w:eastAsia="Arial" w:hAnsi="Arial"/>
                <w:sz w:val="12"/>
                <w:szCs w:val="12"/>
                <w:color w:val="auto"/>
              </w:rPr>
              <w:t>Annual payments based on the maturities of the Company's debt, for the years ending after December 31, 2018, are as follows:</w:t>
            </w: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9"/>
        </w:trPr>
        <w:tc>
          <w:tcPr>
            <w:tcW w:w="9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666"/>
              <w:spacing w:after="0"/>
              <w:rPr>
                <w:sz w:val="20"/>
                <w:szCs w:val="20"/>
                <w:color w:val="auto"/>
              </w:rPr>
            </w:pPr>
            <w:r>
              <w:rPr>
                <w:rFonts w:ascii="Arial" w:cs="Arial" w:eastAsia="Arial" w:hAnsi="Arial"/>
                <w:sz w:val="11"/>
                <w:szCs w:val="11"/>
                <w:b w:val="1"/>
                <w:bCs w:val="1"/>
                <w:color w:val="auto"/>
              </w:rPr>
              <w:t>(In millions)</w:t>
            </w:r>
          </w:p>
        </w:tc>
      </w:tr>
      <w:tr>
        <w:trPr>
          <w:trHeight w:val="22"/>
        </w:trPr>
        <w:tc>
          <w:tcPr>
            <w:tcW w:w="9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4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4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534</w:t>
            </w:r>
          </w:p>
        </w:tc>
      </w:tr>
      <w:tr>
        <w:trPr>
          <w:trHeight w:val="149"/>
        </w:trPr>
        <w:tc>
          <w:tcPr>
            <w:tcW w:w="9320" w:type="dxa"/>
            <w:vAlign w:val="bottom"/>
          </w:tcPr>
          <w:p>
            <w:pPr>
              <w:ind w:left="20"/>
              <w:spacing w:after="0"/>
              <w:rPr>
                <w:sz w:val="20"/>
                <w:szCs w:val="20"/>
                <w:color w:val="auto"/>
              </w:rPr>
            </w:pPr>
            <w:r>
              <w:rPr>
                <w:rFonts w:ascii="Arial" w:cs="Arial" w:eastAsia="Arial" w:hAnsi="Arial"/>
                <w:sz w:val="11"/>
                <w:szCs w:val="11"/>
                <w:color w:val="auto"/>
              </w:rPr>
              <w:t>2020</w:t>
            </w:r>
          </w:p>
        </w:tc>
        <w:tc>
          <w:tcPr>
            <w:tcW w:w="400" w:type="dxa"/>
            <w:vAlign w:val="bottom"/>
          </w:tcPr>
          <w:p>
            <w:pPr>
              <w:spacing w:after="0"/>
              <w:rPr>
                <w:sz w:val="12"/>
                <w:szCs w:val="12"/>
                <w:color w:val="auto"/>
              </w:rPr>
            </w:pPr>
          </w:p>
        </w:tc>
        <w:tc>
          <w:tcPr>
            <w:tcW w:w="1620" w:type="dxa"/>
            <w:vAlign w:val="bottom"/>
          </w:tcPr>
          <w:p>
            <w:pPr>
              <w:jc w:val="right"/>
              <w:ind w:right="46"/>
              <w:spacing w:after="0"/>
              <w:rPr>
                <w:sz w:val="20"/>
                <w:szCs w:val="20"/>
                <w:color w:val="auto"/>
              </w:rPr>
            </w:pPr>
            <w:r>
              <w:rPr>
                <w:rFonts w:ascii="Arial" w:cs="Arial" w:eastAsia="Arial" w:hAnsi="Arial"/>
                <w:sz w:val="11"/>
                <w:szCs w:val="11"/>
                <w:color w:val="auto"/>
              </w:rPr>
              <w:t>406</w:t>
            </w:r>
          </w:p>
        </w:tc>
      </w:tr>
      <w:tr>
        <w:trPr>
          <w:trHeight w:val="22"/>
        </w:trPr>
        <w:tc>
          <w:tcPr>
            <w:tcW w:w="9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1"/>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2021</w:t>
            </w:r>
          </w:p>
        </w:tc>
        <w:tc>
          <w:tcPr>
            <w:tcW w:w="4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447</w:t>
            </w:r>
          </w:p>
        </w:tc>
      </w:tr>
      <w:tr>
        <w:trPr>
          <w:trHeight w:val="149"/>
        </w:trPr>
        <w:tc>
          <w:tcPr>
            <w:tcW w:w="9320" w:type="dxa"/>
            <w:vAlign w:val="bottom"/>
          </w:tcPr>
          <w:p>
            <w:pPr>
              <w:ind w:left="20"/>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12"/>
                <w:szCs w:val="12"/>
                <w:color w:val="auto"/>
              </w:rPr>
            </w:pPr>
          </w:p>
        </w:tc>
        <w:tc>
          <w:tcPr>
            <w:tcW w:w="1620" w:type="dxa"/>
            <w:vAlign w:val="bottom"/>
          </w:tcPr>
          <w:p>
            <w:pPr>
              <w:jc w:val="right"/>
              <w:ind w:right="46"/>
              <w:spacing w:after="0"/>
              <w:rPr>
                <w:sz w:val="20"/>
                <w:szCs w:val="20"/>
                <w:color w:val="auto"/>
              </w:rPr>
            </w:pPr>
            <w:r>
              <w:rPr>
                <w:rFonts w:ascii="Arial" w:cs="Arial" w:eastAsia="Arial" w:hAnsi="Arial"/>
                <w:sz w:val="11"/>
                <w:szCs w:val="11"/>
                <w:color w:val="auto"/>
              </w:rPr>
              <w:t>646</w:t>
            </w:r>
          </w:p>
        </w:tc>
      </w:tr>
      <w:tr>
        <w:trPr>
          <w:trHeight w:val="22"/>
        </w:trPr>
        <w:tc>
          <w:tcPr>
            <w:tcW w:w="9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1"/>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2023</w:t>
            </w:r>
          </w:p>
        </w:tc>
        <w:tc>
          <w:tcPr>
            <w:tcW w:w="4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389</w:t>
            </w:r>
          </w:p>
        </w:tc>
      </w:tr>
      <w:tr>
        <w:trPr>
          <w:trHeight w:val="149"/>
        </w:trPr>
        <w:tc>
          <w:tcPr>
            <w:tcW w:w="9320" w:type="dxa"/>
            <w:vAlign w:val="bottom"/>
          </w:tcPr>
          <w:p>
            <w:pPr>
              <w:ind w:left="20"/>
              <w:spacing w:after="0"/>
              <w:rPr>
                <w:sz w:val="20"/>
                <w:szCs w:val="20"/>
                <w:color w:val="auto"/>
              </w:rPr>
            </w:pPr>
            <w:r>
              <w:rPr>
                <w:rFonts w:ascii="Arial" w:cs="Arial" w:eastAsia="Arial" w:hAnsi="Arial"/>
                <w:sz w:val="11"/>
                <w:szCs w:val="11"/>
                <w:color w:val="auto"/>
              </w:rPr>
              <w:t>Thereafter</w:t>
            </w:r>
          </w:p>
        </w:tc>
        <w:tc>
          <w:tcPr>
            <w:tcW w:w="400" w:type="dxa"/>
            <w:vAlign w:val="bottom"/>
          </w:tcPr>
          <w:p>
            <w:pPr>
              <w:spacing w:after="0"/>
              <w:rPr>
                <w:sz w:val="12"/>
                <w:szCs w:val="12"/>
                <w:color w:val="auto"/>
              </w:rPr>
            </w:pPr>
          </w:p>
        </w:tc>
        <w:tc>
          <w:tcPr>
            <w:tcW w:w="1620" w:type="dxa"/>
            <w:vAlign w:val="bottom"/>
          </w:tcPr>
          <w:p>
            <w:pPr>
              <w:jc w:val="right"/>
              <w:ind w:right="46"/>
              <w:spacing w:after="0"/>
              <w:rPr>
                <w:sz w:val="20"/>
                <w:szCs w:val="20"/>
                <w:color w:val="auto"/>
              </w:rPr>
            </w:pPr>
            <w:r>
              <w:rPr>
                <w:rFonts w:ascii="Arial" w:cs="Arial" w:eastAsia="Arial" w:hAnsi="Arial"/>
                <w:sz w:val="11"/>
                <w:szCs w:val="11"/>
                <w:color w:val="auto"/>
              </w:rPr>
              <w:t>3,622</w:t>
            </w:r>
          </w:p>
        </w:tc>
      </w:tr>
      <w:tr>
        <w:trPr>
          <w:trHeight w:val="22"/>
        </w:trPr>
        <w:tc>
          <w:tcPr>
            <w:tcW w:w="9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6,044</w:t>
            </w:r>
          </w:p>
        </w:tc>
      </w:tr>
      <w:tr>
        <w:trPr>
          <w:trHeight w:val="408"/>
        </w:trPr>
        <w:tc>
          <w:tcPr>
            <w:tcW w:w="9320" w:type="dxa"/>
            <w:vAlign w:val="bottom"/>
          </w:tcPr>
          <w:p>
            <w:pPr>
              <w:ind w:left="5640"/>
              <w:spacing w:after="0"/>
              <w:rPr>
                <w:sz w:val="20"/>
                <w:szCs w:val="20"/>
                <w:color w:val="auto"/>
              </w:rPr>
            </w:pPr>
            <w:r>
              <w:rPr>
                <w:rFonts w:ascii="Arial" w:cs="Arial" w:eastAsia="Arial" w:hAnsi="Arial"/>
                <w:sz w:val="12"/>
                <w:szCs w:val="12"/>
                <w:color w:val="auto"/>
              </w:rPr>
              <w:t>114</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80"/>
          </w:cols>
          <w:pgMar w:left="220" w:top="518" w:right="199" w:bottom="1440" w:gutter="0" w:footer="0" w:header="0"/>
        </w:sectPr>
      </w:pPr>
    </w:p>
    <w:bookmarkStart w:id="114" w:name="page115"/>
    <w:bookmarkEnd w:id="114"/>
    <w:p>
      <w:pPr>
        <w:ind w:left="8"/>
        <w:spacing w:after="0"/>
        <w:rPr>
          <w:sz w:val="20"/>
          <w:szCs w:val="20"/>
          <w:color w:val="auto"/>
        </w:rPr>
      </w:pPr>
      <w:r>
        <w:rPr>
          <w:rFonts w:ascii="Arial" w:cs="Arial" w:eastAsia="Arial" w:hAnsi="Arial"/>
          <w:sz w:val="12"/>
          <w:szCs w:val="12"/>
          <w:b w:val="1"/>
          <w:bCs w:val="1"/>
          <w:color w:val="auto"/>
        </w:rPr>
        <w:t>Note 11 — Earnings (Loss) Per Share</w:t>
      </w:r>
    </w:p>
    <w:p>
      <w:pPr>
        <w:spacing w:after="0" w:line="118" w:lineRule="exact"/>
        <w:rPr>
          <w:sz w:val="20"/>
          <w:szCs w:val="20"/>
          <w:color w:val="auto"/>
        </w:rPr>
      </w:pPr>
    </w:p>
    <w:p>
      <w:pPr>
        <w:ind w:left="268"/>
        <w:spacing w:after="0"/>
        <w:rPr>
          <w:sz w:val="20"/>
          <w:szCs w:val="20"/>
          <w:color w:val="auto"/>
        </w:rPr>
      </w:pPr>
      <w:r>
        <w:rPr>
          <w:rFonts w:ascii="Arial" w:cs="Arial" w:eastAsia="Arial" w:hAnsi="Arial"/>
          <w:sz w:val="10"/>
          <w:szCs w:val="10"/>
          <w:color w:val="auto"/>
        </w:rPr>
        <w:t>Basic earnings per common share is computed by dividing net income by the weighted average number of common shares outstanding. Shares issued during the year are weighted for the portion of the year that they were outstanding.</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Diluted earnings per share is computed in a manner consistent with that of basic earnings per share while giving effect to all potentially dilutive common shares that were outstanding during the period.</w:t>
      </w:r>
    </w:p>
    <w:p>
      <w:pPr>
        <w:spacing w:after="0" w:line="105"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reconciliation of the Company's basic and diluted (loss) earnings per share is shown in the following table:</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tcPr>
          <w:p>
            <w:pPr>
              <w:ind w:left="34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2018</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2017</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2016</w:t>
            </w:r>
          </w:p>
        </w:tc>
        <w:tc>
          <w:tcPr>
            <w:tcW w:w="820" w:type="dxa"/>
            <w:vAlign w:val="bottom"/>
            <w:tcBorders>
              <w:bottom w:val="single" w:sz="8" w:color="auto"/>
            </w:tcBorders>
          </w:tcPr>
          <w:p>
            <w:pPr>
              <w:spacing w:after="0"/>
              <w:rPr>
                <w:sz w:val="14"/>
                <w:szCs w:val="14"/>
                <w:color w:val="auto"/>
              </w:rPr>
            </w:pPr>
          </w:p>
        </w:tc>
      </w:tr>
      <w:tr>
        <w:trPr>
          <w:trHeight w:val="146"/>
        </w:trPr>
        <w:tc>
          <w:tcPr>
            <w:tcW w:w="5400" w:type="dxa"/>
            <w:vAlign w:val="bottom"/>
            <w:gridSpan w:val="3"/>
          </w:tcPr>
          <w:p>
            <w:pPr>
              <w:ind w:left="20"/>
              <w:spacing w:after="0"/>
              <w:rPr>
                <w:sz w:val="20"/>
                <w:szCs w:val="20"/>
                <w:color w:val="auto"/>
              </w:rPr>
            </w:pPr>
            <w:r>
              <w:rPr>
                <w:rFonts w:ascii="Arial" w:cs="Arial" w:eastAsia="Arial" w:hAnsi="Arial"/>
                <w:sz w:val="10"/>
                <w:szCs w:val="10"/>
                <w:b w:val="1"/>
                <w:bCs w:val="1"/>
                <w:color w:val="auto"/>
              </w:rPr>
              <w:t xml:space="preserve">(In millions, except per share data) </w:t>
            </w:r>
            <w:r>
              <w:rPr>
                <w:rFonts w:ascii="Arial" w:cs="Arial" w:eastAsia="Arial" w:hAnsi="Arial"/>
                <w:sz w:val="8"/>
                <w:szCs w:val="8"/>
                <w:b w:val="1"/>
                <w:bCs w:val="1"/>
                <w:color w:val="auto"/>
              </w:rPr>
              <w:t>(a)</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w w:val="86"/>
              </w:rPr>
              <w:t>Common 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Common Class C</w:t>
            </w:r>
          </w:p>
        </w:tc>
        <w:tc>
          <w:tcPr>
            <w:tcW w:w="10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0"/>
                <w:szCs w:val="10"/>
                <w:b w:val="1"/>
                <w:bCs w:val="1"/>
                <w:color w:val="auto"/>
                <w:w w:val="84"/>
              </w:rPr>
              <w:t>Common 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0"/>
                <w:szCs w:val="10"/>
                <w:b w:val="1"/>
                <w:bCs w:val="1"/>
                <w:color w:val="auto"/>
              </w:rPr>
              <w:t>Common Class C</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84"/>
              </w:rPr>
              <w:t>Common 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43"/>
              <w:spacing w:after="0"/>
              <w:rPr>
                <w:sz w:val="20"/>
                <w:szCs w:val="20"/>
                <w:color w:val="auto"/>
              </w:rPr>
            </w:pPr>
            <w:r>
              <w:rPr>
                <w:rFonts w:ascii="Arial" w:cs="Arial" w:eastAsia="Arial" w:hAnsi="Arial"/>
                <w:sz w:val="10"/>
                <w:szCs w:val="10"/>
                <w:b w:val="1"/>
                <w:bCs w:val="1"/>
                <w:color w:val="auto"/>
                <w:w w:val="84"/>
              </w:rPr>
              <w:t>Common Class 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w w:val="91"/>
              </w:rPr>
              <w:t>Basic and diluted earnings (loss) per share attributable to Clearway Energy, Inc. common stockholders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380" w:type="dxa"/>
            <w:vAlign w:val="bottom"/>
            <w:gridSpan w:val="2"/>
          </w:tcPr>
          <w:p>
            <w:pPr>
              <w:ind w:left="300"/>
              <w:spacing w:after="0"/>
              <w:rPr>
                <w:sz w:val="20"/>
                <w:szCs w:val="20"/>
                <w:color w:val="auto"/>
              </w:rPr>
            </w:pPr>
            <w:r>
              <w:rPr>
                <w:rFonts w:ascii="Arial" w:cs="Arial" w:eastAsia="Arial" w:hAnsi="Arial"/>
                <w:sz w:val="12"/>
                <w:szCs w:val="12"/>
                <w:color w:val="auto"/>
              </w:rPr>
              <w:t>Net income (loss) attributable to Clearway Energy, Inc.</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16</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3"/>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37</w:t>
            </w: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Weighted average number of common shares outstanding — basic and diluted</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35</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35</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63</w:t>
            </w:r>
          </w:p>
        </w:tc>
      </w:tr>
      <w:tr>
        <w:trPr>
          <w:trHeight w:val="185"/>
        </w:trPr>
        <w:tc>
          <w:tcPr>
            <w:tcW w:w="20" w:type="dxa"/>
            <w:vAlign w:val="bottom"/>
          </w:tcPr>
          <w:p>
            <w:pPr>
              <w:spacing w:after="0"/>
              <w:rPr>
                <w:sz w:val="16"/>
                <w:szCs w:val="16"/>
                <w:color w:val="auto"/>
              </w:rPr>
            </w:pPr>
          </w:p>
        </w:tc>
        <w:tc>
          <w:tcPr>
            <w:tcW w:w="5380" w:type="dxa"/>
            <w:vAlign w:val="bottom"/>
            <w:gridSpan w:val="2"/>
          </w:tcPr>
          <w:p>
            <w:pPr>
              <w:ind w:left="300"/>
              <w:spacing w:after="0"/>
              <w:rPr>
                <w:sz w:val="20"/>
                <w:szCs w:val="20"/>
                <w:color w:val="auto"/>
              </w:rPr>
            </w:pPr>
            <w:r>
              <w:rPr>
                <w:rFonts w:ascii="Arial" w:cs="Arial" w:eastAsia="Arial" w:hAnsi="Arial"/>
                <w:sz w:val="12"/>
                <w:szCs w:val="12"/>
                <w:b w:val="1"/>
                <w:bCs w:val="1"/>
                <w:color w:val="auto"/>
              </w:rPr>
              <w:t>Earnings (Loss) per weighted average common share — basic and diluted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0.46</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0.46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0.58</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243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165" w:lineRule="exact"/>
        <w:rPr>
          <w:sz w:val="20"/>
          <w:szCs w:val="20"/>
          <w:color w:val="auto"/>
        </w:rPr>
      </w:pPr>
    </w:p>
    <w:p>
      <w:pPr>
        <w:ind w:left="108" w:hanging="108"/>
        <w:spacing w:after="0"/>
        <w:tabs>
          <w:tab w:leader="none" w:pos="108" w:val="left"/>
        </w:tabs>
        <w:numPr>
          <w:ilvl w:val="0"/>
          <w:numId w:val="53"/>
        </w:numPr>
        <w:rPr>
          <w:rFonts w:ascii="Arial" w:cs="Arial" w:eastAsia="Arial" w:hAnsi="Arial"/>
          <w:sz w:val="13"/>
          <w:szCs w:val="13"/>
          <w:color w:val="auto"/>
          <w:vertAlign w:val="superscript"/>
        </w:rPr>
      </w:pPr>
      <w:r>
        <w:rPr>
          <w:rFonts w:ascii="Arial" w:cs="Arial" w:eastAsia="Arial" w:hAnsi="Arial"/>
          <w:sz w:val="9"/>
          <w:szCs w:val="9"/>
          <w:color w:val="auto"/>
        </w:rPr>
        <w:t>Net (loss) income attributable to Clearway Energy, Inc. and basic and diluted (loss) earnings per share might not recalculate due to presenting values in millions rather than whole dollars.</w:t>
      </w:r>
    </w:p>
    <w:p>
      <w:pPr>
        <w:spacing w:after="0" w:line="10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summarizes the Company's outstanding equity instruments that are anti-dilutive and were not included in the computation of the Company's diluted earnings per share:</w:t>
      </w:r>
    </w:p>
    <w:p>
      <w:pPr>
        <w:spacing w:after="0" w:line="154" w:lineRule="exact"/>
        <w:rPr>
          <w:sz w:val="20"/>
          <w:szCs w:val="20"/>
          <w:color w:val="auto"/>
        </w:rPr>
      </w:pPr>
    </w:p>
    <w:p>
      <w:pPr>
        <w:ind w:left="8948"/>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10795</wp:posOffset>
            </wp:positionV>
            <wp:extent cx="25507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0795" cy="5715"/>
                    </a:xfrm>
                    <a:prstGeom prst="rect">
                      <a:avLst/>
                    </a:prstGeom>
                    <a:noFill/>
                  </pic:spPr>
                </pic:pic>
              </a:graphicData>
            </a:graphic>
          </wp:anchor>
        </w:drawing>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3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2018</w:t>
            </w:r>
          </w:p>
        </w:tc>
        <w:tc>
          <w:tcPr>
            <w:tcW w:w="440" w:type="dxa"/>
            <w:vAlign w:val="bottom"/>
          </w:tcPr>
          <w:p>
            <w:pPr>
              <w:spacing w:after="0"/>
              <w:rPr>
                <w:sz w:val="11"/>
                <w:szCs w:val="11"/>
                <w:color w:val="auto"/>
              </w:rPr>
            </w:pPr>
          </w:p>
        </w:tc>
        <w:tc>
          <w:tcPr>
            <w:tcW w:w="1560" w:type="dxa"/>
            <w:vAlign w:val="bottom"/>
          </w:tcPr>
          <w:p>
            <w:pPr>
              <w:jc w:val="right"/>
              <w:ind w:right="749"/>
              <w:spacing w:after="0"/>
              <w:rPr>
                <w:sz w:val="20"/>
                <w:szCs w:val="20"/>
                <w:color w:val="auto"/>
              </w:rPr>
            </w:pPr>
            <w:r>
              <w:rPr>
                <w:rFonts w:ascii="Arial" w:cs="Arial" w:eastAsia="Arial" w:hAnsi="Arial"/>
                <w:sz w:val="10"/>
                <w:szCs w:val="10"/>
                <w:b w:val="1"/>
                <w:bCs w:val="1"/>
                <w:color w:val="auto"/>
              </w:rPr>
              <w:t>2017</w:t>
            </w:r>
          </w:p>
        </w:tc>
        <w:tc>
          <w:tcPr>
            <w:tcW w:w="1100" w:type="dxa"/>
            <w:vAlign w:val="bottom"/>
          </w:tcPr>
          <w:p>
            <w:pPr>
              <w:jc w:val="right"/>
              <w:ind w:right="488"/>
              <w:spacing w:after="0"/>
              <w:rPr>
                <w:sz w:val="20"/>
                <w:szCs w:val="20"/>
                <w:color w:val="auto"/>
              </w:rPr>
            </w:pPr>
            <w:r>
              <w:rPr>
                <w:rFonts w:ascii="Arial" w:cs="Arial" w:eastAsia="Arial" w:hAnsi="Arial"/>
                <w:sz w:val="10"/>
                <w:szCs w:val="10"/>
                <w:b w:val="1"/>
                <w:bCs w:val="1"/>
                <w:color w:val="auto"/>
              </w:rPr>
              <w:t>2016</w:t>
            </w:r>
          </w:p>
        </w:tc>
      </w:tr>
      <w:tr>
        <w:trPr>
          <w:trHeight w:val="124"/>
        </w:trPr>
        <w:tc>
          <w:tcPr>
            <w:tcW w:w="74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right"/>
              <w:ind w:right="409"/>
              <w:spacing w:after="0"/>
              <w:rPr>
                <w:sz w:val="20"/>
                <w:szCs w:val="20"/>
                <w:color w:val="auto"/>
              </w:rPr>
            </w:pPr>
            <w:r>
              <w:rPr>
                <w:rFonts w:ascii="Arial" w:cs="Arial" w:eastAsia="Arial" w:hAnsi="Arial"/>
                <w:sz w:val="10"/>
                <w:szCs w:val="10"/>
                <w:b w:val="1"/>
                <w:bCs w:val="1"/>
                <w:color w:val="auto"/>
              </w:rPr>
              <w:t>(In millions of shares)</w:t>
            </w:r>
          </w:p>
        </w:tc>
        <w:tc>
          <w:tcPr>
            <w:tcW w:w="1100" w:type="dxa"/>
            <w:vAlign w:val="bottom"/>
            <w:tcBorders>
              <w:top w:val="single" w:sz="8" w:color="auto"/>
            </w:tcBorders>
          </w:tcPr>
          <w:p>
            <w:pPr>
              <w:spacing w:after="0"/>
              <w:rPr>
                <w:sz w:val="10"/>
                <w:szCs w:val="10"/>
                <w:color w:val="auto"/>
              </w:rPr>
            </w:pPr>
          </w:p>
        </w:tc>
      </w:tr>
      <w:tr>
        <w:trPr>
          <w:trHeight w:val="164"/>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2019 Convertible Notes - Common Class A</w:t>
            </w:r>
          </w:p>
        </w:tc>
        <w:tc>
          <w:tcPr>
            <w:tcW w:w="4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rPr>
              <w:t>9</w:t>
            </w:r>
          </w:p>
        </w:tc>
        <w:tc>
          <w:tcPr>
            <w:tcW w:w="156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1"/>
                <w:szCs w:val="11"/>
                <w:color w:val="auto"/>
              </w:rPr>
              <w:t>15</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15</w:t>
            </w:r>
          </w:p>
        </w:tc>
      </w:tr>
      <w:tr>
        <w:trPr>
          <w:trHeight w:val="158"/>
        </w:trPr>
        <w:tc>
          <w:tcPr>
            <w:tcW w:w="8380" w:type="dxa"/>
            <w:vAlign w:val="bottom"/>
            <w:gridSpan w:val="2"/>
          </w:tcPr>
          <w:p>
            <w:pPr>
              <w:ind w:left="20"/>
              <w:spacing w:after="0"/>
              <w:rPr>
                <w:sz w:val="20"/>
                <w:szCs w:val="20"/>
                <w:color w:val="auto"/>
              </w:rPr>
            </w:pPr>
            <w:r>
              <w:rPr>
                <w:rFonts w:ascii="Arial" w:cs="Arial" w:eastAsia="Arial" w:hAnsi="Arial"/>
                <w:sz w:val="11"/>
                <w:szCs w:val="11"/>
                <w:color w:val="auto"/>
              </w:rPr>
              <w:t>2020 Convertible Notes - Common Class C</w:t>
            </w:r>
          </w:p>
        </w:tc>
        <w:tc>
          <w:tcPr>
            <w:tcW w:w="44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1560" w:type="dxa"/>
            <w:vAlign w:val="bottom"/>
          </w:tcPr>
          <w:p>
            <w:pPr>
              <w:jc w:val="right"/>
              <w:ind w:right="329"/>
              <w:spacing w:after="0"/>
              <w:rPr>
                <w:sz w:val="20"/>
                <w:szCs w:val="20"/>
                <w:color w:val="auto"/>
              </w:rPr>
            </w:pPr>
            <w:r>
              <w:rPr>
                <w:rFonts w:ascii="Arial" w:cs="Arial" w:eastAsia="Arial" w:hAnsi="Arial"/>
                <w:sz w:val="11"/>
                <w:szCs w:val="11"/>
                <w:color w:val="auto"/>
              </w:rPr>
              <w:t>10</w:t>
            </w:r>
          </w:p>
        </w:tc>
        <w:tc>
          <w:tcPr>
            <w:tcW w:w="1100" w:type="dxa"/>
            <w:vAlign w:val="bottom"/>
          </w:tcPr>
          <w:p>
            <w:pPr>
              <w:jc w:val="right"/>
              <w:ind w:right="68"/>
              <w:spacing w:after="0"/>
              <w:rPr>
                <w:sz w:val="20"/>
                <w:szCs w:val="20"/>
                <w:color w:val="auto"/>
              </w:rPr>
            </w:pPr>
            <w:r>
              <w:rPr>
                <w:rFonts w:ascii="Arial" w:cs="Arial" w:eastAsia="Arial" w:hAnsi="Arial"/>
                <w:sz w:val="11"/>
                <w:szCs w:val="11"/>
                <w:color w:val="auto"/>
              </w:rPr>
              <w:t>10</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12 — Stockholders' Equity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Class C Common Stock Issuance</w:t>
      </w:r>
    </w:p>
    <w:p>
      <w:pPr>
        <w:spacing w:after="0" w:line="114"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On September 27, 2018, Clearway Energy, Inc. issued and sold 3,916,449 shares of Class C common stock for net proceeds of $75 million. The Company utilized the proceeds of the offering to acquire 3,916,449 Class C units of Clearway Energy LLC.</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31F20"/>
        </w:rPr>
        <w:t>At-the-Market Equity Offering Program, or the ATM Program</w:t>
      </w:r>
    </w:p>
    <w:p>
      <w:pPr>
        <w:spacing w:after="0" w:line="114" w:lineRule="exact"/>
        <w:rPr>
          <w:sz w:val="20"/>
          <w:szCs w:val="20"/>
          <w:color w:val="auto"/>
        </w:rPr>
      </w:pPr>
    </w:p>
    <w:p>
      <w:pPr>
        <w:jc w:val="both"/>
        <w:ind w:left="8" w:firstLine="270"/>
        <w:spacing w:after="0" w:line="340" w:lineRule="auto"/>
        <w:rPr>
          <w:sz w:val="20"/>
          <w:szCs w:val="20"/>
          <w:color w:val="auto"/>
        </w:rPr>
      </w:pPr>
      <w:r>
        <w:rPr>
          <w:rFonts w:ascii="Arial" w:cs="Arial" w:eastAsia="Arial" w:hAnsi="Arial"/>
          <w:sz w:val="10"/>
          <w:szCs w:val="10"/>
          <w:color w:val="auto"/>
        </w:rPr>
        <w:t>Clearway Energy, Inc. is party to an equity distribution agreement with Barclays Capital Inc., Credit Suisse Securities (USA) LLC, J.P. Morgan Securities LLC and RBC Capital Markets, LLC, as sales agents. Pursuant to the terms of the equity distribution agreement, Clearway Energy, Inc. may offer and sell shares of its Class C common stock par value $0.01 per share, from time to time through the sales agents up to an aggregate sales price of $150 million through an at-the-market equity offering program, or the ATM Program. Clearway Energy, Inc. may also sell shares of its Class C common stock to any of the sales agents, as principals for its own account, at a price agreed upon at the time of sale.</w:t>
      </w:r>
    </w:p>
    <w:p>
      <w:pPr>
        <w:spacing w:after="0" w:line="52" w:lineRule="exact"/>
        <w:rPr>
          <w:sz w:val="20"/>
          <w:szCs w:val="20"/>
          <w:color w:val="auto"/>
        </w:rPr>
      </w:pPr>
    </w:p>
    <w:p>
      <w:pPr>
        <w:jc w:val="both"/>
        <w:ind w:left="8" w:firstLine="270"/>
        <w:spacing w:after="0" w:line="276" w:lineRule="auto"/>
        <w:rPr>
          <w:sz w:val="20"/>
          <w:szCs w:val="20"/>
          <w:color w:val="auto"/>
        </w:rPr>
      </w:pPr>
      <w:r>
        <w:rPr>
          <w:rFonts w:ascii="Arial" w:cs="Arial" w:eastAsia="Arial" w:hAnsi="Arial"/>
          <w:sz w:val="12"/>
          <w:szCs w:val="12"/>
          <w:color w:val="auto"/>
        </w:rPr>
        <w:t>The Company sold a total of 4,492,473 shares of Class C common stock for gross proceeds of $79 million during the year ended December 31, 2018. The Company incurred commission fees of $790 thousand during the nine months ended December 31, 2018.</w:t>
      </w:r>
    </w:p>
    <w:p>
      <w:pPr>
        <w:spacing w:after="0" w:line="79" w:lineRule="exact"/>
        <w:rPr>
          <w:sz w:val="20"/>
          <w:szCs w:val="20"/>
          <w:color w:val="auto"/>
        </w:rPr>
      </w:pPr>
    </w:p>
    <w:p>
      <w:pPr>
        <w:jc w:val="both"/>
        <w:ind w:left="8" w:right="20" w:firstLine="270"/>
        <w:spacing w:after="0" w:line="276" w:lineRule="auto"/>
        <w:rPr>
          <w:sz w:val="20"/>
          <w:szCs w:val="20"/>
          <w:color w:val="auto"/>
        </w:rPr>
      </w:pPr>
      <w:r>
        <w:rPr>
          <w:rFonts w:ascii="Arial" w:cs="Arial" w:eastAsia="Arial" w:hAnsi="Arial"/>
          <w:sz w:val="12"/>
          <w:szCs w:val="12"/>
          <w:color w:val="auto"/>
        </w:rPr>
        <w:t>The Company sold a total of 6,414,339 shares of Class C common stock for gross proceeds of $114 million since the inception of the ATM Program. Approximately $36 million of Class C common stock remains available for issuance under the ATM Program.</w:t>
      </w: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488"/>
          </w:cols>
          <w:pgMar w:left="212" w:top="514" w:right="1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i w:val="1"/>
          <w:iCs w:val="1"/>
          <w:color w:val="auto"/>
        </w:rPr>
        <w:t>Dividends to Class A and Class C common stockholders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lists the dividends paid on the Company's Class A and Class C common stock during the year ended December 31, 2018:</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128"/>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b w:val="1"/>
                <w:bCs w:val="1"/>
                <w:color w:val="auto"/>
              </w:rPr>
              <w:t>Fourth Quarter 2018</w:t>
            </w:r>
          </w:p>
        </w:tc>
        <w:tc>
          <w:tcPr>
            <w:tcW w:w="12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Third Quarter 2018</w:t>
            </w:r>
          </w:p>
        </w:tc>
        <w:tc>
          <w:tcPr>
            <w:tcW w:w="1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Second Quarter 2018</w:t>
            </w:r>
          </w:p>
        </w:tc>
        <w:tc>
          <w:tcPr>
            <w:tcW w:w="120" w:type="dxa"/>
            <w:vAlign w:val="bottom"/>
          </w:tcPr>
          <w:p>
            <w:pPr>
              <w:spacing w:after="0"/>
              <w:rPr>
                <w:sz w:val="11"/>
                <w:szCs w:val="11"/>
                <w:color w:val="auto"/>
              </w:rPr>
            </w:pPr>
          </w:p>
        </w:tc>
        <w:tc>
          <w:tcPr>
            <w:tcW w:w="1040" w:type="dxa"/>
            <w:vAlign w:val="bottom"/>
          </w:tcPr>
          <w:p>
            <w:pPr>
              <w:jc w:val="right"/>
              <w:ind w:right="144"/>
              <w:spacing w:after="0"/>
              <w:rPr>
                <w:sz w:val="20"/>
                <w:szCs w:val="20"/>
                <w:color w:val="auto"/>
              </w:rPr>
            </w:pPr>
            <w:r>
              <w:rPr>
                <w:rFonts w:ascii="Arial" w:cs="Arial" w:eastAsia="Arial" w:hAnsi="Arial"/>
                <w:sz w:val="10"/>
                <w:szCs w:val="10"/>
                <w:b w:val="1"/>
                <w:bCs w:val="1"/>
                <w:color w:val="auto"/>
                <w:w w:val="95"/>
              </w:rPr>
              <w:t>First Quarter 2018</w:t>
            </w:r>
          </w:p>
        </w:tc>
      </w:tr>
      <w:tr>
        <w:trPr>
          <w:trHeight w:val="17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0.320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0.298</w:t>
            </w:r>
          </w:p>
        </w:tc>
      </w:tr>
      <w:tr>
        <w:trPr>
          <w:trHeight w:val="162"/>
        </w:trPr>
        <w:tc>
          <w:tcPr>
            <w:tcW w:w="5640" w:type="dxa"/>
            <w:vAlign w:val="bottom"/>
          </w:tcPr>
          <w:p>
            <w:pPr>
              <w:ind w:left="20"/>
              <w:spacing w:after="0"/>
              <w:rPr>
                <w:sz w:val="20"/>
                <w:szCs w:val="20"/>
                <w:color w:val="auto"/>
              </w:rPr>
            </w:pPr>
            <w:r>
              <w:rPr>
                <w:rFonts w:ascii="Arial" w:cs="Arial" w:eastAsia="Arial" w:hAnsi="Arial"/>
                <w:sz w:val="12"/>
                <w:szCs w:val="12"/>
                <w:b w:val="1"/>
                <w:bCs w:val="1"/>
                <w:color w:val="auto"/>
              </w:rPr>
              <w:t>Dividends per Class C share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2"/>
                <w:szCs w:val="12"/>
                <w:color w:val="auto"/>
              </w:rPr>
              <w:t>0.331</w:t>
            </w:r>
          </w:p>
        </w:tc>
        <w:tc>
          <w:tcPr>
            <w:tcW w:w="1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0.320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2"/>
                <w:szCs w:val="12"/>
                <w:color w:val="auto"/>
              </w:rPr>
              <w:t>0.309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0.298</w:t>
            </w:r>
          </w:p>
        </w:tc>
      </w:tr>
    </w:tbl>
    <w:p>
      <w:pPr>
        <w:spacing w:after="0" w:line="90"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On February 12, 2019, the Company declared a quarterly dividend on its Class A and Class C common stock of $0.20 per share payable on March 15, 2019, to stockholders of record as of March 1, 2019.</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also authorized 10,000,000 shares of preferred stock, par value $0.01 per share. None of the shares of preferred stock have been issued.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Distributions/Contributions to/from NRG and CEG</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following table lists the distributions paid to NRG during the period from January 1, 2018 through August 31, 2018 and to CEG during the period from September 1, 2018 through December 31, 2018 on Clearway Energy LLC's Class B and D units: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128"/>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b w:val="1"/>
                <w:bCs w:val="1"/>
                <w:color w:val="auto"/>
              </w:rPr>
              <w:t>Fourth Quarter 2018</w:t>
            </w:r>
          </w:p>
        </w:tc>
        <w:tc>
          <w:tcPr>
            <w:tcW w:w="12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Third Quarter 2018</w:t>
            </w:r>
          </w:p>
        </w:tc>
        <w:tc>
          <w:tcPr>
            <w:tcW w:w="1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Second Quarter 2018</w:t>
            </w:r>
          </w:p>
        </w:tc>
        <w:tc>
          <w:tcPr>
            <w:tcW w:w="120" w:type="dxa"/>
            <w:vAlign w:val="bottom"/>
          </w:tcPr>
          <w:p>
            <w:pPr>
              <w:spacing w:after="0"/>
              <w:rPr>
                <w:sz w:val="11"/>
                <w:szCs w:val="11"/>
                <w:color w:val="auto"/>
              </w:rPr>
            </w:pPr>
          </w:p>
        </w:tc>
        <w:tc>
          <w:tcPr>
            <w:tcW w:w="1040" w:type="dxa"/>
            <w:vAlign w:val="bottom"/>
          </w:tcPr>
          <w:p>
            <w:pPr>
              <w:jc w:val="right"/>
              <w:ind w:right="144"/>
              <w:spacing w:after="0"/>
              <w:rPr>
                <w:sz w:val="20"/>
                <w:szCs w:val="20"/>
                <w:color w:val="auto"/>
              </w:rPr>
            </w:pPr>
            <w:r>
              <w:rPr>
                <w:rFonts w:ascii="Arial" w:cs="Arial" w:eastAsia="Arial" w:hAnsi="Arial"/>
                <w:sz w:val="10"/>
                <w:szCs w:val="10"/>
                <w:b w:val="1"/>
                <w:bCs w:val="1"/>
                <w:color w:val="auto"/>
                <w:w w:val="95"/>
              </w:rPr>
              <w:t>First Quarter 2018</w:t>
            </w:r>
          </w:p>
        </w:tc>
      </w:tr>
      <w:tr>
        <w:trPr>
          <w:trHeight w:val="17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Distributions per Class B unit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0.320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0.309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0.298</w:t>
            </w:r>
          </w:p>
        </w:tc>
      </w:tr>
      <w:tr>
        <w:trPr>
          <w:trHeight w:val="162"/>
        </w:trPr>
        <w:tc>
          <w:tcPr>
            <w:tcW w:w="5640" w:type="dxa"/>
            <w:vAlign w:val="bottom"/>
          </w:tcPr>
          <w:p>
            <w:pPr>
              <w:ind w:left="20"/>
              <w:spacing w:after="0"/>
              <w:rPr>
                <w:sz w:val="20"/>
                <w:szCs w:val="20"/>
                <w:color w:val="auto"/>
              </w:rPr>
            </w:pPr>
            <w:r>
              <w:rPr>
                <w:rFonts w:ascii="Arial" w:cs="Arial" w:eastAsia="Arial" w:hAnsi="Arial"/>
                <w:sz w:val="12"/>
                <w:szCs w:val="12"/>
                <w:b w:val="1"/>
                <w:bCs w:val="1"/>
                <w:color w:val="auto"/>
              </w:rPr>
              <w:t>Distributions per Class D unit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2"/>
                <w:szCs w:val="12"/>
                <w:color w:val="auto"/>
              </w:rPr>
              <w:t>0.331</w:t>
            </w:r>
          </w:p>
        </w:tc>
        <w:tc>
          <w:tcPr>
            <w:tcW w:w="1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0.320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2"/>
                <w:szCs w:val="12"/>
                <w:color w:val="auto"/>
              </w:rPr>
              <w:t>0.309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0.298</w:t>
            </w:r>
          </w:p>
        </w:tc>
      </w:tr>
    </w:tbl>
    <w:p>
      <w:pPr>
        <w:spacing w:after="0" w:line="9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portion of the distributions paid by Clearway Energy LLC to NRG and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On February 12, 2019, Clearway Energy LLC declared a quarterly distribution on its Class B and Class D units of $0.20 per unit payable to CEG on March 15, 2019.</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 xml:space="preserve">During 2018, 2017, and 2016, the Company acquired the Drop Down Assets from NRG,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difference between the cash paid and historical value of the acquired Drop Down Assets was recorded as a distribution to/contribution from NRG with the offset to noncontrolling interest. As the projects were owned by NRG prior to the Drop Down Assets acquisitions, the pre-acquisition income (loss) of such projects were recorded as attributable to NRG's noncontrolling interest. Prior to the date of acquisition, certain of the projects made distributions to NRG and NRG made contributions into certain projects. These amounts are reflected within the Company’s statement of stockholders’ equity as changes in the noncontrolling interest balance.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Segment Reporting</w:t>
      </w:r>
    </w:p>
    <w:p>
      <w:pPr>
        <w:spacing w:after="0" w:line="118" w:lineRule="exact"/>
        <w:rPr>
          <w:sz w:val="20"/>
          <w:szCs w:val="20"/>
          <w:color w:val="auto"/>
        </w:rPr>
      </w:pPr>
    </w:p>
    <w:p>
      <w:pPr>
        <w:jc w:val="both"/>
        <w:ind w:firstLine="270"/>
        <w:spacing w:after="0" w:line="340" w:lineRule="auto"/>
        <w:rPr>
          <w:sz w:val="20"/>
          <w:szCs w:val="20"/>
          <w:color w:val="auto"/>
        </w:rPr>
      </w:pPr>
      <w:r>
        <w:rPr>
          <w:rFonts w:ascii="Arial" w:cs="Arial" w:eastAsia="Arial" w:hAnsi="Arial"/>
          <w:sz w:val="10"/>
          <w:szCs w:val="10"/>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1480"/>
          </w:cols>
          <w:pgMar w:left="220" w:top="518" w:right="199" w:bottom="1440" w:gutter="0" w:footer="0" w:header="0"/>
        </w:sectPr>
      </w:pPr>
    </w:p>
    <w:bookmarkStart w:id="116" w:name="page117"/>
    <w:bookmarkEnd w:id="116"/>
    <w:p>
      <w:pPr>
        <w:ind w:left="268"/>
        <w:spacing w:after="0"/>
        <w:rPr>
          <w:sz w:val="20"/>
          <w:szCs w:val="20"/>
          <w:color w:val="auto"/>
        </w:rPr>
      </w:pPr>
      <w:r>
        <w:rPr>
          <w:rFonts w:ascii="Arial" w:cs="Arial" w:eastAsia="Arial" w:hAnsi="Arial"/>
          <w:sz w:val="12"/>
          <w:szCs w:val="12"/>
          <w:color w:val="auto"/>
        </w:rPr>
        <w:t>The Company generated more than 10% of its revenues from the following customers for the years ended December 31, 2018, 2017 and 2016:</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33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0"/>
                <w:szCs w:val="10"/>
                <w:b w:val="1"/>
                <w:bCs w:val="1"/>
                <w:color w:val="auto"/>
              </w:rPr>
              <w:t>2018</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17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Customer</w:t>
            </w:r>
          </w:p>
        </w:tc>
        <w:tc>
          <w:tcPr>
            <w:tcW w:w="1120" w:type="dxa"/>
            <w:vAlign w:val="bottom"/>
            <w:tcBorders>
              <w:bottom w:val="single" w:sz="8" w:color="auto"/>
            </w:tcBorders>
          </w:tcPr>
          <w:p>
            <w:pPr>
              <w:jc w:val="center"/>
              <w:ind w:left="108"/>
              <w:spacing w:after="0"/>
              <w:rPr>
                <w:sz w:val="20"/>
                <w:szCs w:val="20"/>
                <w:color w:val="auto"/>
              </w:rPr>
            </w:pPr>
            <w:r>
              <w:rPr>
                <w:rFonts w:ascii="Arial" w:cs="Arial" w:eastAsia="Arial" w:hAnsi="Arial"/>
                <w:sz w:val="10"/>
                <w:szCs w:val="10"/>
                <w:b w:val="1"/>
                <w:bCs w:val="1"/>
                <w:color w:val="auto"/>
                <w:w w:val="88"/>
              </w:rPr>
              <w:t>Conventional (%)</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0"/>
                <w:szCs w:val="10"/>
                <w:b w:val="1"/>
                <w:bCs w:val="1"/>
                <w:color w:val="auto"/>
              </w:rPr>
              <w:t>Renewables (%)</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207"/>
              <w:spacing w:after="0"/>
              <w:rPr>
                <w:sz w:val="20"/>
                <w:szCs w:val="20"/>
                <w:color w:val="auto"/>
              </w:rPr>
            </w:pPr>
            <w:r>
              <w:rPr>
                <w:rFonts w:ascii="Arial" w:cs="Arial" w:eastAsia="Arial" w:hAnsi="Arial"/>
                <w:sz w:val="10"/>
                <w:szCs w:val="10"/>
                <w:b w:val="1"/>
                <w:bCs w:val="1"/>
                <w:color w:val="auto"/>
                <w:w w:val="90"/>
              </w:rPr>
              <w:t>Conventional (%)</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0"/>
                <w:szCs w:val="10"/>
                <w:b w:val="1"/>
                <w:bCs w:val="1"/>
                <w:color w:val="auto"/>
                <w:w w:val="97"/>
              </w:rPr>
              <w:t>Renewables (%)</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Conventional (%)</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w w:val="91"/>
              </w:rPr>
              <w:t>Renewables (%)</w:t>
            </w:r>
          </w:p>
        </w:tc>
      </w:tr>
      <w:tr>
        <w:trPr>
          <w:trHeight w:val="1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120" w:type="dxa"/>
            <w:vAlign w:val="bottom"/>
            <w:tcBorders>
              <w:bottom w:val="single" w:sz="8" w:color="CCEEFF"/>
            </w:tcBorders>
            <w:shd w:val="clear" w:color="auto" w:fill="CCEEFF"/>
          </w:tcPr>
          <w:p>
            <w:pPr>
              <w:jc w:val="center"/>
              <w:ind w:left="108"/>
              <w:spacing w:after="0"/>
              <w:rPr>
                <w:sz w:val="20"/>
                <w:szCs w:val="20"/>
                <w:color w:val="auto"/>
              </w:rPr>
            </w:pPr>
            <w:r>
              <w:rPr>
                <w:rFonts w:ascii="Arial" w:cs="Arial" w:eastAsia="Arial" w:hAnsi="Arial"/>
                <w:sz w:val="11"/>
                <w:szCs w:val="11"/>
                <w:color w:val="auto"/>
                <w:w w:val="90"/>
              </w:rPr>
              <w:t>20%</w:t>
            </w:r>
          </w:p>
        </w:tc>
        <w:tc>
          <w:tcPr>
            <w:tcW w:w="1540" w:type="dxa"/>
            <w:vAlign w:val="bottom"/>
            <w:tcBorders>
              <w:bottom w:val="single" w:sz="8" w:color="CCEEFF"/>
            </w:tcBorders>
            <w:gridSpan w:val="4"/>
            <w:shd w:val="clear" w:color="auto" w:fill="CCEEFF"/>
          </w:tcPr>
          <w:p>
            <w:pPr>
              <w:jc w:val="right"/>
              <w:ind w:right="489"/>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center"/>
              <w:ind w:right="447"/>
              <w:spacing w:after="0"/>
              <w:rPr>
                <w:sz w:val="20"/>
                <w:szCs w:val="20"/>
                <w:color w:val="auto"/>
              </w:rPr>
            </w:pPr>
            <w:r>
              <w:rPr>
                <w:rFonts w:ascii="Arial" w:cs="Arial" w:eastAsia="Arial" w:hAnsi="Arial"/>
                <w:sz w:val="11"/>
                <w:szCs w:val="11"/>
                <w:color w:val="auto"/>
                <w:w w:val="90"/>
              </w:rPr>
              <w:t>21%</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369"/>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86"/>
              <w:spacing w:after="0"/>
              <w:rPr>
                <w:sz w:val="20"/>
                <w:szCs w:val="20"/>
                <w:color w:val="auto"/>
              </w:rPr>
            </w:pPr>
            <w:r>
              <w:rPr>
                <w:rFonts w:ascii="Arial" w:cs="Arial" w:eastAsia="Arial" w:hAnsi="Arial"/>
                <w:sz w:val="11"/>
                <w:szCs w:val="11"/>
                <w:color w:val="auto"/>
              </w:rPr>
              <w:t>21%</w:t>
            </w: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color w:val="auto"/>
              </w:rPr>
              <w:t>PG&amp;E</w:t>
            </w:r>
          </w:p>
        </w:tc>
        <w:tc>
          <w:tcPr>
            <w:tcW w:w="1120" w:type="dxa"/>
            <w:vAlign w:val="bottom"/>
          </w:tcPr>
          <w:p>
            <w:pPr>
              <w:jc w:val="center"/>
              <w:ind w:left="108"/>
              <w:spacing w:after="0"/>
              <w:rPr>
                <w:sz w:val="20"/>
                <w:szCs w:val="20"/>
                <w:color w:val="auto"/>
              </w:rPr>
            </w:pPr>
            <w:r>
              <w:rPr>
                <w:rFonts w:ascii="Arial" w:cs="Arial" w:eastAsia="Arial" w:hAnsi="Arial"/>
                <w:sz w:val="11"/>
                <w:szCs w:val="11"/>
                <w:color w:val="auto"/>
                <w:w w:val="90"/>
              </w:rPr>
              <w:t>12%</w:t>
            </w:r>
          </w:p>
        </w:tc>
        <w:tc>
          <w:tcPr>
            <w:tcW w:w="1540" w:type="dxa"/>
            <w:vAlign w:val="bottom"/>
            <w:gridSpan w:val="4"/>
          </w:tcPr>
          <w:p>
            <w:pPr>
              <w:jc w:val="right"/>
              <w:ind w:right="489"/>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447"/>
              <w:spacing w:after="0"/>
              <w:rPr>
                <w:sz w:val="20"/>
                <w:szCs w:val="20"/>
                <w:color w:val="auto"/>
              </w:rPr>
            </w:pPr>
            <w:r>
              <w:rPr>
                <w:rFonts w:ascii="Arial" w:cs="Arial" w:eastAsia="Arial" w:hAnsi="Arial"/>
                <w:sz w:val="11"/>
                <w:szCs w:val="11"/>
                <w:color w:val="auto"/>
                <w:w w:val="90"/>
              </w:rPr>
              <w:t>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69"/>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ind w:left="280"/>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486"/>
              <w:spacing w:after="0"/>
              <w:rPr>
                <w:sz w:val="20"/>
                <w:szCs w:val="20"/>
                <w:color w:val="auto"/>
              </w:rPr>
            </w:pPr>
            <w:r>
              <w:rPr>
                <w:rFonts w:ascii="Arial" w:cs="Arial" w:eastAsia="Arial" w:hAnsi="Arial"/>
                <w:sz w:val="11"/>
                <w:szCs w:val="11"/>
                <w:color w:val="auto"/>
              </w:rPr>
              <w:t>11%</w:t>
            </w:r>
          </w:p>
        </w:tc>
      </w:tr>
      <w:tr>
        <w:trPr>
          <w:trHeight w:val="315"/>
        </w:trPr>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w w:val="91"/>
              </w:rPr>
              <w:t>Year ended December 31, 2018</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Conventional Generation</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Renewables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Thermal</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87"/>
              </w:rPr>
              <w:t>Corporate</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64"/>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Operating revenues </w:t>
            </w:r>
            <w:r>
              <w:rPr>
                <w:rFonts w:ascii="Arial" w:cs="Arial" w:eastAsia="Arial" w:hAnsi="Arial"/>
                <w:sz w:val="14"/>
                <w:szCs w:val="14"/>
                <w:color w:val="auto"/>
                <w:vertAlign w:val="superscript"/>
              </w:rPr>
              <w:t>(a)</w:t>
            </w:r>
          </w:p>
        </w:tc>
        <w:tc>
          <w:tcPr>
            <w:tcW w:w="1120" w:type="dxa"/>
            <w:vAlign w:val="bottom"/>
            <w:shd w:val="clear" w:color="auto" w:fill="CCEEFF"/>
          </w:tcPr>
          <w:p>
            <w:pPr>
              <w:spacing w:after="0"/>
              <w:rPr>
                <w:sz w:val="14"/>
                <w:szCs w:val="14"/>
                <w:color w:val="auto"/>
              </w:rPr>
            </w:pPr>
          </w:p>
        </w:tc>
        <w:tc>
          <w:tcPr>
            <w:tcW w:w="1540" w:type="dxa"/>
            <w:vAlign w:val="bottom"/>
            <w:gridSpan w:val="4"/>
            <w:shd w:val="clear" w:color="auto" w:fill="CCEEFF"/>
          </w:tcPr>
          <w:p>
            <w:pPr>
              <w:jc w:val="right"/>
              <w:ind w:right="589"/>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337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526</w:t>
            </w:r>
          </w:p>
        </w:tc>
        <w:tc>
          <w:tcPr>
            <w:tcW w:w="940" w:type="dxa"/>
            <w:vAlign w:val="bottom"/>
            <w:gridSpan w:val="2"/>
            <w:shd w:val="clear" w:color="auto" w:fill="CCEEFF"/>
          </w:tcPr>
          <w:p>
            <w:pPr>
              <w:jc w:val="right"/>
              <w:ind w:right="669"/>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193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1,053</w:t>
            </w:r>
          </w:p>
        </w:tc>
      </w:tr>
      <w:tr>
        <w:trPr>
          <w:trHeight w:val="180"/>
        </w:trPr>
        <w:tc>
          <w:tcPr>
            <w:tcW w:w="3320" w:type="dxa"/>
            <w:vAlign w:val="bottom"/>
          </w:tcPr>
          <w:p>
            <w:pPr>
              <w:ind w:left="20"/>
              <w:spacing w:after="0"/>
              <w:rPr>
                <w:sz w:val="20"/>
                <w:szCs w:val="20"/>
                <w:color w:val="auto"/>
              </w:rPr>
            </w:pPr>
            <w:r>
              <w:rPr>
                <w:rFonts w:ascii="Arial" w:cs="Arial" w:eastAsia="Arial" w:hAnsi="Arial"/>
                <w:sz w:val="11"/>
                <w:szCs w:val="11"/>
                <w:color w:val="auto"/>
              </w:rPr>
              <w:t xml:space="preserve">Cost of operations </w:t>
            </w:r>
            <w:r>
              <w:rPr>
                <w:rFonts w:ascii="Arial" w:cs="Arial" w:eastAsia="Arial" w:hAnsi="Arial"/>
                <w:sz w:val="14"/>
                <w:szCs w:val="14"/>
                <w:color w:val="auto"/>
                <w:vertAlign w:val="superscript"/>
              </w:rPr>
              <w:t>(a)</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62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146</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1"/>
                <w:szCs w:val="11"/>
                <w:color w:val="auto"/>
              </w:rPr>
              <w:t>127</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332</w:t>
            </w:r>
          </w:p>
        </w:tc>
      </w:tr>
      <w:tr>
        <w:trPr>
          <w:trHeight w:val="16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101</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207</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23</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331</w:t>
            </w: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20</w:t>
            </w:r>
          </w:p>
        </w:tc>
      </w:tr>
      <w:tr>
        <w:trPr>
          <w:trHeight w:val="22"/>
        </w:trPr>
        <w:tc>
          <w:tcPr>
            <w:tcW w:w="3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color w:val="auto"/>
              </w:rPr>
              <w:t>Development costs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1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174</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173</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40</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63</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44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74</w:t>
            </w:r>
          </w:p>
        </w:tc>
      </w:tr>
      <w:tr>
        <w:trPr>
          <w:trHeight w:val="22"/>
        </w:trPr>
        <w:tc>
          <w:tcPr>
            <w:tcW w:w="3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color w:val="auto"/>
              </w:rPr>
              <w:t>Loss on debt extinguishment</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(7)</w:t>
            </w:r>
          </w:p>
        </w:tc>
      </w:tr>
      <w:tr>
        <w:trPr>
          <w:trHeight w:val="22"/>
        </w:trPr>
        <w:tc>
          <w:tcPr>
            <w:tcW w:w="3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(154)</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(12)</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(306)</w:t>
            </w:r>
          </w:p>
        </w:tc>
      </w:tr>
      <w:tr>
        <w:trPr>
          <w:trHeight w:val="138"/>
        </w:trPr>
        <w:tc>
          <w:tcPr>
            <w:tcW w:w="332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26"/>
              <w:spacing w:after="0"/>
              <w:rPr>
                <w:sz w:val="20"/>
                <w:szCs w:val="20"/>
                <w:color w:val="auto"/>
              </w:rPr>
            </w:pPr>
            <w:r>
              <w:rPr>
                <w:rFonts w:ascii="Arial" w:cs="Arial" w:eastAsia="Arial" w:hAnsi="Arial"/>
                <w:sz w:val="11"/>
                <w:szCs w:val="11"/>
                <w:color w:val="auto"/>
              </w:rPr>
              <w:t>135</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86</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29</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1"/>
                <w:szCs w:val="11"/>
                <w:color w:val="auto"/>
                <w:w w:val="93"/>
              </w:rPr>
              <w:t>(134)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116</w:t>
            </w:r>
          </w:p>
        </w:tc>
      </w:tr>
      <w:tr>
        <w:trPr>
          <w:trHeight w:val="22"/>
        </w:trPr>
        <w:tc>
          <w:tcPr>
            <w:tcW w:w="3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r>
      <w:tr>
        <w:trPr>
          <w:trHeight w:val="138"/>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26"/>
              <w:spacing w:after="0"/>
              <w:rPr>
                <w:sz w:val="20"/>
                <w:szCs w:val="20"/>
                <w:color w:val="auto"/>
              </w:rPr>
            </w:pPr>
            <w:r>
              <w:rPr>
                <w:rFonts w:ascii="Arial" w:cs="Arial" w:eastAsia="Arial" w:hAnsi="Arial"/>
                <w:sz w:val="11"/>
                <w:szCs w:val="11"/>
                <w:color w:val="auto"/>
              </w:rPr>
              <w:t>135</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86</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29</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1"/>
                <w:szCs w:val="11"/>
                <w:color w:val="auto"/>
                <w:w w:val="93"/>
              </w:rPr>
              <w:t>(196)</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w:t>
            </w:r>
          </w:p>
        </w:tc>
      </w:tr>
      <w:tr>
        <w:trPr>
          <w:trHeight w:val="22"/>
        </w:trPr>
        <w:tc>
          <w:tcPr>
            <w:tcW w:w="5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5260" w:type="dxa"/>
            <w:vAlign w:val="bottom"/>
            <w:tcBorders>
              <w:bottom w:val="single" w:sz="8" w:color="CCEEFF"/>
            </w:tcBorders>
            <w:gridSpan w:val="5"/>
            <w:shd w:val="clear" w:color="auto" w:fill="CCEEFF"/>
          </w:tcPr>
          <w:p>
            <w:pPr>
              <w:ind w:left="100"/>
              <w:spacing w:after="0"/>
              <w:rPr>
                <w:sz w:val="20"/>
                <w:szCs w:val="20"/>
                <w:color w:val="auto"/>
              </w:rPr>
            </w:pPr>
            <w:r>
              <w:rPr>
                <w:rFonts w:ascii="Arial" w:cs="Arial" w:eastAsia="Arial" w:hAnsi="Arial"/>
                <w:sz w:val="11"/>
                <w:szCs w:val="11"/>
                <w:color w:val="auto"/>
                <w:w w:val="91"/>
              </w:rPr>
              <w:t>Less: Net income (loss) attributable to noncontrolling interests and Pre-acquisition net income of Drop Down Assets</w:t>
            </w: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(100)</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106</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r>
      <w:tr>
        <w:trPr>
          <w:trHeight w:val="16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 Attributable to Clearway Energy, Inc.</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gridSpan w:val="3"/>
          </w:tcPr>
          <w:p>
            <w:pPr>
              <w:spacing w:after="0"/>
              <w:rPr>
                <w:sz w:val="14"/>
                <w:szCs w:val="14"/>
                <w:color w:val="auto"/>
              </w:rPr>
            </w:pPr>
          </w:p>
        </w:tc>
        <w:tc>
          <w:tcPr>
            <w:tcW w:w="7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1"/>
                <w:szCs w:val="11"/>
                <w:color w:val="auto"/>
              </w:rPr>
              <w:t>135</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186</w:t>
            </w:r>
          </w:p>
        </w:tc>
        <w:tc>
          <w:tcPr>
            <w:tcW w:w="14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w w:val="93"/>
              </w:rPr>
              <w:t>(302)</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r>
      <w:tr>
        <w:trPr>
          <w:trHeight w:val="15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Sheet</w:t>
            </w: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color w:val="auto"/>
              </w:rPr>
              <w:t>Equity investment in affiliates</w:t>
            </w:r>
          </w:p>
        </w:tc>
        <w:tc>
          <w:tcPr>
            <w:tcW w:w="1120" w:type="dxa"/>
            <w:vAlign w:val="bottom"/>
          </w:tcPr>
          <w:p>
            <w:pPr>
              <w:spacing w:after="0"/>
              <w:rPr>
                <w:sz w:val="13"/>
                <w:szCs w:val="13"/>
                <w:color w:val="auto"/>
              </w:rPr>
            </w:pPr>
          </w:p>
        </w:tc>
        <w:tc>
          <w:tcPr>
            <w:tcW w:w="1540" w:type="dxa"/>
            <w:vAlign w:val="bottom"/>
            <w:gridSpan w:val="4"/>
          </w:tcPr>
          <w:p>
            <w:pPr>
              <w:jc w:val="right"/>
              <w:ind w:right="589"/>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98</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1,074</w:t>
            </w:r>
          </w:p>
        </w:tc>
        <w:tc>
          <w:tcPr>
            <w:tcW w:w="940" w:type="dxa"/>
            <w:vAlign w:val="bottom"/>
            <w:gridSpan w:val="2"/>
          </w:tcPr>
          <w:p>
            <w:pPr>
              <w:jc w:val="right"/>
              <w:ind w:right="669"/>
              <w:spacing w:after="0"/>
              <w:rPr>
                <w:sz w:val="20"/>
                <w:szCs w:val="20"/>
                <w:color w:val="auto"/>
              </w:rPr>
            </w:pPr>
            <w:r>
              <w:rPr>
                <w:rFonts w:ascii="Arial" w:cs="Arial" w:eastAsia="Arial" w:hAnsi="Arial"/>
                <w:sz w:val="11"/>
                <w:szCs w:val="11"/>
                <w:color w:val="auto"/>
              </w:rPr>
              <w:t>$</w:t>
            </w: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ind w:left="20"/>
              <w:spacing w:after="0"/>
              <w:rPr>
                <w:sz w:val="20"/>
                <w:szCs w:val="20"/>
                <w:color w:val="auto"/>
              </w:rPr>
            </w:pPr>
            <w:r>
              <w:rPr>
                <w:rFonts w:ascii="Arial" w:cs="Arial" w:eastAsia="Arial" w:hAnsi="Arial"/>
                <w:sz w:val="11"/>
                <w:szCs w:val="11"/>
                <w:color w:val="auto"/>
              </w:rPr>
              <w:t>$</w:t>
            </w:r>
          </w:p>
        </w:tc>
        <w:tc>
          <w:tcPr>
            <w:tcW w:w="44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1,172</w:t>
            </w:r>
          </w:p>
        </w:tc>
      </w:tr>
      <w:tr>
        <w:trPr>
          <w:trHeight w:val="22"/>
        </w:trPr>
        <w:tc>
          <w:tcPr>
            <w:tcW w:w="3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Capital expenditures </w:t>
            </w:r>
            <w:r>
              <w:rPr>
                <w:rFonts w:ascii="Arial" w:cs="Arial" w:eastAsia="Arial" w:hAnsi="Arial"/>
                <w:sz w:val="14"/>
                <w:szCs w:val="14"/>
                <w:color w:val="auto"/>
                <w:vertAlign w:val="superscript"/>
              </w:rPr>
              <w:t>(b)</w:t>
            </w: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r>
      <w:tr>
        <w:trPr>
          <w:trHeight w:val="158"/>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1120" w:type="dxa"/>
            <w:vAlign w:val="bottom"/>
          </w:tcPr>
          <w:p>
            <w:pPr>
              <w:spacing w:after="0"/>
              <w:rPr>
                <w:sz w:val="13"/>
                <w:szCs w:val="13"/>
                <w:color w:val="auto"/>
              </w:rPr>
            </w:pPr>
          </w:p>
        </w:tc>
        <w:tc>
          <w:tcPr>
            <w:tcW w:w="1540" w:type="dxa"/>
            <w:vAlign w:val="bottom"/>
            <w:gridSpan w:val="4"/>
          </w:tcPr>
          <w:p>
            <w:pPr>
              <w:jc w:val="right"/>
              <w:ind w:right="589"/>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1,788</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5,836</w:t>
            </w:r>
          </w:p>
        </w:tc>
        <w:tc>
          <w:tcPr>
            <w:tcW w:w="940" w:type="dxa"/>
            <w:vAlign w:val="bottom"/>
            <w:gridSpan w:val="2"/>
          </w:tcPr>
          <w:p>
            <w:pPr>
              <w:jc w:val="right"/>
              <w:ind w:right="669"/>
              <w:spacing w:after="0"/>
              <w:rPr>
                <w:sz w:val="20"/>
                <w:szCs w:val="20"/>
                <w:color w:val="auto"/>
              </w:rPr>
            </w:pPr>
            <w:r>
              <w:rPr>
                <w:rFonts w:ascii="Arial" w:cs="Arial" w:eastAsia="Arial" w:hAnsi="Arial"/>
                <w:sz w:val="11"/>
                <w:szCs w:val="11"/>
                <w:color w:val="auto"/>
              </w:rPr>
              <w:t>$</w:t>
            </w:r>
          </w:p>
        </w:tc>
        <w:tc>
          <w:tcPr>
            <w:tcW w:w="340" w:type="dxa"/>
            <w:vAlign w:val="bottom"/>
            <w:gridSpan w:val="3"/>
          </w:tcPr>
          <w:p>
            <w:pPr>
              <w:jc w:val="right"/>
              <w:ind w:right="120"/>
              <w:spacing w:after="0"/>
              <w:rPr>
                <w:sz w:val="20"/>
                <w:szCs w:val="20"/>
                <w:color w:val="auto"/>
              </w:rPr>
            </w:pPr>
            <w:r>
              <w:rPr>
                <w:rFonts w:ascii="Arial" w:cs="Arial" w:eastAsia="Arial" w:hAnsi="Arial"/>
                <w:sz w:val="11"/>
                <w:szCs w:val="11"/>
                <w:color w:val="auto"/>
              </w:rPr>
              <w:t>516</w:t>
            </w:r>
          </w:p>
        </w:tc>
        <w:tc>
          <w:tcPr>
            <w:tcW w:w="1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360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39573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95730" cy="5715"/>
                    </a:xfrm>
                    <a:prstGeom prst="rect">
                      <a:avLst/>
                    </a:prstGeom>
                    <a:noFill/>
                  </pic:spPr>
                </pic:pic>
              </a:graphicData>
            </a:graphic>
          </wp:anchor>
        </w:drawing>
      </w:r>
    </w:p>
    <w:p>
      <w:pPr>
        <w:spacing w:after="0" w:line="206" w:lineRule="exact"/>
        <w:rPr>
          <w:sz w:val="20"/>
          <w:szCs w:val="20"/>
          <w:color w:val="auto"/>
        </w:rPr>
      </w:pPr>
    </w:p>
    <w:p>
      <w:pPr>
        <w:ind w:left="88" w:hanging="88"/>
        <w:spacing w:after="0"/>
        <w:tabs>
          <w:tab w:leader="none" w:pos="88" w:val="left"/>
        </w:tabs>
        <w:numPr>
          <w:ilvl w:val="0"/>
          <w:numId w:val="54"/>
        </w:numPr>
        <w:rPr>
          <w:rFonts w:ascii="Arial" w:cs="Arial" w:eastAsia="Arial" w:hAnsi="Arial"/>
          <w:sz w:val="6"/>
          <w:szCs w:val="6"/>
          <w:color w:val="auto"/>
        </w:rPr>
      </w:pPr>
      <w:r>
        <w:rPr>
          <w:rFonts w:ascii="Arial" w:cs="Arial" w:eastAsia="Arial" w:hAnsi="Arial"/>
          <w:sz w:val="10"/>
          <w:szCs w:val="10"/>
          <w:color w:val="auto"/>
        </w:rPr>
        <w:t>Inter-segment revenues and cost of operations include operations and maintenance fee revenue and related costs recorded in the Renewables segment.</w:t>
      </w:r>
    </w:p>
    <w:p>
      <w:pPr>
        <w:spacing w:after="0" w:line="1" w:lineRule="exact"/>
        <w:rPr>
          <w:rFonts w:ascii="Arial" w:cs="Arial" w:eastAsia="Arial" w:hAnsi="Arial"/>
          <w:sz w:val="6"/>
          <w:szCs w:val="6"/>
          <w:color w:val="auto"/>
        </w:rPr>
      </w:pPr>
    </w:p>
    <w:p>
      <w:pPr>
        <w:ind w:left="88" w:hanging="88"/>
        <w:spacing w:after="0" w:line="236" w:lineRule="auto"/>
        <w:tabs>
          <w:tab w:leader="none" w:pos="88" w:val="left"/>
        </w:tabs>
        <w:numPr>
          <w:ilvl w:val="0"/>
          <w:numId w:val="54"/>
        </w:numPr>
        <w:rPr>
          <w:rFonts w:ascii="Arial" w:cs="Arial" w:eastAsia="Arial" w:hAnsi="Arial"/>
          <w:sz w:val="6"/>
          <w:szCs w:val="6"/>
          <w:color w:val="auto"/>
        </w:rPr>
      </w:pPr>
      <w:r>
        <w:rPr>
          <w:rFonts w:ascii="Arial" w:cs="Arial" w:eastAsia="Arial" w:hAnsi="Arial"/>
          <w:sz w:val="10"/>
          <w:szCs w:val="10"/>
          <w:color w:val="auto"/>
        </w:rPr>
        <w:t>Includes accruals.</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488"/>
          </w:cols>
          <w:pgMar w:left="212" w:top="518"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28"/>
        </w:trPr>
        <w:tc>
          <w:tcPr>
            <w:tcW w:w="21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89"/>
              </w:rPr>
              <w:t>Year ended December 31, 2017</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69"/>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90"/>
              </w:rPr>
              <w:t>Conventional Generation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Corporate</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4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4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501</w:t>
            </w:r>
          </w:p>
        </w:tc>
        <w:tc>
          <w:tcPr>
            <w:tcW w:w="36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1,009</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Cost of operations</w:t>
            </w:r>
          </w:p>
        </w:tc>
        <w:tc>
          <w:tcPr>
            <w:tcW w:w="44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326</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4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Impairment losses</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44</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4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4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44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71</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4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Loss on debt extinguishment</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(3)</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4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(307)</w:t>
            </w:r>
          </w:p>
        </w:tc>
      </w:tr>
      <w:tr>
        <w:trPr>
          <w:trHeight w:val="13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Income (loss) before income taxes</w:t>
            </w: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Income tax benefit</w:t>
            </w:r>
          </w:p>
        </w:tc>
        <w:tc>
          <w:tcPr>
            <w:tcW w:w="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r>
      <w:tr>
        <w:trPr>
          <w:trHeight w:val="13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Net Income (Loss)</w:t>
            </w: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(24)</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5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Less: Net (loss) income attributable to noncontrolling interests</w:t>
            </w:r>
          </w:p>
        </w:tc>
        <w:tc>
          <w:tcPr>
            <w:tcW w:w="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r>
      <w:tr>
        <w:trPr>
          <w:trHeight w:val="167"/>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Net Income (Loss) Attributable to Clearway Energy, Inc.</w:t>
            </w:r>
          </w:p>
        </w:tc>
        <w:tc>
          <w:tcPr>
            <w:tcW w:w="44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120</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(16)</w:t>
            </w: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Sheet</w:t>
            </w:r>
          </w:p>
        </w:tc>
        <w:tc>
          <w:tcPr>
            <w:tcW w:w="4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Equity investments in affiliates</w:t>
            </w:r>
          </w:p>
        </w:tc>
        <w:tc>
          <w:tcPr>
            <w:tcW w:w="440" w:type="dxa"/>
            <w:vAlign w:val="bottom"/>
          </w:tcPr>
          <w:p>
            <w:pPr>
              <w:jc w:val="right"/>
              <w:ind w:right="30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1,076</w:t>
            </w:r>
          </w:p>
        </w:tc>
        <w:tc>
          <w:tcPr>
            <w:tcW w:w="36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1,178</w:t>
            </w:r>
          </w:p>
        </w:tc>
      </w:tr>
      <w:tr>
        <w:trPr>
          <w:trHeight w:val="22"/>
        </w:trPr>
        <w:tc>
          <w:tcPr>
            <w:tcW w:w="2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Capital expenditures </w:t>
            </w:r>
            <w:r>
              <w:rPr>
                <w:rFonts w:ascii="Arial" w:cs="Arial" w:eastAsia="Arial" w:hAnsi="Arial"/>
                <w:sz w:val="14"/>
                <w:szCs w:val="14"/>
                <w:color w:val="auto"/>
                <w:vertAlign w:val="superscript"/>
              </w:rPr>
              <w:t>(a)</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212</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Assets</w:t>
            </w:r>
          </w:p>
        </w:tc>
        <w:tc>
          <w:tcPr>
            <w:tcW w:w="440" w:type="dxa"/>
            <w:vAlign w:val="bottom"/>
          </w:tcPr>
          <w:p>
            <w:pPr>
              <w:jc w:val="right"/>
              <w:ind w:right="307"/>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1,897</w:t>
            </w:r>
          </w:p>
        </w:tc>
        <w:tc>
          <w:tcPr>
            <w:tcW w:w="12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6,017</w:t>
            </w:r>
          </w:p>
        </w:tc>
        <w:tc>
          <w:tcPr>
            <w:tcW w:w="36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422</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8,489</w:t>
            </w:r>
          </w:p>
        </w:tc>
      </w:tr>
      <w:tr>
        <w:trPr>
          <w:trHeight w:val="193"/>
        </w:trPr>
        <w:tc>
          <w:tcPr>
            <w:tcW w:w="2180" w:type="dxa"/>
            <w:vAlign w:val="bottom"/>
            <w:tcBorders>
              <w:bottom w:val="single" w:sz="8" w:color="auto"/>
            </w:tcBorders>
          </w:tcPr>
          <w:p>
            <w:pPr>
              <w:spacing w:after="0"/>
              <w:rPr>
                <w:sz w:val="16"/>
                <w:szCs w:val="16"/>
                <w:color w:val="auto"/>
              </w:rPr>
            </w:pPr>
          </w:p>
        </w:tc>
        <w:tc>
          <w:tcPr>
            <w:tcW w:w="3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34"/>
        </w:trPr>
        <w:tc>
          <w:tcPr>
            <w:tcW w:w="5280" w:type="dxa"/>
            <w:vAlign w:val="bottom"/>
            <w:gridSpan w:val="2"/>
          </w:tcPr>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Includes accruals.</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65"/>
        </w:trPr>
        <w:tc>
          <w:tcPr>
            <w:tcW w:w="21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89"/>
              </w:rPr>
              <w:t>Year ended December 31, 2016</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169"/>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b w:val="1"/>
                <w:bCs w:val="1"/>
                <w:color w:val="auto"/>
                <w:w w:val="90"/>
              </w:rPr>
              <w:t>Conventional Generation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Corporate</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4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4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532</w:t>
            </w:r>
          </w:p>
        </w:tc>
        <w:tc>
          <w:tcPr>
            <w:tcW w:w="36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Cost of operations</w:t>
            </w:r>
          </w:p>
        </w:tc>
        <w:tc>
          <w:tcPr>
            <w:tcW w:w="44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308</w:t>
            </w:r>
          </w:p>
        </w:tc>
      </w:tr>
      <w:tr>
        <w:trPr>
          <w:trHeight w:val="22"/>
        </w:trPr>
        <w:tc>
          <w:tcPr>
            <w:tcW w:w="5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4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303</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Impairment losses</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185</w:t>
            </w:r>
          </w:p>
        </w:tc>
      </w:tr>
      <w:tr>
        <w:trPr>
          <w:trHeight w:val="22"/>
        </w:trPr>
        <w:tc>
          <w:tcPr>
            <w:tcW w:w="5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4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22"/>
        </w:trPr>
        <w:tc>
          <w:tcPr>
            <w:tcW w:w="52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4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44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60</w:t>
            </w:r>
          </w:p>
        </w:tc>
      </w:tr>
      <w:tr>
        <w:trPr>
          <w:trHeight w:val="22"/>
        </w:trPr>
        <w:tc>
          <w:tcPr>
            <w:tcW w:w="5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4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Interest expense</w:t>
            </w:r>
          </w:p>
        </w:tc>
        <w:tc>
          <w:tcPr>
            <w:tcW w:w="44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(284)</w:t>
            </w:r>
          </w:p>
        </w:tc>
      </w:tr>
      <w:tr>
        <w:trPr>
          <w:trHeight w:val="22"/>
        </w:trPr>
        <w:tc>
          <w:tcPr>
            <w:tcW w:w="52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4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58"/>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Income tax expense</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w:t>
            </w:r>
          </w:p>
        </w:tc>
      </w:tr>
      <w:tr>
        <w:trPr>
          <w:trHeight w:val="22"/>
        </w:trPr>
        <w:tc>
          <w:tcPr>
            <w:tcW w:w="5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4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r>
      <w:tr>
        <w:trPr>
          <w:trHeight w:val="158"/>
        </w:trPr>
        <w:tc>
          <w:tcPr>
            <w:tcW w:w="5280" w:type="dxa"/>
            <w:vAlign w:val="bottom"/>
            <w:gridSpan w:val="2"/>
          </w:tcPr>
          <w:p>
            <w:pPr>
              <w:ind w:left="100"/>
              <w:spacing w:after="0"/>
              <w:rPr>
                <w:sz w:val="20"/>
                <w:szCs w:val="20"/>
                <w:color w:val="auto"/>
              </w:rPr>
            </w:pPr>
            <w:r>
              <w:rPr>
                <w:rFonts w:ascii="Arial" w:cs="Arial" w:eastAsia="Arial" w:hAnsi="Arial"/>
                <w:sz w:val="11"/>
                <w:szCs w:val="11"/>
                <w:color w:val="auto"/>
              </w:rPr>
              <w:t>Less: Net (loss) income attributable to noncontrolling interests</w:t>
            </w:r>
          </w:p>
        </w:tc>
        <w:tc>
          <w:tcPr>
            <w:tcW w:w="4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(51)</w:t>
            </w:r>
          </w:p>
        </w:tc>
      </w:tr>
      <w:tr>
        <w:trPr>
          <w:trHeight w:val="22"/>
        </w:trPr>
        <w:tc>
          <w:tcPr>
            <w:tcW w:w="528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Clearway Energy, Inc.</w:t>
            </w:r>
          </w:p>
        </w:tc>
        <w:tc>
          <w:tcPr>
            <w:tcW w:w="44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r>
    </w:tbl>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480"/>
          </w:cols>
          <w:pgMar w:left="220" w:top="665" w:right="19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color w:val="auto"/>
        </w:rPr>
        <w:t>Note 14 —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Effective Tax Rate</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income tax provision consisted of the following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Year Ended December 31,</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7"/>
        </w:trPr>
        <w:tc>
          <w:tcPr>
            <w:tcW w:w="6440" w:type="dxa"/>
            <w:vAlign w:val="bottom"/>
          </w:tcPr>
          <w:p>
            <w:pPr>
              <w:spacing w:after="0"/>
              <w:rPr>
                <w:sz w:val="12"/>
                <w:szCs w:val="12"/>
                <w:color w:val="auto"/>
              </w:rPr>
            </w:pPr>
          </w:p>
        </w:tc>
        <w:tc>
          <w:tcPr>
            <w:tcW w:w="1140" w:type="dxa"/>
            <w:vAlign w:val="bottom"/>
          </w:tcPr>
          <w:p>
            <w:pPr>
              <w:jc w:val="right"/>
              <w:ind w:right="170"/>
              <w:spacing w:after="0"/>
              <w:rPr>
                <w:sz w:val="20"/>
                <w:szCs w:val="20"/>
                <w:color w:val="auto"/>
              </w:rPr>
            </w:pPr>
            <w:r>
              <w:rPr>
                <w:rFonts w:ascii="Arial" w:cs="Arial" w:eastAsia="Arial" w:hAnsi="Arial"/>
                <w:sz w:val="11"/>
                <w:szCs w:val="11"/>
                <w:b w:val="1"/>
                <w:bCs w:val="1"/>
                <w:color w:val="auto"/>
              </w:rPr>
              <w:t>2018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86"/>
              <w:spacing w:after="0"/>
              <w:rPr>
                <w:sz w:val="20"/>
                <w:szCs w:val="20"/>
                <w:color w:val="auto"/>
              </w:rPr>
            </w:pPr>
            <w:r>
              <w:rPr>
                <w:rFonts w:ascii="Arial" w:cs="Arial" w:eastAsia="Arial" w:hAnsi="Arial"/>
                <w:sz w:val="11"/>
                <w:szCs w:val="11"/>
                <w:b w:val="1"/>
                <w:bCs w:val="1"/>
                <w:color w:val="auto"/>
                <w:w w:val="89"/>
              </w:rPr>
              <w:t>2017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46"/>
              <w:spacing w:after="0"/>
              <w:rPr>
                <w:sz w:val="20"/>
                <w:szCs w:val="20"/>
                <w:color w:val="auto"/>
              </w:rPr>
            </w:pPr>
            <w:r>
              <w:rPr>
                <w:rFonts w:ascii="Arial" w:cs="Arial" w:eastAsia="Arial" w:hAnsi="Arial"/>
                <w:sz w:val="11"/>
                <w:szCs w:val="11"/>
                <w:b w:val="1"/>
                <w:bCs w:val="1"/>
                <w:color w:val="auto"/>
              </w:rPr>
              <w:t>2016</w:t>
            </w:r>
          </w:p>
        </w:tc>
      </w:tr>
      <w:tr>
        <w:trPr>
          <w:trHeight w:val="22"/>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6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(In millions, except percentages)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w:t>
            </w:r>
          </w:p>
        </w:tc>
        <w:tc>
          <w:tcPr>
            <w:tcW w:w="1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58"/>
        </w:trPr>
        <w:tc>
          <w:tcPr>
            <w:tcW w:w="6440" w:type="dxa"/>
            <w:vAlign w:val="bottom"/>
          </w:tcPr>
          <w:p>
            <w:pPr>
              <w:ind w:left="100"/>
              <w:spacing w:after="0"/>
              <w:rPr>
                <w:sz w:val="20"/>
                <w:szCs w:val="20"/>
                <w:color w:val="auto"/>
              </w:rPr>
            </w:pPr>
            <w:r>
              <w:rPr>
                <w:rFonts w:ascii="Arial" w:cs="Arial" w:eastAsia="Arial" w:hAnsi="Arial"/>
                <w:sz w:val="11"/>
                <w:szCs w:val="11"/>
                <w:color w:val="auto"/>
              </w:rPr>
              <w:t>U.S. Federal</w:t>
            </w:r>
          </w:p>
        </w:tc>
        <w:tc>
          <w:tcPr>
            <w:tcW w:w="1140" w:type="dxa"/>
            <w:vAlign w:val="bottom"/>
          </w:tcPr>
          <w:p>
            <w:pPr>
              <w:jc w:val="right"/>
              <w:ind w:right="103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0"/>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State</w:t>
            </w:r>
          </w:p>
        </w:tc>
        <w:tc>
          <w:tcPr>
            <w:tcW w:w="1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38"/>
        </w:trPr>
        <w:tc>
          <w:tcPr>
            <w:tcW w:w="6440" w:type="dxa"/>
            <w:vAlign w:val="bottom"/>
          </w:tcPr>
          <w:p>
            <w:pPr>
              <w:ind w:left="20"/>
              <w:spacing w:after="0"/>
              <w:rPr>
                <w:sz w:val="20"/>
                <w:szCs w:val="20"/>
                <w:color w:val="auto"/>
              </w:rPr>
            </w:pPr>
            <w:r>
              <w:rPr>
                <w:rFonts w:ascii="Arial" w:cs="Arial" w:eastAsia="Arial" w:hAnsi="Arial"/>
                <w:sz w:val="11"/>
                <w:szCs w:val="11"/>
                <w:color w:val="auto"/>
              </w:rPr>
              <w:t>Total — current</w:t>
            </w:r>
          </w:p>
        </w:tc>
        <w:tc>
          <w:tcPr>
            <w:tcW w:w="1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w:t>
            </w:r>
          </w:p>
        </w:tc>
        <w:tc>
          <w:tcPr>
            <w:tcW w:w="1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r>
      <w:tr>
        <w:trPr>
          <w:trHeight w:val="158"/>
        </w:trPr>
        <w:tc>
          <w:tcPr>
            <w:tcW w:w="6440" w:type="dxa"/>
            <w:vAlign w:val="bottom"/>
          </w:tcPr>
          <w:p>
            <w:pPr>
              <w:ind w:left="100"/>
              <w:spacing w:after="0"/>
              <w:rPr>
                <w:sz w:val="20"/>
                <w:szCs w:val="20"/>
                <w:color w:val="auto"/>
              </w:rPr>
            </w:pPr>
            <w:r>
              <w:rPr>
                <w:rFonts w:ascii="Arial" w:cs="Arial" w:eastAsia="Arial" w:hAnsi="Arial"/>
                <w:sz w:val="11"/>
                <w:szCs w:val="11"/>
                <w:color w:val="auto"/>
              </w:rPr>
              <w:t>U.S. Federal</w:t>
            </w:r>
          </w:p>
        </w:tc>
        <w:tc>
          <w:tcPr>
            <w:tcW w:w="1140" w:type="dxa"/>
            <w:vAlign w:val="bottom"/>
          </w:tcPr>
          <w:p>
            <w:pPr>
              <w:spacing w:after="0"/>
              <w:rPr>
                <w:sz w:val="13"/>
                <w:szCs w:val="13"/>
                <w:color w:val="auto"/>
              </w:rPr>
            </w:pPr>
          </w:p>
        </w:tc>
        <w:tc>
          <w:tcPr>
            <w:tcW w:w="480" w:type="dxa"/>
            <w:vAlign w:val="bottom"/>
          </w:tcPr>
          <w:p>
            <w:pPr>
              <w:ind w:left="240"/>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(1)</w:t>
            </w:r>
          </w:p>
        </w:tc>
      </w:tr>
      <w:tr>
        <w:trPr>
          <w:trHeight w:val="22"/>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0"/>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State</w:t>
            </w:r>
          </w:p>
        </w:tc>
        <w:tc>
          <w:tcPr>
            <w:tcW w:w="1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38"/>
        </w:trPr>
        <w:tc>
          <w:tcPr>
            <w:tcW w:w="6440" w:type="dxa"/>
            <w:vAlign w:val="bottom"/>
          </w:tcPr>
          <w:p>
            <w:pPr>
              <w:ind w:left="20"/>
              <w:spacing w:after="0"/>
              <w:rPr>
                <w:sz w:val="20"/>
                <w:szCs w:val="20"/>
                <w:color w:val="auto"/>
              </w:rPr>
            </w:pPr>
            <w:r>
              <w:rPr>
                <w:rFonts w:ascii="Arial" w:cs="Arial" w:eastAsia="Arial" w:hAnsi="Arial"/>
                <w:sz w:val="11"/>
                <w:szCs w:val="11"/>
                <w:color w:val="auto"/>
              </w:rPr>
              <w:t>Total — deferred</w:t>
            </w:r>
          </w:p>
        </w:tc>
        <w:tc>
          <w:tcPr>
            <w:tcW w:w="1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7"/>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income tax expense (benefit)</w:t>
            </w:r>
          </w:p>
        </w:tc>
        <w:tc>
          <w:tcPr>
            <w:tcW w:w="11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r>
    </w:tbl>
    <w:p>
      <w:pPr>
        <w:spacing w:after="0" w:line="2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 reconciliation of the U.S. federal statutory rate of 21% and 35% to the Company's effective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6"/>
              </w:rPr>
              <w:t>Year Ended December 31,</w:t>
            </w: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69"/>
        </w:trPr>
        <w:tc>
          <w:tcPr>
            <w:tcW w:w="6440" w:type="dxa"/>
            <w:vAlign w:val="bottom"/>
          </w:tcPr>
          <w:p>
            <w:pPr>
              <w:spacing w:after="0"/>
              <w:rPr>
                <w:sz w:val="14"/>
                <w:szCs w:val="14"/>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2018</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47"/>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2016</w:t>
            </w:r>
          </w:p>
        </w:tc>
      </w:tr>
      <w:tr>
        <w:trPr>
          <w:trHeight w:val="142"/>
        </w:trPr>
        <w:tc>
          <w:tcPr>
            <w:tcW w:w="6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FFFFFF"/>
                <w:w w:val="86"/>
              </w:rPr>
              <w:t>(In millions, except percentages)</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2"/>
        </w:trPr>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11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r>
      <w:tr>
        <w:trPr>
          <w:trHeight w:val="149"/>
        </w:trPr>
        <w:tc>
          <w:tcPr>
            <w:tcW w:w="6440" w:type="dxa"/>
            <w:vAlign w:val="bottom"/>
          </w:tcPr>
          <w:p>
            <w:pPr>
              <w:ind w:left="20"/>
              <w:spacing w:after="0"/>
              <w:rPr>
                <w:sz w:val="20"/>
                <w:szCs w:val="20"/>
                <w:color w:val="auto"/>
              </w:rPr>
            </w:pPr>
            <w:r>
              <w:rPr>
                <w:rFonts w:ascii="Arial" w:cs="Arial" w:eastAsia="Arial" w:hAnsi="Arial"/>
                <w:sz w:val="11"/>
                <w:szCs w:val="11"/>
                <w:color w:val="auto"/>
              </w:rPr>
              <w:t>Tax at 21%/35%</w:t>
            </w:r>
          </w:p>
        </w:tc>
        <w:tc>
          <w:tcPr>
            <w:tcW w:w="1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22"/>
        </w:trPr>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State taxes, net of federal benefit</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58"/>
        </w:trPr>
        <w:tc>
          <w:tcPr>
            <w:tcW w:w="6440" w:type="dxa"/>
            <w:vAlign w:val="bottom"/>
          </w:tcPr>
          <w:p>
            <w:pPr>
              <w:ind w:left="100"/>
              <w:spacing w:after="0"/>
              <w:rPr>
                <w:sz w:val="20"/>
                <w:szCs w:val="20"/>
                <w:color w:val="auto"/>
              </w:rPr>
            </w:pPr>
            <w:r>
              <w:rPr>
                <w:rFonts w:ascii="Arial" w:cs="Arial" w:eastAsia="Arial" w:hAnsi="Arial"/>
                <w:sz w:val="11"/>
                <w:szCs w:val="11"/>
                <w:color w:val="auto"/>
              </w:rPr>
              <w:t>Deferred state rate change due to deconsolidation from NRG</w:t>
            </w:r>
          </w:p>
        </w:tc>
        <w:tc>
          <w:tcPr>
            <w:tcW w:w="1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22"/>
        </w:trPr>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Cuts and Jobs Act - tax rate change</w:t>
            </w:r>
          </w:p>
        </w:tc>
        <w:tc>
          <w:tcPr>
            <w:tcW w:w="1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58"/>
        </w:trPr>
        <w:tc>
          <w:tcPr>
            <w:tcW w:w="6440" w:type="dxa"/>
            <w:vAlign w:val="bottom"/>
          </w:tcPr>
          <w:p>
            <w:pPr>
              <w:ind w:left="100"/>
              <w:spacing w:after="0"/>
              <w:rPr>
                <w:sz w:val="20"/>
                <w:szCs w:val="20"/>
                <w:color w:val="auto"/>
              </w:rPr>
            </w:pPr>
            <w:r>
              <w:rPr>
                <w:rFonts w:ascii="Arial" w:cs="Arial" w:eastAsia="Arial" w:hAnsi="Arial"/>
                <w:sz w:val="11"/>
                <w:szCs w:val="11"/>
                <w:color w:val="auto"/>
              </w:rPr>
              <w:t>Impact of non-taxable equity earnings</w:t>
            </w:r>
          </w:p>
        </w:tc>
        <w:tc>
          <w:tcPr>
            <w:tcW w:w="1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27"/>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22"/>
        </w:trPr>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Investment tax credits</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58"/>
        </w:trPr>
        <w:tc>
          <w:tcPr>
            <w:tcW w:w="6440" w:type="dxa"/>
            <w:vAlign w:val="bottom"/>
          </w:tcPr>
          <w:p>
            <w:pPr>
              <w:ind w:left="100"/>
              <w:spacing w:after="0"/>
              <w:rPr>
                <w:sz w:val="20"/>
                <w:szCs w:val="20"/>
                <w:color w:val="auto"/>
              </w:rPr>
            </w:pPr>
            <w:r>
              <w:rPr>
                <w:rFonts w:ascii="Arial" w:cs="Arial" w:eastAsia="Arial" w:hAnsi="Arial"/>
                <w:sz w:val="11"/>
                <w:szCs w:val="11"/>
                <w:color w:val="auto"/>
              </w:rPr>
              <w:t>Production tax credits, including prior year true-up</w:t>
            </w:r>
          </w:p>
        </w:tc>
        <w:tc>
          <w:tcPr>
            <w:tcW w:w="1100" w:type="dxa"/>
            <w:vAlign w:val="bottom"/>
          </w:tcPr>
          <w:p>
            <w:pPr>
              <w:spacing w:after="0"/>
              <w:rPr>
                <w:sz w:val="13"/>
                <w:szCs w:val="13"/>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2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4</w:t>
            </w:r>
          </w:p>
        </w:tc>
      </w:tr>
      <w:tr>
        <w:trPr>
          <w:trHeight w:val="22"/>
        </w:trPr>
        <w:tc>
          <w:tcPr>
            <w:tcW w:w="6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6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Valuation allowance adjustment</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58"/>
        </w:trPr>
        <w:tc>
          <w:tcPr>
            <w:tcW w:w="6440" w:type="dxa"/>
            <w:vAlign w:val="bottom"/>
          </w:tcPr>
          <w:p>
            <w:pPr>
              <w:ind w:left="100"/>
              <w:spacing w:after="0"/>
              <w:rPr>
                <w:sz w:val="20"/>
                <w:szCs w:val="20"/>
                <w:color w:val="auto"/>
              </w:rPr>
            </w:pPr>
            <w:r>
              <w:rPr>
                <w:rFonts w:ascii="Arial" w:cs="Arial" w:eastAsia="Arial" w:hAnsi="Arial"/>
                <w:sz w:val="11"/>
                <w:szCs w:val="11"/>
                <w:color w:val="auto"/>
              </w:rPr>
              <w:t>Other</w:t>
            </w:r>
          </w:p>
        </w:tc>
        <w:tc>
          <w:tcPr>
            <w:tcW w:w="1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1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49"/>
        </w:trPr>
        <w:tc>
          <w:tcPr>
            <w:tcW w:w="6440" w:type="dxa"/>
            <w:vAlign w:val="bottom"/>
          </w:tcPr>
          <w:p>
            <w:pPr>
              <w:ind w:left="20"/>
              <w:spacing w:after="0"/>
              <w:rPr>
                <w:sz w:val="20"/>
                <w:szCs w:val="20"/>
                <w:color w:val="auto"/>
              </w:rPr>
            </w:pPr>
            <w:r>
              <w:rPr>
                <w:rFonts w:ascii="Arial" w:cs="Arial" w:eastAsia="Arial" w:hAnsi="Arial"/>
                <w:sz w:val="11"/>
                <w:szCs w:val="11"/>
                <w:color w:val="auto"/>
              </w:rPr>
              <w:t>Effective income tax rate</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(100)%</w:t>
            </w:r>
          </w:p>
        </w:tc>
      </w:tr>
    </w:tbl>
    <w:p>
      <w:pPr>
        <w:spacing w:after="0" w:line="121"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For the year ended December 31, 2018, the overall effective tax rate was different than the statutory rate of 21% primarily due to higher state income tax rate following the Company’s separation from NRG as well as taxable earnings and losses allocated to partners’ interest in Clearway Energy LLC which includes the effects of applying HLBV method of accounting for book purposes of certain partnerships. The Company has completed the accounting for all of the income tax effects related to the Tax Cuts and Jobs Act, which resulted in no material adjustments in 2018 to the provisional amounts recorded.</w:t>
      </w:r>
    </w:p>
    <w:p>
      <w:pPr>
        <w:spacing w:after="0" w:line="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For the year ended December 31, 2017, the overall effective tax rate was different than the statutory rate of 35% primarily due to tax expense recorded from the revaluation of the existing net deferred tax asset pursuant to the reduction in the corporate income tax rate to 21% in accordance with the Tax Cuts and Jobs Act. In December 2017, the SEC staff issued Staff Accounting Bulletin No. 118, which addresses how a company may recognize provisional amounts for the effect of the changes related to the Tax Act. Consistent with that guidance, the Company recognized provisional amounts at December 31, 2017, based upon its interpretation of the tax laws and estimates which require significant judgments.</w:t>
      </w:r>
    </w:p>
    <w:p>
      <w:pPr>
        <w:spacing w:after="0" w:line="89" w:lineRule="exact"/>
        <w:rPr>
          <w:sz w:val="20"/>
          <w:szCs w:val="20"/>
          <w:color w:val="auto"/>
        </w:rPr>
      </w:pPr>
    </w:p>
    <w:p>
      <w:pPr>
        <w:ind w:right="100" w:firstLine="270"/>
        <w:spacing w:after="0" w:line="276" w:lineRule="auto"/>
        <w:rPr>
          <w:sz w:val="20"/>
          <w:szCs w:val="20"/>
          <w:color w:val="auto"/>
        </w:rPr>
      </w:pPr>
      <w:r>
        <w:rPr>
          <w:rFonts w:ascii="Arial" w:cs="Arial" w:eastAsia="Arial" w:hAnsi="Arial"/>
          <w:sz w:val="12"/>
          <w:szCs w:val="12"/>
          <w:color w:val="auto"/>
        </w:rPr>
        <w:t>For the year ended December 31, 2016, the overall effective tax rate was different than the statutory rate of 35% primarily due to taxable earnings allocated to NRG resulting from its interest in Clearway Energy LLC and production and investment tax credits generated from certain wind and solar assets,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For tax purposes, Clearway Energy LLC is treated as a partnership; therefore, the Company and NRG each record their respective share of taxable income or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480"/>
          </w:cols>
          <w:pgMar w:left="220" w:top="622" w:right="199" w:bottom="1440" w:gutter="0" w:footer="0" w:header="0"/>
        </w:sectPr>
      </w:pPr>
    </w:p>
    <w:bookmarkStart w:id="119" w:name="page120"/>
    <w:bookmarkEnd w:id="119"/>
    <w:p>
      <w:pPr>
        <w:ind w:left="260"/>
        <w:spacing w:after="0"/>
        <w:rPr>
          <w:sz w:val="20"/>
          <w:szCs w:val="20"/>
          <w:color w:val="auto"/>
        </w:rPr>
      </w:pPr>
      <w:r>
        <w:rPr>
          <w:rFonts w:ascii="Arial" w:cs="Arial" w:eastAsia="Arial" w:hAnsi="Arial"/>
          <w:sz w:val="12"/>
          <w:szCs w:val="12"/>
          <w:color w:val="auto"/>
        </w:rPr>
        <w:t>The temporary differences, which gave rise to the Company's deferred tax assets,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0"/>
                <w:szCs w:val="10"/>
                <w:b w:val="1"/>
                <w:bCs w:val="1"/>
                <w:color w:val="auto"/>
              </w:rPr>
              <w:t>As of December 31,</w:t>
            </w:r>
          </w:p>
        </w:tc>
        <w:tc>
          <w:tcPr>
            <w:tcW w:w="1080" w:type="dxa"/>
            <w:vAlign w:val="bottom"/>
            <w:tcBorders>
              <w:bottom w:val="single" w:sz="8" w:color="auto"/>
            </w:tcBorders>
          </w:tcPr>
          <w:p>
            <w:pPr>
              <w:spacing w:after="0"/>
              <w:rPr>
                <w:sz w:val="11"/>
                <w:szCs w:val="11"/>
                <w:color w:val="auto"/>
              </w:rPr>
            </w:pPr>
          </w:p>
        </w:tc>
      </w:tr>
      <w:tr>
        <w:trPr>
          <w:trHeight w:val="169"/>
        </w:trPr>
        <w:tc>
          <w:tcPr>
            <w:tcW w:w="8160" w:type="dxa"/>
            <w:vAlign w:val="bottom"/>
          </w:tcPr>
          <w:p>
            <w:pPr>
              <w:spacing w:after="0"/>
              <w:rPr>
                <w:sz w:val="14"/>
                <w:szCs w:val="14"/>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6"/>
              <w:spacing w:after="0"/>
              <w:rPr>
                <w:sz w:val="20"/>
                <w:szCs w:val="20"/>
                <w:color w:val="auto"/>
              </w:rPr>
            </w:pPr>
            <w:r>
              <w:rPr>
                <w:rFonts w:ascii="Arial" w:cs="Arial" w:eastAsia="Arial" w:hAnsi="Arial"/>
                <w:sz w:val="10"/>
                <w:szCs w:val="10"/>
                <w:b w:val="1"/>
                <w:bCs w:val="1"/>
                <w:color w:val="auto"/>
              </w:rPr>
              <w:t>2017</w:t>
            </w:r>
          </w:p>
        </w:tc>
      </w:tr>
      <w:tr>
        <w:trPr>
          <w:trHeight w:val="124"/>
        </w:trPr>
        <w:tc>
          <w:tcPr>
            <w:tcW w:w="816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0"/>
                <w:szCs w:val="10"/>
                <w:b w:val="1"/>
                <w:bCs w:val="1"/>
                <w:color w:val="auto"/>
              </w:rPr>
              <w:t>(In millions)</w:t>
            </w:r>
          </w:p>
        </w:tc>
        <w:tc>
          <w:tcPr>
            <w:tcW w:w="1080" w:type="dxa"/>
            <w:vAlign w:val="bottom"/>
            <w:tcBorders>
              <w:bottom w:val="single" w:sz="8" w:color="auto"/>
            </w:tcBorders>
          </w:tcPr>
          <w:p>
            <w:pPr>
              <w:spacing w:after="0"/>
              <w:rPr>
                <w:sz w:val="10"/>
                <w:szCs w:val="10"/>
                <w:color w:val="auto"/>
              </w:rPr>
            </w:pPr>
          </w:p>
        </w:tc>
      </w:tr>
      <w:tr>
        <w:trPr>
          <w:trHeight w:val="15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tax liabilities:</w:t>
            </w:r>
          </w:p>
        </w:tc>
        <w:tc>
          <w:tcPr>
            <w:tcW w:w="10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Investment in projects</w:t>
            </w:r>
          </w:p>
        </w:tc>
        <w:tc>
          <w:tcPr>
            <w:tcW w:w="1080" w:type="dxa"/>
            <w:vAlign w:val="bottom"/>
          </w:tcPr>
          <w:p>
            <w:pPr>
              <w:jc w:val="right"/>
              <w:ind w:right="9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3"/>
                <w:szCs w:val="13"/>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70</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Total deferred tax liabilities</w:t>
            </w:r>
          </w:p>
        </w:tc>
        <w:tc>
          <w:tcPr>
            <w:tcW w:w="10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192</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r>
      <w:tr>
        <w:trPr>
          <w:trHeight w:val="138"/>
        </w:trPr>
        <w:tc>
          <w:tcPr>
            <w:tcW w:w="8160" w:type="dxa"/>
            <w:vAlign w:val="bottom"/>
          </w:tcPr>
          <w:p>
            <w:pPr>
              <w:ind w:left="20"/>
              <w:spacing w:after="0"/>
              <w:rPr>
                <w:sz w:val="20"/>
                <w:szCs w:val="20"/>
                <w:color w:val="auto"/>
              </w:rPr>
            </w:pPr>
            <w:r>
              <w:rPr>
                <w:rFonts w:ascii="Arial" w:cs="Arial" w:eastAsia="Arial" w:hAnsi="Arial"/>
                <w:sz w:val="11"/>
                <w:szCs w:val="11"/>
                <w:color w:val="auto"/>
              </w:rPr>
              <w:t>Deferred tax assets:</w:t>
            </w:r>
          </w:p>
        </w:tc>
        <w:tc>
          <w:tcPr>
            <w:tcW w:w="10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22"/>
        </w:trPr>
        <w:tc>
          <w:tcPr>
            <w:tcW w:w="8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Interest expense disallowance carryforward - Investment in Projects</w:t>
            </w:r>
          </w:p>
        </w:tc>
        <w:tc>
          <w:tcPr>
            <w:tcW w:w="10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Production tax credits</w:t>
            </w:r>
          </w:p>
        </w:tc>
        <w:tc>
          <w:tcPr>
            <w:tcW w:w="108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w:t>
            </w:r>
          </w:p>
        </w:tc>
      </w:tr>
      <w:tr>
        <w:trPr>
          <w:trHeight w:val="22"/>
        </w:trPr>
        <w:tc>
          <w:tcPr>
            <w:tcW w:w="8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Investment tax credits</w:t>
            </w:r>
          </w:p>
        </w:tc>
        <w:tc>
          <w:tcPr>
            <w:tcW w:w="10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U.S. Federal net operating loss carryforwards</w:t>
            </w:r>
          </w:p>
        </w:tc>
        <w:tc>
          <w:tcPr>
            <w:tcW w:w="108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199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183</w:t>
            </w:r>
          </w:p>
        </w:tc>
      </w:tr>
      <w:tr>
        <w:trPr>
          <w:trHeight w:val="22"/>
        </w:trPr>
        <w:tc>
          <w:tcPr>
            <w:tcW w:w="8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Capital loss carryforwards</w:t>
            </w:r>
          </w:p>
        </w:tc>
        <w:tc>
          <w:tcPr>
            <w:tcW w:w="10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State net operating loss carryforwards</w:t>
            </w:r>
          </w:p>
        </w:tc>
        <w:tc>
          <w:tcPr>
            <w:tcW w:w="108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Total deferred tax assets</w:t>
            </w:r>
          </w:p>
        </w:tc>
        <w:tc>
          <w:tcPr>
            <w:tcW w:w="10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264</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Valuation allowance</w:t>
            </w:r>
          </w:p>
        </w:tc>
        <w:tc>
          <w:tcPr>
            <w:tcW w:w="1080" w:type="dxa"/>
            <w:vAlign w:val="bottom"/>
          </w:tcPr>
          <w:p>
            <w:pPr>
              <w:jc w:val="right"/>
              <w:ind w:right="9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7"/>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(10)</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Total deferred tax assets, net of valuation allowance</w:t>
            </w:r>
          </w:p>
        </w:tc>
        <w:tc>
          <w:tcPr>
            <w:tcW w:w="1080" w:type="dxa"/>
            <w:vAlign w:val="bottom"/>
            <w:tcBorders>
              <w:bottom w:val="single" w:sz="8" w:color="CCEEFF"/>
            </w:tcBorders>
            <w:shd w:val="clear" w:color="auto" w:fill="CCEEFF"/>
          </w:tcPr>
          <w:p>
            <w:pPr>
              <w:jc w:val="right"/>
              <w:ind w:right="97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249</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w:t>
            </w:r>
          </w:p>
        </w:tc>
      </w:tr>
      <w:tr>
        <w:trPr>
          <w:trHeight w:val="167"/>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Net deferred noncurrent tax asset</w:t>
            </w:r>
          </w:p>
        </w:tc>
        <w:tc>
          <w:tcPr>
            <w:tcW w:w="1080" w:type="dxa"/>
            <w:vAlign w:val="bottom"/>
            <w:tcBorders>
              <w:top w:val="single" w:sz="8" w:color="auto"/>
              <w:bottom w:val="single" w:sz="8" w:color="auto"/>
            </w:tcBorders>
          </w:tcPr>
          <w:p>
            <w:pPr>
              <w:jc w:val="right"/>
              <w:ind w:right="97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128</w:t>
            </w:r>
          </w:p>
        </w:tc>
      </w:tr>
    </w:tbl>
    <w:p>
      <w:pPr>
        <w:spacing w:after="0" w:line="9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primary driver for the decrease in the net deferred tax asset from $128 million to $57 million as of December 31, 2018, is the taxable loss generated by the Company’s investment in Clearway Energy LLC, partially offset by an increase in Federal and state tax carryforwards.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Receivable and Payable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December 31, 2018, the Company has no current or long term tax receivable or payable to be recorded.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Tax Assets and Valuation Allowance</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 xml:space="preserve">Net deferred tax balance </w:t>
      </w:r>
      <w:r>
        <w:rPr>
          <w:rFonts w:ascii="Arial" w:cs="Arial" w:eastAsia="Arial" w:hAnsi="Arial"/>
          <w:sz w:val="12"/>
          <w:szCs w:val="12"/>
          <w:color w:val="auto"/>
        </w:rPr>
        <w:t>— As of December 31, 2018 and 2017, the Company recorded a net deferred tax asset of $57 million and $128 million, respectively. The Company believes it is more likely than not that the results of future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$15 million, a deferred tax asset, for which there are no existing capital gains or available tax planning strategies to utilize the asset in the future may not be realized, resulting in the recording of a valuation allowance.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NOL carryforwards </w:t>
      </w:r>
      <w:r>
        <w:rPr>
          <w:rFonts w:ascii="Arial" w:cs="Arial" w:eastAsia="Arial" w:hAnsi="Arial"/>
          <w:sz w:val="12"/>
          <w:szCs w:val="12"/>
          <w:color w:val="auto"/>
        </w:rPr>
        <w:t>— At December 31, 2018, the Company had domestic NOLs carryforwards for federal income tax purposes of $199 million and cumulative state NOLs of $12 million tax-effected.</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Interest disallowance carryforward </w:t>
      </w:r>
      <w:r>
        <w:rPr>
          <w:rFonts w:ascii="Arial" w:cs="Arial" w:eastAsia="Arial" w:hAnsi="Arial"/>
          <w:sz w:val="12"/>
          <w:szCs w:val="12"/>
          <w:color w:val="auto"/>
        </w:rPr>
        <w:t>— Beginning in 2018, the Company had a deferred tax asset of $28 million related to disallowed interest expense under the proposed IRC §163(j) regulation, which was enacted as part of the Tax</w:t>
      </w:r>
      <w:r>
        <w:rPr>
          <w:rFonts w:ascii="Arial" w:cs="Arial" w:eastAsia="Arial" w:hAnsi="Arial"/>
          <w:sz w:val="12"/>
          <w:szCs w:val="12"/>
          <w:i w:val="1"/>
          <w:iCs w:val="1"/>
          <w:color w:val="auto"/>
        </w:rPr>
        <w:t xml:space="preserve"> </w:t>
      </w:r>
      <w:r>
        <w:rPr>
          <w:rFonts w:ascii="Arial" w:cs="Arial" w:eastAsia="Arial" w:hAnsi="Arial"/>
          <w:sz w:val="12"/>
          <w:szCs w:val="12"/>
          <w:color w:val="auto"/>
        </w:rPr>
        <w:t>Cuts and Jobs Act. The disallowed interest deduction has an indefinite carry forward period and any limitations on the utilization of this carryforward have been factored into the valuation allowance analysis. These are proposed regulations which are not final and are subject to change in the regulatory review process.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had no identified uncertain tax positions that require evaluation as of December 31, 2018.</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480"/>
          </w:cols>
          <w:pgMar w:left="220" w:top="518" w:right="19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color w:val="auto"/>
        </w:rPr>
        <w:t>Note 15 — Related Party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Related Party Transactions with CEG entities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Administrative Services Agreements by and between the Company and Clearway Renewable Operation &amp; Maintenance LLC (formerly NRG Renew Operation &amp; Maintenance LLC)</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O&amp;M, services to these subsidiaries. The Company incurred total expenses for these services of $30 million, $23 million and $13 million for the years ended December 31, 2018, 2017 and 2016, respectively. There was a balance of $6 million and $5 million due to RENOM as of December 31, 2018 and 2017, respectively.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CEG Master Services Agreements</w:t>
      </w:r>
    </w:p>
    <w:p>
      <w:pPr>
        <w:spacing w:after="0" w:line="177"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1"/>
          <w:szCs w:val="11"/>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6"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Related Party Transactions with NRG entities prior to the GIP Transaction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Power Purchase Agreements (PPAs) between the Company and NRG Power Marketing</w:t>
      </w:r>
    </w:p>
    <w:p>
      <w:pPr>
        <w:spacing w:after="0" w:line="114"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Elbow Creek and Dover are parties to PPAs with NRG Power Marketing and generate revenue under the PPAs, which are recorded to operating revenues in the Company's consolidated statements of operations. For the eight months ended August 31, 2018, Elbow Creek and Dover, collectively, generated revenues of $8 million. For the years ended December 31, 2017 and 2016, Elbow Creek and Dover, collectively, generated revenues of $12 million and $13 million, respectively.</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Energy Marketing Services Agreement by and between Thermal entities and NRG Power Marketing</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Energy Center Dover LLC, Energy Center Minneapolis, Energy Center Phoenix LLC, and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eight months ended August 31, 2018, the Thermal entities purchased $7 million of natural gas from NRG Power Marketing. The Thermal entities purchased a total of $9 million of natural gas during each of the years ended December 31, 2017 and 2016.</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Operation and Maintenance (O&amp;M) Services Agreements by and between Company's subsidiaries and NRG</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was $27 million for the eight months ended August 31, 2018. The fees incurred under this agreement were $39 million and $36 million for the years ended December 31, 2017 and 2016, respectively.</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O&amp;M Services Agreements by and between GenConn and NRG</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GenConn incurs fees under two O&amp;M agreements with wholly-owned subsidiaries of NRG. For the eight months ended August 31, 2018, the aggregate fees incurred under the agreements were $4 million. The fees incurred under the agreements were $5 million during each of the years ended December 31, 2017 and 2016.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480"/>
          </w:cols>
          <w:pgMar w:left="220" w:top="514" w:right="199" w:bottom="1440" w:gutter="0" w:footer="0" w:header="0"/>
        </w:sectPr>
      </w:pPr>
    </w:p>
    <w:bookmarkStart w:id="121" w:name="page122"/>
    <w:bookmarkEnd w:id="121"/>
    <w:p>
      <w:pPr>
        <w:ind w:left="260"/>
        <w:spacing w:after="0"/>
        <w:rPr>
          <w:sz w:val="20"/>
          <w:szCs w:val="20"/>
          <w:color w:val="auto"/>
        </w:rPr>
      </w:pPr>
      <w:r>
        <w:rPr>
          <w:rFonts w:ascii="Arial" w:cs="Arial" w:eastAsia="Arial" w:hAnsi="Arial"/>
          <w:sz w:val="12"/>
          <w:szCs w:val="12"/>
          <w:b w:val="1"/>
          <w:bCs w:val="1"/>
          <w:i w:val="1"/>
          <w:iCs w:val="1"/>
          <w:color w:val="auto"/>
        </w:rPr>
        <w:t>Administrative Services Agreement by and between Marsh Landing and NRG West Coast LLC</w:t>
      </w:r>
    </w:p>
    <w:p>
      <w:pPr>
        <w:spacing w:after="0" w:line="11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Marsh Landing is a party to an administrative services agreement with NRG West Coast LLC, a wholly owned subsidiary of NRG. The Company reimbursed costs under this agreement of $11 million for the eight months ended August 31, 2018. The Company reimbursed costs under this agreement of approximately $15 million and $14 million for the years ended December 31, 2017 and 2016,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Project Administrative Services Agreement by and between ESEC and NRG West Coast LLC</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$11 million for the eight months ended August 31, 2018.</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Management Services Agreement by and between the Company and NRG</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were $7 million for the eight months ended August 31, 2018. Costs incurred under this agreement were approximately $10 million during each of the years ended December 31, 2017 and 2016, respectively. The costs incurred under the Management Services Agreement included certain direct expenses incurred by NRG on behalf of the Company in addition to the base management fee.</w:t>
      </w:r>
    </w:p>
    <w:p>
      <w:pPr>
        <w:spacing w:after="0" w:line="143"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w:t>
      </w:r>
    </w:p>
    <w:p>
      <w:pPr>
        <w:spacing w:after="0" w:line="7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Subsequent to the GIP Transaction, the Company entered into a Transition Services Agreement with NRG, or the NRG TSA, pursuant to which NRG or certain of its affiliates began providing transitional services to the Company following the consummation of the GIP Transaction, in exchange for the payment of a fee in respect of such services. Expenses related to the NRG TSA are recorded in acquisition-related transaction and integration costs in the consolidated statements of operations.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EPC Agreement by and between ECP and NRG</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 xml:space="preserve">NRG Business Services LLC, a subsidiary of NRG, and Energy Center Pittsburgh LLC, or ECP, a wholly owned subsidiary of the Company, entered into an EPC agreement for the construction of a 73 MWt district energy system for ECP to provide 150 kpph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1"/>
          <w:szCs w:val="11"/>
          <w:i w:val="1"/>
          <w:iCs w:val="1"/>
          <w:color w:val="auto"/>
        </w:rPr>
        <w:t>Business Acquisitions</w:t>
      </w:r>
      <w:r>
        <w:rPr>
          <w:rFonts w:ascii="Arial" w:cs="Arial" w:eastAsia="Arial" w:hAnsi="Arial"/>
          <w:sz w:val="11"/>
          <w:szCs w:val="11"/>
          <w:color w:val="auto"/>
        </w:rPr>
        <w:t>,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 Commitments</w:t>
      </w:r>
    </w:p>
    <w:p>
      <w:pPr>
        <w:spacing w:after="0" w:line="11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$18 million, $17 million, and $15 million for the years ended December 31, 2018, 2017 and 2016, respectively.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480"/>
          </w:cols>
          <w:pgMar w:left="220" w:top="518" w:right="1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53"/>
        </w:trPr>
        <w:tc>
          <w:tcPr>
            <w:tcW w:w="9760" w:type="dxa"/>
            <w:vAlign w:val="bottom"/>
          </w:tcPr>
          <w:p>
            <w:pPr>
              <w:ind w:left="260"/>
              <w:spacing w:after="0"/>
              <w:rPr>
                <w:sz w:val="20"/>
                <w:szCs w:val="20"/>
                <w:color w:val="auto"/>
              </w:rPr>
            </w:pPr>
            <w:r>
              <w:rPr>
                <w:rFonts w:ascii="Arial" w:cs="Arial" w:eastAsia="Arial" w:hAnsi="Arial"/>
                <w:sz w:val="12"/>
                <w:szCs w:val="12"/>
                <w:color w:val="auto"/>
              </w:rPr>
              <w:t>Future minimum lease commitments under operating leases for the years ending after December 31, 2018 are as follows:</w:t>
            </w: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66"/>
        </w:trPr>
        <w:tc>
          <w:tcPr>
            <w:tcW w:w="9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ind w:right="561"/>
              <w:spacing w:after="0"/>
              <w:rPr>
                <w:sz w:val="20"/>
                <w:szCs w:val="20"/>
                <w:color w:val="auto"/>
              </w:rPr>
            </w:pPr>
            <w:r>
              <w:rPr>
                <w:rFonts w:ascii="Arial" w:cs="Arial" w:eastAsia="Arial" w:hAnsi="Arial"/>
                <w:sz w:val="10"/>
                <w:szCs w:val="10"/>
                <w:b w:val="1"/>
                <w:bCs w:val="1"/>
                <w:color w:val="auto"/>
              </w:rPr>
              <w:t>(In millions)</w:t>
            </w:r>
          </w:p>
        </w:tc>
      </w:tr>
      <w:tr>
        <w:trPr>
          <w:trHeight w:val="184"/>
        </w:trPr>
        <w:tc>
          <w:tcPr>
            <w:tcW w:w="9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2019</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r>
      <w:tr>
        <w:trPr>
          <w:trHeight w:val="171"/>
        </w:trPr>
        <w:tc>
          <w:tcPr>
            <w:tcW w:w="9760" w:type="dxa"/>
            <w:vAlign w:val="bottom"/>
          </w:tcPr>
          <w:p>
            <w:pPr>
              <w:ind w:left="20"/>
              <w:spacing w:after="0"/>
              <w:rPr>
                <w:sz w:val="20"/>
                <w:szCs w:val="20"/>
                <w:color w:val="auto"/>
              </w:rPr>
            </w:pPr>
            <w:r>
              <w:rPr>
                <w:rFonts w:ascii="Arial" w:cs="Arial" w:eastAsia="Arial" w:hAnsi="Arial"/>
                <w:sz w:val="12"/>
                <w:szCs w:val="12"/>
                <w:color w:val="auto"/>
              </w:rPr>
              <w:t>2020</w:t>
            </w:r>
          </w:p>
        </w:tc>
        <w:tc>
          <w:tcPr>
            <w:tcW w:w="34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13</w:t>
            </w:r>
          </w:p>
        </w:tc>
      </w:tr>
      <w:tr>
        <w:trPr>
          <w:trHeight w:val="189"/>
        </w:trPr>
        <w:tc>
          <w:tcPr>
            <w:tcW w:w="9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r>
      <w:tr>
        <w:trPr>
          <w:trHeight w:val="171"/>
        </w:trPr>
        <w:tc>
          <w:tcPr>
            <w:tcW w:w="9760" w:type="dxa"/>
            <w:vAlign w:val="bottom"/>
          </w:tcPr>
          <w:p>
            <w:pPr>
              <w:ind w:left="20"/>
              <w:spacing w:after="0"/>
              <w:rPr>
                <w:sz w:val="20"/>
                <w:szCs w:val="20"/>
                <w:color w:val="auto"/>
              </w:rPr>
            </w:pPr>
            <w:r>
              <w:rPr>
                <w:rFonts w:ascii="Arial" w:cs="Arial" w:eastAsia="Arial" w:hAnsi="Arial"/>
                <w:sz w:val="12"/>
                <w:szCs w:val="12"/>
                <w:color w:val="auto"/>
              </w:rPr>
              <w:t>2022</w:t>
            </w:r>
          </w:p>
        </w:tc>
        <w:tc>
          <w:tcPr>
            <w:tcW w:w="34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13</w:t>
            </w:r>
          </w:p>
        </w:tc>
      </w:tr>
      <w:tr>
        <w:trPr>
          <w:trHeight w:val="189"/>
        </w:trPr>
        <w:tc>
          <w:tcPr>
            <w:tcW w:w="9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w:t>
            </w:r>
          </w:p>
        </w:tc>
      </w:tr>
      <w:tr>
        <w:trPr>
          <w:trHeight w:val="171"/>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207</w:t>
            </w:r>
          </w:p>
        </w:tc>
      </w:tr>
      <w:tr>
        <w:trPr>
          <w:trHeight w:val="185"/>
        </w:trPr>
        <w:tc>
          <w:tcPr>
            <w:tcW w:w="9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271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Gas and Transportation Commitments</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The Company has entered into contractual arrangements to procure power, fuel and associated transportation services. For the years ended December 31, 2018, 2017 and 2016, the Company purchased $39 million, $34 million and $32 million, respectively, under such arrangements. As further described in Note 15, </w:t>
      </w:r>
      <w:r>
        <w:rPr>
          <w:rFonts w:ascii="Arial" w:cs="Arial" w:eastAsia="Arial" w:hAnsi="Arial"/>
          <w:sz w:val="11"/>
          <w:szCs w:val="11"/>
          <w:i w:val="1"/>
          <w:iCs w:val="1"/>
          <w:color w:val="auto"/>
        </w:rPr>
        <w:t>Related Party Transactions,</w:t>
      </w:r>
      <w:r>
        <w:rPr>
          <w:rFonts w:ascii="Arial" w:cs="Arial" w:eastAsia="Arial" w:hAnsi="Arial"/>
          <w:sz w:val="11"/>
          <w:szCs w:val="11"/>
          <w:color w:val="auto"/>
        </w:rPr>
        <w:t xml:space="preserve"> these purchases include intercompany transactions through August 31, 2018 between certain Thermal entities and NRG Power Marketing under the Energy Marketing Services Agreements in the amount of $7 million for the eight months ended August 31, 2018 and $9 million during each of the years ended December 31, 2017 and 2016.</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December 31, 2018, the Company's commitments under such outstanding agreements are estimated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760" w:type="dxa"/>
            <w:vAlign w:val="bottom"/>
            <w:gridSpan w:val="3"/>
          </w:tcPr>
          <w:p>
            <w:pPr>
              <w:ind w:left="20"/>
              <w:spacing w:after="0"/>
              <w:rPr>
                <w:sz w:val="20"/>
                <w:szCs w:val="20"/>
                <w:color w:val="auto"/>
              </w:rPr>
            </w:pPr>
            <w:r>
              <w:rPr>
                <w:rFonts w:ascii="Arial" w:cs="Arial" w:eastAsia="Arial" w:hAnsi="Arial"/>
                <w:sz w:val="10"/>
                <w:szCs w:val="10"/>
                <w:b w:val="1"/>
                <w:bCs w:val="1"/>
                <w:color w:val="auto"/>
              </w:rPr>
              <w:t>Period</w:t>
            </w:r>
          </w:p>
        </w:tc>
        <w:tc>
          <w:tcPr>
            <w:tcW w:w="340" w:type="dxa"/>
            <w:vAlign w:val="bottom"/>
          </w:tcPr>
          <w:p>
            <w:pPr>
              <w:spacing w:after="0"/>
              <w:rPr>
                <w:sz w:val="10"/>
                <w:szCs w:val="10"/>
                <w:color w:val="auto"/>
              </w:rPr>
            </w:pPr>
          </w:p>
        </w:tc>
        <w:tc>
          <w:tcPr>
            <w:tcW w:w="1380" w:type="dxa"/>
            <w:vAlign w:val="bottom"/>
          </w:tcPr>
          <w:p>
            <w:pPr>
              <w:jc w:val="right"/>
              <w:ind w:right="561"/>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9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6"/>
        </w:trPr>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89"/>
              </w:rPr>
              <w:t>2019</w:t>
            </w:r>
          </w:p>
        </w:tc>
        <w:tc>
          <w:tcPr>
            <w:tcW w:w="94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w:t>
            </w:r>
          </w:p>
        </w:tc>
      </w:tr>
      <w:tr>
        <w:trPr>
          <w:trHeight w:val="171"/>
        </w:trPr>
        <w:tc>
          <w:tcPr>
            <w:tcW w:w="280" w:type="dxa"/>
            <w:vAlign w:val="bottom"/>
            <w:gridSpan w:val="2"/>
          </w:tcPr>
          <w:p>
            <w:pPr>
              <w:ind w:left="20"/>
              <w:spacing w:after="0"/>
              <w:rPr>
                <w:sz w:val="20"/>
                <w:szCs w:val="20"/>
                <w:color w:val="auto"/>
              </w:rPr>
            </w:pPr>
            <w:r>
              <w:rPr>
                <w:rFonts w:ascii="Arial" w:cs="Arial" w:eastAsia="Arial" w:hAnsi="Arial"/>
                <w:sz w:val="12"/>
                <w:szCs w:val="12"/>
                <w:color w:val="auto"/>
                <w:w w:val="89"/>
              </w:rPr>
              <w:t>2020</w:t>
            </w:r>
          </w:p>
        </w:tc>
        <w:tc>
          <w:tcPr>
            <w:tcW w:w="9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3</w:t>
            </w:r>
          </w:p>
        </w:tc>
      </w:tr>
      <w:tr>
        <w:trPr>
          <w:trHeight w:val="189"/>
        </w:trPr>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89"/>
              </w:rPr>
              <w:t>2021</w:t>
            </w:r>
          </w:p>
        </w:tc>
        <w:tc>
          <w:tcPr>
            <w:tcW w:w="9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1"/>
        </w:trPr>
        <w:tc>
          <w:tcPr>
            <w:tcW w:w="280" w:type="dxa"/>
            <w:vAlign w:val="bottom"/>
            <w:gridSpan w:val="2"/>
          </w:tcPr>
          <w:p>
            <w:pPr>
              <w:ind w:left="20"/>
              <w:spacing w:after="0"/>
              <w:rPr>
                <w:sz w:val="20"/>
                <w:szCs w:val="20"/>
                <w:color w:val="auto"/>
              </w:rPr>
            </w:pPr>
            <w:r>
              <w:rPr>
                <w:rFonts w:ascii="Arial" w:cs="Arial" w:eastAsia="Arial" w:hAnsi="Arial"/>
                <w:sz w:val="12"/>
                <w:szCs w:val="12"/>
                <w:color w:val="auto"/>
                <w:w w:val="89"/>
              </w:rPr>
              <w:t>2022</w:t>
            </w:r>
          </w:p>
        </w:tc>
        <w:tc>
          <w:tcPr>
            <w:tcW w:w="9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3</w:t>
            </w:r>
          </w:p>
        </w:tc>
      </w:tr>
      <w:tr>
        <w:trPr>
          <w:trHeight w:val="189"/>
        </w:trPr>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89"/>
              </w:rPr>
              <w:t>2023</w:t>
            </w:r>
          </w:p>
        </w:tc>
        <w:tc>
          <w:tcPr>
            <w:tcW w:w="9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1"/>
        </w:trPr>
        <w:tc>
          <w:tcPr>
            <w:tcW w:w="97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Thereafter</w:t>
            </w: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36</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118"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7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Nebraska Public Power District Litigation</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On January 11, 2019, Nebraska Public Power District, or NPPD, sent written notice to certain of the Company’s subsidiaries which own the Laredo Ridge and Elkhorn Ridge wind projects alleging an event of default under each of the power purchase agreements between NPPD and the projects. NPPD alleges that Company moved forward with certain transactions without obtaining the consent of NPPD. NPPD threatened to terminate the applicable power purchase agreements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1480"/>
          </w:cols>
          <w:pgMar w:left="220" w:top="518" w:right="19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12"/>
          <w:szCs w:val="12"/>
          <w:color w:val="auto"/>
        </w:rPr>
        <w:t>of Knox County, Nebraska for the Elkhorn Ridge project, to enjoin NPPD from taking any actions related to the power purchase agreements.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The Company believes the allegations of NPPD are meritless and the Company is vigorously defending its rights under the power purchase agreements.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1480"/>
          </w:cols>
          <w:pgMar w:left="220" w:top="518" w:right="19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b w:val="1"/>
          <w:bCs w:val="1"/>
          <w:color w:val="auto"/>
        </w:rPr>
        <w:t>Note 17 — Unaudited Quarterly Data</w:t>
      </w:r>
    </w:p>
    <w:p>
      <w:pPr>
        <w:spacing w:after="0" w:line="118"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Below is summarized unaudited quarterly financial data for the periods ending December 31, 2018 and 2017. The Company's historical financial results for the four quarters of 2017 were recast to include the results of the Buckthorn Solar Drop Down Asset acquisition, which took place on March 30, 2018, and is further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Company originally recast its historical quarterly financial statements to include the result of the Buckthorn Drop Down Asset acquisition in its Form 10-Q for the period ended September 30, 2018. Additionally, the quarterly results for the period ended December 31, 2017, as presented below in the table, were recast to include the quarterly operating results of the Buckthorn Solar Drop Down Asset for the period ending December 31, 2017.</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2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center"/>
              <w:ind w:right="850"/>
              <w:spacing w:after="0"/>
              <w:rPr>
                <w:sz w:val="20"/>
                <w:szCs w:val="20"/>
                <w:color w:val="auto"/>
              </w:rPr>
            </w:pPr>
            <w:r>
              <w:rPr>
                <w:rFonts w:ascii="Arial" w:cs="Arial" w:eastAsia="Arial" w:hAnsi="Arial"/>
                <w:sz w:val="10"/>
                <w:szCs w:val="10"/>
                <w:b w:val="1"/>
                <w:bCs w:val="1"/>
                <w:color w:val="auto"/>
                <w:w w:val="89"/>
              </w:rPr>
              <w:t>Quarter Ended</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69"/>
        </w:trPr>
        <w:tc>
          <w:tcPr>
            <w:tcW w:w="2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March 31,</w:t>
            </w:r>
          </w:p>
        </w:tc>
      </w:tr>
      <w:tr>
        <w:trPr>
          <w:trHeight w:val="124"/>
        </w:trPr>
        <w:tc>
          <w:tcPr>
            <w:tcW w:w="22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center"/>
              <w:ind w:left="147"/>
              <w:spacing w:after="0"/>
              <w:rPr>
                <w:sz w:val="20"/>
                <w:szCs w:val="20"/>
                <w:color w:val="auto"/>
              </w:rPr>
            </w:pPr>
            <w:r>
              <w:rPr>
                <w:rFonts w:ascii="Arial" w:cs="Arial" w:eastAsia="Arial" w:hAnsi="Arial"/>
                <w:sz w:val="10"/>
                <w:szCs w:val="10"/>
                <w:b w:val="1"/>
                <w:bCs w:val="1"/>
                <w:color w:val="auto"/>
                <w:w w:val="89"/>
              </w:rPr>
              <w:t>2018</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142"/>
        </w:trPr>
        <w:tc>
          <w:tcPr>
            <w:tcW w:w="2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6"/>
          </w:tcPr>
          <w:p>
            <w:pPr>
              <w:jc w:val="center"/>
              <w:ind w:left="130"/>
              <w:spacing w:after="0"/>
              <w:rPr>
                <w:sz w:val="20"/>
                <w:szCs w:val="20"/>
                <w:color w:val="auto"/>
              </w:rPr>
            </w:pPr>
            <w:r>
              <w:rPr>
                <w:rFonts w:ascii="Arial" w:cs="Arial" w:eastAsia="Arial" w:hAnsi="Arial"/>
                <w:sz w:val="11"/>
                <w:szCs w:val="11"/>
                <w:b w:val="1"/>
                <w:bCs w:val="1"/>
                <w:color w:val="auto"/>
                <w:w w:val="88"/>
              </w:rPr>
              <w:t>(In millions, except per share data)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w:t>
            </w:r>
          </w:p>
        </w:tc>
      </w:tr>
      <w:tr>
        <w:trPr>
          <w:trHeight w:val="158"/>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Operating Income</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ind w:right="67"/>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49</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38"/>
        </w:trPr>
        <w:tc>
          <w:tcPr>
            <w:tcW w:w="5060" w:type="dxa"/>
            <w:vAlign w:val="bottom"/>
            <w:gridSpan w:val="2"/>
          </w:tcPr>
          <w:p>
            <w:pPr>
              <w:ind w:left="20"/>
              <w:spacing w:after="0"/>
              <w:rPr>
                <w:sz w:val="20"/>
                <w:szCs w:val="20"/>
                <w:color w:val="auto"/>
              </w:rPr>
            </w:pPr>
            <w:r>
              <w:rPr>
                <w:rFonts w:ascii="Arial" w:cs="Arial" w:eastAsia="Arial" w:hAnsi="Arial"/>
                <w:sz w:val="11"/>
                <w:szCs w:val="11"/>
                <w:b w:val="1"/>
                <w:bCs w:val="1"/>
                <w:color w:val="auto"/>
              </w:rPr>
              <w:t>Net Income Attributable to Clearway Energy, Inc.</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w:t>
            </w: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0"/>
        </w:trPr>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Weighted average number of Class A common shares outstanding — basic</w:t>
            </w: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r>
      <w:tr>
        <w:trPr>
          <w:trHeight w:val="158"/>
        </w:trPr>
        <w:tc>
          <w:tcPr>
            <w:tcW w:w="5060" w:type="dxa"/>
            <w:vAlign w:val="bottom"/>
            <w:gridSpan w:val="2"/>
          </w:tcPr>
          <w:p>
            <w:pPr>
              <w:ind w:left="100"/>
              <w:spacing w:after="0"/>
              <w:rPr>
                <w:sz w:val="20"/>
                <w:szCs w:val="20"/>
                <w:color w:val="auto"/>
              </w:rPr>
            </w:pPr>
            <w:r>
              <w:rPr>
                <w:rFonts w:ascii="Arial" w:cs="Arial" w:eastAsia="Arial" w:hAnsi="Arial"/>
                <w:sz w:val="11"/>
                <w:szCs w:val="11"/>
                <w:color w:val="auto"/>
              </w:rPr>
              <w:t>Weighted average number of Class A common shares outstanding — diluted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ind w:right="67"/>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35</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Weighted average number of Class C common shares outstanding — basic</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r>
      <w:tr>
        <w:trPr>
          <w:trHeight w:val="158"/>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Weighted average number of Class C common shares outstanding — diluted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ind w:right="67"/>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65</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Weighted Average Class A and Class C Common Share - 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0"/>
              </w:rPr>
              <w:t>(0.63)</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3"/>
              </w:rPr>
              <w:t>0.20</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0.77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0.16</w:t>
            </w:r>
          </w:p>
        </w:tc>
      </w:tr>
      <w:tr>
        <w:trPr>
          <w:trHeight w:val="158"/>
        </w:trPr>
        <w:tc>
          <w:tcPr>
            <w:tcW w:w="506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 per Weighted Average Class A Common Share - Diluted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spacing w:after="0"/>
              <w:rPr>
                <w:sz w:val="13"/>
                <w:szCs w:val="13"/>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w w:val="90"/>
              </w:rPr>
              <w:t>(0.63)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tcPr>
          <w:p>
            <w:pPr>
              <w:spacing w:after="0"/>
              <w:rPr>
                <w:sz w:val="13"/>
                <w:szCs w:val="13"/>
                <w:color w:val="auto"/>
              </w:rPr>
            </w:pPr>
          </w:p>
        </w:tc>
        <w:tc>
          <w:tcPr>
            <w:tcW w:w="340" w:type="dxa"/>
            <w:vAlign w:val="bottom"/>
          </w:tcPr>
          <w:p>
            <w:pPr>
              <w:jc w:val="right"/>
              <w:ind w:right="67"/>
              <w:spacing w:after="0"/>
              <w:rPr>
                <w:sz w:val="20"/>
                <w:szCs w:val="20"/>
                <w:color w:val="auto"/>
              </w:rPr>
            </w:pPr>
            <w:r>
              <w:rPr>
                <w:rFonts w:ascii="Arial" w:cs="Arial" w:eastAsia="Arial" w:hAnsi="Arial"/>
                <w:sz w:val="11"/>
                <w:szCs w:val="11"/>
                <w:color w:val="auto"/>
                <w:w w:val="93"/>
              </w:rPr>
              <w:t>0.20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0.16</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Weighted Average Class C Common Share -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0"/>
              </w:rPr>
              <w:t>(0.63)</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3"/>
              </w:rPr>
              <w:t>0.20</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0.70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0.16</w:t>
            </w:r>
          </w:p>
        </w:tc>
      </w:tr>
      <w:tr>
        <w:trPr>
          <w:trHeight w:val="356"/>
        </w:trPr>
        <w:tc>
          <w:tcPr>
            <w:tcW w:w="2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730"/>
              <w:spacing w:after="0"/>
              <w:rPr>
                <w:sz w:val="20"/>
                <w:szCs w:val="20"/>
                <w:color w:val="auto"/>
              </w:rPr>
            </w:pPr>
            <w:r>
              <w:rPr>
                <w:rFonts w:ascii="Arial" w:cs="Arial" w:eastAsia="Arial" w:hAnsi="Arial"/>
                <w:sz w:val="10"/>
                <w:szCs w:val="10"/>
                <w:b w:val="1"/>
                <w:bCs w:val="1"/>
                <w:color w:val="auto"/>
                <w:w w:val="89"/>
              </w:rPr>
              <w:t>Quarter Ended</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9"/>
        </w:trPr>
        <w:tc>
          <w:tcPr>
            <w:tcW w:w="2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March 31,</w:t>
            </w:r>
          </w:p>
        </w:tc>
      </w:tr>
      <w:tr>
        <w:trPr>
          <w:trHeight w:val="124"/>
        </w:trPr>
        <w:tc>
          <w:tcPr>
            <w:tcW w:w="22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3"/>
          </w:tcPr>
          <w:p>
            <w:pPr>
              <w:jc w:val="center"/>
              <w:ind w:left="227"/>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160"/>
        </w:trPr>
        <w:tc>
          <w:tcPr>
            <w:tcW w:w="2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6"/>
          </w:tcPr>
          <w:p>
            <w:pPr>
              <w:jc w:val="center"/>
              <w:ind w:left="230"/>
              <w:spacing w:after="0"/>
              <w:rPr>
                <w:sz w:val="20"/>
                <w:szCs w:val="20"/>
                <w:color w:val="auto"/>
              </w:rPr>
            </w:pPr>
            <w:r>
              <w:rPr>
                <w:rFonts w:ascii="Arial" w:cs="Arial" w:eastAsia="Arial" w:hAnsi="Arial"/>
                <w:sz w:val="10"/>
                <w:szCs w:val="10"/>
                <w:b w:val="1"/>
                <w:bCs w:val="1"/>
                <w:color w:val="auto"/>
                <w:w w:val="86"/>
              </w:rPr>
              <w:t>(In millions, except per share data)</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Operating Revenues</w:t>
            </w:r>
          </w:p>
        </w:tc>
        <w:tc>
          <w:tcPr>
            <w:tcW w:w="114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221</w:t>
            </w:r>
          </w:p>
        </w:tc>
      </w:tr>
      <w:tr>
        <w:trPr>
          <w:trHeight w:val="158"/>
        </w:trPr>
        <w:tc>
          <w:tcPr>
            <w:tcW w:w="5060" w:type="dxa"/>
            <w:vAlign w:val="bottom"/>
            <w:gridSpan w:val="2"/>
          </w:tcPr>
          <w:p>
            <w:pPr>
              <w:ind w:left="100"/>
              <w:spacing w:after="0"/>
              <w:rPr>
                <w:sz w:val="20"/>
                <w:szCs w:val="20"/>
                <w:color w:val="auto"/>
              </w:rPr>
            </w:pPr>
            <w:r>
              <w:rPr>
                <w:rFonts w:ascii="Arial" w:cs="Arial" w:eastAsia="Arial" w:hAnsi="Arial"/>
                <w:sz w:val="11"/>
                <w:szCs w:val="11"/>
                <w:color w:val="auto"/>
              </w:rPr>
              <w:t>Operating (Loss) Income</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54</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Net (Loss) Income</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(97)</w:t>
            </w:r>
          </w:p>
        </w:tc>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050"/>
              <w:spacing w:after="0"/>
              <w:rPr>
                <w:sz w:val="20"/>
                <w:szCs w:val="20"/>
                <w:color w:val="auto"/>
              </w:rPr>
            </w:pPr>
            <w:r>
              <w:rPr>
                <w:rFonts w:ascii="Arial" w:cs="Arial" w:eastAsia="Arial" w:hAnsi="Arial"/>
                <w:sz w:val="6"/>
                <w:szCs w:val="6"/>
                <w:color w:val="auto"/>
              </w:rPr>
              <w:t>(a)</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r>
      <w:tr>
        <w:trPr>
          <w:trHeight w:val="138"/>
        </w:trPr>
        <w:tc>
          <w:tcPr>
            <w:tcW w:w="5060" w:type="dxa"/>
            <w:vAlign w:val="bottom"/>
            <w:gridSpan w:val="2"/>
          </w:tcPr>
          <w:p>
            <w:pPr>
              <w:ind w:left="20"/>
              <w:spacing w:after="0"/>
              <w:rPr>
                <w:sz w:val="20"/>
                <w:szCs w:val="20"/>
                <w:color w:val="auto"/>
              </w:rPr>
            </w:pPr>
            <w:r>
              <w:rPr>
                <w:rFonts w:ascii="Arial" w:cs="Arial" w:eastAsia="Arial" w:hAnsi="Arial"/>
                <w:sz w:val="11"/>
                <w:szCs w:val="11"/>
                <w:b w:val="1"/>
                <w:bCs w:val="1"/>
                <w:color w:val="auto"/>
              </w:rPr>
              <w:t>Net (Loss) Income Attributable to Clearway Energy, Inc.</w:t>
            </w:r>
          </w:p>
        </w:tc>
        <w:tc>
          <w:tcPr>
            <w:tcW w:w="100" w:type="dxa"/>
            <w:vAlign w:val="bottom"/>
          </w:tcPr>
          <w:p>
            <w:pPr>
              <w:spacing w:after="0"/>
              <w:rPr>
                <w:sz w:val="12"/>
                <w:szCs w:val="12"/>
                <w:color w:val="auto"/>
              </w:rPr>
            </w:pPr>
          </w:p>
        </w:tc>
        <w:tc>
          <w:tcPr>
            <w:tcW w:w="1040" w:type="dxa"/>
            <w:vAlign w:val="bottom"/>
            <w:tcBorders>
              <w:top w:val="single" w:sz="8" w:color="auto"/>
            </w:tcBorders>
          </w:tcPr>
          <w:p>
            <w:pPr>
              <w:jc w:val="right"/>
              <w:ind w:right="910"/>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930"/>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jc w:val="right"/>
              <w:ind w:right="830"/>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0"/>
        </w:trPr>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Weighted average number of Class A common shares outstanding — basic</w:t>
            </w: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r>
      <w:tr>
        <w:trPr>
          <w:trHeight w:val="158"/>
        </w:trPr>
        <w:tc>
          <w:tcPr>
            <w:tcW w:w="5060" w:type="dxa"/>
            <w:vAlign w:val="bottom"/>
            <w:gridSpan w:val="2"/>
          </w:tcPr>
          <w:p>
            <w:pPr>
              <w:ind w:left="100"/>
              <w:spacing w:after="0"/>
              <w:rPr>
                <w:sz w:val="20"/>
                <w:szCs w:val="20"/>
                <w:color w:val="auto"/>
              </w:rPr>
            </w:pPr>
            <w:r>
              <w:rPr>
                <w:rFonts w:ascii="Arial" w:cs="Arial" w:eastAsia="Arial" w:hAnsi="Arial"/>
                <w:sz w:val="11"/>
                <w:szCs w:val="11"/>
                <w:color w:val="auto"/>
              </w:rPr>
              <w:t>Weighted average number of Class A common shares outstanding — diluted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35</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Weighted average number of Class C common shares outstanding — basic</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r>
      <w:tr>
        <w:trPr>
          <w:trHeight w:val="158"/>
        </w:trPr>
        <w:tc>
          <w:tcPr>
            <w:tcW w:w="5060" w:type="dxa"/>
            <w:vAlign w:val="bottom"/>
            <w:gridSpan w:val="2"/>
          </w:tcPr>
          <w:p>
            <w:pPr>
              <w:ind w:left="100"/>
              <w:spacing w:after="0"/>
              <w:rPr>
                <w:sz w:val="20"/>
                <w:szCs w:val="20"/>
                <w:color w:val="auto"/>
              </w:rPr>
            </w:pPr>
            <w:r>
              <w:rPr>
                <w:rFonts w:ascii="Arial" w:cs="Arial" w:eastAsia="Arial" w:hAnsi="Arial"/>
                <w:sz w:val="11"/>
                <w:szCs w:val="11"/>
                <w:color w:val="auto"/>
              </w:rPr>
              <w:t>Weighted average number of Class C common shares outstanding — diluted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63</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(Loss) Earnings per Weighted Average Class A and Class C Common Share - Basic</w:t>
            </w:r>
          </w:p>
        </w:tc>
        <w:tc>
          <w:tcPr>
            <w:tcW w:w="114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(0.71)</w:t>
            </w:r>
          </w:p>
        </w:tc>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0.29</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(0.03)</w:t>
            </w:r>
          </w:p>
        </w:tc>
      </w:tr>
      <w:tr>
        <w:trPr>
          <w:trHeight w:val="158"/>
        </w:trPr>
        <w:tc>
          <w:tcPr>
            <w:tcW w:w="5060" w:type="dxa"/>
            <w:vAlign w:val="bottom"/>
            <w:gridSpan w:val="2"/>
          </w:tcPr>
          <w:p>
            <w:pPr>
              <w:ind w:left="20"/>
              <w:spacing w:after="0"/>
              <w:rPr>
                <w:sz w:val="20"/>
                <w:szCs w:val="20"/>
                <w:color w:val="auto"/>
              </w:rPr>
            </w:pPr>
            <w:r>
              <w:rPr>
                <w:rFonts w:ascii="Arial" w:cs="Arial" w:eastAsia="Arial" w:hAnsi="Arial"/>
                <w:sz w:val="11"/>
                <w:szCs w:val="11"/>
                <w:b w:val="1"/>
                <w:bCs w:val="1"/>
                <w:color w:val="auto"/>
              </w:rPr>
              <w:t>(Loss) Earnings per Weighted Average Class A Common Share - Diluted</w:t>
            </w:r>
          </w:p>
        </w:tc>
        <w:tc>
          <w:tcPr>
            <w:tcW w:w="1140" w:type="dxa"/>
            <w:vAlign w:val="bottom"/>
            <w:gridSpan w:val="2"/>
          </w:tcPr>
          <w:p>
            <w:pPr>
              <w:jc w:val="right"/>
              <w:ind w:right="91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(0.71)</w:t>
            </w:r>
          </w:p>
        </w:tc>
        <w:tc>
          <w:tcPr>
            <w:tcW w:w="20" w:type="dxa"/>
            <w:vAlign w:val="bottom"/>
          </w:tcPr>
          <w:p>
            <w:pPr>
              <w:spacing w:after="0"/>
              <w:rPr>
                <w:sz w:val="13"/>
                <w:szCs w:val="13"/>
                <w:color w:val="auto"/>
              </w:rPr>
            </w:pPr>
          </w:p>
        </w:tc>
        <w:tc>
          <w:tcPr>
            <w:tcW w:w="1280" w:type="dxa"/>
            <w:vAlign w:val="bottom"/>
            <w:gridSpan w:val="2"/>
          </w:tcPr>
          <w:p>
            <w:pPr>
              <w:jc w:val="right"/>
              <w:ind w:right="93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right"/>
              <w:ind w:right="83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0.26</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(0.03)</w:t>
            </w:r>
          </w:p>
        </w:tc>
      </w:tr>
      <w:tr>
        <w:trPr>
          <w:trHeight w:val="22"/>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(Loss) Earnings per Weighted Average Class C Common Share - Diluted</w:t>
            </w:r>
          </w:p>
        </w:tc>
        <w:tc>
          <w:tcPr>
            <w:tcW w:w="114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(0.71)</w:t>
            </w:r>
          </w:p>
        </w:tc>
        <w:tc>
          <w:tcPr>
            <w:tcW w:w="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0.28</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(0.03)</w:t>
            </w:r>
          </w:p>
        </w:tc>
      </w:tr>
      <w:tr>
        <w:trPr>
          <w:trHeight w:val="171"/>
        </w:trPr>
        <w:tc>
          <w:tcPr>
            <w:tcW w:w="2240" w:type="dxa"/>
            <w:vAlign w:val="bottom"/>
            <w:tcBorders>
              <w:bottom w:val="single" w:sz="8" w:color="auto"/>
            </w:tcBorders>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1480"/>
          </w:cols>
          <w:pgMar w:left="220" w:top="514" w:right="199" w:bottom="1440" w:gutter="0" w:footer="0" w:header="0"/>
        </w:sectPr>
      </w:pPr>
    </w:p>
    <w:bookmarkStart w:id="125" w:name="page126"/>
    <w:bookmarkEnd w:id="125"/>
    <w:p>
      <w:pPr>
        <w:ind w:left="8" w:hanging="8"/>
        <w:spacing w:after="0" w:line="229" w:lineRule="auto"/>
        <w:tabs>
          <w:tab w:leader="none" w:pos="131" w:val="left"/>
        </w:tabs>
        <w:numPr>
          <w:ilvl w:val="0"/>
          <w:numId w:val="55"/>
        </w:numPr>
        <w:rPr>
          <w:rFonts w:ascii="Arial" w:cs="Arial" w:eastAsia="Arial" w:hAnsi="Arial"/>
          <w:sz w:val="16"/>
          <w:szCs w:val="16"/>
          <w:color w:val="auto"/>
          <w:vertAlign w:val="superscript"/>
        </w:rPr>
      </w:pPr>
      <w:r>
        <w:rPr>
          <w:rFonts w:ascii="Arial" w:cs="Arial" w:eastAsia="Arial" w:hAnsi="Arial"/>
          <w:sz w:val="11"/>
          <w:szCs w:val="11"/>
          <w:color w:val="auto"/>
        </w:rPr>
        <w:t xml:space="preserve">The Company reported Net loss of $98 million for the quarter ending December 31, 2017, as previously reported in the Note 17 , </w:t>
      </w:r>
      <w:r>
        <w:rPr>
          <w:rFonts w:ascii="Arial" w:cs="Arial" w:eastAsia="Arial" w:hAnsi="Arial"/>
          <w:sz w:val="11"/>
          <w:szCs w:val="11"/>
          <w:i w:val="1"/>
          <w:iCs w:val="1"/>
          <w:color w:val="auto"/>
        </w:rPr>
        <w:t>Unaudited Quarterly Financial Data</w:t>
      </w:r>
      <w:r>
        <w:rPr>
          <w:rFonts w:ascii="Arial" w:cs="Arial" w:eastAsia="Arial" w:hAnsi="Arial"/>
          <w:sz w:val="11"/>
          <w:szCs w:val="11"/>
          <w:color w:val="auto"/>
        </w:rPr>
        <w:t xml:space="preserve"> of its Form 2017 10-K. The recast results in the table above include $1 million of Net Income attributable to the Buckthorn Solar Drop Down Asset acquisition.</w:t>
      </w: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1488"/>
          </w:cols>
          <w:pgMar w:left="212" w:top="518" w:right="1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b w:val="1"/>
                <w:bCs w:val="1"/>
                <w:color w:val="auto"/>
              </w:rPr>
              <w:t>Schedule I</w:t>
            </w:r>
          </w:p>
        </w:tc>
      </w:tr>
      <w:tr>
        <w:trPr>
          <w:trHeight w:val="252"/>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40" w:type="dxa"/>
            <w:vAlign w:val="bottom"/>
            <w:gridSpan w:val="2"/>
          </w:tcPr>
          <w:p>
            <w:pPr>
              <w:jc w:val="center"/>
              <w:ind w:left="140"/>
              <w:spacing w:after="0"/>
              <w:rPr>
                <w:sz w:val="20"/>
                <w:szCs w:val="20"/>
                <w:color w:val="auto"/>
              </w:rPr>
            </w:pPr>
            <w:r>
              <w:rPr>
                <w:rFonts w:ascii="Arial" w:cs="Arial" w:eastAsia="Arial" w:hAnsi="Arial"/>
                <w:sz w:val="12"/>
                <w:szCs w:val="12"/>
                <w:b w:val="1"/>
                <w:bCs w:val="1"/>
                <w:color w:val="auto"/>
                <w:w w:val="92"/>
              </w:rPr>
              <w:t>Clearway Energy, Inc. (Parent)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2"/>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40" w:type="dxa"/>
            <w:vAlign w:val="bottom"/>
            <w:gridSpan w:val="2"/>
          </w:tcPr>
          <w:p>
            <w:pPr>
              <w:jc w:val="center"/>
              <w:ind w:left="140"/>
              <w:spacing w:after="0"/>
              <w:rPr>
                <w:sz w:val="20"/>
                <w:szCs w:val="20"/>
                <w:color w:val="auto"/>
              </w:rPr>
            </w:pPr>
            <w:r>
              <w:rPr>
                <w:rFonts w:ascii="Arial" w:cs="Arial" w:eastAsia="Arial" w:hAnsi="Arial"/>
                <w:sz w:val="12"/>
                <w:szCs w:val="12"/>
                <w:b w:val="1"/>
                <w:bCs w:val="1"/>
                <w:color w:val="auto"/>
                <w:w w:val="91"/>
              </w:rPr>
              <w:t>Condensed Financial Information of Registrant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2"/>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40" w:type="dxa"/>
            <w:vAlign w:val="bottom"/>
            <w:gridSpan w:val="2"/>
          </w:tcPr>
          <w:p>
            <w:pPr>
              <w:jc w:val="center"/>
              <w:ind w:left="120"/>
              <w:spacing w:after="0"/>
              <w:rPr>
                <w:sz w:val="20"/>
                <w:szCs w:val="20"/>
                <w:color w:val="auto"/>
              </w:rPr>
            </w:pPr>
            <w:r>
              <w:rPr>
                <w:rFonts w:ascii="Arial" w:cs="Arial" w:eastAsia="Arial" w:hAnsi="Arial"/>
                <w:sz w:val="12"/>
                <w:szCs w:val="12"/>
                <w:b w:val="1"/>
                <w:bCs w:val="1"/>
                <w:color w:val="auto"/>
                <w:w w:val="88"/>
              </w:rPr>
              <w:t>Condensed Statements of Operations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6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5"/>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46"/>
        </w:trPr>
        <w:tc>
          <w:tcPr>
            <w:tcW w:w="3820" w:type="dxa"/>
            <w:vAlign w:val="bottom"/>
            <w:gridSpan w:val="3"/>
          </w:tcPr>
          <w:p>
            <w:pPr>
              <w:ind w:left="20"/>
              <w:spacing w:after="0"/>
              <w:rPr>
                <w:sz w:val="20"/>
                <w:szCs w:val="20"/>
                <w:color w:val="auto"/>
              </w:rPr>
            </w:pPr>
            <w:r>
              <w:rPr>
                <w:rFonts w:ascii="Arial" w:cs="Arial" w:eastAsia="Arial" w:hAnsi="Arial"/>
                <w:sz w:val="10"/>
                <w:szCs w:val="10"/>
                <w:b w:val="1"/>
                <w:bCs w:val="1"/>
                <w:color w:val="auto"/>
              </w:rPr>
              <w:t>(In millions)</w:t>
            </w:r>
          </w:p>
        </w:tc>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4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 xml:space="preserve">2017 </w:t>
            </w:r>
            <w:r>
              <w:rPr>
                <w:rFonts w:ascii="Arial" w:cs="Arial" w:eastAsia="Arial" w:hAnsi="Arial"/>
                <w:sz w:val="5"/>
                <w:szCs w:val="5"/>
                <w:b w:val="1"/>
                <w:bCs w:val="1"/>
                <w:color w:val="auto"/>
                <w:w w:val="89"/>
              </w:rPr>
              <w:t>(a)</w:t>
            </w:r>
          </w:p>
        </w:tc>
        <w:tc>
          <w:tcPr>
            <w:tcW w:w="300" w:type="dxa"/>
            <w:vAlign w:val="bottom"/>
          </w:tcPr>
          <w:p>
            <w:pPr>
              <w:spacing w:after="0"/>
              <w:rPr>
                <w:sz w:val="12"/>
                <w:szCs w:val="12"/>
                <w:color w:val="auto"/>
              </w:rPr>
            </w:pPr>
          </w:p>
        </w:tc>
        <w:tc>
          <w:tcPr>
            <w:tcW w:w="1060" w:type="dxa"/>
            <w:vAlign w:val="bottom"/>
          </w:tcPr>
          <w:p>
            <w:pPr>
              <w:jc w:val="right"/>
              <w:ind w:right="481"/>
              <w:spacing w:after="0"/>
              <w:rPr>
                <w:sz w:val="20"/>
                <w:szCs w:val="20"/>
                <w:color w:val="auto"/>
              </w:rPr>
            </w:pPr>
            <w:r>
              <w:rPr>
                <w:rFonts w:ascii="Arial" w:cs="Arial" w:eastAsia="Arial" w:hAnsi="Arial"/>
                <w:sz w:val="10"/>
                <w:szCs w:val="10"/>
                <w:b w:val="1"/>
                <w:bCs w:val="1"/>
                <w:color w:val="auto"/>
              </w:rPr>
              <w:t xml:space="preserve">2016 </w:t>
            </w:r>
            <w:r>
              <w:rPr>
                <w:rFonts w:ascii="Arial" w:cs="Arial" w:eastAsia="Arial" w:hAnsi="Arial"/>
                <w:sz w:val="5"/>
                <w:szCs w:val="5"/>
                <w:b w:val="1"/>
                <w:bCs w:val="1"/>
                <w:color w:val="auto"/>
              </w:rPr>
              <w:t>(a)</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gridSpan w:val="2"/>
          </w:tcPr>
          <w:p>
            <w:pPr>
              <w:ind w:left="160"/>
              <w:spacing w:after="0"/>
              <w:rPr>
                <w:sz w:val="20"/>
                <w:szCs w:val="20"/>
                <w:color w:val="auto"/>
              </w:rPr>
            </w:pPr>
            <w:r>
              <w:rPr>
                <w:rFonts w:ascii="Arial" w:cs="Arial" w:eastAsia="Arial" w:hAnsi="Arial"/>
                <w:sz w:val="12"/>
                <w:szCs w:val="12"/>
                <w:color w:val="auto"/>
              </w:rPr>
              <w:t>Total operating expense</w:t>
            </w:r>
          </w:p>
        </w:tc>
        <w:tc>
          <w:tcPr>
            <w:tcW w:w="3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Equity earnings in consolidated subsidiaries</w:t>
            </w:r>
          </w:p>
        </w:tc>
        <w:tc>
          <w:tcPr>
            <w:tcW w:w="3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r>
      <w:tr>
        <w:trPr>
          <w:trHeight w:val="171"/>
        </w:trPr>
        <w:tc>
          <w:tcPr>
            <w:tcW w:w="20" w:type="dxa"/>
            <w:vAlign w:val="bottom"/>
          </w:tcPr>
          <w:p>
            <w:pPr>
              <w:spacing w:after="0"/>
              <w:rPr>
                <w:sz w:val="14"/>
                <w:szCs w:val="14"/>
                <w:color w:val="auto"/>
              </w:rPr>
            </w:pPr>
          </w:p>
        </w:tc>
        <w:tc>
          <w:tcPr>
            <w:tcW w:w="3800" w:type="dxa"/>
            <w:vAlign w:val="bottom"/>
            <w:gridSpan w:val="2"/>
          </w:tcPr>
          <w:p>
            <w:pPr>
              <w:ind w:left="80"/>
              <w:spacing w:after="0"/>
              <w:rPr>
                <w:sz w:val="20"/>
                <w:szCs w:val="20"/>
                <w:color w:val="auto"/>
              </w:rPr>
            </w:pPr>
            <w:r>
              <w:rPr>
                <w:rFonts w:ascii="Arial" w:cs="Arial" w:eastAsia="Arial" w:hAnsi="Arial"/>
                <w:sz w:val="12"/>
                <w:szCs w:val="12"/>
                <w:color w:val="auto"/>
              </w:rPr>
              <w:t>Loss on debt extinguishment</w:t>
            </w: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Interest expense, net</w:t>
            </w:r>
          </w:p>
        </w:tc>
        <w:tc>
          <w:tcPr>
            <w:tcW w:w="33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w:t>
            </w:r>
          </w:p>
        </w:tc>
      </w:tr>
      <w:tr>
        <w:trPr>
          <w:trHeight w:val="169"/>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Total other income, net</w:t>
            </w:r>
          </w:p>
        </w:tc>
        <w:tc>
          <w:tcPr>
            <w:tcW w:w="3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r>
      <w:tr>
        <w:trPr>
          <w:trHeight w:val="178"/>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r>
      <w:tr>
        <w:trPr>
          <w:trHeight w:val="171"/>
        </w:trPr>
        <w:tc>
          <w:tcPr>
            <w:tcW w:w="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Income tax expense (benefit)</w:t>
            </w:r>
          </w:p>
        </w:tc>
        <w:tc>
          <w:tcPr>
            <w:tcW w:w="3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r>
      <w:tr>
        <w:trPr>
          <w:trHeight w:val="178"/>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r>
      <w:tr>
        <w:trPr>
          <w:trHeight w:val="171"/>
        </w:trPr>
        <w:tc>
          <w:tcPr>
            <w:tcW w:w="20" w:type="dxa"/>
            <w:vAlign w:val="bottom"/>
          </w:tcPr>
          <w:p>
            <w:pPr>
              <w:spacing w:after="0"/>
              <w:rPr>
                <w:sz w:val="14"/>
                <w:szCs w:val="14"/>
                <w:color w:val="auto"/>
              </w:rPr>
            </w:pPr>
          </w:p>
        </w:tc>
        <w:tc>
          <w:tcPr>
            <w:tcW w:w="3800" w:type="dxa"/>
            <w:vAlign w:val="bottom"/>
            <w:gridSpan w:val="2"/>
          </w:tcPr>
          <w:p>
            <w:pPr>
              <w:ind w:left="80"/>
              <w:spacing w:after="0"/>
              <w:rPr>
                <w:sz w:val="20"/>
                <w:szCs w:val="20"/>
                <w:color w:val="auto"/>
              </w:rPr>
            </w:pPr>
            <w:r>
              <w:rPr>
                <w:rFonts w:ascii="Arial" w:cs="Arial" w:eastAsia="Arial" w:hAnsi="Arial"/>
                <w:sz w:val="12"/>
                <w:szCs w:val="12"/>
                <w:color w:val="auto"/>
              </w:rPr>
              <w:t>Less: Pre-acquisition net income (loss) of Drop Down Assets</w:t>
            </w: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(4)</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Less: Net income (loss) attributable to noncontrolling interests</w:t>
            </w:r>
          </w:p>
        </w:tc>
        <w:tc>
          <w:tcPr>
            <w:tcW w:w="33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(51)</w:t>
            </w:r>
          </w:p>
        </w:tc>
      </w:tr>
      <w:tr>
        <w:trPr>
          <w:trHeight w:val="185"/>
        </w:trPr>
        <w:tc>
          <w:tcPr>
            <w:tcW w:w="3820" w:type="dxa"/>
            <w:vAlign w:val="bottom"/>
            <w:gridSpan w:val="3"/>
          </w:tcPr>
          <w:p>
            <w:pPr>
              <w:ind w:left="20"/>
              <w:spacing w:after="0"/>
              <w:rPr>
                <w:sz w:val="20"/>
                <w:szCs w:val="20"/>
                <w:color w:val="auto"/>
              </w:rPr>
            </w:pPr>
            <w:r>
              <w:rPr>
                <w:rFonts w:ascii="Arial" w:cs="Arial" w:eastAsia="Arial" w:hAnsi="Arial"/>
                <w:sz w:val="12"/>
                <w:szCs w:val="12"/>
                <w:b w:val="1"/>
                <w:bCs w:val="1"/>
                <w:color w:val="auto"/>
              </w:rPr>
              <w:t>Net Income (Loss) Attributable to Clearway Energy, Inc.</w:t>
            </w:r>
          </w:p>
        </w:tc>
        <w:tc>
          <w:tcPr>
            <w:tcW w:w="330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142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430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condensed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1480"/>
          </w:cols>
          <w:pgMar w:left="220" w:top="568" w:right="199" w:bottom="1440" w:gutter="0" w:footer="0" w:header="0"/>
        </w:sectPr>
      </w:pPr>
    </w:p>
    <w:bookmarkStart w:id="127" w:name="page128"/>
    <w:bookmarkEnd w:id="127"/>
    <w:tbl>
      <w:tblPr>
        <w:tblLayout w:type="fixed"/>
        <w:tblInd w:w="8" w:type="dxa"/>
        <w:tblCellMar>
          <w:top w:w="0" w:type="dxa"/>
          <w:left w:w="0" w:type="dxa"/>
          <w:bottom w:w="0" w:type="dxa"/>
          <w:right w:w="0" w:type="dxa"/>
        </w:tblCellMar>
      </w:tblPr>
      <w:tr>
        <w:trPr>
          <w:trHeight w:val="157"/>
        </w:trPr>
        <w:tc>
          <w:tcPr>
            <w:tcW w:w="8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ind w:left="520"/>
              <w:spacing w:after="0"/>
              <w:rPr>
                <w:sz w:val="20"/>
                <w:szCs w:val="20"/>
                <w:color w:val="auto"/>
              </w:rPr>
            </w:pPr>
            <w:r>
              <w:rPr>
                <w:rFonts w:ascii="Arial" w:cs="Arial" w:eastAsia="Arial" w:hAnsi="Arial"/>
                <w:sz w:val="12"/>
                <w:szCs w:val="12"/>
                <w:b w:val="1"/>
                <w:bCs w:val="1"/>
                <w:color w:val="auto"/>
                <w:w w:val="86"/>
              </w:rPr>
              <w:t>Schedule I</w:t>
            </w:r>
          </w:p>
        </w:tc>
        <w:tc>
          <w:tcPr>
            <w:tcW w:w="0" w:type="dxa"/>
            <w:vAlign w:val="bottom"/>
          </w:tcPr>
          <w:p>
            <w:pPr>
              <w:spacing w:after="0"/>
              <w:rPr>
                <w:sz w:val="1"/>
                <w:szCs w:val="1"/>
                <w:color w:val="auto"/>
              </w:rPr>
            </w:pPr>
          </w:p>
        </w:tc>
      </w:tr>
      <w:tr>
        <w:trPr>
          <w:trHeight w:val="198"/>
        </w:trPr>
        <w:tc>
          <w:tcPr>
            <w:tcW w:w="8600" w:type="dxa"/>
            <w:vAlign w:val="bottom"/>
          </w:tcPr>
          <w:p>
            <w:pPr>
              <w:ind w:left="4940"/>
              <w:spacing w:after="0"/>
              <w:rPr>
                <w:sz w:val="20"/>
                <w:szCs w:val="20"/>
                <w:color w:val="auto"/>
              </w:rPr>
            </w:pPr>
            <w:r>
              <w:rPr>
                <w:rFonts w:ascii="Arial" w:cs="Arial" w:eastAsia="Arial" w:hAnsi="Arial"/>
                <w:sz w:val="12"/>
                <w:szCs w:val="12"/>
                <w:b w:val="1"/>
                <w:bCs w:val="1"/>
                <w:color w:val="auto"/>
              </w:rPr>
              <w:t>Clearway Energy, Inc. (Parent)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00" w:type="dxa"/>
            <w:vAlign w:val="bottom"/>
          </w:tcPr>
          <w:p>
            <w:pPr>
              <w:ind w:left="5060"/>
              <w:spacing w:after="0"/>
              <w:rPr>
                <w:sz w:val="20"/>
                <w:szCs w:val="20"/>
                <w:color w:val="auto"/>
              </w:rPr>
            </w:pPr>
            <w:r>
              <w:rPr>
                <w:rFonts w:ascii="Arial" w:cs="Arial" w:eastAsia="Arial" w:hAnsi="Arial"/>
                <w:sz w:val="12"/>
                <w:szCs w:val="12"/>
                <w:b w:val="1"/>
                <w:bCs w:val="1"/>
                <w:color w:val="auto"/>
              </w:rPr>
              <w:t>Condensed Balance Sheets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0"/>
                <w:szCs w:val="10"/>
                <w:b w:val="1"/>
                <w:bCs w:val="1"/>
                <w:color w:val="auto"/>
                <w:w w:val="86"/>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8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 xml:space="preserve">2017 </w:t>
            </w:r>
            <w:r>
              <w:rPr>
                <w:rFonts w:ascii="Arial" w:cs="Arial" w:eastAsia="Arial" w:hAnsi="Arial"/>
                <w:sz w:val="5"/>
                <w:szCs w:val="5"/>
                <w:b w:val="1"/>
                <w:bCs w:val="1"/>
                <w:color w:val="auto"/>
                <w:w w:val="96"/>
              </w:rPr>
              <w:t>(a)</w:t>
            </w:r>
          </w:p>
        </w:tc>
        <w:tc>
          <w:tcPr>
            <w:tcW w:w="0" w:type="dxa"/>
            <w:vAlign w:val="bottom"/>
          </w:tcPr>
          <w:p>
            <w:pPr>
              <w:spacing w:after="0"/>
              <w:rPr>
                <w:sz w:val="1"/>
                <w:szCs w:val="1"/>
                <w:color w:val="auto"/>
              </w:rPr>
            </w:pPr>
          </w:p>
        </w:tc>
      </w:tr>
      <w:tr>
        <w:trPr>
          <w:trHeight w:val="160"/>
        </w:trPr>
        <w:tc>
          <w:tcPr>
            <w:tcW w:w="8600" w:type="dxa"/>
            <w:vAlign w:val="bottom"/>
          </w:tcPr>
          <w:p>
            <w:pPr>
              <w:ind w:left="4080"/>
              <w:spacing w:after="0"/>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Note receivable - Clearway Energy Operating LLC</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20"/>
              <w:spacing w:after="0"/>
              <w:rPr>
                <w:sz w:val="20"/>
                <w:szCs w:val="20"/>
                <w:color w:val="auto"/>
              </w:rPr>
            </w:pPr>
            <w:r>
              <w:rPr>
                <w:rFonts w:ascii="Arial" w:cs="Arial" w:eastAsia="Arial" w:hAnsi="Arial"/>
                <w:sz w:val="12"/>
                <w:szCs w:val="12"/>
                <w:b w:val="1"/>
                <w:bCs w:val="1"/>
                <w:color w:val="auto"/>
              </w:rPr>
              <w:t>Other Assets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 in consolidated subsidiaries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2,182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180"/>
              <w:spacing w:after="0"/>
              <w:rPr>
                <w:sz w:val="20"/>
                <w:szCs w:val="20"/>
                <w:color w:val="auto"/>
              </w:rPr>
            </w:pPr>
            <w:r>
              <w:rPr>
                <w:rFonts w:ascii="Arial" w:cs="Arial" w:eastAsia="Arial" w:hAnsi="Arial"/>
                <w:sz w:val="12"/>
                <w:szCs w:val="12"/>
                <w:color w:val="auto"/>
              </w:rPr>
              <w:t>Note receivable - Clearway Energy Operating LLC</w:t>
            </w:r>
          </w:p>
        </w:tc>
        <w:tc>
          <w:tcPr>
            <w:tcW w:w="280" w:type="dxa"/>
            <w:vAlign w:val="bottom"/>
          </w:tcPr>
          <w:p>
            <w:pPr>
              <w:spacing w:after="0"/>
              <w:rPr>
                <w:sz w:val="14"/>
                <w:szCs w:val="1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income taxes</w:t>
            </w: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2,498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2,777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300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Current portion of long-term debt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180"/>
              <w:spacing w:after="0"/>
              <w:rPr>
                <w:sz w:val="20"/>
                <w:szCs w:val="20"/>
                <w:color w:val="auto"/>
              </w:rPr>
            </w:pPr>
            <w:r>
              <w:rPr>
                <w:rFonts w:ascii="Arial" w:cs="Arial" w:eastAsia="Arial" w:hAnsi="Arial"/>
                <w:sz w:val="12"/>
                <w:szCs w:val="12"/>
                <w:color w:val="auto"/>
              </w:rPr>
              <w:t>Accounts payable — affiliate</w:t>
            </w:r>
          </w:p>
        </w:tc>
        <w:tc>
          <w:tcPr>
            <w:tcW w:w="280" w:type="dxa"/>
            <w:vAlign w:val="bottom"/>
          </w:tcPr>
          <w:p>
            <w:pPr>
              <w:spacing w:after="0"/>
              <w:rPr>
                <w:sz w:val="14"/>
                <w:szCs w:val="1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current liabilities</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20"/>
              <w:spacing w:after="0"/>
              <w:rPr>
                <w:sz w:val="20"/>
                <w:szCs w:val="20"/>
                <w:color w:val="auto"/>
              </w:rPr>
            </w:pPr>
            <w:r>
              <w:rPr>
                <w:rFonts w:ascii="Arial" w:cs="Arial" w:eastAsia="Arial" w:hAnsi="Arial"/>
                <w:sz w:val="12"/>
                <w:szCs w:val="12"/>
                <w:b w:val="1"/>
                <w:bCs w:val="1"/>
                <w:color w:val="auto"/>
              </w:rPr>
              <w:t>Other Liabilities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Long-term debt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non-current liabilities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274</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20"/>
              <w:spacing w:after="0"/>
              <w:rPr>
                <w:sz w:val="20"/>
                <w:szCs w:val="20"/>
                <w:color w:val="auto"/>
              </w:rPr>
            </w:pPr>
            <w:r>
              <w:rPr>
                <w:rFonts w:ascii="Arial" w:cs="Arial" w:eastAsia="Arial" w:hAnsi="Arial"/>
                <w:sz w:val="12"/>
                <w:szCs w:val="12"/>
                <w:color w:val="auto"/>
              </w:rPr>
              <w:t>Preferred stock, $0.01 par value; 10,000,000 shares authorized; none issued</w:t>
            </w:r>
          </w:p>
        </w:tc>
        <w:tc>
          <w:tcPr>
            <w:tcW w:w="2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1"/>
              </w:rPr>
              <w:t>Class A, Class B, Class C and Class D common stock, $0.01 par value; 3,000,000,000 shares authorized (Class A 500,000,000, Class B 500,000,000, Class C 1,000,000,000,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0"/>
              </w:rPr>
              <w:t>Class D 1,000,000,000); 193,251,396 shares issued and outstanding (Class A 34,586,250, Class B 42,738,750, Class C 73,187,646, Class D 42,738,750) at December 31, 2018</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and 184,780,837 shares issued and outstanding (Class A 34,586,250, Class B 42,738,750, Class C 64,717,087, Class D 42,738,750) at December 31, 2017</w:t>
            </w:r>
          </w:p>
        </w:tc>
        <w:tc>
          <w:tcPr>
            <w:tcW w:w="2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8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0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280" w:type="dxa"/>
            <w:vAlign w:val="bottom"/>
          </w:tcPr>
          <w:p>
            <w:pPr>
              <w:spacing w:after="0"/>
              <w:rPr>
                <w:sz w:val="14"/>
                <w:szCs w:val="1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1,897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1,843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00"/>
              <w:spacing w:after="0"/>
              <w:rPr>
                <w:sz w:val="20"/>
                <w:szCs w:val="20"/>
                <w:color w:val="auto"/>
              </w:rPr>
            </w:pPr>
            <w:r>
              <w:rPr>
                <w:rFonts w:ascii="Arial" w:cs="Arial" w:eastAsia="Arial" w:hAnsi="Arial"/>
                <w:sz w:val="12"/>
                <w:szCs w:val="12"/>
                <w:color w:val="auto"/>
              </w:rPr>
              <w:t>Accumulated other comprehensive loss</w:t>
            </w:r>
          </w:p>
        </w:tc>
        <w:tc>
          <w:tcPr>
            <w:tcW w:w="280" w:type="dxa"/>
            <w:vAlign w:val="bottom"/>
          </w:tcPr>
          <w:p>
            <w:pPr>
              <w:spacing w:after="0"/>
              <w:rPr>
                <w:sz w:val="18"/>
                <w:szCs w:val="18"/>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8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Noncontrolling interest</w:t>
            </w:r>
          </w:p>
        </w:tc>
        <w:tc>
          <w:tcPr>
            <w:tcW w:w="2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86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Stockholders' Equity</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2,224</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2,498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2,777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4185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8590" cy="5715"/>
                    </a:xfrm>
                    <a:prstGeom prst="rect">
                      <a:avLst/>
                    </a:prstGeom>
                    <a:noFill/>
                  </pic:spPr>
                </pic:pic>
              </a:graphicData>
            </a:graphic>
          </wp:anchor>
        </w:drawing>
      </w:r>
    </w:p>
    <w:p>
      <w:pPr>
        <w:spacing w:after="0" w:line="175" w:lineRule="exact"/>
        <w:rPr>
          <w:sz w:val="20"/>
          <w:szCs w:val="20"/>
          <w:color w:val="auto"/>
        </w:rPr>
      </w:pPr>
    </w:p>
    <w:p>
      <w:pPr>
        <w:ind w:left="88" w:hanging="88"/>
        <w:spacing w:after="0"/>
        <w:tabs>
          <w:tab w:leader="none" w:pos="88" w:val="left"/>
        </w:tabs>
        <w:numPr>
          <w:ilvl w:val="0"/>
          <w:numId w:val="56"/>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See accompanying notes to condensed financial statements.</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1488"/>
          </w:cols>
          <w:pgMar w:left="212" w:top="514" w:right="1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2"/>
          <w:szCs w:val="12"/>
          <w:b w:val="1"/>
          <w:bCs w:val="1"/>
          <w:color w:val="auto"/>
        </w:rPr>
        <w:t>Schedule I</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Clearway Energy, Inc. (Parent)</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Cash Flows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4"/>
              </w:rPr>
              <w:t>Years ended December 31,</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35"/>
        </w:trPr>
        <w:tc>
          <w:tcPr>
            <w:tcW w:w="7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5"/>
        </w:trPr>
        <w:tc>
          <w:tcPr>
            <w:tcW w:w="7120" w:type="dxa"/>
            <w:vAlign w:val="bottom"/>
          </w:tcPr>
          <w:p>
            <w:pPr>
              <w:spacing w:after="0"/>
              <w:rPr>
                <w:sz w:val="14"/>
                <w:szCs w:val="14"/>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r>
      <w:tr>
        <w:trPr>
          <w:trHeight w:val="160"/>
        </w:trPr>
        <w:tc>
          <w:tcPr>
            <w:tcW w:w="7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(In millions)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Investments in consolidated affiliates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Decrease in notes receivable - affiliate</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359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78"/>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9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Payments for long-term debt</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Proceeds from the issuance of common stock</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received from Clearway Energy LLC for the payment of dividends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92</w:t>
            </w:r>
          </w:p>
        </w:tc>
      </w:tr>
      <w:tr>
        <w:trPr>
          <w:trHeight w:val="171"/>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Payment of dividends</w:t>
            </w: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(108)</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(92)</w:t>
            </w:r>
          </w:p>
        </w:tc>
      </w:tr>
      <w:tr>
        <w:trPr>
          <w:trHeight w:val="178"/>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92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9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r>
    </w:tbl>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financial statements.</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1480"/>
          </w:cols>
          <w:pgMar w:left="220" w:top="568" w:right="1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b w:val="1"/>
          <w:bCs w:val="1"/>
          <w:color w:val="auto"/>
        </w:rPr>
        <w:t>Schedule 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Clearway Energy, Inc. (Parent)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Background and Basis of Presentation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Background</w:t>
      </w:r>
    </w:p>
    <w:p>
      <w:pPr>
        <w:spacing w:after="0" w:line="16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Clearway Energy, Inc. (formerly NRG Yield,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Global Infrastructure Partners III, or GIP, referred to hereinafter as the NRG Transaction. As a result of the NRG Transaction, GIP indirectly acquired a 45.2% economic interest in Clearway Energy LLC and a 55% voting interest in the Company. GIP is an independent fund manager that invests in infrastructure assets in energy and transport sectors. The Company is sponsored by GIP through GIP's portfolio company, Clearway Energy Group.</w:t>
      </w:r>
    </w:p>
    <w:p>
      <w:pPr>
        <w:spacing w:after="0" w:line="9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 xml:space="preserve">The Company’s environmentally-sound asset portfolio includes over </w:t>
      </w:r>
      <w:r>
        <w:rPr>
          <w:rFonts w:ascii="Arial" w:cs="Arial" w:eastAsia="Arial" w:hAnsi="Arial"/>
          <w:sz w:val="12"/>
          <w:szCs w:val="12"/>
          <w:color w:val="231F20"/>
        </w:rPr>
        <w:t>5,272</w:t>
      </w:r>
      <w:r>
        <w:rPr>
          <w:rFonts w:ascii="Arial" w:cs="Arial" w:eastAsia="Arial" w:hAnsi="Arial"/>
          <w:sz w:val="12"/>
          <w:szCs w:val="12"/>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The weighted average remaining contract duration of these offtake agreements was approximately </w:t>
      </w:r>
      <w:r>
        <w:rPr>
          <w:rFonts w:ascii="Arial" w:cs="Arial" w:eastAsia="Arial" w:hAnsi="Arial"/>
          <w:sz w:val="12"/>
          <w:szCs w:val="12"/>
          <w:color w:val="231F20"/>
        </w:rPr>
        <w:t>15 years as of</w:t>
      </w:r>
      <w:r>
        <w:rPr>
          <w:rFonts w:ascii="Arial" w:cs="Arial" w:eastAsia="Arial" w:hAnsi="Arial"/>
          <w:sz w:val="12"/>
          <w:szCs w:val="12"/>
          <w:color w:val="auto"/>
        </w:rPr>
        <w:t xml:space="preserve"> December 31, 2018 </w:t>
      </w:r>
      <w:r>
        <w:rPr>
          <w:rFonts w:ascii="Arial" w:cs="Arial" w:eastAsia="Arial" w:hAnsi="Arial"/>
          <w:sz w:val="12"/>
          <w:szCs w:val="12"/>
          <w:color w:val="231F20"/>
        </w:rPr>
        <w:t>based on CAFD.</w:t>
      </w:r>
      <w:r>
        <w:rPr>
          <w:rFonts w:ascii="Arial" w:cs="Arial" w:eastAsia="Arial" w:hAnsi="Arial"/>
          <w:sz w:val="12"/>
          <w:szCs w:val="12"/>
          <w:color w:val="auto"/>
        </w:rPr>
        <w:t xml:space="preserve"> </w:t>
      </w:r>
      <w:r>
        <w:rPr>
          <w:rFonts w:ascii="Arial" w:cs="Arial" w:eastAsia="Arial" w:hAnsi="Arial"/>
          <w:sz w:val="12"/>
          <w:szCs w:val="12"/>
          <w:color w:val="231F20"/>
        </w:rPr>
        <w:t>The 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6"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5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a result of the Class C common stock issuances during the year ended December 31, 2018, the Company currently owns 55.8% of the economic interests of Clearway Energy LLC, with CEG retaining 44.2% of the economic interests of Clearway Energy LLC.</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42"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87"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Prior to the GIP Transaction on August 31, 2018, the Company completed several acquisitions of Drop Down Assets from NRG, which were accounted for as transfer of entities under common control. The accounting guidance for transfers of entities under common control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 For further discussion, see Note 3, </w:t>
      </w:r>
      <w:r>
        <w:rPr>
          <w:rFonts w:ascii="Arial" w:cs="Arial" w:eastAsia="Arial" w:hAnsi="Arial"/>
          <w:sz w:val="11"/>
          <w:szCs w:val="11"/>
          <w:i w:val="1"/>
          <w:iCs w:val="1"/>
          <w:color w:val="auto"/>
        </w:rPr>
        <w:t>Business Acquisitions</w:t>
      </w:r>
      <w:r>
        <w:rPr>
          <w:rFonts w:ascii="Arial" w:cs="Arial" w:eastAsia="Arial" w:hAnsi="Arial"/>
          <w:sz w:val="11"/>
          <w:szCs w:val="11"/>
          <w:color w:val="auto"/>
        </w:rPr>
        <w:t xml:space="preserve"> to the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Long-Term Debt</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For a discussion of Clearway Energy, Inc.’s financing arrangements, see Note 10,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to the Company's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Commitments, Contingencies and Guarantees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 xml:space="preserve">See Note 14,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and Note 16,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xml:space="preserve"> to the Company's consolidated financial statements for a detailed discussion of Clearway Energy, Inc.’s commitments and contingencies.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1480"/>
          </w:cols>
          <w:pgMar w:left="220" w:top="568" w:right="199"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b w:val="1"/>
          <w:bCs w:val="1"/>
          <w:color w:val="auto"/>
        </w:rPr>
        <w:t>Note 4 — Dividends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Cash distributions paid to Clearway Energy, Inc. by its subsidiary, Clearway Energy LLC, were $130 million, $108 million, and $92 million for the years ended December 31, 2018, 2017, and 2016, respectively.</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380"/>
          </w:cols>
          <w:pgMar w:left="220" w:top="514" w:right="12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2"/>
          <w:szCs w:val="12"/>
          <w:b w:val="1"/>
          <w:bCs w:val="1"/>
          <w:color w:val="auto"/>
        </w:rPr>
        <w:t>SCHEDULE II. VALUATION AND QUALIFYING ACCOUNTS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2018, 2017, and 2016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940" w:type="dxa"/>
            <w:vAlign w:val="bottom"/>
          </w:tcPr>
          <w:p>
            <w:pPr>
              <w:jc w:val="center"/>
              <w:ind w:left="232"/>
              <w:spacing w:after="0"/>
              <w:rPr>
                <w:sz w:val="20"/>
                <w:szCs w:val="20"/>
                <w:color w:val="auto"/>
              </w:rPr>
            </w:pPr>
            <w:r>
              <w:rPr>
                <w:rFonts w:ascii="Arial" w:cs="Arial" w:eastAsia="Arial" w:hAnsi="Arial"/>
                <w:sz w:val="10"/>
                <w:szCs w:val="10"/>
                <w:b w:val="1"/>
                <w:bCs w:val="1"/>
                <w:color w:val="auto"/>
                <w:w w:val="83"/>
              </w:rPr>
              <w:t>Balance at</w:t>
            </w:r>
          </w:p>
        </w:tc>
        <w:tc>
          <w:tcPr>
            <w:tcW w:w="300" w:type="dxa"/>
            <w:vAlign w:val="bottom"/>
          </w:tcPr>
          <w:p>
            <w:pPr>
              <w:spacing w:after="0"/>
              <w:rPr>
                <w:sz w:val="10"/>
                <w:szCs w:val="10"/>
                <w:color w:val="auto"/>
              </w:rPr>
            </w:pPr>
          </w:p>
        </w:tc>
        <w:tc>
          <w:tcPr>
            <w:tcW w:w="1020" w:type="dxa"/>
            <w:vAlign w:val="bottom"/>
          </w:tcPr>
          <w:p>
            <w:pPr>
              <w:jc w:val="center"/>
              <w:ind w:left="310"/>
              <w:spacing w:after="0"/>
              <w:rPr>
                <w:sz w:val="20"/>
                <w:szCs w:val="20"/>
                <w:color w:val="auto"/>
              </w:rPr>
            </w:pPr>
            <w:r>
              <w:rPr>
                <w:rFonts w:ascii="Arial" w:cs="Arial" w:eastAsia="Arial" w:hAnsi="Arial"/>
                <w:sz w:val="10"/>
                <w:szCs w:val="10"/>
                <w:b w:val="1"/>
                <w:bCs w:val="1"/>
                <w:color w:val="auto"/>
                <w:w w:val="87"/>
              </w:rPr>
              <w:t>Charged to</w:t>
            </w: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99"/>
        </w:trPr>
        <w:tc>
          <w:tcPr>
            <w:tcW w:w="4680" w:type="dxa"/>
            <w:vAlign w:val="bottom"/>
          </w:tcPr>
          <w:p>
            <w:pPr>
              <w:spacing w:after="0"/>
              <w:rPr>
                <w:sz w:val="8"/>
                <w:szCs w:val="8"/>
                <w:color w:val="auto"/>
              </w:rPr>
            </w:pPr>
          </w:p>
        </w:tc>
        <w:tc>
          <w:tcPr>
            <w:tcW w:w="94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5"/>
              </w:rPr>
              <w:t>Beginning of</w:t>
            </w:r>
          </w:p>
        </w:tc>
        <w:tc>
          <w:tcPr>
            <w:tcW w:w="300" w:type="dxa"/>
            <w:vAlign w:val="bottom"/>
          </w:tcPr>
          <w:p>
            <w:pPr>
              <w:spacing w:after="0"/>
              <w:rPr>
                <w:sz w:val="8"/>
                <w:szCs w:val="8"/>
                <w:color w:val="auto"/>
              </w:rPr>
            </w:pPr>
          </w:p>
        </w:tc>
        <w:tc>
          <w:tcPr>
            <w:tcW w:w="1020" w:type="dxa"/>
            <w:vAlign w:val="bottom"/>
          </w:tcPr>
          <w:p>
            <w:pPr>
              <w:jc w:val="center"/>
              <w:ind w:left="330"/>
              <w:spacing w:after="0" w:line="99" w:lineRule="exact"/>
              <w:rPr>
                <w:sz w:val="20"/>
                <w:szCs w:val="20"/>
                <w:color w:val="auto"/>
              </w:rPr>
            </w:pPr>
            <w:r>
              <w:rPr>
                <w:rFonts w:ascii="Arial" w:cs="Arial" w:eastAsia="Arial" w:hAnsi="Arial"/>
                <w:sz w:val="10"/>
                <w:szCs w:val="10"/>
                <w:b w:val="1"/>
                <w:bCs w:val="1"/>
                <w:color w:val="auto"/>
                <w:w w:val="82"/>
              </w:rPr>
              <w:t>Costs and</w:t>
            </w:r>
          </w:p>
        </w:tc>
        <w:tc>
          <w:tcPr>
            <w:tcW w:w="220" w:type="dxa"/>
            <w:vAlign w:val="bottom"/>
          </w:tcPr>
          <w:p>
            <w:pPr>
              <w:spacing w:after="0"/>
              <w:rPr>
                <w:sz w:val="8"/>
                <w:szCs w:val="8"/>
                <w:color w:val="auto"/>
              </w:rPr>
            </w:pPr>
          </w:p>
        </w:tc>
        <w:tc>
          <w:tcPr>
            <w:tcW w:w="1280" w:type="dxa"/>
            <w:vAlign w:val="bottom"/>
          </w:tcPr>
          <w:p>
            <w:pPr>
              <w:jc w:val="center"/>
              <w:ind w:left="410"/>
              <w:spacing w:after="0" w:line="99" w:lineRule="exact"/>
              <w:rPr>
                <w:sz w:val="20"/>
                <w:szCs w:val="20"/>
                <w:color w:val="auto"/>
              </w:rPr>
            </w:pPr>
            <w:r>
              <w:rPr>
                <w:rFonts w:ascii="Arial" w:cs="Arial" w:eastAsia="Arial" w:hAnsi="Arial"/>
                <w:sz w:val="10"/>
                <w:szCs w:val="10"/>
                <w:b w:val="1"/>
                <w:bCs w:val="1"/>
                <w:color w:val="auto"/>
                <w:w w:val="87"/>
              </w:rPr>
              <w:t>Charged to</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right"/>
              <w:ind w:right="388"/>
              <w:spacing w:after="0" w:line="99" w:lineRule="exact"/>
              <w:rPr>
                <w:sz w:val="20"/>
                <w:szCs w:val="20"/>
                <w:color w:val="auto"/>
              </w:rPr>
            </w:pPr>
            <w:r>
              <w:rPr>
                <w:rFonts w:ascii="Arial" w:cs="Arial" w:eastAsia="Arial" w:hAnsi="Arial"/>
                <w:sz w:val="10"/>
                <w:szCs w:val="10"/>
                <w:b w:val="1"/>
                <w:bCs w:val="1"/>
                <w:color w:val="auto"/>
              </w:rPr>
              <w:t>Balance at</w:t>
            </w:r>
          </w:p>
        </w:tc>
      </w:tr>
      <w:tr>
        <w:trPr>
          <w:trHeight w:val="128"/>
        </w:trPr>
        <w:tc>
          <w:tcPr>
            <w:tcW w:w="4680" w:type="dxa"/>
            <w:vAlign w:val="bottom"/>
          </w:tcPr>
          <w:p>
            <w:pPr>
              <w:spacing w:after="0"/>
              <w:rPr>
                <w:sz w:val="11"/>
                <w:szCs w:val="11"/>
                <w:color w:val="auto"/>
              </w:rPr>
            </w:pPr>
          </w:p>
        </w:tc>
        <w:tc>
          <w:tcPr>
            <w:tcW w:w="940" w:type="dxa"/>
            <w:vAlign w:val="bottom"/>
            <w:tcBorders>
              <w:bottom w:val="single" w:sz="8" w:color="auto"/>
            </w:tcBorders>
          </w:tcPr>
          <w:p>
            <w:pPr>
              <w:jc w:val="center"/>
              <w:ind w:left="232"/>
              <w:spacing w:after="0"/>
              <w:rPr>
                <w:sz w:val="20"/>
                <w:szCs w:val="20"/>
                <w:color w:val="auto"/>
              </w:rPr>
            </w:pPr>
            <w:r>
              <w:rPr>
                <w:rFonts w:ascii="Arial" w:cs="Arial" w:eastAsia="Arial" w:hAnsi="Arial"/>
                <w:sz w:val="10"/>
                <w:szCs w:val="10"/>
                <w:b w:val="1"/>
                <w:bCs w:val="1"/>
                <w:color w:val="auto"/>
                <w:w w:val="83"/>
              </w:rPr>
              <w:t>Period</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0"/>
                <w:szCs w:val="10"/>
                <w:b w:val="1"/>
                <w:bCs w:val="1"/>
                <w:color w:val="auto"/>
                <w:w w:val="81"/>
              </w:rPr>
              <w:t>Expenses</w:t>
            </w: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left="410"/>
              <w:spacing w:after="0"/>
              <w:rPr>
                <w:sz w:val="20"/>
                <w:szCs w:val="20"/>
                <w:color w:val="auto"/>
              </w:rPr>
            </w:pPr>
            <w:r>
              <w:rPr>
                <w:rFonts w:ascii="Arial" w:cs="Arial" w:eastAsia="Arial" w:hAnsi="Arial"/>
                <w:sz w:val="10"/>
                <w:szCs w:val="10"/>
                <w:b w:val="1"/>
                <w:bCs w:val="1"/>
                <w:color w:val="auto"/>
                <w:w w:val="87"/>
              </w:rPr>
              <w:t>Other Accounts</w:t>
            </w: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End of Period</w:t>
            </w:r>
          </w:p>
        </w:tc>
      </w:tr>
      <w:tr>
        <w:trPr>
          <w:trHeight w:val="124"/>
        </w:trPr>
        <w:tc>
          <w:tcPr>
            <w:tcW w:w="4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right"/>
              <w:ind w:right="730"/>
              <w:spacing w:after="0"/>
              <w:rPr>
                <w:sz w:val="20"/>
                <w:szCs w:val="20"/>
                <w:color w:val="auto"/>
              </w:rPr>
            </w:pPr>
            <w:r>
              <w:rPr>
                <w:rFonts w:ascii="Arial" w:cs="Arial" w:eastAsia="Arial" w:hAnsi="Arial"/>
                <w:sz w:val="10"/>
                <w:szCs w:val="10"/>
                <w:b w:val="1"/>
                <w:bCs w:val="1"/>
                <w:color w:val="auto"/>
                <w:w w:val="85"/>
              </w:rPr>
              <w:t>(In millions)</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6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tax valuation allowance, deducted from deferred tax assets</w:t>
            </w:r>
          </w:p>
        </w:tc>
        <w:tc>
          <w:tcPr>
            <w:tcW w:w="9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58"/>
        </w:trPr>
        <w:tc>
          <w:tcPr>
            <w:tcW w:w="4680" w:type="dxa"/>
            <w:vAlign w:val="bottom"/>
          </w:tcPr>
          <w:p>
            <w:pPr>
              <w:ind w:left="20"/>
              <w:spacing w:after="0"/>
              <w:rPr>
                <w:sz w:val="20"/>
                <w:szCs w:val="20"/>
                <w:color w:val="auto"/>
              </w:rPr>
            </w:pPr>
            <w:r>
              <w:rPr>
                <w:rFonts w:ascii="Arial" w:cs="Arial" w:eastAsia="Arial" w:hAnsi="Arial"/>
                <w:sz w:val="11"/>
                <w:szCs w:val="11"/>
                <w:color w:val="auto"/>
              </w:rPr>
              <w:t>Year Ended December 31, 2018</w:t>
            </w: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20" w:type="dxa"/>
            <w:vAlign w:val="bottom"/>
          </w:tcPr>
          <w:p>
            <w:pPr>
              <w:jc w:val="right"/>
              <w:ind w:right="810"/>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1280" w:type="dxa"/>
            <w:vAlign w:val="bottom"/>
          </w:tcPr>
          <w:p>
            <w:pPr>
              <w:jc w:val="right"/>
              <w:ind w:right="990"/>
              <w:spacing w:after="0"/>
              <w:rPr>
                <w:sz w:val="20"/>
                <w:szCs w:val="20"/>
                <w:color w:val="auto"/>
              </w:rPr>
            </w:pPr>
            <w:r>
              <w:rPr>
                <w:rFonts w:ascii="Arial" w:cs="Arial" w:eastAsia="Arial" w:hAnsi="Arial"/>
                <w:sz w:val="11"/>
                <w:szCs w:val="11"/>
                <w:color w:val="auto"/>
              </w:rPr>
              <w:t>$</w:t>
            </w:r>
          </w:p>
        </w:tc>
        <w:tc>
          <w:tcPr>
            <w:tcW w:w="300" w:type="dxa"/>
            <w:vAlign w:val="bottom"/>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8"/>
              <w:spacing w:after="0"/>
              <w:rPr>
                <w:sz w:val="20"/>
                <w:szCs w:val="20"/>
                <w:color w:val="auto"/>
              </w:rPr>
            </w:pPr>
            <w:r>
              <w:rPr>
                <w:rFonts w:ascii="Arial" w:cs="Arial" w:eastAsia="Arial" w:hAnsi="Arial"/>
                <w:sz w:val="11"/>
                <w:szCs w:val="11"/>
                <w:color w:val="auto"/>
              </w:rPr>
              <w:t>15</w:t>
            </w:r>
          </w:p>
        </w:tc>
      </w:tr>
      <w:tr>
        <w:trPr>
          <w:trHeight w:val="22"/>
        </w:trPr>
        <w:tc>
          <w:tcPr>
            <w:tcW w:w="4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Year Ended December 31, 2017</w:t>
            </w:r>
          </w:p>
        </w:tc>
        <w:tc>
          <w:tcPr>
            <w:tcW w:w="9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10</w:t>
            </w:r>
          </w:p>
        </w:tc>
      </w:tr>
      <w:tr>
        <w:trPr>
          <w:trHeight w:val="158"/>
        </w:trPr>
        <w:tc>
          <w:tcPr>
            <w:tcW w:w="4680" w:type="dxa"/>
            <w:vAlign w:val="bottom"/>
          </w:tcPr>
          <w:p>
            <w:pPr>
              <w:ind w:left="20"/>
              <w:spacing w:after="0"/>
              <w:rPr>
                <w:sz w:val="20"/>
                <w:szCs w:val="20"/>
                <w:color w:val="auto"/>
              </w:rPr>
            </w:pPr>
            <w:r>
              <w:rPr>
                <w:rFonts w:ascii="Arial" w:cs="Arial" w:eastAsia="Arial" w:hAnsi="Arial"/>
                <w:sz w:val="11"/>
                <w:szCs w:val="11"/>
                <w:color w:val="auto"/>
              </w:rPr>
              <w:t>Year Ended December 31, 2016</w:t>
            </w:r>
          </w:p>
        </w:tc>
        <w:tc>
          <w:tcPr>
            <w:tcW w:w="940" w:type="dxa"/>
            <w:vAlign w:val="bottom"/>
          </w:tcPr>
          <w:p>
            <w:pPr>
              <w:spacing w:after="0"/>
              <w:rPr>
                <w:sz w:val="13"/>
                <w:szCs w:val="13"/>
                <w:color w:val="auto"/>
              </w:rPr>
            </w:pP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1"/>
                <w:szCs w:val="11"/>
                <w:color w:val="auto"/>
              </w:rPr>
              <w:t>16</w:t>
            </w:r>
          </w:p>
        </w:tc>
        <w:tc>
          <w:tcPr>
            <w:tcW w:w="320" w:type="dxa"/>
            <w:vAlign w:val="bottom"/>
          </w:tcPr>
          <w:p>
            <w:pPr>
              <w:spacing w:after="0"/>
              <w:rPr>
                <w:sz w:val="13"/>
                <w:szCs w:val="13"/>
                <w:color w:val="auto"/>
              </w:rPr>
            </w:pPr>
          </w:p>
        </w:tc>
        <w:tc>
          <w:tcPr>
            <w:tcW w:w="1080" w:type="dxa"/>
            <w:vAlign w:val="bottom"/>
          </w:tcPr>
          <w:p>
            <w:pPr>
              <w:jc w:val="right"/>
              <w:ind w:right="48"/>
              <w:spacing w:after="0"/>
              <w:rPr>
                <w:sz w:val="20"/>
                <w:szCs w:val="20"/>
                <w:color w:val="auto"/>
              </w:rPr>
            </w:pPr>
            <w:r>
              <w:rPr>
                <w:rFonts w:ascii="Arial" w:cs="Arial" w:eastAsia="Arial" w:hAnsi="Arial"/>
                <w:sz w:val="11"/>
                <w:szCs w:val="11"/>
                <w:color w:val="auto"/>
              </w:rPr>
              <w:t>16</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40"/>
          </w:cols>
          <w:pgMar w:left="880" w:top="514" w:right="87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57"/>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14"/>
          </w:tcPr>
          <w:p>
            <w:pPr>
              <w:jc w:val="center"/>
              <w:ind w:right="400"/>
              <w:spacing w:after="0"/>
              <w:rPr>
                <w:sz w:val="20"/>
                <w:szCs w:val="20"/>
                <w:color w:val="auto"/>
              </w:rPr>
            </w:pPr>
            <w:r>
              <w:rPr>
                <w:rFonts w:ascii="Arial" w:cs="Arial" w:eastAsia="Arial" w:hAnsi="Arial"/>
                <w:sz w:val="12"/>
                <w:szCs w:val="12"/>
                <w:b w:val="1"/>
                <w:bCs w:val="1"/>
                <w:color w:val="auto"/>
              </w:rPr>
              <w:t>EXHIBIT INDEX</w:t>
            </w:r>
          </w:p>
        </w:tc>
        <w:tc>
          <w:tcPr>
            <w:tcW w:w="0" w:type="dxa"/>
            <w:vAlign w:val="bottom"/>
          </w:tcPr>
          <w:p>
            <w:pPr>
              <w:spacing w:after="0"/>
              <w:rPr>
                <w:sz w:val="1"/>
                <w:szCs w:val="1"/>
                <w:color w:val="auto"/>
              </w:rPr>
            </w:pPr>
          </w:p>
        </w:tc>
      </w:tr>
      <w:tr>
        <w:trPr>
          <w:trHeight w:val="284"/>
        </w:trPr>
        <w:tc>
          <w:tcPr>
            <w:tcW w:w="10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5900" w:type="dxa"/>
            <w:vAlign w:val="bottom"/>
            <w:gridSpan w:val="23"/>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20"/>
                <w:szCs w:val="20"/>
                <w:color w:val="auto"/>
              </w:rPr>
            </w:pPr>
            <w:r>
              <w:rPr>
                <w:rFonts w:ascii="Arial" w:cs="Arial" w:eastAsia="Arial" w:hAnsi="Arial"/>
                <w:sz w:val="11"/>
                <w:szCs w:val="11"/>
                <w:color w:val="auto"/>
              </w:rPr>
              <w:t>2.1</w:t>
            </w:r>
          </w:p>
        </w:tc>
        <w:tc>
          <w:tcPr>
            <w:tcW w:w="5580" w:type="dxa"/>
            <w:vAlign w:val="bottom"/>
            <w:tcBorders>
              <w:bottom w:val="single" w:sz="8" w:color="0000FF"/>
            </w:tcBorders>
            <w:gridSpan w:val="15"/>
          </w:tcPr>
          <w:p>
            <w:pPr>
              <w:spacing w:after="0"/>
              <w:rPr>
                <w:rFonts w:ascii="Arial" w:cs="Arial" w:eastAsia="Arial" w:hAnsi="Arial"/>
                <w:sz w:val="11"/>
                <w:szCs w:val="11"/>
                <w:color w:val="0000FF"/>
                <w:w w:val="88"/>
              </w:rPr>
            </w:pPr>
            <w:hyperlink r:id="rId58">
              <w:r>
                <w:rPr>
                  <w:rFonts w:ascii="Arial" w:cs="Arial" w:eastAsia="Arial" w:hAnsi="Arial"/>
                  <w:sz w:val="11"/>
                  <w:szCs w:val="11"/>
                  <w:color w:val="0000FF"/>
                  <w:w w:val="88"/>
                </w:rPr>
                <w:t>Purchase and Sale Agreement, dated as of May 5, 2014, by and between NRG Gas Development Company, LLC and NRG Yield</w:t>
              </w:r>
            </w:hyperlink>
          </w:p>
        </w:tc>
        <w:tc>
          <w:tcPr>
            <w:tcW w:w="32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900" w:type="dxa"/>
            <w:vAlign w:val="bottom"/>
            <w:gridSpan w:val="23"/>
          </w:tcPr>
          <w:p>
            <w:pPr>
              <w:spacing w:after="0" w:line="115" w:lineRule="exact"/>
              <w:rPr>
                <w:rFonts w:ascii="Arial" w:cs="Arial" w:eastAsia="Arial" w:hAnsi="Arial"/>
                <w:sz w:val="11"/>
                <w:szCs w:val="11"/>
                <w:color w:val="0000FF"/>
              </w:rPr>
            </w:pPr>
            <w:hyperlink r:id="rId58">
              <w:r>
                <w:rPr>
                  <w:rFonts w:ascii="Arial" w:cs="Arial" w:eastAsia="Arial" w:hAnsi="Arial"/>
                  <w:sz w:val="11"/>
                  <w:szCs w:val="11"/>
                  <w:color w:val="0000FF"/>
                </w:rPr>
                <w:t>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2.2</w:t>
            </w:r>
          </w:p>
        </w:tc>
        <w:tc>
          <w:tcPr>
            <w:tcW w:w="5900" w:type="dxa"/>
            <w:vAlign w:val="bottom"/>
            <w:gridSpan w:val="23"/>
          </w:tcPr>
          <w:p>
            <w:pPr>
              <w:spacing w:after="0"/>
              <w:rPr>
                <w:rFonts w:ascii="Arial" w:cs="Arial" w:eastAsia="Arial" w:hAnsi="Arial"/>
                <w:sz w:val="11"/>
                <w:szCs w:val="11"/>
                <w:color w:val="0000FF"/>
                <w:w w:val="96"/>
              </w:rPr>
            </w:pPr>
            <w:hyperlink r:id="rId59">
              <w:r>
                <w:rPr>
                  <w:rFonts w:ascii="Arial" w:cs="Arial" w:eastAsia="Arial" w:hAnsi="Arial"/>
                  <w:sz w:val="11"/>
                  <w:szCs w:val="11"/>
                  <w:color w:val="0000FF"/>
                  <w:w w:val="96"/>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2.3</w:t>
            </w:r>
          </w:p>
        </w:tc>
        <w:tc>
          <w:tcPr>
            <w:tcW w:w="5900" w:type="dxa"/>
            <w:vAlign w:val="bottom"/>
            <w:gridSpan w:val="23"/>
          </w:tcPr>
          <w:p>
            <w:pPr>
              <w:spacing w:after="0"/>
              <w:rPr>
                <w:rFonts w:ascii="Arial" w:cs="Arial" w:eastAsia="Arial" w:hAnsi="Arial"/>
                <w:sz w:val="11"/>
                <w:szCs w:val="11"/>
                <w:color w:val="0000FF"/>
                <w:w w:val="96"/>
              </w:rPr>
            </w:pPr>
            <w:hyperlink r:id="rId60">
              <w:r>
                <w:rPr>
                  <w:rFonts w:ascii="Arial" w:cs="Arial" w:eastAsia="Arial" w:hAnsi="Arial"/>
                  <w:sz w:val="11"/>
                  <w:szCs w:val="11"/>
                  <w:color w:val="0000FF"/>
                  <w:w w:val="96"/>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2.4</w:t>
            </w:r>
          </w:p>
        </w:tc>
        <w:tc>
          <w:tcPr>
            <w:tcW w:w="5660" w:type="dxa"/>
            <w:vAlign w:val="bottom"/>
            <w:tcBorders>
              <w:bottom w:val="single" w:sz="8" w:color="0000FF"/>
            </w:tcBorders>
            <w:gridSpan w:val="17"/>
          </w:tcPr>
          <w:p>
            <w:pPr>
              <w:spacing w:after="0"/>
              <w:rPr>
                <w:rFonts w:ascii="Arial" w:cs="Arial" w:eastAsia="Arial" w:hAnsi="Arial"/>
                <w:sz w:val="11"/>
                <w:szCs w:val="11"/>
                <w:color w:val="0000FF"/>
                <w:w w:val="88"/>
              </w:rPr>
            </w:pPr>
            <w:hyperlink r:id="rId61">
              <w:r>
                <w:rPr>
                  <w:rFonts w:ascii="Arial" w:cs="Arial" w:eastAsia="Arial" w:hAnsi="Arial"/>
                  <w:sz w:val="11"/>
                  <w:szCs w:val="11"/>
                  <w:color w:val="0000FF"/>
                  <w:w w:val="88"/>
                </w:rPr>
                <w:t>Purchase and Sale Agreement, dated June 3, 2014, by and among NRG Yield, Inc., NRG Yield Operating LLC, Terra-Gen Finance</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900" w:type="dxa"/>
            <w:vAlign w:val="bottom"/>
            <w:gridSpan w:val="23"/>
          </w:tcPr>
          <w:p>
            <w:pPr>
              <w:spacing w:after="0" w:line="115" w:lineRule="exact"/>
              <w:rPr>
                <w:rFonts w:ascii="Arial" w:cs="Arial" w:eastAsia="Arial" w:hAnsi="Arial"/>
                <w:sz w:val="11"/>
                <w:szCs w:val="11"/>
                <w:color w:val="0000FF"/>
                <w:w w:val="99"/>
              </w:rPr>
            </w:pPr>
            <w:hyperlink r:id="rId61">
              <w:r>
                <w:rPr>
                  <w:rFonts w:ascii="Arial" w:cs="Arial" w:eastAsia="Arial" w:hAnsi="Arial"/>
                  <w:sz w:val="11"/>
                  <w:szCs w:val="11"/>
                  <w:color w:val="0000FF"/>
                  <w:w w:val="99"/>
                </w:rPr>
                <w:t>Company, LLC, NTD AWAM Holdings, LLC, CHIPS Alta Wind X Holding Company, LLC and CHIPS Alta Wind XI Holding</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700" w:type="dxa"/>
            <w:vAlign w:val="bottom"/>
            <w:tcBorders>
              <w:top w:val="single" w:sz="8" w:color="0000FF"/>
              <w:bottom w:val="single" w:sz="8" w:color="0000FF"/>
            </w:tcBorders>
            <w:gridSpan w:val="3"/>
          </w:tcPr>
          <w:p>
            <w:pPr>
              <w:spacing w:after="0" w:line="115" w:lineRule="exact"/>
              <w:rPr>
                <w:rFonts w:ascii="Arial" w:cs="Arial" w:eastAsia="Arial" w:hAnsi="Arial"/>
                <w:sz w:val="11"/>
                <w:szCs w:val="11"/>
                <w:color w:val="0000FF"/>
                <w:w w:val="88"/>
              </w:rPr>
            </w:pPr>
            <w:hyperlink r:id="rId61">
              <w:r>
                <w:rPr>
                  <w:rFonts w:ascii="Arial" w:cs="Arial" w:eastAsia="Arial" w:hAnsi="Arial"/>
                  <w:sz w:val="11"/>
                  <w:szCs w:val="11"/>
                  <w:color w:val="0000FF"/>
                  <w:w w:val="88"/>
                </w:rPr>
                <w:t>Company, LLC.</w:t>
              </w:r>
            </w:hyperlink>
          </w:p>
        </w:tc>
        <w:tc>
          <w:tcPr>
            <w:tcW w:w="4820" w:type="dxa"/>
            <w:vAlign w:val="bottom"/>
            <w:tcBorders>
              <w:top w:val="single" w:sz="8" w:color="0000FF"/>
            </w:tcBorders>
            <w:gridSpan w:val="10"/>
          </w:tcPr>
          <w:p>
            <w:pPr>
              <w:spacing w:after="0"/>
              <w:rPr>
                <w:sz w:val="10"/>
                <w:szCs w:val="10"/>
                <w:color w:val="auto"/>
              </w:rPr>
            </w:pPr>
          </w:p>
        </w:tc>
        <w:tc>
          <w:tcPr>
            <w:tcW w:w="38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2.5</w:t>
            </w:r>
          </w:p>
        </w:tc>
        <w:tc>
          <w:tcPr>
            <w:tcW w:w="5900" w:type="dxa"/>
            <w:vAlign w:val="bottom"/>
            <w:gridSpan w:val="23"/>
          </w:tcPr>
          <w:p>
            <w:pPr>
              <w:spacing w:after="0"/>
              <w:rPr>
                <w:rFonts w:ascii="Arial" w:cs="Arial" w:eastAsia="Arial" w:hAnsi="Arial"/>
                <w:sz w:val="11"/>
                <w:szCs w:val="11"/>
                <w:color w:val="0000FF"/>
                <w:w w:val="94"/>
              </w:rPr>
            </w:pPr>
            <w:hyperlink r:id="rId62">
              <w:r>
                <w:rPr>
                  <w:rFonts w:ascii="Arial" w:cs="Arial" w:eastAsia="Arial" w:hAnsi="Arial"/>
                  <w:sz w:val="11"/>
                  <w:szCs w:val="11"/>
                  <w:color w:val="0000FF"/>
                  <w:w w:val="94"/>
                </w:rPr>
                <w:t>Purchase and Sale Agreement, dated as of November 4, 2014, by and between NRG Wind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2.6</w:t>
            </w:r>
          </w:p>
        </w:tc>
        <w:tc>
          <w:tcPr>
            <w:tcW w:w="5900" w:type="dxa"/>
            <w:vAlign w:val="bottom"/>
            <w:gridSpan w:val="23"/>
          </w:tcPr>
          <w:p>
            <w:pPr>
              <w:spacing w:after="0"/>
              <w:rPr>
                <w:rFonts w:ascii="Arial" w:cs="Arial" w:eastAsia="Arial" w:hAnsi="Arial"/>
                <w:sz w:val="11"/>
                <w:szCs w:val="11"/>
                <w:color w:val="0000FF"/>
                <w:w w:val="91"/>
              </w:rPr>
            </w:pPr>
            <w:hyperlink r:id="rId63">
              <w:r>
                <w:rPr>
                  <w:rFonts w:ascii="Arial" w:cs="Arial" w:eastAsia="Arial" w:hAnsi="Arial"/>
                  <w:sz w:val="11"/>
                  <w:szCs w:val="11"/>
                  <w:color w:val="0000FF"/>
                  <w:w w:val="91"/>
                </w:rPr>
                <w:t>Purchase and Sale Agreement, dated as of November 4, 2014, by and between NRG Arroyo Nogales LLC and NRG Yield Operating</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740" w:type="dxa"/>
            <w:vAlign w:val="bottom"/>
            <w:tcBorders>
              <w:top w:val="single" w:sz="8" w:color="0000FF"/>
            </w:tcBorders>
            <w:gridSpan w:val="19"/>
          </w:tcPr>
          <w:p>
            <w:pPr>
              <w:spacing w:after="0" w:line="115" w:lineRule="exact"/>
              <w:rPr>
                <w:rFonts w:ascii="Arial" w:cs="Arial" w:eastAsia="Arial" w:hAnsi="Arial"/>
                <w:sz w:val="11"/>
                <w:szCs w:val="11"/>
                <w:color w:val="0000FF"/>
              </w:rPr>
            </w:pPr>
            <w:hyperlink r:id="rId63">
              <w:r>
                <w:rPr>
                  <w:rFonts w:ascii="Arial" w:cs="Arial" w:eastAsia="Arial" w:hAnsi="Arial"/>
                  <w:sz w:val="11"/>
                  <w:szCs w:val="11"/>
                  <w:color w:val="0000FF"/>
                </w:rPr>
                <w:t>LLC.</w:t>
              </w:r>
            </w:hyperlink>
          </w:p>
        </w:tc>
        <w:tc>
          <w:tcPr>
            <w:tcW w:w="1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2.7*^</w:t>
            </w:r>
          </w:p>
        </w:tc>
        <w:tc>
          <w:tcPr>
            <w:tcW w:w="5900" w:type="dxa"/>
            <w:vAlign w:val="bottom"/>
            <w:gridSpan w:val="23"/>
          </w:tcPr>
          <w:p>
            <w:pPr>
              <w:spacing w:after="0"/>
              <w:rPr>
                <w:rFonts w:ascii="Arial" w:cs="Arial" w:eastAsia="Arial" w:hAnsi="Arial"/>
                <w:sz w:val="11"/>
                <w:szCs w:val="11"/>
                <w:color w:val="0000FF"/>
                <w:w w:val="93"/>
              </w:rPr>
            </w:pPr>
            <w:hyperlink r:id="rId64">
              <w:r>
                <w:rPr>
                  <w:rFonts w:ascii="Arial" w:cs="Arial" w:eastAsia="Arial" w:hAnsi="Arial"/>
                  <w:sz w:val="11"/>
                  <w:szCs w:val="11"/>
                  <w:color w:val="0000FF"/>
                  <w:w w:val="93"/>
                </w:rPr>
                <w:t>Purchase and Sale Agreement, dated as of June 17, 2015, by and between EFS Desert Sun,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1"/>
                <w:szCs w:val="11"/>
                <w:color w:val="auto"/>
              </w:rPr>
              <w:t>2.8</w:t>
            </w: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040" w:type="dxa"/>
            <w:vAlign w:val="bottom"/>
            <w:vMerge w:val="continue"/>
          </w:tcPr>
          <w:p>
            <w:pPr>
              <w:spacing w:after="0"/>
              <w:rPr>
                <w:sz w:val="24"/>
                <w:szCs w:val="24"/>
                <w:color w:val="auto"/>
              </w:rPr>
            </w:pPr>
          </w:p>
        </w:tc>
        <w:tc>
          <w:tcPr>
            <w:tcW w:w="5680" w:type="dxa"/>
            <w:vAlign w:val="bottom"/>
            <w:gridSpan w:val="18"/>
            <w:vMerge w:val="restart"/>
          </w:tcPr>
          <w:p>
            <w:pPr>
              <w:spacing w:after="0"/>
              <w:rPr>
                <w:rFonts w:ascii="Arial" w:cs="Arial" w:eastAsia="Arial" w:hAnsi="Arial"/>
                <w:sz w:val="11"/>
                <w:szCs w:val="11"/>
                <w:color w:val="0000FF"/>
                <w:w w:val="88"/>
              </w:rPr>
            </w:pPr>
            <w:hyperlink r:id="rId65">
              <w:r>
                <w:rPr>
                  <w:rFonts w:ascii="Arial" w:cs="Arial" w:eastAsia="Arial" w:hAnsi="Arial"/>
                  <w:sz w:val="11"/>
                  <w:szCs w:val="11"/>
                  <w:color w:val="0000FF"/>
                  <w:w w:val="88"/>
                </w:rPr>
                <w:t>Purchase and Sale Agreement, dated as of September 17, 2015, by and between NRG Energy Gas &amp; Wind Holdings, Inc. and NRG</w:t>
              </w:r>
            </w:hyperlink>
          </w:p>
        </w:tc>
        <w:tc>
          <w:tcPr>
            <w:tcW w:w="22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040" w:type="dxa"/>
            <w:vAlign w:val="bottom"/>
          </w:tcPr>
          <w:p>
            <w:pPr>
              <w:spacing w:after="0"/>
              <w:rPr>
                <w:sz w:val="2"/>
                <w:szCs w:val="2"/>
                <w:color w:val="auto"/>
              </w:rPr>
            </w:pPr>
          </w:p>
        </w:tc>
        <w:tc>
          <w:tcPr>
            <w:tcW w:w="5680" w:type="dxa"/>
            <w:vAlign w:val="bottom"/>
            <w:tcBorders>
              <w:bottom w:val="single" w:sz="8" w:color="0000FF"/>
            </w:tcBorders>
            <w:gridSpan w:val="18"/>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900" w:type="dxa"/>
            <w:vAlign w:val="bottom"/>
            <w:gridSpan w:val="23"/>
          </w:tcPr>
          <w:p>
            <w:pPr>
              <w:spacing w:after="0" w:line="115" w:lineRule="exact"/>
              <w:rPr>
                <w:rFonts w:ascii="Arial" w:cs="Arial" w:eastAsia="Arial" w:hAnsi="Arial"/>
                <w:sz w:val="11"/>
                <w:szCs w:val="11"/>
                <w:color w:val="0000FF"/>
              </w:rPr>
            </w:pPr>
            <w:hyperlink r:id="rId65">
              <w:r>
                <w:rPr>
                  <w:rFonts w:ascii="Arial" w:cs="Arial" w:eastAsia="Arial" w:hAnsi="Arial"/>
                  <w:sz w:val="11"/>
                  <w:szCs w:val="11"/>
                  <w:color w:val="0000FF"/>
                </w:rPr>
                <w:t>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1"/>
                <w:szCs w:val="11"/>
                <w:color w:val="auto"/>
              </w:rPr>
              <w:t>2.9</w:t>
            </w: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040" w:type="dxa"/>
            <w:vAlign w:val="bottom"/>
            <w:vMerge w:val="continue"/>
          </w:tcPr>
          <w:p>
            <w:pPr>
              <w:spacing w:after="0"/>
              <w:rPr>
                <w:sz w:val="24"/>
                <w:szCs w:val="24"/>
                <w:color w:val="auto"/>
              </w:rPr>
            </w:pPr>
          </w:p>
        </w:tc>
        <w:tc>
          <w:tcPr>
            <w:tcW w:w="5900" w:type="dxa"/>
            <w:vAlign w:val="bottom"/>
            <w:gridSpan w:val="23"/>
            <w:vMerge w:val="restart"/>
          </w:tcPr>
          <w:p>
            <w:pPr>
              <w:spacing w:after="0"/>
              <w:rPr>
                <w:rFonts w:ascii="Arial" w:cs="Arial" w:eastAsia="Arial" w:hAnsi="Arial"/>
                <w:sz w:val="11"/>
                <w:szCs w:val="11"/>
                <w:color w:val="0000FF"/>
                <w:w w:val="89"/>
              </w:rPr>
            </w:pPr>
            <w:hyperlink r:id="rId66">
              <w:r>
                <w:rPr>
                  <w:rFonts w:ascii="Arial" w:cs="Arial" w:eastAsia="Arial" w:hAnsi="Arial"/>
                  <w:sz w:val="11"/>
                  <w:szCs w:val="11"/>
                  <w:color w:val="0000FF"/>
                  <w:w w:val="89"/>
                </w:rPr>
                <w:t>Purchase and Sale Agreement, dated as of August 8, 2016, between NRG Solar CVSR Holdings 2 LLC and NRG Yield Operating LLC.</w:t>
              </w:r>
            </w:hyperlink>
          </w:p>
        </w:tc>
        <w:tc>
          <w:tcPr>
            <w:tcW w:w="0" w:type="dxa"/>
            <w:vAlign w:val="bottom"/>
          </w:tcPr>
          <w:p>
            <w:pPr>
              <w:spacing w:after="0"/>
              <w:rPr>
                <w:sz w:val="1"/>
                <w:szCs w:val="1"/>
                <w:color w:val="auto"/>
              </w:rPr>
            </w:pPr>
          </w:p>
        </w:tc>
      </w:tr>
      <w:tr>
        <w:trPr>
          <w:trHeight w:val="31"/>
        </w:trPr>
        <w:tc>
          <w:tcPr>
            <w:tcW w:w="1040" w:type="dxa"/>
            <w:vAlign w:val="bottom"/>
          </w:tcPr>
          <w:p>
            <w:pPr>
              <w:spacing w:after="0"/>
              <w:rPr>
                <w:sz w:val="2"/>
                <w:szCs w:val="2"/>
                <w:color w:val="auto"/>
              </w:rPr>
            </w:pPr>
          </w:p>
        </w:tc>
        <w:tc>
          <w:tcPr>
            <w:tcW w:w="5900" w:type="dxa"/>
            <w:vAlign w:val="bottom"/>
            <w:gridSpan w:val="2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1040" w:type="dxa"/>
            <w:vAlign w:val="bottom"/>
          </w:tcPr>
          <w:p>
            <w:pPr>
              <w:spacing w:after="0"/>
              <w:rPr>
                <w:sz w:val="20"/>
                <w:szCs w:val="20"/>
                <w:color w:val="auto"/>
              </w:rPr>
            </w:pPr>
            <w:r>
              <w:rPr>
                <w:rFonts w:ascii="Arial" w:cs="Arial" w:eastAsia="Arial" w:hAnsi="Arial"/>
                <w:sz w:val="11"/>
                <w:szCs w:val="11"/>
                <w:color w:val="auto"/>
              </w:rPr>
              <w:t>2.10*</w:t>
            </w:r>
          </w:p>
        </w:tc>
        <w:tc>
          <w:tcPr>
            <w:tcW w:w="5880" w:type="dxa"/>
            <w:vAlign w:val="bottom"/>
            <w:tcBorders>
              <w:top w:val="single" w:sz="8" w:color="0000FF"/>
            </w:tcBorders>
            <w:gridSpan w:val="22"/>
          </w:tcPr>
          <w:p>
            <w:pPr>
              <w:spacing w:after="0"/>
              <w:rPr>
                <w:rFonts w:ascii="Arial" w:cs="Arial" w:eastAsia="Arial" w:hAnsi="Arial"/>
                <w:sz w:val="11"/>
                <w:szCs w:val="11"/>
                <w:color w:val="0000FF"/>
                <w:w w:val="89"/>
              </w:rPr>
            </w:pPr>
            <w:hyperlink r:id="rId67">
              <w:r>
                <w:rPr>
                  <w:rFonts w:ascii="Arial" w:cs="Arial" w:eastAsia="Arial" w:hAnsi="Arial"/>
                  <w:sz w:val="11"/>
                  <w:szCs w:val="11"/>
                  <w:color w:val="0000FF"/>
                  <w:w w:val="89"/>
                </w:rPr>
                <w:t>Purchase and Sale Agreement, dated as of February 6, 2018, by and between NRG Gas Development Company, LLC and NRG Yield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760" w:type="dxa"/>
            <w:vAlign w:val="bottom"/>
            <w:tcBorders>
              <w:top w:val="single" w:sz="8" w:color="0000FF"/>
            </w:tcBorders>
            <w:gridSpan w:val="20"/>
          </w:tcPr>
          <w:p>
            <w:pPr>
              <w:spacing w:after="0" w:line="115" w:lineRule="exact"/>
              <w:rPr>
                <w:rFonts w:ascii="Arial" w:cs="Arial" w:eastAsia="Arial" w:hAnsi="Arial"/>
                <w:sz w:val="11"/>
                <w:szCs w:val="11"/>
                <w:color w:val="0000FF"/>
              </w:rPr>
            </w:pPr>
            <w:hyperlink r:id="rId67">
              <w:r>
                <w:rPr>
                  <w:rFonts w:ascii="Arial" w:cs="Arial" w:eastAsia="Arial" w:hAnsi="Arial"/>
                  <w:sz w:val="11"/>
                  <w:szCs w:val="11"/>
                  <w:color w:val="0000FF"/>
                </w:rPr>
                <w:t>Operating LLC.</w:t>
              </w:r>
            </w:hyperlink>
          </w:p>
        </w:tc>
        <w:tc>
          <w:tcPr>
            <w:tcW w:w="1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40" w:type="dxa"/>
            <w:vAlign w:val="bottom"/>
          </w:tcPr>
          <w:p>
            <w:pPr>
              <w:spacing w:after="0"/>
              <w:rPr>
                <w:sz w:val="20"/>
                <w:szCs w:val="20"/>
                <w:color w:val="auto"/>
              </w:rPr>
            </w:pPr>
            <w:r>
              <w:rPr>
                <w:rFonts w:ascii="Arial" w:cs="Arial" w:eastAsia="Arial" w:hAnsi="Arial"/>
                <w:sz w:val="11"/>
                <w:szCs w:val="11"/>
                <w:color w:val="auto"/>
              </w:rPr>
              <w:t>3.1</w:t>
            </w:r>
          </w:p>
        </w:tc>
        <w:tc>
          <w:tcPr>
            <w:tcW w:w="5900" w:type="dxa"/>
            <w:vAlign w:val="bottom"/>
            <w:gridSpan w:val="23"/>
          </w:tcPr>
          <w:p>
            <w:pPr>
              <w:spacing w:after="0"/>
              <w:rPr>
                <w:rFonts w:ascii="Arial" w:cs="Arial" w:eastAsia="Arial" w:hAnsi="Arial"/>
                <w:sz w:val="11"/>
                <w:szCs w:val="11"/>
                <w:color w:val="0000FF"/>
              </w:rPr>
            </w:pPr>
            <w:hyperlink r:id="rId68">
              <w:r>
                <w:rPr>
                  <w:rFonts w:ascii="Arial" w:cs="Arial" w:eastAsia="Arial" w:hAnsi="Arial"/>
                  <w:sz w:val="11"/>
                  <w:szCs w:val="11"/>
                  <w:color w:val="0000FF"/>
                </w:rPr>
                <w:t>Restated Certificate of Incorporation of NRG Yield, Inc., dated as of May 2, 2016.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3.2</w:t>
            </w:r>
          </w:p>
        </w:tc>
        <w:tc>
          <w:tcPr>
            <w:tcW w:w="5900" w:type="dxa"/>
            <w:vAlign w:val="bottom"/>
            <w:gridSpan w:val="23"/>
          </w:tcPr>
          <w:p>
            <w:pPr>
              <w:spacing w:after="0"/>
              <w:rPr>
                <w:rFonts w:ascii="Arial" w:cs="Arial" w:eastAsia="Arial" w:hAnsi="Arial"/>
                <w:sz w:val="11"/>
                <w:szCs w:val="11"/>
                <w:color w:val="0000FF"/>
              </w:rPr>
            </w:pPr>
            <w:hyperlink r:id="rId69">
              <w:r>
                <w:rPr>
                  <w:rFonts w:ascii="Arial" w:cs="Arial" w:eastAsia="Arial" w:hAnsi="Arial"/>
                  <w:sz w:val="11"/>
                  <w:szCs w:val="11"/>
                  <w:color w:val="0000FF"/>
                </w:rPr>
                <w:t>Certificate of Amendment for the Restated Certificate of Incorporated of Clearway Energy, Inc., dated August 31, 2018.</w:t>
              </w:r>
            </w:hyperlink>
          </w:p>
        </w:tc>
        <w:tc>
          <w:tcPr>
            <w:tcW w:w="0" w:type="dxa"/>
            <w:vAlign w:val="bottom"/>
          </w:tcPr>
          <w:p>
            <w:pPr>
              <w:spacing w:after="0"/>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3.3</w:t>
            </w:r>
          </w:p>
        </w:tc>
        <w:tc>
          <w:tcPr>
            <w:tcW w:w="3840" w:type="dxa"/>
            <w:vAlign w:val="bottom"/>
            <w:tcBorders>
              <w:top w:val="single" w:sz="8" w:color="0000FF"/>
              <w:bottom w:val="single" w:sz="8" w:color="0000FF"/>
            </w:tcBorders>
            <w:gridSpan w:val="9"/>
          </w:tcPr>
          <w:p>
            <w:pPr>
              <w:spacing w:after="0"/>
              <w:rPr>
                <w:rFonts w:ascii="Arial" w:cs="Arial" w:eastAsia="Arial" w:hAnsi="Arial"/>
                <w:sz w:val="11"/>
                <w:szCs w:val="11"/>
                <w:color w:val="0000FF"/>
                <w:w w:val="88"/>
              </w:rPr>
            </w:pPr>
            <w:hyperlink r:id="rId70">
              <w:r>
                <w:rPr>
                  <w:rFonts w:ascii="Arial" w:cs="Arial" w:eastAsia="Arial" w:hAnsi="Arial"/>
                  <w:sz w:val="11"/>
                  <w:szCs w:val="11"/>
                  <w:color w:val="0000FF"/>
                  <w:w w:val="88"/>
                </w:rPr>
                <w:t>Fourth Amended and Restated Bylaws of Clearway Energy, Inc., dated August 31, 2018.</w:t>
              </w:r>
            </w:hyperlink>
          </w:p>
        </w:tc>
        <w:tc>
          <w:tcPr>
            <w:tcW w:w="1340" w:type="dxa"/>
            <w:vAlign w:val="bottom"/>
            <w:tcBorders>
              <w:top w:val="single" w:sz="8" w:color="0000FF"/>
            </w:tcBorders>
            <w:gridSpan w:val="2"/>
          </w:tcPr>
          <w:p>
            <w:pPr>
              <w:spacing w:after="0"/>
              <w:rPr>
                <w:sz w:val="24"/>
                <w:szCs w:val="24"/>
                <w:color w:val="auto"/>
              </w:rPr>
            </w:pPr>
          </w:p>
        </w:tc>
        <w:tc>
          <w:tcPr>
            <w:tcW w:w="7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4.1</w:t>
            </w:r>
          </w:p>
        </w:tc>
        <w:tc>
          <w:tcPr>
            <w:tcW w:w="5900" w:type="dxa"/>
            <w:vAlign w:val="bottom"/>
            <w:tcBorders>
              <w:bottom w:val="single" w:sz="8" w:color="0000FF"/>
            </w:tcBorders>
            <w:gridSpan w:val="23"/>
          </w:tcPr>
          <w:p>
            <w:pPr>
              <w:spacing w:after="0"/>
              <w:rPr>
                <w:rFonts w:ascii="Arial" w:cs="Arial" w:eastAsia="Arial" w:hAnsi="Arial"/>
                <w:sz w:val="11"/>
                <w:szCs w:val="11"/>
                <w:color w:val="0000FF"/>
                <w:w w:val="89"/>
              </w:rPr>
            </w:pPr>
            <w:hyperlink r:id="rId71">
              <w:r>
                <w:rPr>
                  <w:rFonts w:ascii="Arial" w:cs="Arial" w:eastAsia="Arial" w:hAnsi="Arial"/>
                  <w:sz w:val="11"/>
                  <w:szCs w:val="11"/>
                  <w:color w:val="0000FF"/>
                  <w:w w:val="89"/>
                </w:rPr>
                <w:t>Fourth Amended and Restated Limited Liability Company Agreement of NRG Yield LLC, dated as of August 31, 2018, by and between</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2040" w:type="dxa"/>
            <w:vAlign w:val="bottom"/>
            <w:tcBorders>
              <w:bottom w:val="single" w:sz="8" w:color="0000FF"/>
            </w:tcBorders>
            <w:gridSpan w:val="6"/>
          </w:tcPr>
          <w:p>
            <w:pPr>
              <w:spacing w:after="0" w:line="115" w:lineRule="exact"/>
              <w:rPr>
                <w:rFonts w:ascii="Arial" w:cs="Arial" w:eastAsia="Arial" w:hAnsi="Arial"/>
                <w:sz w:val="11"/>
                <w:szCs w:val="11"/>
                <w:color w:val="0000FF"/>
                <w:w w:val="90"/>
              </w:rPr>
            </w:pPr>
            <w:hyperlink r:id="rId71">
              <w:r>
                <w:rPr>
                  <w:rFonts w:ascii="Arial" w:cs="Arial" w:eastAsia="Arial" w:hAnsi="Arial"/>
                  <w:sz w:val="11"/>
                  <w:szCs w:val="11"/>
                  <w:color w:val="0000FF"/>
                  <w:w w:val="90"/>
                </w:rPr>
                <w:t>NRG Yield, Inc. and Zephyr Renewables LLC.</w:t>
              </w:r>
            </w:hyperlink>
          </w:p>
        </w:tc>
        <w:tc>
          <w:tcPr>
            <w:tcW w:w="386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1040" w:type="dxa"/>
            <w:vAlign w:val="bottom"/>
          </w:tcPr>
          <w:p>
            <w:pPr>
              <w:spacing w:after="0"/>
              <w:rPr>
                <w:sz w:val="20"/>
                <w:szCs w:val="20"/>
                <w:color w:val="auto"/>
              </w:rPr>
            </w:pPr>
            <w:r>
              <w:rPr>
                <w:rFonts w:ascii="Arial" w:cs="Arial" w:eastAsia="Arial" w:hAnsi="Arial"/>
                <w:sz w:val="11"/>
                <w:szCs w:val="11"/>
                <w:color w:val="auto"/>
              </w:rPr>
              <w:t>4.2</w:t>
            </w:r>
          </w:p>
        </w:tc>
        <w:tc>
          <w:tcPr>
            <w:tcW w:w="5900" w:type="dxa"/>
            <w:vAlign w:val="bottom"/>
            <w:gridSpan w:val="23"/>
          </w:tcPr>
          <w:p>
            <w:pPr>
              <w:spacing w:after="0"/>
              <w:rPr>
                <w:rFonts w:ascii="Arial" w:cs="Arial" w:eastAsia="Arial" w:hAnsi="Arial"/>
                <w:sz w:val="11"/>
                <w:szCs w:val="11"/>
                <w:color w:val="0000FF"/>
                <w:w w:val="94"/>
              </w:rPr>
            </w:pPr>
            <w:hyperlink r:id="rId72">
              <w:r>
                <w:rPr>
                  <w:rFonts w:ascii="Arial" w:cs="Arial" w:eastAsia="Arial" w:hAnsi="Arial"/>
                  <w:sz w:val="11"/>
                  <w:szCs w:val="11"/>
                  <w:color w:val="0000FF"/>
                  <w:w w:val="94"/>
                </w:rPr>
                <w:t>Indenture, dated February 11, 2014, among NRG Yield, Inc., NRG Yield Operating LLC and NRG Yield LLC, as Guarantors, and</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4920" w:type="dxa"/>
            <w:vAlign w:val="bottom"/>
            <w:tcBorders>
              <w:top w:val="single" w:sz="8" w:color="0000FF"/>
              <w:bottom w:val="single" w:sz="8" w:color="0000FF"/>
            </w:tcBorders>
            <w:gridSpan w:val="10"/>
          </w:tcPr>
          <w:p>
            <w:pPr>
              <w:spacing w:after="0" w:line="115" w:lineRule="exact"/>
              <w:rPr>
                <w:rFonts w:ascii="Arial" w:cs="Arial" w:eastAsia="Arial" w:hAnsi="Arial"/>
                <w:sz w:val="11"/>
                <w:szCs w:val="11"/>
                <w:color w:val="0000FF"/>
                <w:w w:val="89"/>
              </w:rPr>
            </w:pPr>
            <w:hyperlink r:id="rId72">
              <w:r>
                <w:rPr>
                  <w:rFonts w:ascii="Arial" w:cs="Arial" w:eastAsia="Arial" w:hAnsi="Arial"/>
                  <w:sz w:val="11"/>
                  <w:szCs w:val="11"/>
                  <w:color w:val="0000FF"/>
                  <w:w w:val="89"/>
                </w:rPr>
                <w:t>Wilmington Trust, National Association, as trustee, re: the Company’s 3.50% Convertible Senior Notes due 2019.</w:t>
              </w:r>
            </w:hyperlink>
          </w:p>
        </w:tc>
        <w:tc>
          <w:tcPr>
            <w:tcW w:w="700" w:type="dxa"/>
            <w:vAlign w:val="bottom"/>
            <w:tcBorders>
              <w:top w:val="single" w:sz="8" w:color="0000FF"/>
            </w:tcBorders>
            <w:gridSpan w:val="6"/>
          </w:tcPr>
          <w:p>
            <w:pPr>
              <w:spacing w:after="0"/>
              <w:rPr>
                <w:sz w:val="10"/>
                <w:szCs w:val="10"/>
                <w:color w:val="auto"/>
              </w:rPr>
            </w:pPr>
          </w:p>
        </w:tc>
        <w:tc>
          <w:tcPr>
            <w:tcW w:w="2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4.3</w:t>
            </w:r>
          </w:p>
        </w:tc>
        <w:tc>
          <w:tcPr>
            <w:tcW w:w="5900" w:type="dxa"/>
            <w:vAlign w:val="bottom"/>
            <w:gridSpan w:val="23"/>
          </w:tcPr>
          <w:p>
            <w:pPr>
              <w:spacing w:after="0"/>
              <w:rPr>
                <w:rFonts w:ascii="Arial" w:cs="Arial" w:eastAsia="Arial" w:hAnsi="Arial"/>
                <w:sz w:val="11"/>
                <w:szCs w:val="11"/>
                <w:color w:val="0000FF"/>
              </w:rPr>
            </w:pPr>
            <w:hyperlink r:id="rId72">
              <w:r>
                <w:rPr>
                  <w:rFonts w:ascii="Arial" w:cs="Arial" w:eastAsia="Arial" w:hAnsi="Arial"/>
                  <w:sz w:val="11"/>
                  <w:szCs w:val="11"/>
                  <w:color w:val="0000FF"/>
                </w:rPr>
                <w:t>Form of 3.50% Convertible Senior Note due 2019.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6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4.4</w:t>
            </w:r>
          </w:p>
        </w:tc>
        <w:tc>
          <w:tcPr>
            <w:tcW w:w="5840" w:type="dxa"/>
            <w:vAlign w:val="bottom"/>
            <w:tcBorders>
              <w:bottom w:val="single" w:sz="8" w:color="0000FF"/>
            </w:tcBorders>
            <w:gridSpan w:val="21"/>
          </w:tcPr>
          <w:p>
            <w:pPr>
              <w:spacing w:after="0"/>
              <w:rPr>
                <w:rFonts w:ascii="Arial" w:cs="Arial" w:eastAsia="Arial" w:hAnsi="Arial"/>
                <w:sz w:val="11"/>
                <w:szCs w:val="11"/>
                <w:color w:val="0000FF"/>
                <w:w w:val="88"/>
              </w:rPr>
            </w:pPr>
            <w:hyperlink r:id="rId73">
              <w:r>
                <w:rPr>
                  <w:rFonts w:ascii="Arial" w:cs="Arial" w:eastAsia="Arial" w:hAnsi="Arial"/>
                  <w:sz w:val="11"/>
                  <w:szCs w:val="11"/>
                  <w:color w:val="0000FF"/>
                  <w:w w:val="88"/>
                </w:rPr>
                <w:t>Indenture, dated August 5, 2014, among NRG Yield Operating LLC, the guarantors named therein and Law Debenture Trust Company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900" w:type="dxa"/>
            <w:vAlign w:val="bottom"/>
            <w:gridSpan w:val="23"/>
          </w:tcPr>
          <w:p>
            <w:pPr>
              <w:spacing w:after="0" w:line="115" w:lineRule="exact"/>
              <w:rPr>
                <w:rFonts w:ascii="Arial" w:cs="Arial" w:eastAsia="Arial" w:hAnsi="Arial"/>
                <w:sz w:val="11"/>
                <w:szCs w:val="11"/>
                <w:color w:val="0000FF"/>
              </w:rPr>
            </w:pPr>
            <w:hyperlink r:id="rId73">
              <w:r>
                <w:rPr>
                  <w:rFonts w:ascii="Arial" w:cs="Arial" w:eastAsia="Arial" w:hAnsi="Arial"/>
                  <w:sz w:val="11"/>
                  <w:szCs w:val="11"/>
                  <w:color w:val="0000FF"/>
                </w:rPr>
                <w:t>of New York, as trustee.</w:t>
              </w:r>
            </w:hyperlink>
          </w:p>
        </w:tc>
        <w:tc>
          <w:tcPr>
            <w:tcW w:w="0" w:type="dxa"/>
            <w:vAlign w:val="bottom"/>
          </w:tcPr>
          <w:p>
            <w:pPr>
              <w:spacing w:after="0"/>
              <w:rPr>
                <w:sz w:val="1"/>
                <w:szCs w:val="1"/>
                <w:color w:val="auto"/>
              </w:rPr>
            </w:pPr>
          </w:p>
        </w:tc>
      </w:tr>
      <w:tr>
        <w:trPr>
          <w:trHeight w:val="331"/>
        </w:trPr>
        <w:tc>
          <w:tcPr>
            <w:tcW w:w="1040" w:type="dxa"/>
            <w:vAlign w:val="bottom"/>
          </w:tcPr>
          <w:p>
            <w:pPr>
              <w:spacing w:after="0"/>
              <w:rPr>
                <w:sz w:val="24"/>
                <w:szCs w:val="24"/>
                <w:color w:val="auto"/>
              </w:rPr>
            </w:pPr>
          </w:p>
        </w:tc>
        <w:tc>
          <w:tcPr>
            <w:tcW w:w="1040" w:type="dxa"/>
            <w:vAlign w:val="bottom"/>
            <w:tcBorders>
              <w:top w:val="single" w:sz="8" w:color="0000FF"/>
            </w:tcBorders>
            <w:gridSpan w:val="5"/>
          </w:tcPr>
          <w:p>
            <w:pPr>
              <w:spacing w:after="0"/>
              <w:rPr>
                <w:sz w:val="24"/>
                <w:szCs w:val="24"/>
                <w:color w:val="auto"/>
              </w:rPr>
            </w:pPr>
          </w:p>
        </w:tc>
        <w:tc>
          <w:tcPr>
            <w:tcW w:w="3880" w:type="dxa"/>
            <w:vAlign w:val="bottom"/>
            <w:gridSpan w:val="5"/>
          </w:tcPr>
          <w:p>
            <w:pPr>
              <w:jc w:val="right"/>
              <w:ind w:right="100"/>
              <w:spacing w:after="0"/>
              <w:rPr>
                <w:sz w:val="20"/>
                <w:szCs w:val="20"/>
                <w:color w:val="auto"/>
              </w:rPr>
            </w:pPr>
            <w:r>
              <w:rPr>
                <w:rFonts w:ascii="Arial" w:cs="Arial" w:eastAsia="Arial" w:hAnsi="Arial"/>
                <w:sz w:val="12"/>
                <w:szCs w:val="12"/>
                <w:color w:val="auto"/>
              </w:rPr>
              <w:t>133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Method of Filing</w:t>
      </w:r>
    </w:p>
    <w:p>
      <w:pPr>
        <w:spacing w:after="0" w:line="49"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2.1 to the Company’s Current Report on Form 8-K filed on May 9,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2.2 to the Company’s Current Report on Form 8-K filed on May 9,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2.3 to the Company’s Current Report on Form 8-K filed on May 9, 2014.</w:t>
      </w:r>
    </w:p>
    <w:p>
      <w:pPr>
        <w:spacing w:after="0" w:line="17"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June 9, 2014.</w:t>
      </w:r>
    </w:p>
    <w:p>
      <w:pPr>
        <w:spacing w:after="0" w:line="153"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2.1 to the Company's Current Report on Form 8-K filed on November 7, 2014.</w:t>
      </w:r>
    </w:p>
    <w:p>
      <w:pPr>
        <w:spacing w:after="0" w:line="17"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2.2 to the Company's Current Report on Form 8-K filed on November 7, 2014.</w:t>
      </w:r>
    </w:p>
    <w:p>
      <w:pPr>
        <w:spacing w:after="0" w:line="17" w:lineRule="exact"/>
        <w:rPr>
          <w:sz w:val="20"/>
          <w:szCs w:val="20"/>
          <w:color w:val="auto"/>
        </w:rPr>
      </w:pPr>
    </w:p>
    <w:p>
      <w:pPr>
        <w:ind w:right="100"/>
        <w:spacing w:after="0" w:line="274" w:lineRule="auto"/>
        <w:rPr>
          <w:sz w:val="20"/>
          <w:szCs w:val="20"/>
          <w:color w:val="auto"/>
        </w:rPr>
      </w:pPr>
      <w:r>
        <w:rPr>
          <w:rFonts w:ascii="Arial" w:cs="Arial" w:eastAsia="Arial" w:hAnsi="Arial"/>
          <w:sz w:val="11"/>
          <w:szCs w:val="11"/>
          <w:color w:val="auto"/>
        </w:rPr>
        <w:t>Incorporated herein by reference to Exhibit 2.1 to the Company's Quarterly Report on Form 10-Q filed on August 4, 2015.</w:t>
      </w:r>
    </w:p>
    <w:p>
      <w:pPr>
        <w:spacing w:after="0" w:line="71"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2.1 to the Company's Current Report on Form 8-K filed on September 21, 2015.</w:t>
      </w:r>
    </w:p>
    <w:p>
      <w:pPr>
        <w:spacing w:after="0" w:line="261" w:lineRule="exact"/>
        <w:rPr>
          <w:sz w:val="20"/>
          <w:szCs w:val="20"/>
          <w:color w:val="auto"/>
        </w:rPr>
      </w:pPr>
    </w:p>
    <w:p>
      <w:pPr>
        <w:ind w:right="200"/>
        <w:spacing w:after="0" w:line="274" w:lineRule="auto"/>
        <w:rPr>
          <w:sz w:val="20"/>
          <w:szCs w:val="20"/>
          <w:color w:val="auto"/>
        </w:rPr>
      </w:pPr>
      <w:r>
        <w:rPr>
          <w:rFonts w:ascii="Arial" w:cs="Arial" w:eastAsia="Arial" w:hAnsi="Arial"/>
          <w:sz w:val="11"/>
          <w:szCs w:val="11"/>
          <w:color w:val="auto"/>
        </w:rPr>
        <w:t>Incorporated herein by reference to Exhibit 2.1 to the Registrant's Current Report on Form 8-K, filed on August 9, 2016.</w:t>
      </w:r>
    </w:p>
    <w:p>
      <w:pPr>
        <w:spacing w:after="0" w:line="126" w:lineRule="exact"/>
        <w:rPr>
          <w:sz w:val="20"/>
          <w:szCs w:val="20"/>
          <w:color w:val="auto"/>
        </w:rPr>
      </w:pPr>
    </w:p>
    <w:p>
      <w:pPr>
        <w:ind w:right="100"/>
        <w:spacing w:after="0" w:line="274" w:lineRule="auto"/>
        <w:rPr>
          <w:sz w:val="20"/>
          <w:szCs w:val="20"/>
          <w:color w:val="auto"/>
        </w:rPr>
      </w:pPr>
      <w:r>
        <w:rPr>
          <w:rFonts w:ascii="Arial" w:cs="Arial" w:eastAsia="Arial" w:hAnsi="Arial"/>
          <w:sz w:val="11"/>
          <w:szCs w:val="11"/>
          <w:color w:val="auto"/>
        </w:rPr>
        <w:t>Incorporated herein by reference to Exhibit 2.10 to the Registrant's Annual Report on Form 10-K, filed on March 1, 2018.</w:t>
      </w:r>
    </w:p>
    <w:p>
      <w:pPr>
        <w:spacing w:after="0" w:line="71" w:lineRule="exact"/>
        <w:rPr>
          <w:sz w:val="20"/>
          <w:szCs w:val="20"/>
          <w:color w:val="auto"/>
        </w:rPr>
      </w:pPr>
    </w:p>
    <w:p>
      <w:pPr>
        <w:ind w:right="100"/>
        <w:spacing w:after="0" w:line="274" w:lineRule="auto"/>
        <w:rPr>
          <w:sz w:val="20"/>
          <w:szCs w:val="20"/>
          <w:color w:val="auto"/>
        </w:rPr>
      </w:pPr>
      <w:r>
        <w:rPr>
          <w:rFonts w:ascii="Arial" w:cs="Arial" w:eastAsia="Arial" w:hAnsi="Arial"/>
          <w:sz w:val="11"/>
          <w:szCs w:val="11"/>
          <w:color w:val="auto"/>
        </w:rPr>
        <w:t>Incorporated herein by reference to Exhibit 3.1 to the Company's Quarterly Report on Form 10-Q filed on May 5, 2016.</w:t>
      </w:r>
    </w:p>
    <w:p>
      <w:pPr>
        <w:spacing w:after="0" w:line="17"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3.1 to the Company's Current Report on Form 8-K filed on September 5, 2018.</w:t>
      </w:r>
    </w:p>
    <w:p>
      <w:pPr>
        <w:spacing w:after="0" w:line="17"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3.2 to the Company's Current Report on Form 8-K filed on September 5, 2018.</w:t>
      </w:r>
    </w:p>
    <w:p>
      <w:pPr>
        <w:spacing w:after="0" w:line="71" w:lineRule="exact"/>
        <w:rPr>
          <w:sz w:val="20"/>
          <w:szCs w:val="20"/>
          <w:color w:val="auto"/>
        </w:rPr>
      </w:pPr>
    </w:p>
    <w:p>
      <w:pPr>
        <w:ind w:right="200"/>
        <w:spacing w:after="0" w:line="274" w:lineRule="auto"/>
        <w:rPr>
          <w:sz w:val="20"/>
          <w:szCs w:val="20"/>
          <w:color w:val="auto"/>
        </w:rPr>
      </w:pPr>
      <w:r>
        <w:rPr>
          <w:rFonts w:ascii="Arial" w:cs="Arial" w:eastAsia="Arial" w:hAnsi="Arial"/>
          <w:sz w:val="11"/>
          <w:szCs w:val="11"/>
          <w:color w:val="auto"/>
        </w:rPr>
        <w:t>Incorporated herein by reference to Exhibit 10.6 to the Company's Current Report on Form 8-K filed on September 5, 2018.</w:t>
      </w:r>
    </w:p>
    <w:p>
      <w:pPr>
        <w:spacing w:after="0" w:line="71"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February 11,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February 11, 2014.</w:t>
      </w:r>
    </w:p>
    <w:p>
      <w:pPr>
        <w:spacing w:after="0" w:line="17"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August 5, 2014.</w:t>
      </w:r>
    </w:p>
    <w:p>
      <w:pPr>
        <w:sectPr>
          <w:pgSz w:w="11900" w:h="16838" w:orient="portrait"/>
          <w:cols w:equalWidth="0" w:num="2">
            <w:col w:w="6940" w:space="180"/>
            <w:col w:w="4320"/>
          </w:cols>
          <w:pgMar w:left="240" w:top="514" w:right="219" w:bottom="1440" w:gutter="0" w:footer="0" w:header="0"/>
        </w:sectPr>
      </w:pPr>
    </w:p>
    <w:bookmarkStart w:id="133" w:name="page134"/>
    <w:bookmarkEnd w:id="133"/>
    <w:p>
      <w:pPr>
        <w:spacing w:after="0"/>
        <w:rPr>
          <w:sz w:val="20"/>
          <w:szCs w:val="20"/>
          <w:color w:val="auto"/>
        </w:rPr>
      </w:pPr>
      <w:r>
        <w:rPr>
          <w:rFonts w:ascii="Arial" w:cs="Arial" w:eastAsia="Arial" w:hAnsi="Arial"/>
          <w:sz w:val="11"/>
          <w:szCs w:val="11"/>
          <w:color w:val="auto"/>
        </w:rPr>
        <w:t>4.5</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4.6</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4.7</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4.8</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4.9</w:t>
      </w:r>
    </w:p>
    <w:p>
      <w:pPr>
        <w:spacing w:after="0" w:line="288" w:lineRule="exact"/>
        <w:rPr>
          <w:sz w:val="20"/>
          <w:szCs w:val="20"/>
          <w:color w:val="auto"/>
        </w:rPr>
      </w:pPr>
    </w:p>
    <w:p>
      <w:pPr>
        <w:spacing w:after="0"/>
        <w:rPr>
          <w:sz w:val="20"/>
          <w:szCs w:val="20"/>
          <w:color w:val="auto"/>
        </w:rPr>
      </w:pPr>
      <w:r>
        <w:rPr>
          <w:rFonts w:ascii="Arial" w:cs="Arial" w:eastAsia="Arial" w:hAnsi="Arial"/>
          <w:sz w:val="9"/>
          <w:szCs w:val="9"/>
          <w:color w:val="auto"/>
        </w:rPr>
        <w:t>4.10</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4.11</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4.12</w:t>
      </w:r>
    </w:p>
    <w:p>
      <w:pPr>
        <w:spacing w:after="0" w:line="338" w:lineRule="exact"/>
        <w:rPr>
          <w:sz w:val="20"/>
          <w:szCs w:val="20"/>
          <w:color w:val="auto"/>
        </w:rPr>
      </w:pPr>
    </w:p>
    <w:p>
      <w:pPr>
        <w:spacing w:after="0"/>
        <w:rPr>
          <w:sz w:val="20"/>
          <w:szCs w:val="20"/>
          <w:color w:val="auto"/>
        </w:rPr>
      </w:pPr>
      <w:r>
        <w:rPr>
          <w:rFonts w:ascii="Arial" w:cs="Arial" w:eastAsia="Arial" w:hAnsi="Arial"/>
          <w:sz w:val="9"/>
          <w:szCs w:val="9"/>
          <w:color w:val="auto"/>
        </w:rPr>
        <w:t>4.13</w:t>
      </w:r>
    </w:p>
    <w:p>
      <w:pPr>
        <w:spacing w:after="0" w:line="176" w:lineRule="exact"/>
        <w:rPr>
          <w:sz w:val="20"/>
          <w:szCs w:val="20"/>
          <w:color w:val="auto"/>
        </w:rPr>
      </w:pPr>
    </w:p>
    <w:p>
      <w:pPr>
        <w:spacing w:after="0"/>
        <w:rPr>
          <w:sz w:val="20"/>
          <w:szCs w:val="20"/>
          <w:color w:val="auto"/>
        </w:rPr>
      </w:pPr>
      <w:r>
        <w:rPr>
          <w:rFonts w:ascii="Arial" w:cs="Arial" w:eastAsia="Arial" w:hAnsi="Arial"/>
          <w:sz w:val="9"/>
          <w:szCs w:val="9"/>
          <w:color w:val="auto"/>
        </w:rPr>
        <w:t>4.14</w:t>
      </w:r>
    </w:p>
    <w:p>
      <w:pPr>
        <w:spacing w:after="0" w:line="176" w:lineRule="exact"/>
        <w:rPr>
          <w:sz w:val="20"/>
          <w:szCs w:val="20"/>
          <w:color w:val="auto"/>
        </w:rPr>
      </w:pPr>
    </w:p>
    <w:p>
      <w:pPr>
        <w:spacing w:after="0"/>
        <w:rPr>
          <w:sz w:val="20"/>
          <w:szCs w:val="20"/>
          <w:color w:val="auto"/>
        </w:rPr>
      </w:pPr>
      <w:r>
        <w:rPr>
          <w:rFonts w:ascii="Arial" w:cs="Arial" w:eastAsia="Arial" w:hAnsi="Arial"/>
          <w:sz w:val="9"/>
          <w:szCs w:val="9"/>
          <w:color w:val="auto"/>
        </w:rPr>
        <w:t>4.15</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4.16</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4.17</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4.18</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9"/>
          <w:szCs w:val="9"/>
          <w:color w:val="auto"/>
        </w:rPr>
        <w:t>4.19</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4.20</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9"/>
          <w:szCs w:val="9"/>
          <w:color w:val="auto"/>
        </w:rPr>
        <w:t>4.21</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9"/>
          <w:szCs w:val="9"/>
          <w:color w:val="auto"/>
        </w:rPr>
        <w:t>4.22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1"/>
          <w:szCs w:val="11"/>
          <w:u w:val="single" w:color="auto"/>
          <w:color w:val="0000FF"/>
        </w:rPr>
      </w:pPr>
      <w:hyperlink r:id="rId73">
        <w:r>
          <w:rPr>
            <w:rFonts w:ascii="Arial" w:cs="Arial" w:eastAsia="Arial" w:hAnsi="Arial"/>
            <w:sz w:val="11"/>
            <w:szCs w:val="11"/>
            <w:u w:val="single" w:color="auto"/>
            <w:color w:val="0000FF"/>
          </w:rPr>
          <w:t>Form of 5.375% Senior Note due 2024.</w:t>
        </w:r>
      </w:hyperlink>
    </w:p>
    <w:p>
      <w:pPr>
        <w:spacing w:after="0" w:line="180" w:lineRule="exact"/>
        <w:rPr>
          <w:sz w:val="20"/>
          <w:szCs w:val="20"/>
          <w:color w:val="auto"/>
        </w:rPr>
      </w:pPr>
    </w:p>
    <w:p>
      <w:pPr>
        <w:ind w:right="220"/>
        <w:spacing w:after="0" w:line="274" w:lineRule="auto"/>
        <w:rPr>
          <w:rFonts w:ascii="Arial" w:cs="Arial" w:eastAsia="Arial" w:hAnsi="Arial"/>
          <w:sz w:val="11"/>
          <w:szCs w:val="11"/>
          <w:u w:val="single" w:color="auto"/>
          <w:color w:val="0000FF"/>
        </w:rPr>
      </w:pPr>
      <w:hyperlink r:id="rId74">
        <w:r>
          <w:rPr>
            <w:rFonts w:ascii="Arial" w:cs="Arial" w:eastAsia="Arial" w:hAnsi="Arial"/>
            <w:sz w:val="11"/>
            <w:szCs w:val="11"/>
            <w:u w:val="single" w:color="auto"/>
            <w:color w:val="0000FF"/>
          </w:rPr>
          <w:t>Registration Rights Agreement, dated August 5, 2014, among NRG Yield Operating LLC, the guarantors named therein and Merrill</w:t>
        </w:r>
      </w:hyperlink>
      <w:r>
        <w:rPr>
          <w:rFonts w:ascii="Arial" w:cs="Arial" w:eastAsia="Arial" w:hAnsi="Arial"/>
          <w:sz w:val="11"/>
          <w:szCs w:val="11"/>
          <w:u w:val="single" w:color="auto"/>
          <w:color w:val="0000FF"/>
        </w:rPr>
        <w:t xml:space="preserve"> </w:t>
      </w:r>
      <w:hyperlink r:id="rId74">
        <w:r>
          <w:rPr>
            <w:rFonts w:ascii="Arial" w:cs="Arial" w:eastAsia="Arial" w:hAnsi="Arial"/>
            <w:sz w:val="11"/>
            <w:szCs w:val="11"/>
            <w:u w:val="single" w:color="auto"/>
            <w:color w:val="0000FF"/>
          </w:rPr>
          <w:t>Lynch, Pierce, Fenner &amp; Smith Incorporated, as representative of the initial purchasers.</w:t>
        </w:r>
      </w:hyperlink>
    </w:p>
    <w:p>
      <w:pPr>
        <w:spacing w:after="0" w:line="17" w:lineRule="exact"/>
        <w:rPr>
          <w:sz w:val="20"/>
          <w:szCs w:val="20"/>
          <w:color w:val="auto"/>
        </w:rPr>
      </w:pPr>
    </w:p>
    <w:p>
      <w:pPr>
        <w:ind w:right="260"/>
        <w:spacing w:after="0" w:line="274" w:lineRule="auto"/>
        <w:rPr>
          <w:rFonts w:ascii="Arial" w:cs="Arial" w:eastAsia="Arial" w:hAnsi="Arial"/>
          <w:sz w:val="11"/>
          <w:szCs w:val="11"/>
          <w:u w:val="single" w:color="auto"/>
          <w:color w:val="0000FF"/>
        </w:rPr>
      </w:pPr>
      <w:hyperlink r:id="rId75">
        <w:r>
          <w:rPr>
            <w:rFonts w:ascii="Arial" w:cs="Arial" w:eastAsia="Arial" w:hAnsi="Arial"/>
            <w:sz w:val="11"/>
            <w:szCs w:val="11"/>
            <w:u w:val="single" w:color="auto"/>
            <w:color w:val="0000FF"/>
          </w:rPr>
          <w:t>Supplemental Indenture, dated as of November 7, 2014, among NRG Yield Operating LLC, the guarantors named therein and Law</w:t>
        </w:r>
      </w:hyperlink>
      <w:r>
        <w:rPr>
          <w:rFonts w:ascii="Arial" w:cs="Arial" w:eastAsia="Arial" w:hAnsi="Arial"/>
          <w:sz w:val="11"/>
          <w:szCs w:val="11"/>
          <w:u w:val="single" w:color="auto"/>
          <w:color w:val="0000FF"/>
        </w:rPr>
        <w:t xml:space="preserve"> </w:t>
      </w:r>
      <w:hyperlink r:id="rId75">
        <w:r>
          <w:rPr>
            <w:rFonts w:ascii="Arial" w:cs="Arial" w:eastAsia="Arial" w:hAnsi="Arial"/>
            <w:sz w:val="11"/>
            <w:szCs w:val="11"/>
            <w:u w:val="single" w:color="auto"/>
            <w:color w:val="0000FF"/>
          </w:rPr>
          <w:t>Debenture Trust Company of New York.</w:t>
        </w:r>
      </w:hyperlink>
    </w:p>
    <w:p>
      <w:pPr>
        <w:spacing w:after="0" w:line="17" w:lineRule="exact"/>
        <w:rPr>
          <w:sz w:val="20"/>
          <w:szCs w:val="20"/>
          <w:color w:val="auto"/>
        </w:rPr>
      </w:pPr>
    </w:p>
    <w:p>
      <w:pPr>
        <w:ind w:right="280"/>
        <w:spacing w:after="0" w:line="274" w:lineRule="auto"/>
        <w:rPr>
          <w:rFonts w:ascii="Arial" w:cs="Arial" w:eastAsia="Arial" w:hAnsi="Arial"/>
          <w:sz w:val="11"/>
          <w:szCs w:val="11"/>
          <w:u w:val="single" w:color="auto"/>
          <w:color w:val="0000FF"/>
        </w:rPr>
      </w:pPr>
      <w:hyperlink r:id="rId76">
        <w:r>
          <w:rPr>
            <w:rFonts w:ascii="Arial" w:cs="Arial" w:eastAsia="Arial" w:hAnsi="Arial"/>
            <w:sz w:val="11"/>
            <w:szCs w:val="11"/>
            <w:u w:val="single" w:color="auto"/>
            <w:color w:val="0000FF"/>
          </w:rPr>
          <w:t>Supplemental Indenture, dated as of February 25, 2015, among NRG Yield Operating LLC, the guarantors named therein and Law</w:t>
        </w:r>
      </w:hyperlink>
      <w:r>
        <w:rPr>
          <w:rFonts w:ascii="Arial" w:cs="Arial" w:eastAsia="Arial" w:hAnsi="Arial"/>
          <w:sz w:val="11"/>
          <w:szCs w:val="11"/>
          <w:u w:val="single" w:color="auto"/>
          <w:color w:val="0000FF"/>
        </w:rPr>
        <w:t xml:space="preserve"> </w:t>
      </w:r>
      <w:hyperlink r:id="rId76">
        <w:r>
          <w:rPr>
            <w:rFonts w:ascii="Arial" w:cs="Arial" w:eastAsia="Arial" w:hAnsi="Arial"/>
            <w:sz w:val="11"/>
            <w:szCs w:val="11"/>
            <w:u w:val="single" w:color="auto"/>
            <w:color w:val="0000FF"/>
          </w:rPr>
          <w:t>Debenture Trust Company of New York.</w:t>
        </w:r>
      </w:hyperlink>
    </w:p>
    <w:p>
      <w:pPr>
        <w:spacing w:after="0" w:line="180" w:lineRule="exact"/>
        <w:rPr>
          <w:sz w:val="20"/>
          <w:szCs w:val="20"/>
          <w:color w:val="auto"/>
        </w:rPr>
      </w:pPr>
    </w:p>
    <w:p>
      <w:pPr>
        <w:ind w:right="200"/>
        <w:spacing w:after="0" w:line="274" w:lineRule="auto"/>
        <w:rPr>
          <w:rFonts w:ascii="Arial" w:cs="Arial" w:eastAsia="Arial" w:hAnsi="Arial"/>
          <w:sz w:val="11"/>
          <w:szCs w:val="11"/>
          <w:u w:val="single" w:color="auto"/>
          <w:color w:val="0000FF"/>
        </w:rPr>
      </w:pPr>
      <w:hyperlink r:id="rId77">
        <w:r>
          <w:rPr>
            <w:rFonts w:ascii="Arial" w:cs="Arial" w:eastAsia="Arial" w:hAnsi="Arial"/>
            <w:sz w:val="11"/>
            <w:szCs w:val="11"/>
            <w:u w:val="single" w:color="auto"/>
            <w:color w:val="0000FF"/>
          </w:rPr>
          <w:t>Third Supplemental Indenture, dated as of April 10, 2015, among NRG Yield Operating LLC, NRG Yield LLC, the other guarantors</w:t>
        </w:r>
      </w:hyperlink>
      <w:r>
        <w:rPr>
          <w:rFonts w:ascii="Arial" w:cs="Arial" w:eastAsia="Arial" w:hAnsi="Arial"/>
          <w:sz w:val="11"/>
          <w:szCs w:val="11"/>
          <w:u w:val="single" w:color="auto"/>
          <w:color w:val="0000FF"/>
        </w:rPr>
        <w:t xml:space="preserve"> </w:t>
      </w:r>
      <w:hyperlink r:id="rId77">
        <w:r>
          <w:rPr>
            <w:rFonts w:ascii="Arial" w:cs="Arial" w:eastAsia="Arial" w:hAnsi="Arial"/>
            <w:sz w:val="11"/>
            <w:szCs w:val="11"/>
            <w:u w:val="single" w:color="auto"/>
            <w:color w:val="0000FF"/>
          </w:rPr>
          <w:t>named therein and Law Debenture Trust Company of New York.</w:t>
        </w:r>
      </w:hyperlink>
    </w:p>
    <w:p>
      <w:pPr>
        <w:spacing w:after="0" w:line="126" w:lineRule="exact"/>
        <w:rPr>
          <w:sz w:val="20"/>
          <w:szCs w:val="20"/>
          <w:color w:val="auto"/>
        </w:rPr>
      </w:pPr>
    </w:p>
    <w:p>
      <w:pPr>
        <w:ind w:right="200"/>
        <w:spacing w:after="0" w:line="274" w:lineRule="auto"/>
        <w:rPr>
          <w:rFonts w:ascii="Arial" w:cs="Arial" w:eastAsia="Arial" w:hAnsi="Arial"/>
          <w:sz w:val="11"/>
          <w:szCs w:val="11"/>
          <w:u w:val="single" w:color="auto"/>
          <w:color w:val="0000FF"/>
        </w:rPr>
      </w:pPr>
      <w:hyperlink r:id="rId78">
        <w:r>
          <w:rPr>
            <w:rFonts w:ascii="Arial" w:cs="Arial" w:eastAsia="Arial" w:hAnsi="Arial"/>
            <w:sz w:val="11"/>
            <w:szCs w:val="11"/>
            <w:u w:val="single" w:color="auto"/>
            <w:color w:val="0000FF"/>
          </w:rPr>
          <w:t>Fourth Supplemental Indenture, dated as of May 8, 2015, among NRG Yield Operating LLC, the guarantors named therein and Law</w:t>
        </w:r>
      </w:hyperlink>
      <w:r>
        <w:rPr>
          <w:rFonts w:ascii="Arial" w:cs="Arial" w:eastAsia="Arial" w:hAnsi="Arial"/>
          <w:sz w:val="11"/>
          <w:szCs w:val="11"/>
          <w:u w:val="single" w:color="auto"/>
          <w:color w:val="0000FF"/>
        </w:rPr>
        <w:t xml:space="preserve"> </w:t>
      </w:r>
      <w:hyperlink r:id="rId78">
        <w:r>
          <w:rPr>
            <w:rFonts w:ascii="Arial" w:cs="Arial" w:eastAsia="Arial" w:hAnsi="Arial"/>
            <w:sz w:val="11"/>
            <w:szCs w:val="11"/>
            <w:u w:val="single" w:color="auto"/>
            <w:color w:val="0000FF"/>
          </w:rPr>
          <w:t>Debenture Trust Company of New York.</w:t>
        </w:r>
      </w:hyperlink>
    </w:p>
    <w:p>
      <w:pPr>
        <w:spacing w:after="0" w:line="126" w:lineRule="exact"/>
        <w:rPr>
          <w:sz w:val="20"/>
          <w:szCs w:val="20"/>
          <w:color w:val="auto"/>
        </w:rPr>
      </w:pPr>
    </w:p>
    <w:p>
      <w:pPr>
        <w:ind w:right="480"/>
        <w:spacing w:after="0" w:line="274" w:lineRule="auto"/>
        <w:rPr>
          <w:rFonts w:ascii="Arial" w:cs="Arial" w:eastAsia="Arial" w:hAnsi="Arial"/>
          <w:sz w:val="11"/>
          <w:szCs w:val="11"/>
          <w:u w:val="single" w:color="auto"/>
          <w:color w:val="0000FF"/>
        </w:rPr>
      </w:pPr>
      <w:hyperlink r:id="rId79">
        <w:r>
          <w:rPr>
            <w:rFonts w:ascii="Arial" w:cs="Arial" w:eastAsia="Arial" w:hAnsi="Arial"/>
            <w:sz w:val="11"/>
            <w:szCs w:val="11"/>
            <w:u w:val="single" w:color="auto"/>
            <w:color w:val="0000FF"/>
          </w:rPr>
          <w:t>Indenture, dated June 29, 2015, among NRG Yield, Inc., NRG Yield Operating LLC and NRG Yield LLC, as Guarantors, and</w:t>
        </w:r>
      </w:hyperlink>
      <w:r>
        <w:rPr>
          <w:rFonts w:ascii="Arial" w:cs="Arial" w:eastAsia="Arial" w:hAnsi="Arial"/>
          <w:sz w:val="11"/>
          <w:szCs w:val="11"/>
          <w:u w:val="single" w:color="auto"/>
          <w:color w:val="0000FF"/>
        </w:rPr>
        <w:t xml:space="preserve"> </w:t>
      </w:r>
      <w:hyperlink r:id="rId79">
        <w:r>
          <w:rPr>
            <w:rFonts w:ascii="Arial" w:cs="Arial" w:eastAsia="Arial" w:hAnsi="Arial"/>
            <w:sz w:val="11"/>
            <w:szCs w:val="11"/>
            <w:u w:val="single" w:color="auto"/>
            <w:color w:val="0000FF"/>
          </w:rPr>
          <w:t>Wilmington Trust, National Association, as Trustee.</w:t>
        </w:r>
      </w:hyperlink>
    </w:p>
    <w:p>
      <w:pPr>
        <w:spacing w:after="0" w:line="126" w:lineRule="exact"/>
        <w:rPr>
          <w:sz w:val="20"/>
          <w:szCs w:val="20"/>
          <w:color w:val="auto"/>
        </w:rPr>
      </w:pPr>
    </w:p>
    <w:p>
      <w:pPr>
        <w:spacing w:after="0"/>
        <w:rPr>
          <w:rFonts w:ascii="Arial" w:cs="Arial" w:eastAsia="Arial" w:hAnsi="Arial"/>
          <w:sz w:val="11"/>
          <w:szCs w:val="11"/>
          <w:u w:val="single" w:color="auto"/>
          <w:color w:val="0000FF"/>
        </w:rPr>
      </w:pPr>
      <w:hyperlink r:id="rId79">
        <w:r>
          <w:rPr>
            <w:rFonts w:ascii="Arial" w:cs="Arial" w:eastAsia="Arial" w:hAnsi="Arial"/>
            <w:sz w:val="11"/>
            <w:szCs w:val="11"/>
            <w:u w:val="single" w:color="auto"/>
            <w:color w:val="0000FF"/>
          </w:rPr>
          <w:t>Form of 3.25% Convertible Senior Note due 2020.</w:t>
        </w:r>
      </w:hyperlink>
    </w:p>
    <w:p>
      <w:pPr>
        <w:spacing w:after="0" w:line="261" w:lineRule="exact"/>
        <w:rPr>
          <w:sz w:val="20"/>
          <w:szCs w:val="20"/>
          <w:color w:val="auto"/>
        </w:rPr>
      </w:pPr>
    </w:p>
    <w:p>
      <w:pPr>
        <w:spacing w:after="0"/>
        <w:rPr>
          <w:rFonts w:ascii="Arial" w:cs="Arial" w:eastAsia="Arial" w:hAnsi="Arial"/>
          <w:sz w:val="11"/>
          <w:szCs w:val="11"/>
          <w:u w:val="single" w:color="auto"/>
          <w:color w:val="0000FF"/>
        </w:rPr>
      </w:pPr>
      <w:hyperlink w:anchor="page142">
        <w:r>
          <w:rPr>
            <w:rFonts w:ascii="Arial" w:cs="Arial" w:eastAsia="Arial" w:hAnsi="Arial"/>
            <w:sz w:val="11"/>
            <w:szCs w:val="11"/>
            <w:u w:val="single" w:color="auto"/>
            <w:color w:val="0000FF"/>
          </w:rPr>
          <w:t>Specimen Class A Common Stock Certificate.</w:t>
        </w:r>
      </w:hyperlink>
    </w:p>
    <w:p>
      <w:pPr>
        <w:spacing w:after="0" w:line="153" w:lineRule="exact"/>
        <w:rPr>
          <w:sz w:val="20"/>
          <w:szCs w:val="20"/>
          <w:color w:val="auto"/>
        </w:rPr>
      </w:pPr>
    </w:p>
    <w:p>
      <w:pPr>
        <w:spacing w:after="0"/>
        <w:rPr>
          <w:rFonts w:ascii="Arial" w:cs="Arial" w:eastAsia="Arial" w:hAnsi="Arial"/>
          <w:sz w:val="11"/>
          <w:szCs w:val="11"/>
          <w:u w:val="single" w:color="auto"/>
          <w:color w:val="0000FF"/>
        </w:rPr>
      </w:pPr>
      <w:hyperlink w:anchor="page144">
        <w:r>
          <w:rPr>
            <w:rFonts w:ascii="Arial" w:cs="Arial" w:eastAsia="Arial" w:hAnsi="Arial"/>
            <w:sz w:val="11"/>
            <w:szCs w:val="11"/>
            <w:u w:val="single" w:color="auto"/>
            <w:color w:val="0000FF"/>
          </w:rPr>
          <w:t>Specimen Class C Common Stock Certificate.</w:t>
        </w:r>
      </w:hyperlink>
    </w:p>
    <w:p>
      <w:pPr>
        <w:spacing w:after="0" w:line="207" w:lineRule="exact"/>
        <w:rPr>
          <w:sz w:val="20"/>
          <w:szCs w:val="20"/>
          <w:color w:val="auto"/>
        </w:rPr>
      </w:pPr>
    </w:p>
    <w:p>
      <w:pPr>
        <w:ind w:right="40"/>
        <w:spacing w:after="0" w:line="274" w:lineRule="auto"/>
        <w:rPr>
          <w:rFonts w:ascii="Arial" w:cs="Arial" w:eastAsia="Arial" w:hAnsi="Arial"/>
          <w:sz w:val="11"/>
          <w:szCs w:val="11"/>
          <w:u w:val="single" w:color="auto"/>
          <w:color w:val="0000FF"/>
        </w:rPr>
      </w:pPr>
      <w:hyperlink r:id="rId80">
        <w:r>
          <w:rPr>
            <w:rFonts w:ascii="Arial" w:cs="Arial" w:eastAsia="Arial" w:hAnsi="Arial"/>
            <w:sz w:val="11"/>
            <w:szCs w:val="11"/>
            <w:u w:val="single" w:color="auto"/>
            <w:color w:val="0000FF"/>
          </w:rPr>
          <w:t>Indenture, dated August 18, 2016, among NRG Yield Operating LLC, the guarantors named therein and Law Debenture Trust Company</w:t>
        </w:r>
      </w:hyperlink>
      <w:r>
        <w:rPr>
          <w:rFonts w:ascii="Arial" w:cs="Arial" w:eastAsia="Arial" w:hAnsi="Arial"/>
          <w:sz w:val="11"/>
          <w:szCs w:val="11"/>
          <w:u w:val="single" w:color="auto"/>
          <w:color w:val="0000FF"/>
        </w:rPr>
        <w:t xml:space="preserve"> </w:t>
      </w:r>
      <w:hyperlink r:id="rId80">
        <w:r>
          <w:rPr>
            <w:rFonts w:ascii="Arial" w:cs="Arial" w:eastAsia="Arial" w:hAnsi="Arial"/>
            <w:sz w:val="11"/>
            <w:szCs w:val="11"/>
            <w:u w:val="single" w:color="auto"/>
            <w:color w:val="0000FF"/>
          </w:rPr>
          <w:t>of New York.</w:t>
        </w:r>
      </w:hyperlink>
    </w:p>
    <w:p>
      <w:pPr>
        <w:spacing w:after="0" w:line="126" w:lineRule="exact"/>
        <w:rPr>
          <w:sz w:val="20"/>
          <w:szCs w:val="20"/>
          <w:color w:val="auto"/>
        </w:rPr>
      </w:pPr>
    </w:p>
    <w:p>
      <w:pPr>
        <w:spacing w:after="0"/>
        <w:rPr>
          <w:rFonts w:ascii="Arial" w:cs="Arial" w:eastAsia="Arial" w:hAnsi="Arial"/>
          <w:sz w:val="11"/>
          <w:szCs w:val="11"/>
          <w:u w:val="single" w:color="auto"/>
          <w:color w:val="0000FF"/>
        </w:rPr>
      </w:pPr>
      <w:hyperlink r:id="rId80">
        <w:r>
          <w:rPr>
            <w:rFonts w:ascii="Arial" w:cs="Arial" w:eastAsia="Arial" w:hAnsi="Arial"/>
            <w:sz w:val="11"/>
            <w:szCs w:val="11"/>
            <w:u w:val="single" w:color="auto"/>
            <w:color w:val="0000FF"/>
          </w:rPr>
          <w:t>Form of 5.000% Senior Note due 2026.</w:t>
        </w:r>
      </w:hyperlink>
    </w:p>
    <w:p>
      <w:pPr>
        <w:spacing w:after="0" w:line="288" w:lineRule="exact"/>
        <w:rPr>
          <w:sz w:val="20"/>
          <w:szCs w:val="20"/>
          <w:color w:val="auto"/>
        </w:rPr>
      </w:pPr>
    </w:p>
    <w:p>
      <w:pPr>
        <w:spacing w:after="0"/>
        <w:rPr>
          <w:rFonts w:ascii="Arial" w:cs="Arial" w:eastAsia="Arial" w:hAnsi="Arial"/>
          <w:sz w:val="10"/>
          <w:szCs w:val="10"/>
          <w:u w:val="single" w:color="auto"/>
          <w:color w:val="0000FF"/>
        </w:rPr>
      </w:pPr>
      <w:hyperlink r:id="rId81">
        <w:r>
          <w:rPr>
            <w:rFonts w:ascii="Arial" w:cs="Arial" w:eastAsia="Arial" w:hAnsi="Arial"/>
            <w:sz w:val="10"/>
            <w:szCs w:val="10"/>
            <w:u w:val="single" w:color="auto"/>
            <w:color w:val="0000FF"/>
          </w:rPr>
          <w:t>Registration Rights Agreement, dated August 18, 2016, among NRG Yield Operating LLC, the guarantors named therein and J.P.</w:t>
        </w:r>
      </w:hyperlink>
    </w:p>
    <w:p>
      <w:pPr>
        <w:spacing w:after="0" w:line="21" w:lineRule="exact"/>
        <w:rPr>
          <w:sz w:val="20"/>
          <w:szCs w:val="20"/>
          <w:color w:val="auto"/>
        </w:rPr>
      </w:pPr>
    </w:p>
    <w:p>
      <w:pPr>
        <w:spacing w:after="0"/>
        <w:rPr>
          <w:rFonts w:ascii="Arial" w:cs="Arial" w:eastAsia="Arial" w:hAnsi="Arial"/>
          <w:sz w:val="11"/>
          <w:szCs w:val="11"/>
          <w:u w:val="single" w:color="auto"/>
          <w:color w:val="0000FF"/>
        </w:rPr>
      </w:pPr>
      <w:hyperlink r:id="rId81">
        <w:r>
          <w:rPr>
            <w:rFonts w:ascii="Arial" w:cs="Arial" w:eastAsia="Arial" w:hAnsi="Arial"/>
            <w:sz w:val="11"/>
            <w:szCs w:val="11"/>
            <w:u w:val="single" w:color="auto"/>
            <w:color w:val="0000FF"/>
          </w:rPr>
          <w:t>Morgan Securities LLC, as representative of the initial purchasers.</w:t>
        </w:r>
      </w:hyperlink>
    </w:p>
    <w:p>
      <w:pPr>
        <w:spacing w:after="0" w:line="152" w:lineRule="exact"/>
        <w:rPr>
          <w:sz w:val="20"/>
          <w:szCs w:val="20"/>
          <w:color w:val="auto"/>
        </w:rPr>
      </w:pPr>
    </w:p>
    <w:p>
      <w:pPr>
        <w:ind w:right="320"/>
        <w:spacing w:after="0" w:line="326" w:lineRule="auto"/>
        <w:rPr>
          <w:rFonts w:ascii="Arial" w:cs="Arial" w:eastAsia="Arial" w:hAnsi="Arial"/>
          <w:sz w:val="10"/>
          <w:szCs w:val="10"/>
          <w:u w:val="single" w:color="auto"/>
          <w:color w:val="0000FF"/>
        </w:rPr>
      </w:pPr>
      <w:hyperlink r:id="rId82">
        <w:r>
          <w:rPr>
            <w:rFonts w:ascii="Arial" w:cs="Arial" w:eastAsia="Arial" w:hAnsi="Arial"/>
            <w:sz w:val="10"/>
            <w:szCs w:val="10"/>
            <w:u w:val="single" w:color="auto"/>
            <w:color w:val="0000FF"/>
          </w:rPr>
          <w:t>Fifth Supplemental Indenture, dated as of January 29, 2018, among NRG Yield Operating LLC, the guarantors named therein and</w:t>
        </w:r>
      </w:hyperlink>
      <w:r>
        <w:rPr>
          <w:rFonts w:ascii="Arial" w:cs="Arial" w:eastAsia="Arial" w:hAnsi="Arial"/>
          <w:sz w:val="10"/>
          <w:szCs w:val="10"/>
          <w:u w:val="single" w:color="auto"/>
          <w:color w:val="0000FF"/>
        </w:rPr>
        <w:t xml:space="preserve"> </w:t>
      </w:r>
      <w:hyperlink r:id="rId82">
        <w:r>
          <w:rPr>
            <w:rFonts w:ascii="Arial" w:cs="Arial" w:eastAsia="Arial" w:hAnsi="Arial"/>
            <w:sz w:val="10"/>
            <w:szCs w:val="10"/>
            <w:u w:val="single" w:color="auto"/>
            <w:color w:val="0000FF"/>
          </w:rPr>
          <w:t>Delaware Trust Company (as successor in interest to Law Debenture Trust Company of New York).</w:t>
        </w:r>
      </w:hyperlink>
    </w:p>
    <w:p>
      <w:pPr>
        <w:spacing w:after="0" w:line="345" w:lineRule="exact"/>
        <w:rPr>
          <w:sz w:val="20"/>
          <w:szCs w:val="20"/>
          <w:color w:val="auto"/>
        </w:rPr>
      </w:pPr>
    </w:p>
    <w:p>
      <w:pPr>
        <w:ind w:right="380"/>
        <w:spacing w:after="0" w:line="326" w:lineRule="auto"/>
        <w:rPr>
          <w:rFonts w:ascii="Arial" w:cs="Arial" w:eastAsia="Arial" w:hAnsi="Arial"/>
          <w:sz w:val="10"/>
          <w:szCs w:val="10"/>
          <w:u w:val="single" w:color="auto"/>
          <w:color w:val="0000FF"/>
        </w:rPr>
      </w:pPr>
      <w:hyperlink r:id="rId83">
        <w:r>
          <w:rPr>
            <w:rFonts w:ascii="Arial" w:cs="Arial" w:eastAsia="Arial" w:hAnsi="Arial"/>
            <w:sz w:val="10"/>
            <w:szCs w:val="10"/>
            <w:u w:val="single" w:color="auto"/>
            <w:color w:val="0000FF"/>
          </w:rPr>
          <w:t>Supplemental Indenture, dated as of January 29, 2018, among NRG Yield Operating LLC, the guarantors named therein and the</w:t>
        </w:r>
      </w:hyperlink>
      <w:r>
        <w:rPr>
          <w:rFonts w:ascii="Arial" w:cs="Arial" w:eastAsia="Arial" w:hAnsi="Arial"/>
          <w:sz w:val="10"/>
          <w:szCs w:val="10"/>
          <w:u w:val="single" w:color="auto"/>
          <w:color w:val="0000FF"/>
        </w:rPr>
        <w:t xml:space="preserve"> </w:t>
      </w:r>
      <w:hyperlink r:id="rId83">
        <w:r>
          <w:rPr>
            <w:rFonts w:ascii="Arial" w:cs="Arial" w:eastAsia="Arial" w:hAnsi="Arial"/>
            <w:sz w:val="10"/>
            <w:szCs w:val="10"/>
            <w:u w:val="single" w:color="auto"/>
            <w:color w:val="0000FF"/>
          </w:rPr>
          <w:t>Delaware Trust Company (as successor in interest to Law Debenture Trust Company of New York).</w:t>
        </w:r>
      </w:hyperlink>
    </w:p>
    <w:p>
      <w:pPr>
        <w:spacing w:after="0" w:line="102" w:lineRule="exact"/>
        <w:rPr>
          <w:sz w:val="20"/>
          <w:szCs w:val="20"/>
          <w:color w:val="auto"/>
        </w:rPr>
      </w:pPr>
    </w:p>
    <w:p>
      <w:pPr>
        <w:spacing w:after="0" w:line="274" w:lineRule="auto"/>
        <w:rPr>
          <w:rFonts w:ascii="Arial" w:cs="Arial" w:eastAsia="Arial" w:hAnsi="Arial"/>
          <w:sz w:val="11"/>
          <w:szCs w:val="11"/>
          <w:u w:val="single" w:color="auto"/>
          <w:color w:val="0000FF"/>
        </w:rPr>
      </w:pPr>
      <w:hyperlink r:id="rId84">
        <w:r>
          <w:rPr>
            <w:rFonts w:ascii="Arial" w:cs="Arial" w:eastAsia="Arial" w:hAnsi="Arial"/>
            <w:sz w:val="11"/>
            <w:szCs w:val="11"/>
            <w:u w:val="single" w:color="auto"/>
            <w:color w:val="0000FF"/>
          </w:rPr>
          <w:t>Sixth Supplemental Indenture, dated as of June 12, 2018, among NRG Yield Operating LLC, the guarantors named therein and Delaware</w:t>
        </w:r>
      </w:hyperlink>
      <w:r>
        <w:rPr>
          <w:rFonts w:ascii="Arial" w:cs="Arial" w:eastAsia="Arial" w:hAnsi="Arial"/>
          <w:sz w:val="11"/>
          <w:szCs w:val="11"/>
          <w:u w:val="single" w:color="auto"/>
          <w:color w:val="0000FF"/>
        </w:rPr>
        <w:t xml:space="preserve"> </w:t>
      </w:r>
      <w:hyperlink r:id="rId84">
        <w:r>
          <w:rPr>
            <w:rFonts w:ascii="Arial" w:cs="Arial" w:eastAsia="Arial" w:hAnsi="Arial"/>
            <w:sz w:val="11"/>
            <w:szCs w:val="11"/>
            <w:u w:val="single" w:color="auto"/>
            <w:color w:val="0000FF"/>
          </w:rPr>
          <w:t>Trust Company (as successor in interest to Law Debenture Trust Company of New York).</w:t>
        </w:r>
      </w:hyperlink>
    </w:p>
    <w:p>
      <w:pPr>
        <w:spacing w:after="0" w:line="315" w:lineRule="exact"/>
        <w:rPr>
          <w:sz w:val="20"/>
          <w:szCs w:val="20"/>
          <w:color w:val="auto"/>
        </w:rPr>
      </w:pPr>
    </w:p>
    <w:p>
      <w:pPr>
        <w:ind w:right="340"/>
        <w:spacing w:after="0" w:line="326" w:lineRule="auto"/>
        <w:rPr>
          <w:rFonts w:ascii="Arial" w:cs="Arial" w:eastAsia="Arial" w:hAnsi="Arial"/>
          <w:sz w:val="10"/>
          <w:szCs w:val="10"/>
          <w:u w:val="single" w:color="auto"/>
          <w:color w:val="0000FF"/>
        </w:rPr>
      </w:pPr>
      <w:hyperlink r:id="rId85">
        <w:r>
          <w:rPr>
            <w:rFonts w:ascii="Arial" w:cs="Arial" w:eastAsia="Arial" w:hAnsi="Arial"/>
            <w:sz w:val="10"/>
            <w:szCs w:val="10"/>
            <w:u w:val="single" w:color="auto"/>
            <w:color w:val="0000FF"/>
          </w:rPr>
          <w:t>Second Supplemental Indenture, dated as of June 12, 2018, among NRG Yield Operating LLC, the guarantors named therein and</w:t>
        </w:r>
      </w:hyperlink>
      <w:r>
        <w:rPr>
          <w:rFonts w:ascii="Arial" w:cs="Arial" w:eastAsia="Arial" w:hAnsi="Arial"/>
          <w:sz w:val="10"/>
          <w:szCs w:val="10"/>
          <w:u w:val="single" w:color="auto"/>
          <w:color w:val="0000FF"/>
        </w:rPr>
        <w:t xml:space="preserve"> </w:t>
      </w:r>
      <w:hyperlink r:id="rId85">
        <w:r>
          <w:rPr>
            <w:rFonts w:ascii="Arial" w:cs="Arial" w:eastAsia="Arial" w:hAnsi="Arial"/>
            <w:sz w:val="10"/>
            <w:szCs w:val="10"/>
            <w:u w:val="single" w:color="auto"/>
            <w:color w:val="0000FF"/>
          </w:rPr>
          <w:t>Delaware Trust Company (as successor in interest to Law Debenture Trust Company of New York).</w:t>
        </w:r>
      </w:hyperlink>
    </w:p>
    <w:p>
      <w:pPr>
        <w:spacing w:after="0" w:line="399" w:lineRule="exact"/>
        <w:rPr>
          <w:sz w:val="20"/>
          <w:szCs w:val="20"/>
          <w:color w:val="auto"/>
        </w:rPr>
      </w:pPr>
    </w:p>
    <w:p>
      <w:pPr>
        <w:ind w:right="320"/>
        <w:spacing w:after="0" w:line="326" w:lineRule="auto"/>
        <w:rPr>
          <w:rFonts w:ascii="Arial" w:cs="Arial" w:eastAsia="Arial" w:hAnsi="Arial"/>
          <w:sz w:val="10"/>
          <w:szCs w:val="10"/>
          <w:u w:val="single" w:color="auto"/>
          <w:color w:val="0000FF"/>
        </w:rPr>
      </w:pPr>
      <w:hyperlink r:id="rId86">
        <w:r>
          <w:rPr>
            <w:rFonts w:ascii="Arial" w:cs="Arial" w:eastAsia="Arial" w:hAnsi="Arial"/>
            <w:sz w:val="10"/>
            <w:szCs w:val="10"/>
            <w:u w:val="single" w:color="auto"/>
            <w:color w:val="0000FF"/>
          </w:rPr>
          <w:t>Seventh Supplemental Indenture, dated as of July 17, 2018, among NRG Yield Operating LLC, the guarantors named therein and</w:t>
        </w:r>
      </w:hyperlink>
      <w:r>
        <w:rPr>
          <w:rFonts w:ascii="Arial" w:cs="Arial" w:eastAsia="Arial" w:hAnsi="Arial"/>
          <w:sz w:val="10"/>
          <w:szCs w:val="10"/>
          <w:u w:val="single" w:color="auto"/>
          <w:color w:val="0000FF"/>
        </w:rPr>
        <w:t xml:space="preserve"> </w:t>
      </w:r>
      <w:hyperlink r:id="rId86">
        <w:r>
          <w:rPr>
            <w:rFonts w:ascii="Arial" w:cs="Arial" w:eastAsia="Arial" w:hAnsi="Arial"/>
            <w:sz w:val="10"/>
            <w:szCs w:val="10"/>
            <w:u w:val="single" w:color="auto"/>
            <w:color w:val="0000FF"/>
          </w:rPr>
          <w:t>Delaware Trust Company (as successor in interest to Law Debenture Trust Company of New York).</w:t>
        </w:r>
      </w:hyperlink>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August 5,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4.3 to the Company's Current Report on Form 8-K filed on August 5,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November 13, 2014.</w:t>
      </w:r>
    </w:p>
    <w:p>
      <w:pPr>
        <w:spacing w:after="0" w:line="71"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February 27, 2015.</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April 16, 2015.</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May 8, 2015.</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June 29, 2015.</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1"/>
          <w:szCs w:val="11"/>
          <w:color w:val="auto"/>
        </w:rPr>
        <w:t>Incorporated herein by reference to Exhibit 4.2 to the Company's Current Report on Form 8-K filed on June 29, 2015</w:t>
      </w:r>
      <w:r>
        <w:rPr>
          <w:rFonts w:ascii="Arial" w:cs="Arial" w:eastAsia="Arial" w:hAnsi="Arial"/>
          <w:sz w:val="14"/>
          <w:szCs w:val="14"/>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53"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4.1 to the Registrant's Current Report on Form 8-K, filed on August 18, 2016.</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4.2 to the Registrant's Current Report on Form 8-K, filed on August 18, 2016.</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4.3 to the Registrant's Current Report on Form 8-K, filed on August 18, 2016.</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4.1 to Clearway Energy LLC's Current Report on Form 8-K, filed on January 31, 2018.</w:t>
      </w:r>
    </w:p>
    <w:p>
      <w:pPr>
        <w:spacing w:after="0" w:line="369" w:lineRule="exact"/>
        <w:rPr>
          <w:sz w:val="20"/>
          <w:szCs w:val="20"/>
          <w:color w:val="auto"/>
        </w:rPr>
      </w:pPr>
    </w:p>
    <w:p>
      <w:pPr>
        <w:ind w:right="20"/>
        <w:spacing w:after="0" w:line="274" w:lineRule="auto"/>
        <w:rPr>
          <w:sz w:val="20"/>
          <w:szCs w:val="20"/>
          <w:color w:val="auto"/>
        </w:rPr>
      </w:pPr>
      <w:r>
        <w:rPr>
          <w:rFonts w:ascii="Arial" w:cs="Arial" w:eastAsia="Arial" w:hAnsi="Arial"/>
          <w:sz w:val="11"/>
          <w:szCs w:val="11"/>
          <w:color w:val="auto"/>
        </w:rPr>
        <w:t>Incorporated herein by reference to Exhibit 4.2 to Clearway Energy LLC's Current Report on Form 8-K, filed on January 31, 2018.</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June 12, 2018.</w:t>
      </w:r>
    </w:p>
    <w:p>
      <w:pPr>
        <w:spacing w:after="0" w:line="369"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June 12, 2018.</w:t>
      </w:r>
    </w:p>
    <w:p>
      <w:pPr>
        <w:spacing w:after="0" w:line="369" w:lineRule="exact"/>
        <w:rPr>
          <w:sz w:val="20"/>
          <w:szCs w:val="20"/>
          <w:color w:val="auto"/>
        </w:rPr>
      </w:pPr>
    </w:p>
    <w:p>
      <w:pPr>
        <w:ind w:right="80"/>
        <w:spacing w:after="0" w:line="274" w:lineRule="auto"/>
        <w:rPr>
          <w:sz w:val="20"/>
          <w:szCs w:val="20"/>
          <w:color w:val="auto"/>
        </w:rPr>
      </w:pPr>
      <w:r>
        <w:rPr>
          <w:rFonts w:ascii="Arial" w:cs="Arial" w:eastAsia="Arial" w:hAnsi="Arial"/>
          <w:sz w:val="11"/>
          <w:szCs w:val="11"/>
          <w:color w:val="auto"/>
        </w:rPr>
        <w:t>Incorporated herein by reference to Exhibit 4.3 to the Company's Quarterly Report on Form 10-Q filed on August 2, 2018.</w:t>
      </w:r>
    </w:p>
    <w:p>
      <w:pPr>
        <w:spacing w:after="0" w:line="223" w:lineRule="exact"/>
        <w:rPr>
          <w:sz w:val="20"/>
          <w:szCs w:val="20"/>
          <w:color w:val="auto"/>
        </w:rPr>
      </w:pPr>
    </w:p>
    <w:p>
      <w:pPr>
        <w:sectPr>
          <w:pgSz w:w="11900" w:h="16838" w:orient="portrait"/>
          <w:cols w:equalWidth="0" w:num="3">
            <w:col w:w="320" w:space="720"/>
            <w:col w:w="5920" w:space="160"/>
            <w:col w:w="4300"/>
          </w:cols>
          <w:pgMar w:left="240" w:top="630"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134</w:t>
      </w:r>
    </w:p>
    <w:p>
      <w:pPr>
        <w:sectPr>
          <w:pgSz w:w="11900" w:h="16838" w:orient="portrait"/>
          <w:cols w:equalWidth="0" w:num="1">
            <w:col w:w="11420"/>
          </w:cols>
          <w:pgMar w:left="240" w:top="630"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1"/>
          <w:szCs w:val="11"/>
          <w:color w:val="auto"/>
        </w:rPr>
        <w:t>4.23</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4.24</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4.25</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4.26</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4.27</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4.28</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4.29</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4.31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4.32</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4.33</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4.34</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10.1</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10.2</w:t>
      </w:r>
    </w:p>
    <w:p>
      <w:pPr>
        <w:spacing w:after="0" w:line="288" w:lineRule="exact"/>
        <w:rPr>
          <w:sz w:val="20"/>
          <w:szCs w:val="20"/>
          <w:color w:val="auto"/>
        </w:rPr>
      </w:pPr>
    </w:p>
    <w:p>
      <w:pPr>
        <w:spacing w:after="0"/>
        <w:rPr>
          <w:sz w:val="20"/>
          <w:szCs w:val="20"/>
          <w:color w:val="auto"/>
        </w:rPr>
      </w:pPr>
      <w:r>
        <w:rPr>
          <w:rFonts w:ascii="Arial" w:cs="Arial" w:eastAsia="Arial" w:hAnsi="Arial"/>
          <w:sz w:val="9"/>
          <w:szCs w:val="9"/>
          <w:color w:val="auto"/>
        </w:rPr>
        <w:t>10.3.1</w:t>
      </w:r>
    </w:p>
    <w:p>
      <w:pPr>
        <w:spacing w:after="0" w:line="311" w:lineRule="exact"/>
        <w:rPr>
          <w:sz w:val="20"/>
          <w:szCs w:val="20"/>
          <w:color w:val="auto"/>
        </w:rPr>
      </w:pPr>
    </w:p>
    <w:p>
      <w:pPr>
        <w:spacing w:after="0"/>
        <w:rPr>
          <w:sz w:val="20"/>
          <w:szCs w:val="20"/>
          <w:color w:val="auto"/>
        </w:rPr>
      </w:pPr>
      <w:r>
        <w:rPr>
          <w:rFonts w:ascii="Arial" w:cs="Arial" w:eastAsia="Arial" w:hAnsi="Arial"/>
          <w:sz w:val="9"/>
          <w:szCs w:val="9"/>
          <w:color w:val="auto"/>
        </w:rPr>
        <w:t>10.3.2</w:t>
      </w:r>
    </w:p>
    <w:p>
      <w:pPr>
        <w:spacing w:after="0" w:line="311" w:lineRule="exact"/>
        <w:rPr>
          <w:sz w:val="20"/>
          <w:szCs w:val="20"/>
          <w:color w:val="auto"/>
        </w:rPr>
      </w:pPr>
    </w:p>
    <w:p>
      <w:pPr>
        <w:spacing w:after="0"/>
        <w:rPr>
          <w:sz w:val="20"/>
          <w:szCs w:val="20"/>
          <w:color w:val="auto"/>
        </w:rPr>
      </w:pPr>
      <w:r>
        <w:rPr>
          <w:rFonts w:ascii="Arial" w:cs="Arial" w:eastAsia="Arial" w:hAnsi="Arial"/>
          <w:sz w:val="11"/>
          <w:szCs w:val="11"/>
          <w:color w:val="auto"/>
        </w:rPr>
        <w:t>10.4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74" w:lineRule="auto"/>
        <w:rPr>
          <w:rFonts w:ascii="Arial" w:cs="Arial" w:eastAsia="Arial" w:hAnsi="Arial"/>
          <w:sz w:val="11"/>
          <w:szCs w:val="11"/>
          <w:u w:val="single" w:color="auto"/>
          <w:color w:val="0000FF"/>
        </w:rPr>
      </w:pPr>
      <w:hyperlink r:id="rId87">
        <w:r>
          <w:rPr>
            <w:rFonts w:ascii="Arial" w:cs="Arial" w:eastAsia="Arial" w:hAnsi="Arial"/>
            <w:sz w:val="11"/>
            <w:szCs w:val="11"/>
            <w:u w:val="single" w:color="auto"/>
            <w:color w:val="0000FF"/>
          </w:rPr>
          <w:t>Third Supplemental Indenture, dated as of July 17, 2018, among NRG Yield Operating LLC, the guarantors named therein and Delaware</w:t>
        </w:r>
      </w:hyperlink>
      <w:r>
        <w:rPr>
          <w:rFonts w:ascii="Arial" w:cs="Arial" w:eastAsia="Arial" w:hAnsi="Arial"/>
          <w:sz w:val="11"/>
          <w:szCs w:val="11"/>
          <w:u w:val="single" w:color="auto"/>
          <w:color w:val="0000FF"/>
        </w:rPr>
        <w:t xml:space="preserve"> </w:t>
      </w:r>
      <w:hyperlink r:id="rId87">
        <w:r>
          <w:rPr>
            <w:rFonts w:ascii="Arial" w:cs="Arial" w:eastAsia="Arial" w:hAnsi="Arial"/>
            <w:sz w:val="11"/>
            <w:szCs w:val="11"/>
            <w:u w:val="single" w:color="auto"/>
            <w:color w:val="0000FF"/>
          </w:rPr>
          <w:t>Trust Company (as successor in interest to Law Debenture Trust Company of New York).</w:t>
        </w:r>
      </w:hyperlink>
    </w:p>
    <w:p>
      <w:pPr>
        <w:spacing w:after="0" w:line="126" w:lineRule="exact"/>
        <w:rPr>
          <w:sz w:val="20"/>
          <w:szCs w:val="20"/>
          <w:color w:val="auto"/>
        </w:rPr>
      </w:pPr>
    </w:p>
    <w:p>
      <w:pPr>
        <w:ind w:right="260"/>
        <w:spacing w:after="0" w:line="326" w:lineRule="auto"/>
        <w:rPr>
          <w:rFonts w:ascii="Arial" w:cs="Arial" w:eastAsia="Arial" w:hAnsi="Arial"/>
          <w:sz w:val="10"/>
          <w:szCs w:val="10"/>
          <w:u w:val="single" w:color="auto"/>
          <w:color w:val="0000FF"/>
        </w:rPr>
      </w:pPr>
      <w:hyperlink r:id="rId88">
        <w:r>
          <w:rPr>
            <w:rFonts w:ascii="Arial" w:cs="Arial" w:eastAsia="Arial" w:hAnsi="Arial"/>
            <w:sz w:val="10"/>
            <w:szCs w:val="10"/>
            <w:u w:val="single" w:color="auto"/>
            <w:color w:val="0000FF"/>
          </w:rPr>
          <w:t>Eighth Supplemental Indenture, dated as of August 30, 2018, among NRG Yield Operating LLC, the guarantors named therein and</w:t>
        </w:r>
      </w:hyperlink>
      <w:r>
        <w:rPr>
          <w:rFonts w:ascii="Arial" w:cs="Arial" w:eastAsia="Arial" w:hAnsi="Arial"/>
          <w:sz w:val="10"/>
          <w:szCs w:val="10"/>
          <w:u w:val="single" w:color="auto"/>
          <w:color w:val="0000FF"/>
        </w:rPr>
        <w:t xml:space="preserve"> </w:t>
      </w:r>
      <w:hyperlink r:id="rId88">
        <w:r>
          <w:rPr>
            <w:rFonts w:ascii="Arial" w:cs="Arial" w:eastAsia="Arial" w:hAnsi="Arial"/>
            <w:sz w:val="10"/>
            <w:szCs w:val="10"/>
            <w:u w:val="single" w:color="auto"/>
            <w:color w:val="0000FF"/>
          </w:rPr>
          <w:t>Delaware Trust Company (as successor in interest to Law Debenture Trust Company of New York).</w:t>
        </w:r>
      </w:hyperlink>
    </w:p>
    <w:p>
      <w:pPr>
        <w:spacing w:after="0" w:line="345" w:lineRule="exact"/>
        <w:rPr>
          <w:sz w:val="20"/>
          <w:szCs w:val="20"/>
          <w:color w:val="auto"/>
        </w:rPr>
      </w:pPr>
    </w:p>
    <w:p>
      <w:pPr>
        <w:ind w:right="260"/>
        <w:spacing w:after="0" w:line="326" w:lineRule="auto"/>
        <w:rPr>
          <w:rFonts w:ascii="Arial" w:cs="Arial" w:eastAsia="Arial" w:hAnsi="Arial"/>
          <w:sz w:val="10"/>
          <w:szCs w:val="10"/>
          <w:u w:val="single" w:color="auto"/>
          <w:color w:val="0000FF"/>
        </w:rPr>
      </w:pPr>
      <w:hyperlink r:id="rId89">
        <w:r>
          <w:rPr>
            <w:rFonts w:ascii="Arial" w:cs="Arial" w:eastAsia="Arial" w:hAnsi="Arial"/>
            <w:sz w:val="10"/>
            <w:szCs w:val="10"/>
            <w:u w:val="single" w:color="auto"/>
            <w:color w:val="0000FF"/>
          </w:rPr>
          <w:t>Fourth Supplemental Indenture, dated as of August 30, 2018, among NRG Yield Operating LLC, the guarantors named therein and</w:t>
        </w:r>
      </w:hyperlink>
      <w:r>
        <w:rPr>
          <w:rFonts w:ascii="Arial" w:cs="Arial" w:eastAsia="Arial" w:hAnsi="Arial"/>
          <w:sz w:val="10"/>
          <w:szCs w:val="10"/>
          <w:u w:val="single" w:color="auto"/>
          <w:color w:val="0000FF"/>
        </w:rPr>
        <w:t xml:space="preserve"> </w:t>
      </w:r>
      <w:hyperlink r:id="rId89">
        <w:r>
          <w:rPr>
            <w:rFonts w:ascii="Arial" w:cs="Arial" w:eastAsia="Arial" w:hAnsi="Arial"/>
            <w:sz w:val="10"/>
            <w:szCs w:val="10"/>
            <w:u w:val="single" w:color="auto"/>
            <w:color w:val="0000FF"/>
          </w:rPr>
          <w:t>Delaware Trust Company (as successor in interest to Law Debenture Trust Company of New York).</w:t>
        </w:r>
      </w:hyperlink>
    </w:p>
    <w:p>
      <w:pPr>
        <w:spacing w:after="0" w:line="345" w:lineRule="exact"/>
        <w:rPr>
          <w:sz w:val="20"/>
          <w:szCs w:val="20"/>
          <w:color w:val="auto"/>
        </w:rPr>
      </w:pPr>
    </w:p>
    <w:p>
      <w:pPr>
        <w:ind w:right="20"/>
        <w:spacing w:after="0" w:line="274" w:lineRule="auto"/>
        <w:rPr>
          <w:rFonts w:ascii="Arial" w:cs="Arial" w:eastAsia="Arial" w:hAnsi="Arial"/>
          <w:sz w:val="11"/>
          <w:szCs w:val="11"/>
          <w:u w:val="single" w:color="auto"/>
          <w:color w:val="0000FF"/>
        </w:rPr>
      </w:pPr>
      <w:hyperlink r:id="rId90">
        <w:r>
          <w:rPr>
            <w:rFonts w:ascii="Arial" w:cs="Arial" w:eastAsia="Arial" w:hAnsi="Arial"/>
            <w:sz w:val="11"/>
            <w:szCs w:val="11"/>
            <w:u w:val="single" w:color="auto"/>
            <w:color w:val="0000FF"/>
          </w:rPr>
          <w:t>Indenture, dated October 1, 2018, among Clearway Energy Operating LLC, the guarantors named therein and Delaware Trust Company,</w:t>
        </w:r>
      </w:hyperlink>
      <w:r>
        <w:rPr>
          <w:rFonts w:ascii="Arial" w:cs="Arial" w:eastAsia="Arial" w:hAnsi="Arial"/>
          <w:sz w:val="11"/>
          <w:szCs w:val="11"/>
          <w:u w:val="single" w:color="auto"/>
          <w:color w:val="0000FF"/>
        </w:rPr>
        <w:t xml:space="preserve"> </w:t>
      </w:r>
      <w:hyperlink r:id="rId90">
        <w:r>
          <w:rPr>
            <w:rFonts w:ascii="Arial" w:cs="Arial" w:eastAsia="Arial" w:hAnsi="Arial"/>
            <w:sz w:val="11"/>
            <w:szCs w:val="11"/>
            <w:u w:val="single" w:color="auto"/>
            <w:color w:val="0000FF"/>
          </w:rPr>
          <w:t>as trustee.</w:t>
        </w:r>
      </w:hyperlink>
    </w:p>
    <w:p>
      <w:pPr>
        <w:spacing w:after="0" w:line="126" w:lineRule="exact"/>
        <w:rPr>
          <w:sz w:val="20"/>
          <w:szCs w:val="20"/>
          <w:color w:val="auto"/>
        </w:rPr>
      </w:pPr>
    </w:p>
    <w:p>
      <w:pPr>
        <w:spacing w:after="0"/>
        <w:rPr>
          <w:rFonts w:ascii="Arial" w:cs="Arial" w:eastAsia="Arial" w:hAnsi="Arial"/>
          <w:sz w:val="11"/>
          <w:szCs w:val="11"/>
          <w:u w:val="single" w:color="auto"/>
          <w:color w:val="0000FF"/>
        </w:rPr>
      </w:pPr>
      <w:hyperlink r:id="rId91">
        <w:r>
          <w:rPr>
            <w:rFonts w:ascii="Arial" w:cs="Arial" w:eastAsia="Arial" w:hAnsi="Arial"/>
            <w:sz w:val="11"/>
            <w:szCs w:val="11"/>
            <w:u w:val="single" w:color="auto"/>
            <w:color w:val="0000FF"/>
          </w:rPr>
          <w:t>Form of 5.750% Senior Notes due 2025.</w:t>
        </w:r>
      </w:hyperlink>
    </w:p>
    <w:p>
      <w:pPr>
        <w:spacing w:after="0" w:line="288" w:lineRule="exact"/>
        <w:rPr>
          <w:sz w:val="20"/>
          <w:szCs w:val="20"/>
          <w:color w:val="auto"/>
        </w:rPr>
      </w:pPr>
    </w:p>
    <w:p>
      <w:pPr>
        <w:ind w:right="20"/>
        <w:spacing w:after="0" w:line="274" w:lineRule="auto"/>
        <w:rPr>
          <w:rFonts w:ascii="Arial" w:cs="Arial" w:eastAsia="Arial" w:hAnsi="Arial"/>
          <w:sz w:val="11"/>
          <w:szCs w:val="11"/>
          <w:u w:val="single" w:color="auto"/>
          <w:color w:val="0000FF"/>
        </w:rPr>
      </w:pPr>
      <w:hyperlink r:id="rId92">
        <w:r>
          <w:rPr>
            <w:rFonts w:ascii="Arial" w:cs="Arial" w:eastAsia="Arial" w:hAnsi="Arial"/>
            <w:sz w:val="11"/>
            <w:szCs w:val="11"/>
            <w:u w:val="single" w:color="auto"/>
            <w:color w:val="0000FF"/>
          </w:rPr>
          <w:t>Registration Rights Agreement, dated October 1, 2018, among Clearway Energy Operating LLC, the guarantors named therein and RBC</w:t>
        </w:r>
      </w:hyperlink>
      <w:r>
        <w:rPr>
          <w:rFonts w:ascii="Arial" w:cs="Arial" w:eastAsia="Arial" w:hAnsi="Arial"/>
          <w:sz w:val="11"/>
          <w:szCs w:val="11"/>
          <w:u w:val="single" w:color="auto"/>
          <w:color w:val="0000FF"/>
        </w:rPr>
        <w:t xml:space="preserve"> </w:t>
      </w:r>
      <w:hyperlink r:id="rId92">
        <w:r>
          <w:rPr>
            <w:rFonts w:ascii="Arial" w:cs="Arial" w:eastAsia="Arial" w:hAnsi="Arial"/>
            <w:sz w:val="11"/>
            <w:szCs w:val="11"/>
            <w:u w:val="single" w:color="auto"/>
            <w:color w:val="0000FF"/>
          </w:rPr>
          <w:t>Capital Markets, LLC, as representative of the initial purchasers.</w:t>
        </w:r>
      </w:hyperlink>
    </w:p>
    <w:p>
      <w:pPr>
        <w:spacing w:after="0" w:line="126" w:lineRule="exact"/>
        <w:rPr>
          <w:sz w:val="20"/>
          <w:szCs w:val="20"/>
          <w:color w:val="auto"/>
        </w:rPr>
      </w:pPr>
    </w:p>
    <w:p>
      <w:pPr>
        <w:spacing w:after="0" w:line="274" w:lineRule="auto"/>
        <w:rPr>
          <w:rFonts w:ascii="Arial" w:cs="Arial" w:eastAsia="Arial" w:hAnsi="Arial"/>
          <w:sz w:val="11"/>
          <w:szCs w:val="11"/>
          <w:u w:val="single" w:color="auto"/>
          <w:color w:val="0000FF"/>
        </w:rPr>
      </w:pPr>
      <w:hyperlink r:id="rId93">
        <w:r>
          <w:rPr>
            <w:rFonts w:ascii="Arial" w:cs="Arial" w:eastAsia="Arial" w:hAnsi="Arial"/>
            <w:sz w:val="11"/>
            <w:szCs w:val="11"/>
            <w:u w:val="single" w:color="auto"/>
            <w:color w:val="0000FF"/>
          </w:rPr>
          <w:t>Ninth Supplemental Indenture, dated as of October 25, 2018, among Clearway Energy Operating LLC, the guarantors named therein and</w:t>
        </w:r>
      </w:hyperlink>
      <w:r>
        <w:rPr>
          <w:rFonts w:ascii="Arial" w:cs="Arial" w:eastAsia="Arial" w:hAnsi="Arial"/>
          <w:sz w:val="11"/>
          <w:szCs w:val="11"/>
          <w:u w:val="single" w:color="auto"/>
          <w:color w:val="0000FF"/>
        </w:rPr>
        <w:t xml:space="preserve"> </w:t>
      </w:r>
      <w:hyperlink r:id="rId93">
        <w:r>
          <w:rPr>
            <w:rFonts w:ascii="Arial" w:cs="Arial" w:eastAsia="Arial" w:hAnsi="Arial"/>
            <w:sz w:val="11"/>
            <w:szCs w:val="11"/>
            <w:u w:val="single" w:color="auto"/>
            <w:color w:val="0000FF"/>
          </w:rPr>
          <w:t>Delaware Trust Company (as successor in interest to Law Debenture Trust Company of New York).</w:t>
        </w:r>
      </w:hyperlink>
    </w:p>
    <w:p>
      <w:pPr>
        <w:spacing w:after="0" w:line="126" w:lineRule="exact"/>
        <w:rPr>
          <w:sz w:val="20"/>
          <w:szCs w:val="20"/>
          <w:color w:val="auto"/>
        </w:rPr>
      </w:pPr>
    </w:p>
    <w:p>
      <w:pPr>
        <w:ind w:right="40"/>
        <w:spacing w:after="0" w:line="274" w:lineRule="auto"/>
        <w:rPr>
          <w:rFonts w:ascii="Arial" w:cs="Arial" w:eastAsia="Arial" w:hAnsi="Arial"/>
          <w:sz w:val="11"/>
          <w:szCs w:val="11"/>
          <w:u w:val="single" w:color="auto"/>
          <w:color w:val="0000FF"/>
        </w:rPr>
      </w:pPr>
      <w:hyperlink r:id="rId94">
        <w:r>
          <w:rPr>
            <w:rFonts w:ascii="Arial" w:cs="Arial" w:eastAsia="Arial" w:hAnsi="Arial"/>
            <w:sz w:val="11"/>
            <w:szCs w:val="11"/>
            <w:u w:val="single" w:color="auto"/>
            <w:color w:val="0000FF"/>
          </w:rPr>
          <w:t>Fifth Supplemental Indenture, dated as of October 25, 2018, among Clearway Energy Operating LLC, the guarantors named therein and</w:t>
        </w:r>
      </w:hyperlink>
      <w:r>
        <w:rPr>
          <w:rFonts w:ascii="Arial" w:cs="Arial" w:eastAsia="Arial" w:hAnsi="Arial"/>
          <w:sz w:val="11"/>
          <w:szCs w:val="11"/>
          <w:u w:val="single" w:color="auto"/>
          <w:color w:val="0000FF"/>
        </w:rPr>
        <w:t xml:space="preserve"> </w:t>
      </w:r>
      <w:hyperlink r:id="rId94">
        <w:r>
          <w:rPr>
            <w:rFonts w:ascii="Arial" w:cs="Arial" w:eastAsia="Arial" w:hAnsi="Arial"/>
            <w:sz w:val="11"/>
            <w:szCs w:val="11"/>
            <w:u w:val="single" w:color="auto"/>
            <w:color w:val="0000FF"/>
          </w:rPr>
          <w:t>Delaware Trust Company (as successor in interest to Law Debenture Trust Company of New York).</w:t>
        </w:r>
      </w:hyperlink>
    </w:p>
    <w:p>
      <w:pPr>
        <w:spacing w:after="0" w:line="261" w:lineRule="exact"/>
        <w:rPr>
          <w:sz w:val="20"/>
          <w:szCs w:val="20"/>
          <w:color w:val="auto"/>
        </w:rPr>
      </w:pPr>
    </w:p>
    <w:p>
      <w:pPr>
        <w:ind w:right="40"/>
        <w:spacing w:after="0" w:line="274" w:lineRule="auto"/>
        <w:rPr>
          <w:rFonts w:ascii="Arial" w:cs="Arial" w:eastAsia="Arial" w:hAnsi="Arial"/>
          <w:sz w:val="11"/>
          <w:szCs w:val="11"/>
          <w:u w:val="single" w:color="auto"/>
          <w:color w:val="0000FF"/>
        </w:rPr>
      </w:pPr>
      <w:hyperlink r:id="rId95">
        <w:r>
          <w:rPr>
            <w:rFonts w:ascii="Arial" w:cs="Arial" w:eastAsia="Arial" w:hAnsi="Arial"/>
            <w:sz w:val="11"/>
            <w:szCs w:val="11"/>
            <w:u w:val="single" w:color="auto"/>
            <w:color w:val="0000FF"/>
          </w:rPr>
          <w:t>First Supplemental Indenture, dated as of October 25, 2018, among Clearway Energy Operating LLC, the guarantors named therein and</w:t>
        </w:r>
      </w:hyperlink>
      <w:r>
        <w:rPr>
          <w:rFonts w:ascii="Arial" w:cs="Arial" w:eastAsia="Arial" w:hAnsi="Arial"/>
          <w:sz w:val="11"/>
          <w:szCs w:val="11"/>
          <w:u w:val="single" w:color="auto"/>
          <w:color w:val="0000FF"/>
        </w:rPr>
        <w:t xml:space="preserve"> </w:t>
      </w:r>
      <w:hyperlink r:id="rId95">
        <w:r>
          <w:rPr>
            <w:rFonts w:ascii="Arial" w:cs="Arial" w:eastAsia="Arial" w:hAnsi="Arial"/>
            <w:sz w:val="11"/>
            <w:szCs w:val="11"/>
            <w:u w:val="single" w:color="auto"/>
            <w:color w:val="0000FF"/>
          </w:rPr>
          <w:t>Delaware Trust Company.</w:t>
        </w:r>
      </w:hyperlink>
    </w:p>
    <w:p>
      <w:pPr>
        <w:spacing w:after="0" w:line="207" w:lineRule="exact"/>
        <w:rPr>
          <w:sz w:val="20"/>
          <w:szCs w:val="20"/>
          <w:color w:val="auto"/>
        </w:rPr>
      </w:pPr>
    </w:p>
    <w:p>
      <w:pPr>
        <w:ind w:right="140"/>
        <w:spacing w:after="0" w:line="326" w:lineRule="auto"/>
        <w:rPr>
          <w:rFonts w:ascii="Arial" w:cs="Arial" w:eastAsia="Arial" w:hAnsi="Arial"/>
          <w:sz w:val="10"/>
          <w:szCs w:val="10"/>
          <w:u w:val="single" w:color="auto"/>
          <w:color w:val="0000FF"/>
        </w:rPr>
      </w:pPr>
      <w:hyperlink r:id="rId96">
        <w:r>
          <w:rPr>
            <w:rFonts w:ascii="Arial" w:cs="Arial" w:eastAsia="Arial" w:hAnsi="Arial"/>
            <w:sz w:val="10"/>
            <w:szCs w:val="10"/>
            <w:u w:val="single" w:color="auto"/>
            <w:color w:val="0000FF"/>
          </w:rPr>
          <w:t>Tenth Supplemental Indenture, dated as of December 7, 2018, among Clearway Energy Operating LLC, the guarantors named therein</w:t>
        </w:r>
      </w:hyperlink>
      <w:r>
        <w:rPr>
          <w:rFonts w:ascii="Arial" w:cs="Arial" w:eastAsia="Arial" w:hAnsi="Arial"/>
          <w:sz w:val="10"/>
          <w:szCs w:val="10"/>
          <w:u w:val="single" w:color="auto"/>
          <w:color w:val="0000FF"/>
        </w:rPr>
        <w:t xml:space="preserve"> </w:t>
      </w:r>
      <w:hyperlink r:id="rId96">
        <w:r>
          <w:rPr>
            <w:rFonts w:ascii="Arial" w:cs="Arial" w:eastAsia="Arial" w:hAnsi="Arial"/>
            <w:sz w:val="10"/>
            <w:szCs w:val="10"/>
            <w:u w:val="single" w:color="auto"/>
            <w:color w:val="0000FF"/>
          </w:rPr>
          <w:t>and Delaware Trust Company (as successor in interest to Law Debenture Trust Company of New York).</w:t>
        </w:r>
      </w:hyperlink>
    </w:p>
    <w:p>
      <w:pPr>
        <w:spacing w:after="0" w:line="156" w:lineRule="exact"/>
        <w:rPr>
          <w:sz w:val="20"/>
          <w:szCs w:val="20"/>
          <w:color w:val="auto"/>
        </w:rPr>
      </w:pPr>
    </w:p>
    <w:p>
      <w:pPr>
        <w:ind w:right="160"/>
        <w:spacing w:after="0" w:line="326" w:lineRule="auto"/>
        <w:rPr>
          <w:rFonts w:ascii="Arial" w:cs="Arial" w:eastAsia="Arial" w:hAnsi="Arial"/>
          <w:sz w:val="10"/>
          <w:szCs w:val="10"/>
          <w:u w:val="single" w:color="auto"/>
          <w:color w:val="0000FF"/>
        </w:rPr>
      </w:pPr>
      <w:hyperlink r:id="rId97">
        <w:r>
          <w:rPr>
            <w:rFonts w:ascii="Arial" w:cs="Arial" w:eastAsia="Arial" w:hAnsi="Arial"/>
            <w:sz w:val="10"/>
            <w:szCs w:val="10"/>
            <w:u w:val="single" w:color="auto"/>
            <w:color w:val="0000FF"/>
          </w:rPr>
          <w:t>Sixth Supplemental Indenture, dated as of December 7, 2018, among Clearway Energy Operating LLC, the guarantors named therein</w:t>
        </w:r>
      </w:hyperlink>
      <w:r>
        <w:rPr>
          <w:rFonts w:ascii="Arial" w:cs="Arial" w:eastAsia="Arial" w:hAnsi="Arial"/>
          <w:sz w:val="10"/>
          <w:szCs w:val="10"/>
          <w:u w:val="single" w:color="auto"/>
          <w:color w:val="0000FF"/>
        </w:rPr>
        <w:t xml:space="preserve"> </w:t>
      </w:r>
      <w:hyperlink r:id="rId97">
        <w:r>
          <w:rPr>
            <w:rFonts w:ascii="Arial" w:cs="Arial" w:eastAsia="Arial" w:hAnsi="Arial"/>
            <w:sz w:val="10"/>
            <w:szCs w:val="10"/>
            <w:u w:val="single" w:color="auto"/>
            <w:color w:val="0000FF"/>
          </w:rPr>
          <w:t>and Delaware Trust Company (as successor in interest to Law Debenture Trust Company of New York).</w:t>
        </w:r>
      </w:hyperlink>
    </w:p>
    <w:p>
      <w:pPr>
        <w:spacing w:after="0" w:line="102" w:lineRule="exact"/>
        <w:rPr>
          <w:sz w:val="20"/>
          <w:szCs w:val="20"/>
          <w:color w:val="auto"/>
        </w:rPr>
      </w:pPr>
    </w:p>
    <w:p>
      <w:pPr>
        <w:ind w:right="80"/>
        <w:spacing w:after="0" w:line="274" w:lineRule="auto"/>
        <w:rPr>
          <w:rFonts w:ascii="Arial" w:cs="Arial" w:eastAsia="Arial" w:hAnsi="Arial"/>
          <w:sz w:val="11"/>
          <w:szCs w:val="11"/>
          <w:u w:val="single" w:color="auto"/>
          <w:color w:val="0000FF"/>
        </w:rPr>
      </w:pPr>
      <w:hyperlink r:id="rId98">
        <w:r>
          <w:rPr>
            <w:rFonts w:ascii="Arial" w:cs="Arial" w:eastAsia="Arial" w:hAnsi="Arial"/>
            <w:sz w:val="11"/>
            <w:szCs w:val="11"/>
            <w:u w:val="single" w:color="auto"/>
            <w:color w:val="0000FF"/>
          </w:rPr>
          <w:t>Second Supplemental Indenture, dated as of December 7, 2018, among Clearway Energy Operating LLC, the guarantors named therein</w:t>
        </w:r>
      </w:hyperlink>
      <w:r>
        <w:rPr>
          <w:rFonts w:ascii="Arial" w:cs="Arial" w:eastAsia="Arial" w:hAnsi="Arial"/>
          <w:sz w:val="11"/>
          <w:szCs w:val="11"/>
          <w:u w:val="single" w:color="auto"/>
          <w:color w:val="0000FF"/>
        </w:rPr>
        <w:t xml:space="preserve"> </w:t>
      </w:r>
      <w:hyperlink r:id="rId98">
        <w:r>
          <w:rPr>
            <w:rFonts w:ascii="Arial" w:cs="Arial" w:eastAsia="Arial" w:hAnsi="Arial"/>
            <w:sz w:val="11"/>
            <w:szCs w:val="11"/>
            <w:u w:val="single" w:color="auto"/>
            <w:color w:val="0000FF"/>
          </w:rPr>
          <w:t>and Delaware Trust Company.</w:t>
        </w:r>
      </w:hyperlink>
    </w:p>
    <w:p>
      <w:pPr>
        <w:spacing w:after="0" w:line="369" w:lineRule="exact"/>
        <w:rPr>
          <w:sz w:val="20"/>
          <w:szCs w:val="20"/>
          <w:color w:val="auto"/>
        </w:rPr>
      </w:pPr>
    </w:p>
    <w:p>
      <w:pPr>
        <w:ind w:right="40"/>
        <w:spacing w:after="0" w:line="274" w:lineRule="auto"/>
        <w:rPr>
          <w:rFonts w:ascii="Arial" w:cs="Arial" w:eastAsia="Arial" w:hAnsi="Arial"/>
          <w:sz w:val="11"/>
          <w:szCs w:val="11"/>
          <w:u w:val="single" w:color="auto"/>
          <w:color w:val="0000FF"/>
        </w:rPr>
      </w:pPr>
      <w:hyperlink r:id="rId99">
        <w:r>
          <w:rPr>
            <w:rFonts w:ascii="Arial" w:cs="Arial" w:eastAsia="Arial" w:hAnsi="Arial"/>
            <w:sz w:val="11"/>
            <w:szCs w:val="11"/>
            <w:u w:val="single" w:color="auto"/>
            <w:color w:val="0000FF"/>
          </w:rPr>
          <w:t>Master Services Agreement, dated as of August 31, 2018, by and among NRG Yield, Inc., NRG Yield LLC, NRG Yield Operating LLC</w:t>
        </w:r>
      </w:hyperlink>
      <w:r>
        <w:rPr>
          <w:rFonts w:ascii="Arial" w:cs="Arial" w:eastAsia="Arial" w:hAnsi="Arial"/>
          <w:sz w:val="11"/>
          <w:szCs w:val="11"/>
          <w:u w:val="single" w:color="auto"/>
          <w:color w:val="0000FF"/>
        </w:rPr>
        <w:t xml:space="preserve"> </w:t>
      </w:r>
      <w:hyperlink r:id="rId99">
        <w:r>
          <w:rPr>
            <w:rFonts w:ascii="Arial" w:cs="Arial" w:eastAsia="Arial" w:hAnsi="Arial"/>
            <w:sz w:val="11"/>
            <w:szCs w:val="11"/>
            <w:u w:val="single" w:color="auto"/>
            <w:color w:val="0000FF"/>
          </w:rPr>
          <w:t>and Zephyr Renewables LLC.</w:t>
        </w:r>
      </w:hyperlink>
    </w:p>
    <w:p>
      <w:pPr>
        <w:spacing w:after="0" w:line="126" w:lineRule="exact"/>
        <w:rPr>
          <w:sz w:val="20"/>
          <w:szCs w:val="20"/>
          <w:color w:val="auto"/>
        </w:rPr>
      </w:pPr>
    </w:p>
    <w:p>
      <w:pPr>
        <w:ind w:right="100"/>
        <w:spacing w:after="0" w:line="274" w:lineRule="auto"/>
        <w:rPr>
          <w:rFonts w:ascii="Arial" w:cs="Arial" w:eastAsia="Arial" w:hAnsi="Arial"/>
          <w:sz w:val="11"/>
          <w:szCs w:val="11"/>
          <w:u w:val="single" w:color="auto"/>
          <w:color w:val="0000FF"/>
        </w:rPr>
      </w:pPr>
      <w:hyperlink r:id="rId100">
        <w:r>
          <w:rPr>
            <w:rFonts w:ascii="Arial" w:cs="Arial" w:eastAsia="Arial" w:hAnsi="Arial"/>
            <w:sz w:val="11"/>
            <w:szCs w:val="11"/>
            <w:u w:val="single" w:color="auto"/>
            <w:color w:val="0000FF"/>
          </w:rPr>
          <w:t>Master Services Agreement, dated as of August 31, 2018, by and among Zephyr Renewables LLC, NRG Yield, Inc., NRG Yield LLC,</w:t>
        </w:r>
      </w:hyperlink>
      <w:r>
        <w:rPr>
          <w:rFonts w:ascii="Arial" w:cs="Arial" w:eastAsia="Arial" w:hAnsi="Arial"/>
          <w:sz w:val="11"/>
          <w:szCs w:val="11"/>
          <w:u w:val="single" w:color="auto"/>
          <w:color w:val="0000FF"/>
        </w:rPr>
        <w:t xml:space="preserve"> </w:t>
      </w:r>
      <w:hyperlink r:id="rId100">
        <w:r>
          <w:rPr>
            <w:rFonts w:ascii="Arial" w:cs="Arial" w:eastAsia="Arial" w:hAnsi="Arial"/>
            <w:sz w:val="11"/>
            <w:szCs w:val="11"/>
            <w:u w:val="single" w:color="auto"/>
            <w:color w:val="0000FF"/>
          </w:rPr>
          <w:t>and NRG Yield Operating LLC.</w:t>
        </w:r>
      </w:hyperlink>
    </w:p>
    <w:p>
      <w:pPr>
        <w:spacing w:after="0" w:line="126" w:lineRule="exact"/>
        <w:rPr>
          <w:sz w:val="20"/>
          <w:szCs w:val="20"/>
          <w:color w:val="auto"/>
        </w:rPr>
      </w:pPr>
    </w:p>
    <w:p>
      <w:pPr>
        <w:ind w:right="140"/>
        <w:spacing w:after="0" w:line="274" w:lineRule="auto"/>
        <w:rPr>
          <w:rFonts w:ascii="Arial" w:cs="Arial" w:eastAsia="Arial" w:hAnsi="Arial"/>
          <w:sz w:val="11"/>
          <w:szCs w:val="11"/>
          <w:u w:val="single" w:color="auto"/>
          <w:color w:val="0000FF"/>
        </w:rPr>
      </w:pPr>
      <w:hyperlink r:id="rId101">
        <w:r>
          <w:rPr>
            <w:rFonts w:ascii="Arial" w:cs="Arial" w:eastAsia="Arial" w:hAnsi="Arial"/>
            <w:sz w:val="11"/>
            <w:szCs w:val="11"/>
            <w:u w:val="single" w:color="auto"/>
            <w:color w:val="0000FF"/>
          </w:rPr>
          <w:t>Right of First Offer Agreement, dated as of August 31, 2018, by and among NRG Yield, Inc., Zephyr Renewables LLC and solely for</w:t>
        </w:r>
      </w:hyperlink>
      <w:r>
        <w:rPr>
          <w:rFonts w:ascii="Arial" w:cs="Arial" w:eastAsia="Arial" w:hAnsi="Arial"/>
          <w:sz w:val="11"/>
          <w:szCs w:val="11"/>
          <w:u w:val="single" w:color="auto"/>
          <w:color w:val="0000FF"/>
        </w:rPr>
        <w:t xml:space="preserve"> </w:t>
      </w:r>
      <w:hyperlink r:id="rId101">
        <w:r>
          <w:rPr>
            <w:rFonts w:ascii="Arial" w:cs="Arial" w:eastAsia="Arial" w:hAnsi="Arial"/>
            <w:sz w:val="11"/>
            <w:szCs w:val="11"/>
            <w:u w:val="single" w:color="auto"/>
            <w:color w:val="0000FF"/>
          </w:rPr>
          <w:t>purposes of Section 2.4, GIP III Zephyr Acquisition Partners, L.P.</w:t>
        </w:r>
      </w:hyperlink>
    </w:p>
    <w:p>
      <w:pPr>
        <w:spacing w:after="0" w:line="71" w:lineRule="exact"/>
        <w:rPr>
          <w:sz w:val="20"/>
          <w:szCs w:val="20"/>
          <w:color w:val="auto"/>
        </w:rPr>
      </w:pPr>
    </w:p>
    <w:p>
      <w:pPr>
        <w:ind w:right="340"/>
        <w:spacing w:after="0" w:line="274" w:lineRule="auto"/>
        <w:rPr>
          <w:rFonts w:ascii="Arial" w:cs="Arial" w:eastAsia="Arial" w:hAnsi="Arial"/>
          <w:sz w:val="11"/>
          <w:szCs w:val="11"/>
          <w:u w:val="single" w:color="auto"/>
          <w:color w:val="0000FF"/>
        </w:rPr>
      </w:pPr>
      <w:hyperlink r:id="rId102">
        <w:r>
          <w:rPr>
            <w:rFonts w:ascii="Arial" w:cs="Arial" w:eastAsia="Arial" w:hAnsi="Arial"/>
            <w:sz w:val="11"/>
            <w:szCs w:val="11"/>
            <w:u w:val="single" w:color="auto"/>
            <w:color w:val="0000FF"/>
          </w:rPr>
          <w:t>First Amendment to Right of First Offer Agreement, dated February 14, 2019, by and between Clearway Energy Group LLC and</w:t>
        </w:r>
      </w:hyperlink>
      <w:r>
        <w:rPr>
          <w:rFonts w:ascii="Arial" w:cs="Arial" w:eastAsia="Arial" w:hAnsi="Arial"/>
          <w:sz w:val="11"/>
          <w:szCs w:val="11"/>
          <w:u w:val="single" w:color="auto"/>
          <w:color w:val="0000FF"/>
        </w:rPr>
        <w:t xml:space="preserve"> </w:t>
      </w:r>
      <w:hyperlink r:id="rId102">
        <w:r>
          <w:rPr>
            <w:rFonts w:ascii="Arial" w:cs="Arial" w:eastAsia="Arial" w:hAnsi="Arial"/>
            <w:sz w:val="11"/>
            <w:szCs w:val="11"/>
            <w:u w:val="single" w:color="auto"/>
            <w:color w:val="0000FF"/>
          </w:rPr>
          <w:t>Clearway Energy, Inc.</w:t>
        </w:r>
      </w:hyperlink>
    </w:p>
    <w:p>
      <w:pPr>
        <w:spacing w:after="0" w:line="180" w:lineRule="exact"/>
        <w:rPr>
          <w:sz w:val="20"/>
          <w:szCs w:val="20"/>
          <w:color w:val="auto"/>
        </w:rPr>
      </w:pPr>
    </w:p>
    <w:p>
      <w:pPr>
        <w:spacing w:after="0"/>
        <w:rPr>
          <w:rFonts w:ascii="Arial" w:cs="Arial" w:eastAsia="Arial" w:hAnsi="Arial"/>
          <w:sz w:val="9"/>
          <w:szCs w:val="9"/>
          <w:u w:val="single" w:color="auto"/>
          <w:color w:val="0000FF"/>
        </w:rPr>
      </w:pPr>
      <w:hyperlink r:id="rId103">
        <w:r>
          <w:rPr>
            <w:rFonts w:ascii="Arial" w:cs="Arial" w:eastAsia="Arial" w:hAnsi="Arial"/>
            <w:sz w:val="9"/>
            <w:szCs w:val="9"/>
            <w:u w:val="single" w:color="auto"/>
            <w:color w:val="0000FF"/>
          </w:rPr>
          <w:t>Zephyr Voting and Governance Agreement, dated as of August 31, 2018, by and between NRG Yield, Inc. and Zephyr Renewables LLC.</w:t>
        </w:r>
      </w:hyperlink>
    </w:p>
    <w:p>
      <w:pPr>
        <w:spacing w:after="0" w:line="397"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74" w:lineRule="auto"/>
        <w:rPr>
          <w:sz w:val="20"/>
          <w:szCs w:val="20"/>
          <w:color w:val="auto"/>
        </w:rPr>
      </w:pPr>
      <w:r>
        <w:rPr>
          <w:rFonts w:ascii="Arial" w:cs="Arial" w:eastAsia="Arial" w:hAnsi="Arial"/>
          <w:sz w:val="11"/>
          <w:szCs w:val="11"/>
          <w:color w:val="auto"/>
        </w:rPr>
        <w:t>Incorporated herein by reference to Exhibit 4.4 to the Company's Quarterly Report on Form 10-Q filed on August 2, 2018.</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September 6, 2018.</w:t>
      </w:r>
    </w:p>
    <w:p>
      <w:pPr>
        <w:spacing w:after="0" w:line="369"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September 6, 2018.</w:t>
      </w:r>
    </w:p>
    <w:p>
      <w:pPr>
        <w:spacing w:after="0" w:line="369"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October 2, 2018.</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October 2, 2018.</w:t>
      </w:r>
    </w:p>
    <w:p>
      <w:pPr>
        <w:spacing w:after="0" w:line="71"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4.3 to the Company's Current Report on Form 8-K filed on October 2, 2018.</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October 31, 2018.</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October 31, 2018.</w:t>
      </w:r>
    </w:p>
    <w:p>
      <w:pPr>
        <w:spacing w:after="0" w:line="261"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4.3 to the Company's Current Report on Form 8-K filed on October 31, 2018.</w:t>
      </w:r>
    </w:p>
    <w:p>
      <w:pPr>
        <w:spacing w:after="0" w:line="261"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4.1 to the Company's Current Report on Form 8-K filed on December 12, 2018.</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4.2 to the Company's Current Report on Form 8-K filed on December 12, 2018.</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4.3 to the Company's Current Report on Form 8-K filed on December 12, 2018.</w:t>
      </w:r>
    </w:p>
    <w:p>
      <w:pPr>
        <w:spacing w:after="0" w:line="369"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September 5, 2018.</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10.2 to the Company's Current Report on Form 8-K filed on September 5, 2018.</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10.3 to the Company's Current Report on Form 8-K filed on September 5, 2018.</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February 14, 2019.</w:t>
      </w:r>
    </w:p>
    <w:p>
      <w:pPr>
        <w:spacing w:after="0" w:line="126" w:lineRule="exact"/>
        <w:rPr>
          <w:sz w:val="20"/>
          <w:szCs w:val="20"/>
          <w:color w:val="auto"/>
        </w:rPr>
      </w:pPr>
    </w:p>
    <w:p>
      <w:pPr>
        <w:ind w:right="180"/>
        <w:spacing w:after="0" w:line="274" w:lineRule="auto"/>
        <w:rPr>
          <w:sz w:val="20"/>
          <w:szCs w:val="20"/>
          <w:color w:val="auto"/>
        </w:rPr>
      </w:pPr>
      <w:r>
        <w:rPr>
          <w:rFonts w:ascii="Arial" w:cs="Arial" w:eastAsia="Arial" w:hAnsi="Arial"/>
          <w:sz w:val="11"/>
          <w:szCs w:val="11"/>
          <w:color w:val="auto"/>
        </w:rPr>
        <w:t>Incorporated herein by reference to Exhibit 10.4 to the Company's Current Report on Form 8-K filed on September 5, 2018.</w:t>
      </w:r>
    </w:p>
    <w:p>
      <w:pPr>
        <w:sectPr>
          <w:pgSz w:w="11900" w:h="16838" w:orient="portrait"/>
          <w:cols w:equalWidth="0" w:num="3">
            <w:col w:w="320" w:space="720"/>
            <w:col w:w="5920" w:space="160"/>
            <w:col w:w="4300"/>
          </w:cols>
          <w:pgMar w:left="240" w:top="630"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36"/>
        </w:trPr>
        <w:tc>
          <w:tcPr>
            <w:tcW w:w="1040" w:type="dxa"/>
            <w:vAlign w:val="bottom"/>
          </w:tcPr>
          <w:p>
            <w:pPr>
              <w:spacing w:after="0"/>
              <w:rPr>
                <w:sz w:val="20"/>
                <w:szCs w:val="20"/>
                <w:color w:val="auto"/>
              </w:rPr>
            </w:pPr>
            <w:r>
              <w:rPr>
                <w:rFonts w:ascii="Arial" w:cs="Arial" w:eastAsia="Arial" w:hAnsi="Arial"/>
                <w:sz w:val="11"/>
                <w:szCs w:val="11"/>
                <w:color w:val="auto"/>
              </w:rPr>
              <w:t>10.5</w:t>
            </w:r>
          </w:p>
        </w:tc>
        <w:tc>
          <w:tcPr>
            <w:tcW w:w="5820" w:type="dxa"/>
            <w:vAlign w:val="bottom"/>
            <w:gridSpan w:val="19"/>
            <w:vMerge w:val="restart"/>
          </w:tcPr>
          <w:p>
            <w:pPr>
              <w:spacing w:after="0"/>
              <w:rPr>
                <w:rFonts w:ascii="Arial" w:cs="Arial" w:eastAsia="Arial" w:hAnsi="Arial"/>
                <w:sz w:val="11"/>
                <w:szCs w:val="11"/>
                <w:color w:val="0000FF"/>
                <w:w w:val="89"/>
              </w:rPr>
            </w:pPr>
            <w:hyperlink r:id="rId104">
              <w:r>
                <w:rPr>
                  <w:rFonts w:ascii="Arial" w:cs="Arial" w:eastAsia="Arial" w:hAnsi="Arial"/>
                  <w:sz w:val="11"/>
                  <w:szCs w:val="11"/>
                  <w:color w:val="0000FF"/>
                  <w:w w:val="89"/>
                </w:rPr>
                <w:t>Third Amended and Restated Right of First Offer Agreement, dated as of August 31, 2018, by and between NRG Yield, Inc. and NRG</w:t>
              </w:r>
            </w:hyperlink>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40" w:type="dxa"/>
            <w:vAlign w:val="bottom"/>
          </w:tcPr>
          <w:p>
            <w:pPr>
              <w:spacing w:after="0"/>
              <w:rPr>
                <w:sz w:val="2"/>
                <w:szCs w:val="2"/>
                <w:color w:val="auto"/>
              </w:rPr>
            </w:pPr>
          </w:p>
        </w:tc>
        <w:tc>
          <w:tcPr>
            <w:tcW w:w="5820" w:type="dxa"/>
            <w:vAlign w:val="bottom"/>
            <w:tcBorders>
              <w:bottom w:val="single" w:sz="8" w:color="0000FF"/>
            </w:tcBorders>
            <w:gridSpan w:val="19"/>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20" w:type="dxa"/>
            <w:vAlign w:val="bottom"/>
            <w:tcBorders>
              <w:bottom w:val="single" w:sz="8" w:color="0000FF"/>
            </w:tcBorders>
            <w:gridSpan w:val="3"/>
          </w:tcPr>
          <w:p>
            <w:pPr>
              <w:spacing w:after="0" w:line="115" w:lineRule="exact"/>
              <w:rPr>
                <w:rFonts w:ascii="Arial" w:cs="Arial" w:eastAsia="Arial" w:hAnsi="Arial"/>
                <w:sz w:val="11"/>
                <w:szCs w:val="11"/>
                <w:color w:val="0000FF"/>
                <w:w w:val="85"/>
              </w:rPr>
            </w:pPr>
            <w:hyperlink r:id="rId104">
              <w:r>
                <w:rPr>
                  <w:rFonts w:ascii="Arial" w:cs="Arial" w:eastAsia="Arial" w:hAnsi="Arial"/>
                  <w:sz w:val="11"/>
                  <w:szCs w:val="11"/>
                  <w:color w:val="0000FF"/>
                  <w:w w:val="85"/>
                </w:rPr>
                <w:t>Energy, Inc.</w:t>
              </w:r>
            </w:hyperlink>
          </w:p>
        </w:tc>
        <w:tc>
          <w:tcPr>
            <w:tcW w:w="536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40" w:type="dxa"/>
            <w:vAlign w:val="bottom"/>
          </w:tcPr>
          <w:p>
            <w:pPr>
              <w:spacing w:after="0"/>
              <w:rPr>
                <w:sz w:val="20"/>
                <w:szCs w:val="20"/>
                <w:color w:val="auto"/>
              </w:rPr>
            </w:pPr>
            <w:r>
              <w:rPr>
                <w:rFonts w:ascii="Arial" w:cs="Arial" w:eastAsia="Arial" w:hAnsi="Arial"/>
                <w:sz w:val="11"/>
                <w:szCs w:val="11"/>
                <w:color w:val="auto"/>
              </w:rPr>
              <w:t>10.6</w:t>
            </w:r>
          </w:p>
        </w:tc>
        <w:tc>
          <w:tcPr>
            <w:tcW w:w="5880" w:type="dxa"/>
            <w:vAlign w:val="bottom"/>
            <w:gridSpan w:val="20"/>
          </w:tcPr>
          <w:p>
            <w:pPr>
              <w:spacing w:after="0"/>
              <w:rPr>
                <w:rFonts w:ascii="Arial" w:cs="Arial" w:eastAsia="Arial" w:hAnsi="Arial"/>
                <w:sz w:val="11"/>
                <w:szCs w:val="11"/>
                <w:color w:val="0000FF"/>
              </w:rPr>
            </w:pPr>
            <w:hyperlink r:id="rId105">
              <w:r>
                <w:rPr>
                  <w:rFonts w:ascii="Arial" w:cs="Arial" w:eastAsia="Arial" w:hAnsi="Arial"/>
                  <w:sz w:val="11"/>
                  <w:szCs w:val="11"/>
                  <w:color w:val="0000FF"/>
                </w:rPr>
                <w:t>Transition Services Agreement, dated August 31, 2018, by and between NRG Yield, Inc. and NRG Energy, Inc.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1"/>
                <w:szCs w:val="11"/>
                <w:color w:val="auto"/>
              </w:rPr>
              <w:t>10.7</w:t>
            </w: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040" w:type="dxa"/>
            <w:vAlign w:val="bottom"/>
            <w:vMerge w:val="continue"/>
          </w:tcPr>
          <w:p>
            <w:pPr>
              <w:spacing w:after="0"/>
              <w:rPr>
                <w:sz w:val="24"/>
                <w:szCs w:val="24"/>
                <w:color w:val="auto"/>
              </w:rPr>
            </w:pPr>
          </w:p>
        </w:tc>
        <w:tc>
          <w:tcPr>
            <w:tcW w:w="5880" w:type="dxa"/>
            <w:vAlign w:val="bottom"/>
            <w:gridSpan w:val="20"/>
            <w:vMerge w:val="restart"/>
          </w:tcPr>
          <w:p>
            <w:pPr>
              <w:spacing w:after="0"/>
              <w:rPr>
                <w:rFonts w:ascii="Arial" w:cs="Arial" w:eastAsia="Arial" w:hAnsi="Arial"/>
                <w:sz w:val="11"/>
                <w:szCs w:val="11"/>
                <w:color w:val="0000FF"/>
                <w:w w:val="90"/>
              </w:rPr>
            </w:pPr>
            <w:hyperlink r:id="rId106">
              <w:r>
                <w:rPr>
                  <w:rFonts w:ascii="Arial" w:cs="Arial" w:eastAsia="Arial" w:hAnsi="Arial"/>
                  <w:sz w:val="11"/>
                  <w:szCs w:val="11"/>
                  <w:color w:val="0000FF"/>
                  <w:w w:val="90"/>
                </w:rPr>
                <w:t>Termination Agreement, dated as of August 31, 2018, by and among NRG Yield, Inc., NRG Yield LLC, NRG Yield Operating LLC and</w:t>
              </w:r>
            </w:hyperlink>
          </w:p>
        </w:tc>
        <w:tc>
          <w:tcPr>
            <w:tcW w:w="0" w:type="dxa"/>
            <w:vAlign w:val="bottom"/>
          </w:tcPr>
          <w:p>
            <w:pPr>
              <w:spacing w:after="0"/>
              <w:rPr>
                <w:sz w:val="1"/>
                <w:szCs w:val="1"/>
                <w:color w:val="auto"/>
              </w:rPr>
            </w:pPr>
          </w:p>
        </w:tc>
      </w:tr>
      <w:tr>
        <w:trPr>
          <w:trHeight w:val="36"/>
        </w:trPr>
        <w:tc>
          <w:tcPr>
            <w:tcW w:w="1040" w:type="dxa"/>
            <w:vAlign w:val="bottom"/>
          </w:tcPr>
          <w:p>
            <w:pPr>
              <w:spacing w:after="0"/>
              <w:rPr>
                <w:sz w:val="2"/>
                <w:szCs w:val="2"/>
                <w:color w:val="auto"/>
              </w:rPr>
            </w:pPr>
          </w:p>
        </w:tc>
        <w:tc>
          <w:tcPr>
            <w:tcW w:w="5880" w:type="dxa"/>
            <w:vAlign w:val="bottom"/>
            <w:tcBorders>
              <w:bottom w:val="single" w:sz="8" w:color="0000FF"/>
            </w:tcBorders>
            <w:gridSpan w:val="20"/>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780" w:type="dxa"/>
            <w:vAlign w:val="bottom"/>
            <w:tcBorders>
              <w:bottom w:val="single" w:sz="8" w:color="0000FF"/>
            </w:tcBorders>
            <w:gridSpan w:val="4"/>
          </w:tcPr>
          <w:p>
            <w:pPr>
              <w:spacing w:after="0" w:line="115" w:lineRule="exact"/>
              <w:rPr>
                <w:rFonts w:ascii="Arial" w:cs="Arial" w:eastAsia="Arial" w:hAnsi="Arial"/>
                <w:sz w:val="11"/>
                <w:szCs w:val="11"/>
                <w:color w:val="0000FF"/>
                <w:w w:val="88"/>
              </w:rPr>
            </w:pPr>
            <w:hyperlink r:id="rId106">
              <w:r>
                <w:rPr>
                  <w:rFonts w:ascii="Arial" w:cs="Arial" w:eastAsia="Arial" w:hAnsi="Arial"/>
                  <w:sz w:val="11"/>
                  <w:szCs w:val="11"/>
                  <w:color w:val="0000FF"/>
                  <w:w w:val="88"/>
                </w:rPr>
                <w:t>NRG Energy, Inc.</w:t>
              </w:r>
            </w:hyperlink>
          </w:p>
        </w:tc>
        <w:tc>
          <w:tcPr>
            <w:tcW w:w="510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40" w:type="dxa"/>
            <w:vAlign w:val="bottom"/>
          </w:tcPr>
          <w:p>
            <w:pPr>
              <w:spacing w:after="0"/>
              <w:rPr>
                <w:sz w:val="20"/>
                <w:szCs w:val="20"/>
                <w:color w:val="auto"/>
              </w:rPr>
            </w:pPr>
            <w:r>
              <w:rPr>
                <w:rFonts w:ascii="Arial" w:cs="Arial" w:eastAsia="Arial" w:hAnsi="Arial"/>
                <w:sz w:val="11"/>
                <w:szCs w:val="11"/>
                <w:color w:val="auto"/>
              </w:rPr>
              <w:t>10.8</w:t>
            </w:r>
          </w:p>
        </w:tc>
        <w:tc>
          <w:tcPr>
            <w:tcW w:w="5440" w:type="dxa"/>
            <w:vAlign w:val="bottom"/>
            <w:tcBorders>
              <w:bottom w:val="single" w:sz="8" w:color="0000FF"/>
            </w:tcBorders>
            <w:gridSpan w:val="14"/>
          </w:tcPr>
          <w:p>
            <w:pPr>
              <w:spacing w:after="0"/>
              <w:rPr>
                <w:rFonts w:ascii="Arial" w:cs="Arial" w:eastAsia="Arial" w:hAnsi="Arial"/>
                <w:sz w:val="11"/>
                <w:szCs w:val="11"/>
                <w:color w:val="0000FF"/>
                <w:w w:val="88"/>
              </w:rPr>
            </w:pPr>
            <w:hyperlink r:id="rId107">
              <w:r>
                <w:rPr>
                  <w:rFonts w:ascii="Arial" w:cs="Arial" w:eastAsia="Arial" w:hAnsi="Arial"/>
                  <w:sz w:val="11"/>
                  <w:szCs w:val="11"/>
                  <w:color w:val="0000FF"/>
                  <w:w w:val="88"/>
                </w:rPr>
                <w:t>Loan Guarantee Agreement, dated as of September 30, 2011, by and among High Plains Ranch II, LLC, as borrower, the U.S.</w:t>
              </w:r>
            </w:hyperlink>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3860" w:type="dxa"/>
            <w:vAlign w:val="bottom"/>
            <w:tcBorders>
              <w:bottom w:val="single" w:sz="8" w:color="0000FF"/>
            </w:tcBorders>
            <w:gridSpan w:val="10"/>
          </w:tcPr>
          <w:p>
            <w:pPr>
              <w:spacing w:after="0" w:line="115" w:lineRule="exact"/>
              <w:rPr>
                <w:rFonts w:ascii="Arial" w:cs="Arial" w:eastAsia="Arial" w:hAnsi="Arial"/>
                <w:sz w:val="11"/>
                <w:szCs w:val="11"/>
                <w:color w:val="0000FF"/>
                <w:w w:val="87"/>
              </w:rPr>
            </w:pPr>
            <w:hyperlink r:id="rId107">
              <w:r>
                <w:rPr>
                  <w:rFonts w:ascii="Arial" w:cs="Arial" w:eastAsia="Arial" w:hAnsi="Arial"/>
                  <w:sz w:val="11"/>
                  <w:szCs w:val="11"/>
                  <w:color w:val="0000FF"/>
                  <w:w w:val="87"/>
                </w:rPr>
                <w:t>Department of Energy, as guarantor, and the U.S. Department of Energy, as loan servicer.</w:t>
              </w:r>
            </w:hyperlink>
          </w:p>
        </w:tc>
        <w:tc>
          <w:tcPr>
            <w:tcW w:w="20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10.9†</w:t>
            </w:r>
          </w:p>
        </w:tc>
        <w:tc>
          <w:tcPr>
            <w:tcW w:w="5880" w:type="dxa"/>
            <w:vAlign w:val="bottom"/>
            <w:gridSpan w:val="20"/>
          </w:tcPr>
          <w:p>
            <w:pPr>
              <w:spacing w:after="0"/>
              <w:rPr>
                <w:rFonts w:ascii="Arial" w:cs="Arial" w:eastAsia="Arial" w:hAnsi="Arial"/>
                <w:sz w:val="11"/>
                <w:szCs w:val="11"/>
                <w:color w:val="0000FF"/>
              </w:rPr>
            </w:pPr>
            <w:hyperlink w:anchor="page146">
              <w:r>
                <w:rPr>
                  <w:rFonts w:ascii="Arial" w:cs="Arial" w:eastAsia="Arial" w:hAnsi="Arial"/>
                  <w:sz w:val="11"/>
                  <w:szCs w:val="11"/>
                  <w:color w:val="0000FF"/>
                </w:rPr>
                <w:t>Clearway Energy, Inc. Amended and Restated 2013 Equity Incentive Plan.</w:t>
              </w:r>
            </w:hyperlink>
          </w:p>
        </w:tc>
        <w:tc>
          <w:tcPr>
            <w:tcW w:w="0" w:type="dxa"/>
            <w:vAlign w:val="bottom"/>
          </w:tcPr>
          <w:p>
            <w:pPr>
              <w:spacing w:after="0"/>
              <w:rPr>
                <w:sz w:val="1"/>
                <w:szCs w:val="1"/>
                <w:color w:val="auto"/>
              </w:rPr>
            </w:pPr>
          </w:p>
        </w:tc>
      </w:tr>
      <w:tr>
        <w:trPr>
          <w:trHeight w:val="160"/>
        </w:trPr>
        <w:tc>
          <w:tcPr>
            <w:tcW w:w="1040" w:type="dxa"/>
            <w:vAlign w:val="bottom"/>
          </w:tcPr>
          <w:p>
            <w:pPr>
              <w:spacing w:after="0"/>
              <w:rPr>
                <w:sz w:val="20"/>
                <w:szCs w:val="20"/>
                <w:color w:val="auto"/>
              </w:rPr>
            </w:pPr>
            <w:r>
              <w:rPr>
                <w:rFonts w:ascii="Arial" w:cs="Arial" w:eastAsia="Arial" w:hAnsi="Arial"/>
                <w:sz w:val="11"/>
                <w:szCs w:val="11"/>
                <w:color w:val="auto"/>
              </w:rPr>
              <w:t>10.10</w:t>
            </w:r>
          </w:p>
        </w:tc>
        <w:tc>
          <w:tcPr>
            <w:tcW w:w="1600" w:type="dxa"/>
            <w:vAlign w:val="bottom"/>
            <w:tcBorders>
              <w:top w:val="single" w:sz="8" w:color="0000FF"/>
              <w:bottom w:val="single" w:sz="8" w:color="0000FF"/>
            </w:tcBorders>
            <w:gridSpan w:val="7"/>
          </w:tcPr>
          <w:p>
            <w:pPr>
              <w:spacing w:after="0"/>
              <w:rPr>
                <w:rFonts w:ascii="Arial" w:cs="Arial" w:eastAsia="Arial" w:hAnsi="Arial"/>
                <w:sz w:val="11"/>
                <w:szCs w:val="11"/>
                <w:color w:val="0000FF"/>
                <w:w w:val="90"/>
              </w:rPr>
            </w:pPr>
            <w:hyperlink w:anchor="page167">
              <w:r>
                <w:rPr>
                  <w:rFonts w:ascii="Arial" w:cs="Arial" w:eastAsia="Arial" w:hAnsi="Arial"/>
                  <w:sz w:val="11"/>
                  <w:szCs w:val="11"/>
                  <w:color w:val="0000FF"/>
                  <w:w w:val="90"/>
                </w:rPr>
                <w:t>Form of Indemnification Agreement.</w:t>
              </w:r>
            </w:hyperlink>
          </w:p>
        </w:tc>
        <w:tc>
          <w:tcPr>
            <w:tcW w:w="1620" w:type="dxa"/>
            <w:vAlign w:val="bottom"/>
            <w:tcBorders>
              <w:top w:val="single" w:sz="8" w:color="0000FF"/>
            </w:tcBorders>
            <w:gridSpan w:val="2"/>
          </w:tcPr>
          <w:p>
            <w:pPr>
              <w:spacing w:after="0"/>
              <w:rPr>
                <w:sz w:val="13"/>
                <w:szCs w:val="13"/>
                <w:color w:val="auto"/>
              </w:rPr>
            </w:pPr>
          </w:p>
        </w:tc>
        <w:tc>
          <w:tcPr>
            <w:tcW w:w="26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tcPr>
          <w:p>
            <w:pPr>
              <w:spacing w:after="0"/>
              <w:rPr>
                <w:sz w:val="20"/>
                <w:szCs w:val="20"/>
                <w:color w:val="auto"/>
              </w:rPr>
            </w:pPr>
            <w:r>
              <w:rPr>
                <w:rFonts w:ascii="Arial" w:cs="Arial" w:eastAsia="Arial" w:hAnsi="Arial"/>
                <w:sz w:val="11"/>
                <w:szCs w:val="11"/>
                <w:color w:val="auto"/>
              </w:rPr>
              <w:t>10.11.1</w:t>
            </w:r>
          </w:p>
        </w:tc>
        <w:tc>
          <w:tcPr>
            <w:tcW w:w="5720" w:type="dxa"/>
            <w:vAlign w:val="bottom"/>
            <w:tcBorders>
              <w:bottom w:val="single" w:sz="8" w:color="0000FF"/>
            </w:tcBorders>
            <w:gridSpan w:val="17"/>
          </w:tcPr>
          <w:p>
            <w:pPr>
              <w:spacing w:after="0"/>
              <w:rPr>
                <w:rFonts w:ascii="Arial" w:cs="Arial" w:eastAsia="Arial" w:hAnsi="Arial"/>
                <w:sz w:val="11"/>
                <w:szCs w:val="11"/>
                <w:color w:val="0000FF"/>
                <w:w w:val="90"/>
              </w:rPr>
            </w:pPr>
            <w:hyperlink r:id="rId108">
              <w:r>
                <w:rPr>
                  <w:rFonts w:ascii="Arial" w:cs="Arial" w:eastAsia="Arial" w:hAnsi="Arial"/>
                  <w:sz w:val="11"/>
                  <w:szCs w:val="11"/>
                  <w:color w:val="0000FF"/>
                  <w:w w:val="90"/>
                </w:rPr>
                <w:t>Amended and Restated Credit Agreement, dated April 25, 2014, by and among NRG Yield Operating LLC, NRG Yield LLC, Royal</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880" w:type="dxa"/>
            <w:vAlign w:val="bottom"/>
            <w:gridSpan w:val="20"/>
          </w:tcPr>
          <w:p>
            <w:pPr>
              <w:spacing w:after="0" w:line="115" w:lineRule="exact"/>
              <w:rPr>
                <w:rFonts w:ascii="Arial" w:cs="Arial" w:eastAsia="Arial" w:hAnsi="Arial"/>
                <w:sz w:val="11"/>
                <w:szCs w:val="11"/>
                <w:color w:val="0000FF"/>
                <w:w w:val="91"/>
              </w:rPr>
            </w:pPr>
            <w:hyperlink r:id="rId108">
              <w:r>
                <w:rPr>
                  <w:rFonts w:ascii="Arial" w:cs="Arial" w:eastAsia="Arial" w:hAnsi="Arial"/>
                  <w:sz w:val="11"/>
                  <w:szCs w:val="11"/>
                  <w:color w:val="0000FF"/>
                  <w:w w:val="91"/>
                </w:rPr>
                <w:t>Bank of Canada, as Administrative Agent, the lenders party thereto, Royal Bank of Canada, Goldman Sachs Bank USA and Bank of</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720" w:type="dxa"/>
            <w:vAlign w:val="bottom"/>
            <w:tcBorders>
              <w:top w:val="single" w:sz="8" w:color="0000FF"/>
            </w:tcBorders>
            <w:gridSpan w:val="17"/>
          </w:tcPr>
          <w:p>
            <w:pPr>
              <w:spacing w:after="0" w:line="115" w:lineRule="exact"/>
              <w:rPr>
                <w:rFonts w:ascii="Arial" w:cs="Arial" w:eastAsia="Arial" w:hAnsi="Arial"/>
                <w:sz w:val="11"/>
                <w:szCs w:val="11"/>
                <w:color w:val="0000FF"/>
                <w:w w:val="99"/>
              </w:rPr>
            </w:pPr>
            <w:hyperlink r:id="rId108">
              <w:r>
                <w:rPr>
                  <w:rFonts w:ascii="Arial" w:cs="Arial" w:eastAsia="Arial" w:hAnsi="Arial"/>
                  <w:sz w:val="11"/>
                  <w:szCs w:val="11"/>
                  <w:color w:val="0000FF"/>
                  <w:w w:val="99"/>
                </w:rPr>
                <w:t>America, N.A., as L/C Issuers and RBC Capital Markets as Sole Left Lead Arranger and Sole Left Lead Book Runner.</w:t>
              </w:r>
            </w:hyperlink>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10.11.2</w:t>
            </w:r>
          </w:p>
        </w:tc>
        <w:tc>
          <w:tcPr>
            <w:tcW w:w="5880" w:type="dxa"/>
            <w:vAlign w:val="bottom"/>
            <w:gridSpan w:val="20"/>
          </w:tcPr>
          <w:p>
            <w:pPr>
              <w:spacing w:after="0"/>
              <w:rPr>
                <w:rFonts w:ascii="Arial" w:cs="Arial" w:eastAsia="Arial" w:hAnsi="Arial"/>
                <w:sz w:val="11"/>
                <w:szCs w:val="11"/>
                <w:color w:val="0000FF"/>
                <w:w w:val="92"/>
              </w:rPr>
            </w:pPr>
            <w:hyperlink r:id="rId109">
              <w:r>
                <w:rPr>
                  <w:rFonts w:ascii="Arial" w:cs="Arial" w:eastAsia="Arial" w:hAnsi="Arial"/>
                  <w:sz w:val="11"/>
                  <w:szCs w:val="11"/>
                  <w:color w:val="0000FF"/>
                  <w:w w:val="92"/>
                </w:rPr>
                <w:t>First Amendment to Amended &amp; Restated Credit Agreement, dated June 26, 2015, by and among NRG Yield Operating LLC, NRG</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8"/>
          </w:tcPr>
          <w:p>
            <w:pPr>
              <w:spacing w:after="0" w:line="115" w:lineRule="exact"/>
              <w:rPr>
                <w:rFonts w:ascii="Arial" w:cs="Arial" w:eastAsia="Arial" w:hAnsi="Arial"/>
                <w:sz w:val="11"/>
                <w:szCs w:val="11"/>
                <w:color w:val="0000FF"/>
                <w:w w:val="89"/>
              </w:rPr>
            </w:pPr>
            <w:hyperlink r:id="rId109">
              <w:r>
                <w:rPr>
                  <w:rFonts w:ascii="Arial" w:cs="Arial" w:eastAsia="Arial" w:hAnsi="Arial"/>
                  <w:sz w:val="11"/>
                  <w:szCs w:val="11"/>
                  <w:color w:val="0000FF"/>
                  <w:w w:val="89"/>
                </w:rPr>
                <w:t>Yield LLC, Royal Bank of Canada and the Lenders party thereto.</w:t>
              </w:r>
            </w:hyperlink>
          </w:p>
        </w:tc>
        <w:tc>
          <w:tcPr>
            <w:tcW w:w="2880" w:type="dxa"/>
            <w:vAlign w:val="bottom"/>
            <w:tcBorders>
              <w:top w:val="single" w:sz="8" w:color="0000FF"/>
            </w:tcBorders>
            <w:gridSpan w:val="8"/>
          </w:tcPr>
          <w:p>
            <w:pPr>
              <w:spacing w:after="0"/>
              <w:rPr>
                <w:sz w:val="10"/>
                <w:szCs w:val="10"/>
                <w:color w:val="auto"/>
              </w:rPr>
            </w:pPr>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11"/>
                <w:szCs w:val="11"/>
                <w:color w:val="auto"/>
              </w:rPr>
              <w:t>10.11.3</w:t>
            </w:r>
          </w:p>
        </w:tc>
        <w:tc>
          <w:tcPr>
            <w:tcW w:w="5720" w:type="dxa"/>
            <w:vAlign w:val="bottom"/>
            <w:tcBorders>
              <w:bottom w:val="single" w:sz="8" w:color="0000FF"/>
            </w:tcBorders>
            <w:gridSpan w:val="17"/>
          </w:tcPr>
          <w:p>
            <w:pPr>
              <w:spacing w:after="0"/>
              <w:rPr>
                <w:rFonts w:ascii="Arial" w:cs="Arial" w:eastAsia="Arial" w:hAnsi="Arial"/>
                <w:sz w:val="11"/>
                <w:szCs w:val="11"/>
                <w:color w:val="0000FF"/>
                <w:w w:val="89"/>
              </w:rPr>
            </w:pPr>
            <w:hyperlink r:id="rId110">
              <w:r>
                <w:rPr>
                  <w:rFonts w:ascii="Arial" w:cs="Arial" w:eastAsia="Arial" w:hAnsi="Arial"/>
                  <w:sz w:val="11"/>
                  <w:szCs w:val="11"/>
                  <w:color w:val="0000FF"/>
                  <w:w w:val="89"/>
                </w:rPr>
                <w:t>Second Amendment to Amended &amp; Restated Credit Agreement, dated February 6, 2018, by and among NRG Yield Operating LLC,</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420" w:type="dxa"/>
            <w:vAlign w:val="bottom"/>
            <w:tcBorders>
              <w:bottom w:val="single" w:sz="8" w:color="0000FF"/>
            </w:tcBorders>
            <w:gridSpan w:val="13"/>
          </w:tcPr>
          <w:p>
            <w:pPr>
              <w:spacing w:after="0" w:line="115" w:lineRule="exact"/>
              <w:rPr>
                <w:rFonts w:ascii="Arial" w:cs="Arial" w:eastAsia="Arial" w:hAnsi="Arial"/>
                <w:sz w:val="11"/>
                <w:szCs w:val="11"/>
                <w:color w:val="0000FF"/>
                <w:w w:val="89"/>
              </w:rPr>
            </w:pPr>
            <w:hyperlink r:id="rId110">
              <w:r>
                <w:rPr>
                  <w:rFonts w:ascii="Arial" w:cs="Arial" w:eastAsia="Arial" w:hAnsi="Arial"/>
                  <w:sz w:val="11"/>
                  <w:szCs w:val="11"/>
                  <w:color w:val="0000FF"/>
                  <w:w w:val="89"/>
                </w:rPr>
                <w:t>NRG Yield LLC, the guarantors party thereto, Royal Bank of Canada, as Administrative Agent, and the lenders party thereto.</w:t>
              </w:r>
            </w:hyperlink>
          </w:p>
        </w:tc>
        <w:tc>
          <w:tcPr>
            <w:tcW w:w="4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10.11.4</w:t>
            </w:r>
          </w:p>
        </w:tc>
        <w:tc>
          <w:tcPr>
            <w:tcW w:w="5880" w:type="dxa"/>
            <w:vAlign w:val="bottom"/>
            <w:gridSpan w:val="20"/>
          </w:tcPr>
          <w:p>
            <w:pPr>
              <w:spacing w:after="0"/>
              <w:rPr>
                <w:rFonts w:ascii="Arial" w:cs="Arial" w:eastAsia="Arial" w:hAnsi="Arial"/>
                <w:sz w:val="11"/>
                <w:szCs w:val="11"/>
                <w:color w:val="0000FF"/>
                <w:w w:val="91"/>
              </w:rPr>
            </w:pPr>
            <w:hyperlink r:id="rId111">
              <w:r>
                <w:rPr>
                  <w:rFonts w:ascii="Arial" w:cs="Arial" w:eastAsia="Arial" w:hAnsi="Arial"/>
                  <w:sz w:val="11"/>
                  <w:szCs w:val="11"/>
                  <w:color w:val="0000FF"/>
                  <w:w w:val="91"/>
                </w:rPr>
                <w:t>Third Amendment to Amended and Restated Credit Agreement and Administrative Agent Resignation and Appointment Agreement,</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740" w:type="dxa"/>
            <w:vAlign w:val="bottom"/>
            <w:tcBorders>
              <w:top w:val="single" w:sz="8" w:color="0000FF"/>
            </w:tcBorders>
            <w:gridSpan w:val="18"/>
          </w:tcPr>
          <w:p>
            <w:pPr>
              <w:spacing w:after="0" w:line="115" w:lineRule="exact"/>
              <w:rPr>
                <w:rFonts w:ascii="Arial" w:cs="Arial" w:eastAsia="Arial" w:hAnsi="Arial"/>
                <w:sz w:val="11"/>
                <w:szCs w:val="11"/>
                <w:color w:val="0000FF"/>
                <w:w w:val="90"/>
              </w:rPr>
            </w:pPr>
            <w:hyperlink r:id="rId111">
              <w:r>
                <w:rPr>
                  <w:rFonts w:ascii="Arial" w:cs="Arial" w:eastAsia="Arial" w:hAnsi="Arial"/>
                  <w:sz w:val="11"/>
                  <w:szCs w:val="11"/>
                  <w:color w:val="0000FF"/>
                  <w:w w:val="90"/>
                </w:rPr>
                <w:t>dated as of April 30, 2018, by and among NRG Yield Operating LLC, NRG Yield LLC, the guarantors party thereto, Royal Bank of</w:t>
              </w:r>
            </w:hyperlink>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8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5880" w:type="dxa"/>
            <w:vAlign w:val="bottom"/>
            <w:gridSpan w:val="20"/>
          </w:tcPr>
          <w:p>
            <w:pPr>
              <w:spacing w:after="0" w:line="115" w:lineRule="exact"/>
              <w:rPr>
                <w:rFonts w:ascii="Arial" w:cs="Arial" w:eastAsia="Arial" w:hAnsi="Arial"/>
                <w:sz w:val="11"/>
                <w:szCs w:val="11"/>
                <w:color w:val="0000FF"/>
                <w:w w:val="90"/>
              </w:rPr>
            </w:pPr>
            <w:hyperlink r:id="rId111">
              <w:r>
                <w:rPr>
                  <w:rFonts w:ascii="Arial" w:cs="Arial" w:eastAsia="Arial" w:hAnsi="Arial"/>
                  <w:sz w:val="11"/>
                  <w:szCs w:val="11"/>
                  <w:color w:val="0000FF"/>
                  <w:w w:val="90"/>
                </w:rPr>
                <w:t>Canada, as Resigning Administrative Agent, JPMorgan Chase Bank, N.A., as Successor Administrative Agent, and the lenders party</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720" w:type="dxa"/>
            <w:vAlign w:val="bottom"/>
            <w:tcBorders>
              <w:top w:val="single" w:sz="8" w:color="0000FF"/>
            </w:tcBorders>
            <w:gridSpan w:val="17"/>
          </w:tcPr>
          <w:p>
            <w:pPr>
              <w:spacing w:after="0" w:line="115" w:lineRule="exact"/>
              <w:rPr>
                <w:rFonts w:ascii="Arial" w:cs="Arial" w:eastAsia="Arial" w:hAnsi="Arial"/>
                <w:sz w:val="11"/>
                <w:szCs w:val="11"/>
                <w:color w:val="0000FF"/>
              </w:rPr>
            </w:pPr>
            <w:hyperlink r:id="rId111">
              <w:r>
                <w:rPr>
                  <w:rFonts w:ascii="Arial" w:cs="Arial" w:eastAsia="Arial" w:hAnsi="Arial"/>
                  <w:sz w:val="11"/>
                  <w:szCs w:val="11"/>
                  <w:color w:val="0000FF"/>
                </w:rPr>
                <w:t>thereto.</w:t>
              </w:r>
            </w:hyperlink>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10.11.5</w:t>
            </w:r>
          </w:p>
        </w:tc>
        <w:tc>
          <w:tcPr>
            <w:tcW w:w="5880" w:type="dxa"/>
            <w:vAlign w:val="bottom"/>
            <w:gridSpan w:val="20"/>
          </w:tcPr>
          <w:p>
            <w:pPr>
              <w:spacing w:after="0"/>
              <w:rPr>
                <w:rFonts w:ascii="Arial" w:cs="Arial" w:eastAsia="Arial" w:hAnsi="Arial"/>
                <w:sz w:val="11"/>
                <w:szCs w:val="11"/>
                <w:color w:val="0000FF"/>
                <w:w w:val="91"/>
              </w:rPr>
            </w:pPr>
            <w:hyperlink r:id="rId112">
              <w:r>
                <w:rPr>
                  <w:rFonts w:ascii="Arial" w:cs="Arial" w:eastAsia="Arial" w:hAnsi="Arial"/>
                  <w:sz w:val="11"/>
                  <w:szCs w:val="11"/>
                  <w:color w:val="0000FF"/>
                  <w:w w:val="91"/>
                </w:rPr>
                <w:t>Fourth Amendment to Amended and Restated Credit Agreement, dated as of November 30, 2018, by and among Clearway Energy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18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5880" w:type="dxa"/>
            <w:vAlign w:val="bottom"/>
            <w:gridSpan w:val="20"/>
          </w:tcPr>
          <w:p>
            <w:pPr>
              <w:spacing w:after="0" w:line="115" w:lineRule="exact"/>
              <w:rPr>
                <w:rFonts w:ascii="Arial" w:cs="Arial" w:eastAsia="Arial" w:hAnsi="Arial"/>
                <w:sz w:val="11"/>
                <w:szCs w:val="11"/>
                <w:color w:val="0000FF"/>
                <w:w w:val="92"/>
              </w:rPr>
            </w:pPr>
            <w:hyperlink r:id="rId112">
              <w:r>
                <w:rPr>
                  <w:rFonts w:ascii="Arial" w:cs="Arial" w:eastAsia="Arial" w:hAnsi="Arial"/>
                  <w:sz w:val="11"/>
                  <w:szCs w:val="11"/>
                  <w:color w:val="0000FF"/>
                  <w:w w:val="92"/>
                </w:rPr>
                <w:t>Operating LLC, Clearway Energy LLC, the guarantors party thereto, JPMorgan Chase Bank, N.A., as administrative agent, and the</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920" w:type="dxa"/>
            <w:vAlign w:val="bottom"/>
            <w:tcBorders>
              <w:top w:val="single" w:sz="8" w:color="0000FF"/>
              <w:bottom w:val="single" w:sz="8" w:color="0000FF"/>
            </w:tcBorders>
            <w:gridSpan w:val="5"/>
          </w:tcPr>
          <w:p>
            <w:pPr>
              <w:spacing w:after="0" w:line="115" w:lineRule="exact"/>
              <w:rPr>
                <w:rFonts w:ascii="Arial" w:cs="Arial" w:eastAsia="Arial" w:hAnsi="Arial"/>
                <w:sz w:val="11"/>
                <w:szCs w:val="11"/>
                <w:color w:val="0000FF"/>
                <w:w w:val="86"/>
              </w:rPr>
            </w:pPr>
            <w:hyperlink r:id="rId112">
              <w:r>
                <w:rPr>
                  <w:rFonts w:ascii="Arial" w:cs="Arial" w:eastAsia="Arial" w:hAnsi="Arial"/>
                  <w:sz w:val="11"/>
                  <w:szCs w:val="11"/>
                  <w:color w:val="0000FF"/>
                  <w:w w:val="86"/>
                </w:rPr>
                <w:t>lenders party thereto.</w:t>
              </w:r>
            </w:hyperlink>
          </w:p>
        </w:tc>
        <w:tc>
          <w:tcPr>
            <w:tcW w:w="4780" w:type="dxa"/>
            <w:vAlign w:val="bottom"/>
            <w:tcBorders>
              <w:top w:val="single" w:sz="8" w:color="0000FF"/>
            </w:tcBorders>
            <w:gridSpan w:val="11"/>
          </w:tcPr>
          <w:p>
            <w:pPr>
              <w:spacing w:after="0"/>
              <w:rPr>
                <w:sz w:val="10"/>
                <w:szCs w:val="10"/>
                <w:color w:val="auto"/>
              </w:rPr>
            </w:pPr>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10.12.1</w:t>
            </w:r>
          </w:p>
        </w:tc>
        <w:tc>
          <w:tcPr>
            <w:tcW w:w="5880" w:type="dxa"/>
            <w:vAlign w:val="bottom"/>
            <w:gridSpan w:val="20"/>
          </w:tcPr>
          <w:p>
            <w:pPr>
              <w:spacing w:after="0"/>
              <w:rPr>
                <w:rFonts w:ascii="Arial" w:cs="Arial" w:eastAsia="Arial" w:hAnsi="Arial"/>
                <w:sz w:val="11"/>
                <w:szCs w:val="11"/>
                <w:color w:val="0000FF"/>
                <w:w w:val="95"/>
              </w:rPr>
            </w:pPr>
            <w:hyperlink r:id="rId113">
              <w:r>
                <w:rPr>
                  <w:rFonts w:ascii="Arial" w:cs="Arial" w:eastAsia="Arial" w:hAnsi="Arial"/>
                  <w:sz w:val="11"/>
                  <w:szCs w:val="11"/>
                  <w:color w:val="0000FF"/>
                  <w:w w:val="95"/>
                </w:rPr>
                <w:t>Credit Agreement, dated as of August 23, 2011, among NRG West Holdings LLC, ING Capital LLC, Union Bank, N.A., Mizuho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4180" w:type="dxa"/>
            <w:vAlign w:val="bottom"/>
            <w:gridSpan w:val="9"/>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5580" w:type="dxa"/>
            <w:vAlign w:val="bottom"/>
            <w:tcBorders>
              <w:bottom w:val="single" w:sz="8" w:color="0000FF"/>
            </w:tcBorders>
            <w:gridSpan w:val="15"/>
          </w:tcPr>
          <w:p>
            <w:pPr>
              <w:spacing w:after="0" w:line="115" w:lineRule="exact"/>
              <w:rPr>
                <w:rFonts w:ascii="Arial" w:cs="Arial" w:eastAsia="Arial" w:hAnsi="Arial"/>
                <w:sz w:val="11"/>
                <w:szCs w:val="11"/>
                <w:color w:val="0000FF"/>
                <w:w w:val="87"/>
              </w:rPr>
            </w:pPr>
            <w:hyperlink r:id="rId113">
              <w:r>
                <w:rPr>
                  <w:rFonts w:ascii="Arial" w:cs="Arial" w:eastAsia="Arial" w:hAnsi="Arial"/>
                  <w:sz w:val="11"/>
                  <w:szCs w:val="11"/>
                  <w:color w:val="0000FF"/>
                  <w:w w:val="87"/>
                </w:rPr>
                <w:t>Corporate Bank, Ltd., RBS Securities Inc., Credit Agricole Corporate and Investment Bank, and each of lenders and issuing banks</w:t>
              </w:r>
            </w:hyperlink>
          </w:p>
        </w:tc>
        <w:tc>
          <w:tcPr>
            <w:tcW w:w="3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380" w:type="dxa"/>
            <w:vAlign w:val="bottom"/>
            <w:tcBorders>
              <w:bottom w:val="single" w:sz="8" w:color="0000FF"/>
            </w:tcBorders>
            <w:gridSpan w:val="2"/>
          </w:tcPr>
          <w:p>
            <w:pPr>
              <w:spacing w:after="0" w:line="115" w:lineRule="exact"/>
              <w:rPr>
                <w:rFonts w:ascii="Arial" w:cs="Arial" w:eastAsia="Arial" w:hAnsi="Arial"/>
                <w:sz w:val="11"/>
                <w:szCs w:val="11"/>
                <w:color w:val="0000FF"/>
                <w:w w:val="86"/>
              </w:rPr>
            </w:pPr>
            <w:hyperlink r:id="rId113">
              <w:r>
                <w:rPr>
                  <w:rFonts w:ascii="Arial" w:cs="Arial" w:eastAsia="Arial" w:hAnsi="Arial"/>
                  <w:sz w:val="11"/>
                  <w:szCs w:val="11"/>
                  <w:color w:val="0000FF"/>
                  <w:w w:val="86"/>
                </w:rPr>
                <w:t>thereto.*</w:t>
              </w:r>
            </w:hyperlink>
          </w:p>
        </w:tc>
        <w:tc>
          <w:tcPr>
            <w:tcW w:w="5500" w:type="dxa"/>
            <w:vAlign w:val="bottom"/>
            <w:gridSpan w:val="18"/>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10.12.2</w:t>
            </w:r>
          </w:p>
        </w:tc>
        <w:tc>
          <w:tcPr>
            <w:tcW w:w="5880" w:type="dxa"/>
            <w:vAlign w:val="bottom"/>
            <w:gridSpan w:val="20"/>
          </w:tcPr>
          <w:p>
            <w:pPr>
              <w:spacing w:after="0"/>
              <w:rPr>
                <w:rFonts w:ascii="Arial" w:cs="Arial" w:eastAsia="Arial" w:hAnsi="Arial"/>
                <w:sz w:val="11"/>
                <w:szCs w:val="11"/>
                <w:color w:val="0000FF"/>
                <w:w w:val="93"/>
              </w:rPr>
            </w:pPr>
            <w:hyperlink r:id="rId114">
              <w:r>
                <w:rPr>
                  <w:rFonts w:ascii="Arial" w:cs="Arial" w:eastAsia="Arial" w:hAnsi="Arial"/>
                  <w:sz w:val="11"/>
                  <w:szCs w:val="11"/>
                  <w:color w:val="0000FF"/>
                  <w:w w:val="93"/>
                </w:rPr>
                <w:t>Amendment No. 1 to the Credit Agreement, dated October 7, 2011, by and between NRG West Holdings LLC and Credit Agricole</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6"/>
          </w:tcPr>
          <w:p>
            <w:pPr>
              <w:spacing w:after="0" w:line="115" w:lineRule="exact"/>
              <w:rPr>
                <w:rFonts w:ascii="Arial" w:cs="Arial" w:eastAsia="Arial" w:hAnsi="Arial"/>
                <w:sz w:val="11"/>
                <w:szCs w:val="11"/>
                <w:color w:val="0000FF"/>
                <w:w w:val="87"/>
              </w:rPr>
            </w:pPr>
            <w:hyperlink r:id="rId114">
              <w:r>
                <w:rPr>
                  <w:rFonts w:ascii="Arial" w:cs="Arial" w:eastAsia="Arial" w:hAnsi="Arial"/>
                  <w:sz w:val="11"/>
                  <w:szCs w:val="11"/>
                  <w:color w:val="0000FF"/>
                  <w:w w:val="87"/>
                </w:rPr>
                <w:t>Corporate and Investment Bank.</w:t>
              </w:r>
            </w:hyperlink>
          </w:p>
        </w:tc>
        <w:tc>
          <w:tcPr>
            <w:tcW w:w="4180" w:type="dxa"/>
            <w:vAlign w:val="bottom"/>
            <w:tcBorders>
              <w:top w:val="single" w:sz="8" w:color="0000FF"/>
            </w:tcBorders>
            <w:gridSpan w:val="9"/>
          </w:tcPr>
          <w:p>
            <w:pPr>
              <w:spacing w:after="0"/>
              <w:rPr>
                <w:sz w:val="10"/>
                <w:szCs w:val="10"/>
                <w:color w:val="auto"/>
              </w:rPr>
            </w:pPr>
          </w:p>
        </w:tc>
        <w:tc>
          <w:tcPr>
            <w:tcW w:w="3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20"/>
                <w:szCs w:val="20"/>
                <w:color w:val="auto"/>
              </w:rPr>
            </w:pPr>
            <w:r>
              <w:rPr>
                <w:rFonts w:ascii="Arial" w:cs="Arial" w:eastAsia="Arial" w:hAnsi="Arial"/>
                <w:sz w:val="11"/>
                <w:szCs w:val="11"/>
                <w:color w:val="auto"/>
              </w:rPr>
              <w:t>10.12.3</w:t>
            </w:r>
          </w:p>
        </w:tc>
        <w:tc>
          <w:tcPr>
            <w:tcW w:w="5880" w:type="dxa"/>
            <w:vAlign w:val="bottom"/>
            <w:gridSpan w:val="20"/>
          </w:tcPr>
          <w:p>
            <w:pPr>
              <w:spacing w:after="0"/>
              <w:rPr>
                <w:rFonts w:ascii="Arial" w:cs="Arial" w:eastAsia="Arial" w:hAnsi="Arial"/>
                <w:sz w:val="11"/>
                <w:szCs w:val="11"/>
                <w:color w:val="0000FF"/>
                <w:w w:val="91"/>
              </w:rPr>
            </w:pPr>
            <w:hyperlink r:id="rId115">
              <w:r>
                <w:rPr>
                  <w:rFonts w:ascii="Arial" w:cs="Arial" w:eastAsia="Arial" w:hAnsi="Arial"/>
                  <w:sz w:val="11"/>
                  <w:szCs w:val="11"/>
                  <w:color w:val="0000FF"/>
                  <w:w w:val="91"/>
                </w:rPr>
                <w:t>Amendment No. 2 to the Credit Agreement, dated February 29, 2012, by and between NRG West Holdings LLC and Credit Agricole</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6"/>
          </w:tcPr>
          <w:p>
            <w:pPr>
              <w:spacing w:after="0" w:line="115" w:lineRule="exact"/>
              <w:rPr>
                <w:rFonts w:ascii="Arial" w:cs="Arial" w:eastAsia="Arial" w:hAnsi="Arial"/>
                <w:sz w:val="11"/>
                <w:szCs w:val="11"/>
                <w:color w:val="0000FF"/>
                <w:w w:val="87"/>
              </w:rPr>
            </w:pPr>
            <w:hyperlink r:id="rId115">
              <w:r>
                <w:rPr>
                  <w:rFonts w:ascii="Arial" w:cs="Arial" w:eastAsia="Arial" w:hAnsi="Arial"/>
                  <w:sz w:val="11"/>
                  <w:szCs w:val="11"/>
                  <w:color w:val="0000FF"/>
                  <w:w w:val="87"/>
                </w:rPr>
                <w:t>Corporate and Investment Bank.</w:t>
              </w:r>
            </w:hyperlink>
          </w:p>
        </w:tc>
        <w:tc>
          <w:tcPr>
            <w:tcW w:w="4340" w:type="dxa"/>
            <w:vAlign w:val="bottom"/>
            <w:tcBorders>
              <w:top w:val="single" w:sz="8" w:color="0000FF"/>
            </w:tcBorders>
            <w:gridSpan w:val="12"/>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040" w:type="dxa"/>
            <w:vAlign w:val="bottom"/>
          </w:tcPr>
          <w:p>
            <w:pPr>
              <w:jc w:val="right"/>
              <w:ind w:right="666"/>
              <w:spacing w:after="0"/>
              <w:rPr>
                <w:sz w:val="20"/>
                <w:szCs w:val="20"/>
                <w:color w:val="auto"/>
              </w:rPr>
            </w:pPr>
            <w:r>
              <w:rPr>
                <w:rFonts w:ascii="Arial" w:cs="Arial" w:eastAsia="Arial" w:hAnsi="Arial"/>
                <w:sz w:val="11"/>
                <w:szCs w:val="11"/>
                <w:color w:val="auto"/>
                <w:w w:val="81"/>
              </w:rPr>
              <w:t>10.12.4</w:t>
            </w:r>
          </w:p>
        </w:tc>
        <w:tc>
          <w:tcPr>
            <w:tcW w:w="5920" w:type="dxa"/>
            <w:vAlign w:val="bottom"/>
            <w:gridSpan w:val="4"/>
            <w:vMerge w:val="restart"/>
          </w:tcPr>
          <w:p>
            <w:pPr>
              <w:spacing w:after="0"/>
              <w:rPr>
                <w:rFonts w:ascii="Arial" w:cs="Arial" w:eastAsia="Arial" w:hAnsi="Arial"/>
                <w:sz w:val="11"/>
                <w:szCs w:val="11"/>
                <w:color w:val="0000FF"/>
                <w:w w:val="89"/>
              </w:rPr>
            </w:pPr>
            <w:hyperlink r:id="rId116">
              <w:r>
                <w:rPr>
                  <w:rFonts w:ascii="Arial" w:cs="Arial" w:eastAsia="Arial" w:hAnsi="Arial"/>
                  <w:sz w:val="11"/>
                  <w:szCs w:val="11"/>
                  <w:color w:val="0000FF"/>
                  <w:w w:val="89"/>
                </w:rPr>
                <w:t>Amendment No. 3 to the Credit Agreement, dated as of January 27, 2014, by and between NRG West Holdings LLC and Credit Agricole</w:t>
              </w:r>
            </w:hyperlink>
          </w:p>
        </w:tc>
        <w:tc>
          <w:tcPr>
            <w:tcW w:w="0" w:type="dxa"/>
            <w:vAlign w:val="bottom"/>
          </w:tcPr>
          <w:p>
            <w:pPr>
              <w:spacing w:after="0"/>
              <w:rPr>
                <w:sz w:val="1"/>
                <w:szCs w:val="1"/>
                <w:color w:val="auto"/>
              </w:rPr>
            </w:pPr>
          </w:p>
        </w:tc>
      </w:tr>
      <w:tr>
        <w:trPr>
          <w:trHeight w:val="36"/>
        </w:trPr>
        <w:tc>
          <w:tcPr>
            <w:tcW w:w="1040" w:type="dxa"/>
            <w:vAlign w:val="bottom"/>
          </w:tcPr>
          <w:p>
            <w:pPr>
              <w:spacing w:after="0"/>
              <w:rPr>
                <w:sz w:val="2"/>
                <w:szCs w:val="2"/>
                <w:color w:val="auto"/>
              </w:rPr>
            </w:pPr>
          </w:p>
        </w:tc>
        <w:tc>
          <w:tcPr>
            <w:tcW w:w="5920" w:type="dxa"/>
            <w:vAlign w:val="bottom"/>
            <w:tcBorders>
              <w:bottom w:val="single" w:sz="8" w:color="0000FF"/>
            </w:tcBorders>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400" w:type="dxa"/>
            <w:vAlign w:val="bottom"/>
            <w:tcBorders>
              <w:bottom w:val="single" w:sz="8" w:color="0000FF"/>
            </w:tcBorders>
          </w:tcPr>
          <w:p>
            <w:pPr>
              <w:spacing w:after="0" w:line="115" w:lineRule="exact"/>
              <w:rPr>
                <w:rFonts w:ascii="Arial" w:cs="Arial" w:eastAsia="Arial" w:hAnsi="Arial"/>
                <w:sz w:val="11"/>
                <w:szCs w:val="11"/>
                <w:color w:val="0000FF"/>
                <w:w w:val="87"/>
              </w:rPr>
            </w:pPr>
            <w:hyperlink r:id="rId116">
              <w:r>
                <w:rPr>
                  <w:rFonts w:ascii="Arial" w:cs="Arial" w:eastAsia="Arial" w:hAnsi="Arial"/>
                  <w:sz w:val="11"/>
                  <w:szCs w:val="11"/>
                  <w:color w:val="0000FF"/>
                  <w:w w:val="87"/>
                </w:rPr>
                <w:t>Corporate and Investment Bank.</w:t>
              </w:r>
            </w:hyperlink>
          </w:p>
        </w:tc>
        <w:tc>
          <w:tcPr>
            <w:tcW w:w="45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040" w:type="dxa"/>
            <w:vAlign w:val="bottom"/>
          </w:tcPr>
          <w:p>
            <w:pPr>
              <w:jc w:val="right"/>
              <w:ind w:right="666"/>
              <w:spacing w:after="0"/>
              <w:rPr>
                <w:sz w:val="20"/>
                <w:szCs w:val="20"/>
                <w:color w:val="auto"/>
              </w:rPr>
            </w:pPr>
            <w:r>
              <w:rPr>
                <w:rFonts w:ascii="Arial" w:cs="Arial" w:eastAsia="Arial" w:hAnsi="Arial"/>
                <w:sz w:val="11"/>
                <w:szCs w:val="11"/>
                <w:color w:val="auto"/>
                <w:w w:val="81"/>
              </w:rPr>
              <w:t>10.12.5</w:t>
            </w:r>
          </w:p>
        </w:tc>
        <w:tc>
          <w:tcPr>
            <w:tcW w:w="5620" w:type="dxa"/>
            <w:vAlign w:val="bottom"/>
            <w:gridSpan w:val="3"/>
            <w:vMerge w:val="restart"/>
          </w:tcPr>
          <w:p>
            <w:pPr>
              <w:spacing w:after="0"/>
              <w:rPr>
                <w:rFonts w:ascii="Arial" w:cs="Arial" w:eastAsia="Arial" w:hAnsi="Arial"/>
                <w:sz w:val="11"/>
                <w:szCs w:val="11"/>
                <w:color w:val="0000FF"/>
                <w:w w:val="89"/>
              </w:rPr>
            </w:pPr>
            <w:hyperlink r:id="rId117">
              <w:r>
                <w:rPr>
                  <w:rFonts w:ascii="Arial" w:cs="Arial" w:eastAsia="Arial" w:hAnsi="Arial"/>
                  <w:sz w:val="11"/>
                  <w:szCs w:val="11"/>
                  <w:color w:val="0000FF"/>
                  <w:w w:val="89"/>
                </w:rPr>
                <w:t>Amendment No. 4 to the Credit Agreement and Amendment No. 1 to the Collateral Agreement, dated as of May 16, 2014, by and</w:t>
              </w:r>
            </w:hyperlink>
          </w:p>
        </w:tc>
        <w:tc>
          <w:tcPr>
            <w:tcW w:w="3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040" w:type="dxa"/>
            <w:vAlign w:val="bottom"/>
          </w:tcPr>
          <w:p>
            <w:pPr>
              <w:spacing w:after="0"/>
              <w:rPr>
                <w:sz w:val="2"/>
                <w:szCs w:val="2"/>
                <w:color w:val="auto"/>
              </w:rPr>
            </w:pPr>
          </w:p>
        </w:tc>
        <w:tc>
          <w:tcPr>
            <w:tcW w:w="5620" w:type="dxa"/>
            <w:vAlign w:val="bottom"/>
            <w:tcBorders>
              <w:bottom w:val="single" w:sz="8" w:color="0000FF"/>
            </w:tcBorders>
            <w:gridSpan w:val="3"/>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5920" w:type="dxa"/>
            <w:vAlign w:val="bottom"/>
            <w:gridSpan w:val="4"/>
          </w:tcPr>
          <w:p>
            <w:pPr>
              <w:spacing w:after="0" w:line="115" w:lineRule="exact"/>
              <w:rPr>
                <w:rFonts w:ascii="Arial" w:cs="Arial" w:eastAsia="Arial" w:hAnsi="Arial"/>
                <w:sz w:val="11"/>
                <w:szCs w:val="11"/>
                <w:color w:val="0000FF"/>
              </w:rPr>
            </w:pPr>
            <w:hyperlink r:id="rId117">
              <w:r>
                <w:rPr>
                  <w:rFonts w:ascii="Arial" w:cs="Arial" w:eastAsia="Arial" w:hAnsi="Arial"/>
                  <w:sz w:val="11"/>
                  <w:szCs w:val="11"/>
                  <w:color w:val="0000FF"/>
                </w:rPr>
                <w:t>between NRG West Holdings LLC, El Segundo Energy Center LLC and Credit 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40"/>
        <w:spacing w:after="0" w:line="274" w:lineRule="auto"/>
        <w:rPr>
          <w:sz w:val="20"/>
          <w:szCs w:val="20"/>
          <w:color w:val="auto"/>
        </w:rPr>
      </w:pPr>
      <w:r>
        <w:rPr>
          <w:rFonts w:ascii="Arial" w:cs="Arial" w:eastAsia="Arial" w:hAnsi="Arial"/>
          <w:sz w:val="11"/>
          <w:szCs w:val="11"/>
          <w:color w:val="auto"/>
        </w:rPr>
        <w:t>Incorporated herein by reference to Exhibit 10.5 to the Company's Current Report on Form 8-K filed on September 5, 2018.</w:t>
      </w:r>
    </w:p>
    <w:p>
      <w:pPr>
        <w:spacing w:after="0" w:line="180" w:lineRule="exact"/>
        <w:rPr>
          <w:sz w:val="20"/>
          <w:szCs w:val="20"/>
          <w:color w:val="auto"/>
        </w:rPr>
      </w:pPr>
    </w:p>
    <w:p>
      <w:pPr>
        <w:ind w:right="140"/>
        <w:spacing w:after="0" w:line="274" w:lineRule="auto"/>
        <w:rPr>
          <w:sz w:val="20"/>
          <w:szCs w:val="20"/>
          <w:color w:val="auto"/>
        </w:rPr>
      </w:pPr>
      <w:r>
        <w:rPr>
          <w:rFonts w:ascii="Arial" w:cs="Arial" w:eastAsia="Arial" w:hAnsi="Arial"/>
          <w:sz w:val="11"/>
          <w:szCs w:val="11"/>
          <w:color w:val="auto"/>
        </w:rPr>
        <w:t>Incorporated herein by reference to Exhibit 10.7 to the Company's Current Report on Form 8-K filed on September 5, 2018.</w:t>
      </w:r>
    </w:p>
    <w:p>
      <w:pPr>
        <w:spacing w:after="0" w:line="126" w:lineRule="exact"/>
        <w:rPr>
          <w:sz w:val="20"/>
          <w:szCs w:val="20"/>
          <w:color w:val="auto"/>
        </w:rPr>
      </w:pPr>
    </w:p>
    <w:p>
      <w:pPr>
        <w:ind w:right="140"/>
        <w:spacing w:after="0" w:line="274" w:lineRule="auto"/>
        <w:rPr>
          <w:sz w:val="20"/>
          <w:szCs w:val="20"/>
          <w:color w:val="auto"/>
        </w:rPr>
      </w:pPr>
      <w:r>
        <w:rPr>
          <w:rFonts w:ascii="Arial" w:cs="Arial" w:eastAsia="Arial" w:hAnsi="Arial"/>
          <w:sz w:val="11"/>
          <w:szCs w:val="11"/>
          <w:color w:val="auto"/>
        </w:rPr>
        <w:t>Incorporated herein by reference to Exhibit 10.9 to the Company's Current Report on Form 8-K filed on September 5, 2018.</w:t>
      </w:r>
    </w:p>
    <w:p>
      <w:pPr>
        <w:spacing w:after="0" w:line="71"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10.8 to the Company's Draft Registration Statement on Form S-1, filed on February 13, 2013.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54" w:lineRule="exact"/>
        <w:rPr>
          <w:sz w:val="20"/>
          <w:szCs w:val="20"/>
          <w:color w:val="auto"/>
        </w:rPr>
      </w:pPr>
    </w:p>
    <w:p>
      <w:pPr>
        <w:ind w:right="60"/>
        <w:spacing w:after="0" w:line="274" w:lineRule="auto"/>
        <w:rPr>
          <w:sz w:val="20"/>
          <w:szCs w:val="20"/>
          <w:color w:val="auto"/>
        </w:rPr>
      </w:pPr>
      <w:r>
        <w:rPr>
          <w:rFonts w:ascii="Arial" w:cs="Arial" w:eastAsia="Arial" w:hAnsi="Arial"/>
          <w:sz w:val="11"/>
          <w:szCs w:val="11"/>
          <w:color w:val="auto"/>
        </w:rPr>
        <w:t>Incorporated by reference to Exhibit 10.1 to the Company’s Current Report on Form 8-K filed on April 28, 2014.</w:t>
      </w:r>
    </w:p>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10.9 to the Company's Quarterly Report on Form 10-Q filed on August 4, 2015.</w:t>
      </w:r>
    </w:p>
    <w:p>
      <w:pPr>
        <w:spacing w:after="0" w:line="153" w:lineRule="exact"/>
        <w:rPr>
          <w:sz w:val="20"/>
          <w:szCs w:val="20"/>
          <w:color w:val="auto"/>
        </w:rPr>
      </w:pPr>
    </w:p>
    <w:p>
      <w:pPr>
        <w:ind w:right="140"/>
        <w:spacing w:after="0" w:line="274"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February 12, 2018.</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May 3, 2018.</w:t>
      </w:r>
    </w:p>
    <w:p>
      <w:pPr>
        <w:spacing w:after="0" w:line="288" w:lineRule="exact"/>
        <w:rPr>
          <w:sz w:val="20"/>
          <w:szCs w:val="20"/>
          <w:color w:val="auto"/>
        </w:rPr>
      </w:pPr>
    </w:p>
    <w:p>
      <w:pPr>
        <w:ind w:right="140"/>
        <w:spacing w:after="0" w:line="274"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December 6, 2018.</w:t>
      </w:r>
    </w:p>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10.2 to the Company's Quarterly Report on Form 10-Q filed on August 7, 2014.</w:t>
      </w:r>
    </w:p>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10.3 to the Company's Quarterly Report on Form 10-Q filed on August 7,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10.4 to the Company's Quarterly Report on Form 10-Q filed on August 7, 2014.</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10.6 to the Company's Quarterly Report on Form 10-Q filed on August 4, 2015.</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1"/>
          <w:szCs w:val="11"/>
          <w:color w:val="auto"/>
        </w:rPr>
        <w:t>Incorporated herein by reference to Exhibit 10.7 to the Company's Quarterly Report on Form 10-Q filed on August 4, 2015.</w:t>
      </w:r>
    </w:p>
    <w:p>
      <w:pPr>
        <w:spacing w:after="0" w:line="222" w:lineRule="exact"/>
        <w:rPr>
          <w:sz w:val="20"/>
          <w:szCs w:val="20"/>
          <w:color w:val="auto"/>
        </w:rPr>
      </w:pPr>
    </w:p>
    <w:p>
      <w:pPr>
        <w:sectPr>
          <w:pgSz w:w="11900" w:h="16838" w:orient="portrait"/>
          <w:cols w:equalWidth="0" w:num="2">
            <w:col w:w="6960" w:space="160"/>
            <w:col w:w="4260"/>
          </w:cols>
          <w:pgMar w:left="240" w:top="630" w:right="279" w:bottom="1440" w:gutter="0" w:footer="0" w:header="0"/>
        </w:sectPr>
      </w:pP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136</w:t>
      </w:r>
    </w:p>
    <w:p>
      <w:pPr>
        <w:sectPr>
          <w:pgSz w:w="11900" w:h="16838" w:orient="portrait"/>
          <w:cols w:equalWidth="0" w:num="1">
            <w:col w:w="11380"/>
          </w:cols>
          <w:pgMar w:left="240" w:top="630" w:right="27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9"/>
          <w:szCs w:val="9"/>
          <w:color w:val="auto"/>
        </w:rPr>
        <w:t>10.12.6</w:t>
      </w:r>
    </w:p>
    <w:p>
      <w:pPr>
        <w:spacing w:after="0" w:line="338" w:lineRule="exact"/>
        <w:rPr>
          <w:sz w:val="20"/>
          <w:szCs w:val="20"/>
          <w:color w:val="auto"/>
        </w:rPr>
      </w:pPr>
    </w:p>
    <w:p>
      <w:pPr>
        <w:spacing w:after="0"/>
        <w:rPr>
          <w:sz w:val="20"/>
          <w:szCs w:val="20"/>
          <w:color w:val="auto"/>
        </w:rPr>
      </w:pPr>
      <w:r>
        <w:rPr>
          <w:rFonts w:ascii="Arial" w:cs="Arial" w:eastAsia="Arial" w:hAnsi="Arial"/>
          <w:sz w:val="9"/>
          <w:szCs w:val="9"/>
          <w:color w:val="auto"/>
        </w:rPr>
        <w:t>10.13.1</w:t>
      </w:r>
    </w:p>
    <w:p>
      <w:pPr>
        <w:spacing w:after="0" w:line="203" w:lineRule="exact"/>
        <w:rPr>
          <w:sz w:val="20"/>
          <w:szCs w:val="20"/>
          <w:color w:val="auto"/>
        </w:rPr>
      </w:pPr>
    </w:p>
    <w:p>
      <w:pPr>
        <w:spacing w:after="0"/>
        <w:rPr>
          <w:sz w:val="20"/>
          <w:szCs w:val="20"/>
          <w:color w:val="auto"/>
        </w:rPr>
      </w:pPr>
      <w:r>
        <w:rPr>
          <w:rFonts w:ascii="Arial" w:cs="Arial" w:eastAsia="Arial" w:hAnsi="Arial"/>
          <w:sz w:val="9"/>
          <w:szCs w:val="9"/>
          <w:color w:val="auto"/>
        </w:rPr>
        <w:t>10.13.2</w:t>
      </w:r>
    </w:p>
    <w:p>
      <w:pPr>
        <w:spacing w:after="0" w:line="203" w:lineRule="exact"/>
        <w:rPr>
          <w:sz w:val="20"/>
          <w:szCs w:val="20"/>
          <w:color w:val="auto"/>
        </w:rPr>
      </w:pPr>
    </w:p>
    <w:p>
      <w:pPr>
        <w:spacing w:after="0"/>
        <w:rPr>
          <w:sz w:val="20"/>
          <w:szCs w:val="20"/>
          <w:color w:val="auto"/>
        </w:rPr>
      </w:pPr>
      <w:r>
        <w:rPr>
          <w:rFonts w:ascii="Arial" w:cs="Arial" w:eastAsia="Arial" w:hAnsi="Arial"/>
          <w:sz w:val="10"/>
          <w:szCs w:val="10"/>
          <w:color w:val="auto"/>
        </w:rPr>
        <w:t>10.14^</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10.15^</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10.16^</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10.17^</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10.18^</w:t>
      </w: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10.19</w:t>
      </w:r>
    </w:p>
    <w:p>
      <w:pPr>
        <w:spacing w:after="0" w:line="315" w:lineRule="exact"/>
        <w:rPr>
          <w:sz w:val="20"/>
          <w:szCs w:val="20"/>
          <w:color w:val="auto"/>
        </w:rPr>
      </w:pPr>
    </w:p>
    <w:p>
      <w:pPr>
        <w:spacing w:after="0"/>
        <w:rPr>
          <w:sz w:val="20"/>
          <w:szCs w:val="20"/>
          <w:color w:val="auto"/>
        </w:rPr>
      </w:pPr>
      <w:r>
        <w:rPr>
          <w:rFonts w:ascii="Arial" w:cs="Arial" w:eastAsia="Arial" w:hAnsi="Arial"/>
          <w:sz w:val="10"/>
          <w:szCs w:val="10"/>
          <w:color w:val="auto"/>
        </w:rPr>
        <w:t>10.20†</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10.21†</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10.22†</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10.23†</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10.24†</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10.25†</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10.26†</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10.27†</w:t>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10.28†</w:t>
      </w: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color w:val="auto"/>
        </w:rPr>
        <w:t>10.29^</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rFonts w:ascii="Arial" w:cs="Arial" w:eastAsia="Arial" w:hAnsi="Arial"/>
          <w:sz w:val="9"/>
          <w:szCs w:val="9"/>
          <w:u w:val="single" w:color="auto"/>
          <w:color w:val="0000FF"/>
        </w:rPr>
      </w:pPr>
      <w:hyperlink r:id="rId118">
        <w:r>
          <w:rPr>
            <w:rFonts w:ascii="Arial" w:cs="Arial" w:eastAsia="Arial" w:hAnsi="Arial"/>
            <w:sz w:val="9"/>
            <w:szCs w:val="9"/>
            <w:u w:val="single" w:color="auto"/>
            <w:color w:val="0000FF"/>
          </w:rPr>
          <w:t>Amendment No. 5 to the Credit Agreement, dated as of May 29, 2015, by and between NRG West Holdings LLC and ING Capital LLC.</w:t>
        </w:r>
      </w:hyperlink>
    </w:p>
    <w:p>
      <w:pPr>
        <w:spacing w:after="0" w:line="284" w:lineRule="exact"/>
        <w:rPr>
          <w:sz w:val="20"/>
          <w:szCs w:val="20"/>
          <w:color w:val="auto"/>
        </w:rPr>
      </w:pPr>
    </w:p>
    <w:p>
      <w:pPr>
        <w:ind w:right="80"/>
        <w:spacing w:after="0" w:line="274" w:lineRule="auto"/>
        <w:rPr>
          <w:rFonts w:ascii="Arial" w:cs="Arial" w:eastAsia="Arial" w:hAnsi="Arial"/>
          <w:sz w:val="11"/>
          <w:szCs w:val="11"/>
          <w:u w:val="single" w:color="auto"/>
          <w:color w:val="0000FF"/>
        </w:rPr>
      </w:pPr>
      <w:hyperlink r:id="rId119">
        <w:r>
          <w:rPr>
            <w:rFonts w:ascii="Arial" w:cs="Arial" w:eastAsia="Arial" w:hAnsi="Arial"/>
            <w:sz w:val="11"/>
            <w:szCs w:val="11"/>
            <w:u w:val="single" w:color="auto"/>
            <w:color w:val="0000FF"/>
          </w:rPr>
          <w:t>Amended and Restated Credit Agreement, dated July 17, 2014, by and among NRG Marsh Landing LLC, The Royal Bank of Scotland</w:t>
        </w:r>
      </w:hyperlink>
      <w:r>
        <w:rPr>
          <w:rFonts w:ascii="Arial" w:cs="Arial" w:eastAsia="Arial" w:hAnsi="Arial"/>
          <w:sz w:val="11"/>
          <w:szCs w:val="11"/>
          <w:u w:val="single" w:color="auto"/>
          <w:color w:val="0000FF"/>
        </w:rPr>
        <w:t xml:space="preserve"> </w:t>
      </w:r>
      <w:hyperlink r:id="rId119">
        <w:r>
          <w:rPr>
            <w:rFonts w:ascii="Arial" w:cs="Arial" w:eastAsia="Arial" w:hAnsi="Arial"/>
            <w:sz w:val="11"/>
            <w:szCs w:val="11"/>
            <w:u w:val="single" w:color="auto"/>
            <w:color w:val="0000FF"/>
          </w:rPr>
          <w:t>Plc, Deutsche Bank Trust Company Americas and the lenders party thereto.</w:t>
        </w:r>
      </w:hyperlink>
    </w:p>
    <w:p>
      <w:pPr>
        <w:spacing w:after="0" w:line="17" w:lineRule="exact"/>
        <w:rPr>
          <w:sz w:val="20"/>
          <w:szCs w:val="20"/>
          <w:color w:val="auto"/>
        </w:rPr>
      </w:pPr>
    </w:p>
    <w:p>
      <w:pPr>
        <w:ind w:right="20"/>
        <w:spacing w:after="0" w:line="326" w:lineRule="auto"/>
        <w:rPr>
          <w:rFonts w:ascii="Arial" w:cs="Arial" w:eastAsia="Arial" w:hAnsi="Arial"/>
          <w:sz w:val="10"/>
          <w:szCs w:val="10"/>
          <w:u w:val="single" w:color="auto"/>
          <w:color w:val="0000FF"/>
        </w:rPr>
      </w:pPr>
      <w:hyperlink r:id="rId120">
        <w:r>
          <w:rPr>
            <w:rFonts w:ascii="Arial" w:cs="Arial" w:eastAsia="Arial" w:hAnsi="Arial"/>
            <w:sz w:val="10"/>
            <w:szCs w:val="10"/>
            <w:u w:val="single" w:color="auto"/>
            <w:color w:val="0000FF"/>
          </w:rPr>
          <w:t>First Amendment to the Credit Agreement and Collateral Agency and Intercreditor Agreement, dated July 17, 2014, by and among NRG</w:t>
        </w:r>
      </w:hyperlink>
      <w:r>
        <w:rPr>
          <w:rFonts w:ascii="Arial" w:cs="Arial" w:eastAsia="Arial" w:hAnsi="Arial"/>
          <w:sz w:val="10"/>
          <w:szCs w:val="10"/>
          <w:u w:val="single" w:color="auto"/>
          <w:color w:val="0000FF"/>
        </w:rPr>
        <w:t xml:space="preserve"> </w:t>
      </w:r>
      <w:hyperlink r:id="rId120">
        <w:r>
          <w:rPr>
            <w:rFonts w:ascii="Arial" w:cs="Arial" w:eastAsia="Arial" w:hAnsi="Arial"/>
            <w:sz w:val="10"/>
            <w:szCs w:val="10"/>
            <w:u w:val="single" w:color="auto"/>
            <w:color w:val="0000FF"/>
          </w:rPr>
          <w:t>Marsh Landing LLC, The Royal Bank of Scotland Plc, Deutsche Bank Trust Company Americas and the lenders party thereto.</w:t>
        </w:r>
      </w:hyperlink>
    </w:p>
    <w:p>
      <w:pPr>
        <w:spacing w:after="0" w:line="48" w:lineRule="exact"/>
        <w:rPr>
          <w:sz w:val="20"/>
          <w:szCs w:val="20"/>
          <w:color w:val="auto"/>
        </w:rPr>
      </w:pPr>
    </w:p>
    <w:p>
      <w:pPr>
        <w:spacing w:after="0"/>
        <w:rPr>
          <w:rFonts w:ascii="Arial" w:cs="Arial" w:eastAsia="Arial" w:hAnsi="Arial"/>
          <w:sz w:val="11"/>
          <w:szCs w:val="11"/>
          <w:u w:val="single" w:color="auto"/>
          <w:color w:val="0000FF"/>
        </w:rPr>
      </w:pPr>
      <w:hyperlink r:id="rId121">
        <w:r>
          <w:rPr>
            <w:rFonts w:ascii="Arial" w:cs="Arial" w:eastAsia="Arial" w:hAnsi="Arial"/>
            <w:sz w:val="11"/>
            <w:szCs w:val="11"/>
            <w:u w:val="single" w:color="auto"/>
            <w:color w:val="0000FF"/>
          </w:rPr>
          <w:t>Amended and Restated Limited Liability Company Agreement of NRG RPV Holdco 1 LLC, dated as of April 9, 2015.</w:t>
        </w:r>
      </w:hyperlink>
    </w:p>
    <w:p>
      <w:pPr>
        <w:spacing w:after="0" w:line="234" w:lineRule="exact"/>
        <w:rPr>
          <w:sz w:val="20"/>
          <w:szCs w:val="20"/>
          <w:color w:val="auto"/>
        </w:rPr>
      </w:pPr>
    </w:p>
    <w:p>
      <w:pPr>
        <w:spacing w:after="0"/>
        <w:rPr>
          <w:rFonts w:ascii="Arial" w:cs="Arial" w:eastAsia="Arial" w:hAnsi="Arial"/>
          <w:sz w:val="11"/>
          <w:szCs w:val="11"/>
          <w:u w:val="single" w:color="auto"/>
          <w:color w:val="0000FF"/>
        </w:rPr>
      </w:pPr>
      <w:hyperlink r:id="rId122">
        <w:r>
          <w:rPr>
            <w:rFonts w:ascii="Arial" w:cs="Arial" w:eastAsia="Arial" w:hAnsi="Arial"/>
            <w:sz w:val="11"/>
            <w:szCs w:val="11"/>
            <w:u w:val="single" w:color="auto"/>
            <w:color w:val="0000FF"/>
          </w:rPr>
          <w:t>Amended and Restated Limited Liability Company Agreement of NRG DGPV Holdco 1 LLC, dated as of May 8, 2015.</w:t>
        </w:r>
      </w:hyperlink>
    </w:p>
    <w:p>
      <w:pPr>
        <w:spacing w:after="0" w:line="180" w:lineRule="exact"/>
        <w:rPr>
          <w:sz w:val="20"/>
          <w:szCs w:val="20"/>
          <w:color w:val="auto"/>
        </w:rPr>
      </w:pPr>
    </w:p>
    <w:p>
      <w:pPr>
        <w:ind w:right="60"/>
        <w:spacing w:after="0" w:line="274" w:lineRule="auto"/>
        <w:rPr>
          <w:rFonts w:ascii="Arial" w:cs="Arial" w:eastAsia="Arial" w:hAnsi="Arial"/>
          <w:sz w:val="11"/>
          <w:szCs w:val="11"/>
          <w:u w:val="single" w:color="auto"/>
          <w:color w:val="0000FF"/>
        </w:rPr>
      </w:pPr>
      <w:hyperlink r:id="rId123">
        <w:r>
          <w:rPr>
            <w:rFonts w:ascii="Arial" w:cs="Arial" w:eastAsia="Arial" w:hAnsi="Arial"/>
            <w:sz w:val="11"/>
            <w:szCs w:val="11"/>
            <w:u w:val="single" w:color="auto"/>
            <w:color w:val="0000FF"/>
          </w:rPr>
          <w:t>Amendment No. 1 to Amended and Restated Limited Liability Company Agreement of NRG RPV Holdco 1 LLC, dated as of March 1,</w:t>
        </w:r>
      </w:hyperlink>
      <w:r>
        <w:rPr>
          <w:rFonts w:ascii="Arial" w:cs="Arial" w:eastAsia="Arial" w:hAnsi="Arial"/>
          <w:sz w:val="11"/>
          <w:szCs w:val="11"/>
          <w:u w:val="single" w:color="auto"/>
          <w:color w:val="0000FF"/>
        </w:rPr>
        <w:t xml:space="preserve"> </w:t>
      </w:r>
      <w:hyperlink r:id="rId123">
        <w:r>
          <w:rPr>
            <w:rFonts w:ascii="Arial" w:cs="Arial" w:eastAsia="Arial" w:hAnsi="Arial"/>
            <w:sz w:val="11"/>
            <w:szCs w:val="11"/>
            <w:u w:val="single" w:color="auto"/>
            <w:color w:val="0000FF"/>
          </w:rPr>
          <w:t>2016, by and between NRG Yield RPV Holding LLC and NRG Residential Solar Solutions LLC.</w:t>
        </w:r>
      </w:hyperlink>
    </w:p>
    <w:p>
      <w:pPr>
        <w:spacing w:after="0" w:line="207" w:lineRule="exact"/>
        <w:rPr>
          <w:sz w:val="20"/>
          <w:szCs w:val="20"/>
          <w:color w:val="auto"/>
        </w:rPr>
      </w:pPr>
    </w:p>
    <w:p>
      <w:pPr>
        <w:ind w:right="80"/>
        <w:spacing w:after="0" w:line="326" w:lineRule="auto"/>
        <w:rPr>
          <w:rFonts w:ascii="Arial" w:cs="Arial" w:eastAsia="Arial" w:hAnsi="Arial"/>
          <w:sz w:val="10"/>
          <w:szCs w:val="10"/>
          <w:u w:val="single" w:color="auto"/>
          <w:color w:val="0000FF"/>
        </w:rPr>
      </w:pPr>
      <w:hyperlink r:id="rId124">
        <w:r>
          <w:rPr>
            <w:rFonts w:ascii="Arial" w:cs="Arial" w:eastAsia="Arial" w:hAnsi="Arial"/>
            <w:sz w:val="10"/>
            <w:szCs w:val="10"/>
            <w:u w:val="single" w:color="auto"/>
            <w:color w:val="0000FF"/>
          </w:rPr>
          <w:t>Amendment No. 2 to Amended and Restated Limited Liability Company Agreement of NRG DGPV Holdco 1 LLC, dated as of March</w:t>
        </w:r>
      </w:hyperlink>
      <w:r>
        <w:rPr>
          <w:rFonts w:ascii="Arial" w:cs="Arial" w:eastAsia="Arial" w:hAnsi="Arial"/>
          <w:sz w:val="10"/>
          <w:szCs w:val="10"/>
          <w:u w:val="single" w:color="auto"/>
          <w:color w:val="0000FF"/>
        </w:rPr>
        <w:t xml:space="preserve"> </w:t>
      </w:r>
      <w:hyperlink r:id="rId124">
        <w:r>
          <w:rPr>
            <w:rFonts w:ascii="Arial" w:cs="Arial" w:eastAsia="Arial" w:hAnsi="Arial"/>
            <w:sz w:val="10"/>
            <w:szCs w:val="10"/>
            <w:u w:val="single" w:color="auto"/>
            <w:color w:val="0000FF"/>
          </w:rPr>
          <w:t>1, 2016, by and among NRG Yield DGPV Holding LLC, NRG Renew DG Holdings LLC and NRG Renew LLC.</w:t>
        </w:r>
      </w:hyperlink>
    </w:p>
    <w:p>
      <w:pPr>
        <w:spacing w:after="0" w:line="102" w:lineRule="exact"/>
        <w:rPr>
          <w:sz w:val="20"/>
          <w:szCs w:val="20"/>
          <w:color w:val="auto"/>
        </w:rPr>
      </w:pPr>
    </w:p>
    <w:p>
      <w:pPr>
        <w:spacing w:after="0" w:line="274" w:lineRule="auto"/>
        <w:rPr>
          <w:rFonts w:ascii="Arial" w:cs="Arial" w:eastAsia="Arial" w:hAnsi="Arial"/>
          <w:sz w:val="11"/>
          <w:szCs w:val="11"/>
          <w:u w:val="single" w:color="auto"/>
          <w:color w:val="0000FF"/>
        </w:rPr>
      </w:pPr>
      <w:hyperlink r:id="rId125">
        <w:r>
          <w:rPr>
            <w:rFonts w:ascii="Arial" w:cs="Arial" w:eastAsia="Arial" w:hAnsi="Arial"/>
            <w:sz w:val="11"/>
            <w:szCs w:val="11"/>
            <w:u w:val="single" w:color="auto"/>
            <w:color w:val="0000FF"/>
          </w:rPr>
          <w:t>Amended and Restated Limited Liability Company Agreement of NRG DGPV Holdco 2 LLC, dated as of March 1, 2016, by and among</w:t>
        </w:r>
      </w:hyperlink>
      <w:r>
        <w:rPr>
          <w:rFonts w:ascii="Arial" w:cs="Arial" w:eastAsia="Arial" w:hAnsi="Arial"/>
          <w:sz w:val="11"/>
          <w:szCs w:val="11"/>
          <w:u w:val="single" w:color="auto"/>
          <w:color w:val="0000FF"/>
        </w:rPr>
        <w:t xml:space="preserve"> </w:t>
      </w:r>
      <w:hyperlink r:id="rId125">
        <w:r>
          <w:rPr>
            <w:rFonts w:ascii="Arial" w:cs="Arial" w:eastAsia="Arial" w:hAnsi="Arial"/>
            <w:sz w:val="11"/>
            <w:szCs w:val="11"/>
            <w:u w:val="single" w:color="auto"/>
            <w:color w:val="0000FF"/>
          </w:rPr>
          <w:t>NRG Yield DGPV Holding LLC, NRG Renew DG Holdings LLC, and NRG Renew LLC.</w:t>
        </w:r>
      </w:hyperlink>
    </w:p>
    <w:p>
      <w:pPr>
        <w:spacing w:after="0" w:line="153" w:lineRule="exact"/>
        <w:rPr>
          <w:sz w:val="20"/>
          <w:szCs w:val="20"/>
          <w:color w:val="auto"/>
        </w:rPr>
      </w:pPr>
    </w:p>
    <w:p>
      <w:pPr>
        <w:ind w:right="20"/>
        <w:spacing w:after="0" w:line="274" w:lineRule="auto"/>
        <w:rPr>
          <w:rFonts w:ascii="Arial" w:cs="Arial" w:eastAsia="Arial" w:hAnsi="Arial"/>
          <w:sz w:val="11"/>
          <w:szCs w:val="11"/>
          <w:u w:val="single" w:color="auto"/>
          <w:color w:val="0000FF"/>
        </w:rPr>
      </w:pPr>
      <w:hyperlink r:id="rId126">
        <w:r>
          <w:rPr>
            <w:rFonts w:ascii="Arial" w:cs="Arial" w:eastAsia="Arial" w:hAnsi="Arial"/>
            <w:sz w:val="11"/>
            <w:szCs w:val="11"/>
            <w:u w:val="single" w:color="auto"/>
            <w:color w:val="0000FF"/>
          </w:rPr>
          <w:t>Amendment No. 2 to Amended and Restated Limited Liability Company Agreement of NRG RPV Holdco 1 LLC, dated as of August 5,</w:t>
        </w:r>
      </w:hyperlink>
      <w:r>
        <w:rPr>
          <w:rFonts w:ascii="Arial" w:cs="Arial" w:eastAsia="Arial" w:hAnsi="Arial"/>
          <w:sz w:val="11"/>
          <w:szCs w:val="11"/>
          <w:u w:val="single" w:color="auto"/>
          <w:color w:val="0000FF"/>
        </w:rPr>
        <w:t xml:space="preserve"> </w:t>
      </w:r>
      <w:hyperlink r:id="rId126">
        <w:r>
          <w:rPr>
            <w:rFonts w:ascii="Arial" w:cs="Arial" w:eastAsia="Arial" w:hAnsi="Arial"/>
            <w:sz w:val="11"/>
            <w:szCs w:val="11"/>
            <w:u w:val="single" w:color="auto"/>
            <w:color w:val="0000FF"/>
          </w:rPr>
          <w:t>2016, by and between NRG Yield RPV Holding LLC and NRG Residential Solar Solutions LLC.</w:t>
        </w:r>
      </w:hyperlink>
    </w:p>
    <w:p>
      <w:pPr>
        <w:spacing w:after="0" w:line="153" w:lineRule="exact"/>
        <w:rPr>
          <w:sz w:val="20"/>
          <w:szCs w:val="20"/>
          <w:color w:val="auto"/>
        </w:rPr>
      </w:pPr>
    </w:p>
    <w:p>
      <w:pPr>
        <w:spacing w:after="0"/>
        <w:rPr>
          <w:rFonts w:ascii="Arial" w:cs="Arial" w:eastAsia="Arial" w:hAnsi="Arial"/>
          <w:sz w:val="11"/>
          <w:szCs w:val="11"/>
          <w:u w:val="single" w:color="auto"/>
          <w:color w:val="0000FF"/>
        </w:rPr>
      </w:pPr>
      <w:hyperlink r:id="rId127">
        <w:r>
          <w:rPr>
            <w:rFonts w:ascii="Arial" w:cs="Arial" w:eastAsia="Arial" w:hAnsi="Arial"/>
            <w:sz w:val="11"/>
            <w:szCs w:val="11"/>
            <w:u w:val="single" w:color="auto"/>
            <w:color w:val="0000FF"/>
          </w:rPr>
          <w:t>Employment Agreement, dated as of May 6, 2016, between NRG Yield, Inc. and Christopher S. Sotos.</w:t>
        </w:r>
      </w:hyperlink>
    </w:p>
    <w:p>
      <w:pPr>
        <w:spacing w:after="0" w:line="288" w:lineRule="exact"/>
        <w:rPr>
          <w:sz w:val="20"/>
          <w:szCs w:val="20"/>
          <w:color w:val="auto"/>
        </w:rPr>
      </w:pPr>
    </w:p>
    <w:p>
      <w:pPr>
        <w:spacing w:after="0"/>
        <w:rPr>
          <w:rFonts w:ascii="Arial" w:cs="Arial" w:eastAsia="Arial" w:hAnsi="Arial"/>
          <w:sz w:val="11"/>
          <w:szCs w:val="11"/>
          <w:u w:val="single" w:color="auto"/>
          <w:color w:val="0000FF"/>
        </w:rPr>
      </w:pPr>
      <w:hyperlink r:id="rId128">
        <w:r>
          <w:rPr>
            <w:rFonts w:ascii="Arial" w:cs="Arial" w:eastAsia="Arial" w:hAnsi="Arial"/>
            <w:sz w:val="11"/>
            <w:szCs w:val="11"/>
            <w:u w:val="single" w:color="auto"/>
            <w:color w:val="0000FF"/>
          </w:rPr>
          <w:t>Amendment, dated January 1, 2018 to Employment Agreement between NRG Yield, Inc. and Christopher Sotos.</w:t>
        </w:r>
      </w:hyperlink>
    </w:p>
    <w:p>
      <w:pPr>
        <w:spacing w:after="0" w:line="200" w:lineRule="exact"/>
        <w:rPr>
          <w:sz w:val="20"/>
          <w:szCs w:val="20"/>
          <w:color w:val="auto"/>
        </w:rPr>
      </w:pPr>
    </w:p>
    <w:p>
      <w:pPr>
        <w:spacing w:after="0" w:line="223" w:lineRule="exact"/>
        <w:rPr>
          <w:sz w:val="20"/>
          <w:szCs w:val="20"/>
          <w:color w:val="auto"/>
        </w:rPr>
      </w:pPr>
    </w:p>
    <w:p>
      <w:pPr>
        <w:spacing w:after="0"/>
        <w:rPr>
          <w:rFonts w:ascii="Arial" w:cs="Arial" w:eastAsia="Arial" w:hAnsi="Arial"/>
          <w:sz w:val="11"/>
          <w:szCs w:val="11"/>
          <w:u w:val="single" w:color="auto"/>
          <w:color w:val="0000FF"/>
        </w:rPr>
      </w:pPr>
      <w:hyperlink w:anchor="page178">
        <w:r>
          <w:rPr>
            <w:rFonts w:ascii="Arial" w:cs="Arial" w:eastAsia="Arial" w:hAnsi="Arial"/>
            <w:sz w:val="11"/>
            <w:szCs w:val="11"/>
            <w:u w:val="single" w:color="auto"/>
            <w:color w:val="0000FF"/>
          </w:rPr>
          <w:t>Form of Clearway Energy, Inc. 2013 Equity Incentive Plan Restricted Stock Unit Agreement for Officers.</w:t>
        </w:r>
      </w:hyperlink>
    </w:p>
    <w:p>
      <w:pPr>
        <w:spacing w:after="0" w:line="288" w:lineRule="exact"/>
        <w:rPr>
          <w:sz w:val="20"/>
          <w:szCs w:val="20"/>
          <w:color w:val="auto"/>
        </w:rPr>
      </w:pPr>
    </w:p>
    <w:p>
      <w:pPr>
        <w:spacing w:after="0"/>
        <w:rPr>
          <w:rFonts w:ascii="Arial" w:cs="Arial" w:eastAsia="Arial" w:hAnsi="Arial"/>
          <w:sz w:val="11"/>
          <w:szCs w:val="11"/>
          <w:u w:val="single" w:color="auto"/>
          <w:color w:val="0000FF"/>
        </w:rPr>
      </w:pPr>
      <w:hyperlink w:anchor="page185">
        <w:r>
          <w:rPr>
            <w:rFonts w:ascii="Arial" w:cs="Arial" w:eastAsia="Arial" w:hAnsi="Arial"/>
            <w:sz w:val="11"/>
            <w:szCs w:val="11"/>
            <w:u w:val="single" w:color="auto"/>
            <w:color w:val="0000FF"/>
          </w:rPr>
          <w:t>Form of Clearway Energy, Inc. 2013 Equity Incentive Plan Restricted Stock Unit Agreement for Non-officers.</w:t>
        </w:r>
      </w:hyperlink>
    </w:p>
    <w:p>
      <w:pPr>
        <w:spacing w:after="0" w:line="288" w:lineRule="exact"/>
        <w:rPr>
          <w:sz w:val="20"/>
          <w:szCs w:val="20"/>
          <w:color w:val="auto"/>
        </w:rPr>
      </w:pPr>
    </w:p>
    <w:p>
      <w:pPr>
        <w:spacing w:after="0"/>
        <w:rPr>
          <w:rFonts w:ascii="Arial" w:cs="Arial" w:eastAsia="Arial" w:hAnsi="Arial"/>
          <w:sz w:val="11"/>
          <w:szCs w:val="11"/>
          <w:u w:val="single" w:color="auto"/>
          <w:color w:val="0000FF"/>
        </w:rPr>
      </w:pPr>
      <w:hyperlink w:anchor="page192">
        <w:r>
          <w:rPr>
            <w:rFonts w:ascii="Arial" w:cs="Arial" w:eastAsia="Arial" w:hAnsi="Arial"/>
            <w:sz w:val="11"/>
            <w:szCs w:val="11"/>
            <w:u w:val="single" w:color="auto"/>
            <w:color w:val="0000FF"/>
          </w:rPr>
          <w:t>Form of Clearway Energy, Inc. 2013 Equity Incentive Plan Relative Performance Stock Unit Agreement.</w:t>
        </w:r>
      </w:hyperlink>
    </w:p>
    <w:p>
      <w:pPr>
        <w:spacing w:after="0" w:line="288" w:lineRule="exact"/>
        <w:rPr>
          <w:sz w:val="20"/>
          <w:szCs w:val="20"/>
          <w:color w:val="auto"/>
        </w:rPr>
      </w:pPr>
    </w:p>
    <w:p>
      <w:pPr>
        <w:spacing w:after="0"/>
        <w:rPr>
          <w:rFonts w:ascii="Arial" w:cs="Arial" w:eastAsia="Arial" w:hAnsi="Arial"/>
          <w:sz w:val="11"/>
          <w:szCs w:val="11"/>
          <w:u w:val="single" w:color="auto"/>
          <w:color w:val="0000FF"/>
        </w:rPr>
      </w:pPr>
      <w:hyperlink w:anchor="page202">
        <w:r>
          <w:rPr>
            <w:rFonts w:ascii="Arial" w:cs="Arial" w:eastAsia="Arial" w:hAnsi="Arial"/>
            <w:sz w:val="11"/>
            <w:szCs w:val="11"/>
            <w:u w:val="single" w:color="auto"/>
            <w:color w:val="0000FF"/>
          </w:rPr>
          <w:t>Clearway Energy, Inc. Annual Incentive Plan.</w:t>
        </w:r>
      </w:hyperlink>
    </w:p>
    <w:p>
      <w:pPr>
        <w:spacing w:after="0" w:line="153" w:lineRule="exact"/>
        <w:rPr>
          <w:sz w:val="20"/>
          <w:szCs w:val="20"/>
          <w:color w:val="auto"/>
        </w:rPr>
      </w:pPr>
    </w:p>
    <w:p>
      <w:pPr>
        <w:spacing w:after="0"/>
        <w:rPr>
          <w:rFonts w:ascii="Arial" w:cs="Arial" w:eastAsia="Arial" w:hAnsi="Arial"/>
          <w:sz w:val="11"/>
          <w:szCs w:val="11"/>
          <w:u w:val="single" w:color="auto"/>
          <w:color w:val="0000FF"/>
        </w:rPr>
      </w:pPr>
      <w:hyperlink w:anchor="page208">
        <w:r>
          <w:rPr>
            <w:rFonts w:ascii="Arial" w:cs="Arial" w:eastAsia="Arial" w:hAnsi="Arial"/>
            <w:sz w:val="11"/>
            <w:szCs w:val="11"/>
            <w:u w:val="single" w:color="auto"/>
            <w:color w:val="0000FF"/>
          </w:rPr>
          <w:t>Clearway Energy, Inc. Involuntary Severance Plan.</w:t>
        </w:r>
      </w:hyperlink>
    </w:p>
    <w:p>
      <w:pPr>
        <w:spacing w:after="0" w:line="153" w:lineRule="exact"/>
        <w:rPr>
          <w:sz w:val="20"/>
          <w:szCs w:val="20"/>
          <w:color w:val="auto"/>
        </w:rPr>
      </w:pPr>
    </w:p>
    <w:p>
      <w:pPr>
        <w:spacing w:after="0"/>
        <w:rPr>
          <w:rFonts w:ascii="Arial" w:cs="Arial" w:eastAsia="Arial" w:hAnsi="Arial"/>
          <w:sz w:val="11"/>
          <w:szCs w:val="11"/>
          <w:u w:val="single" w:color="auto"/>
          <w:color w:val="0000FF"/>
        </w:rPr>
      </w:pPr>
      <w:hyperlink w:anchor="page218">
        <w:r>
          <w:rPr>
            <w:rFonts w:ascii="Arial" w:cs="Arial" w:eastAsia="Arial" w:hAnsi="Arial"/>
            <w:sz w:val="11"/>
            <w:szCs w:val="11"/>
            <w:u w:val="single" w:color="auto"/>
            <w:color w:val="0000FF"/>
          </w:rPr>
          <w:t>Clearway Energy, Inc. Executive Change-in-Control and General Severance Plan for Tier IA and Tier IIA Executives.</w:t>
        </w:r>
      </w:hyperlink>
    </w:p>
    <w:p>
      <w:pPr>
        <w:spacing w:after="0" w:line="153" w:lineRule="exact"/>
        <w:rPr>
          <w:sz w:val="20"/>
          <w:szCs w:val="20"/>
          <w:color w:val="auto"/>
        </w:rPr>
      </w:pPr>
    </w:p>
    <w:p>
      <w:pPr>
        <w:ind w:right="480"/>
        <w:spacing w:after="0" w:line="274" w:lineRule="auto"/>
        <w:rPr>
          <w:rFonts w:ascii="Arial" w:cs="Arial" w:eastAsia="Arial" w:hAnsi="Arial"/>
          <w:sz w:val="11"/>
          <w:szCs w:val="11"/>
          <w:u w:val="single" w:color="auto"/>
          <w:color w:val="0000FF"/>
        </w:rPr>
      </w:pPr>
      <w:hyperlink w:anchor="page234">
        <w:r>
          <w:rPr>
            <w:rFonts w:ascii="Arial" w:cs="Arial" w:eastAsia="Arial" w:hAnsi="Arial"/>
            <w:sz w:val="11"/>
            <w:szCs w:val="11"/>
            <w:u w:val="single" w:color="auto"/>
            <w:color w:val="0000FF"/>
          </w:rPr>
          <w:t>Clearway Energy, Inc. Executive &amp; Key Management Change-in-Control and General Severance Plan for Tier III and Tier IV</w:t>
        </w:r>
      </w:hyperlink>
      <w:r>
        <w:rPr>
          <w:rFonts w:ascii="Arial" w:cs="Arial" w:eastAsia="Arial" w:hAnsi="Arial"/>
          <w:sz w:val="11"/>
          <w:szCs w:val="11"/>
          <w:u w:val="single" w:color="auto"/>
          <w:color w:val="0000FF"/>
        </w:rPr>
        <w:t xml:space="preserve"> </w:t>
      </w:r>
      <w:hyperlink w:anchor="page234">
        <w:r>
          <w:rPr>
            <w:rFonts w:ascii="Arial" w:cs="Arial" w:eastAsia="Arial" w:hAnsi="Arial"/>
            <w:sz w:val="11"/>
            <w:szCs w:val="11"/>
            <w:u w:val="single" w:color="auto"/>
            <w:color w:val="0000FF"/>
          </w:rPr>
          <w:t>Executives.</w:t>
        </w:r>
      </w:hyperlink>
    </w:p>
    <w:p>
      <w:pPr>
        <w:spacing w:after="0" w:line="126" w:lineRule="exact"/>
        <w:rPr>
          <w:sz w:val="20"/>
          <w:szCs w:val="20"/>
          <w:color w:val="auto"/>
        </w:rPr>
      </w:pPr>
    </w:p>
    <w:p>
      <w:pPr>
        <w:ind w:right="20"/>
        <w:spacing w:after="0" w:line="265" w:lineRule="auto"/>
        <w:rPr>
          <w:rFonts w:ascii="Arial" w:cs="Arial" w:eastAsia="Arial" w:hAnsi="Arial"/>
          <w:sz w:val="11"/>
          <w:szCs w:val="11"/>
          <w:u w:val="single" w:color="auto"/>
          <w:color w:val="0000FF"/>
        </w:rPr>
      </w:pPr>
      <w:hyperlink r:id="rId129">
        <w:r>
          <w:rPr>
            <w:rFonts w:ascii="Arial" w:cs="Arial" w:eastAsia="Arial" w:hAnsi="Arial"/>
            <w:sz w:val="11"/>
            <w:szCs w:val="11"/>
            <w:u w:val="single" w:color="auto"/>
            <w:color w:val="0000FF"/>
          </w:rPr>
          <w:t>Consent and Indemnity Agreement, dated as of February 6, 2018, by and among NRG Energy, Inc., NRG Repowering Holdings LLC,</w:t>
        </w:r>
      </w:hyperlink>
      <w:r>
        <w:rPr>
          <w:rFonts w:ascii="Arial" w:cs="Arial" w:eastAsia="Arial" w:hAnsi="Arial"/>
          <w:sz w:val="11"/>
          <w:szCs w:val="11"/>
          <w:u w:val="single" w:color="auto"/>
          <w:color w:val="0000FF"/>
        </w:rPr>
        <w:t xml:space="preserve"> </w:t>
      </w:r>
      <w:hyperlink r:id="rId129">
        <w:r>
          <w:rPr>
            <w:rFonts w:ascii="Arial" w:cs="Arial" w:eastAsia="Arial" w:hAnsi="Arial"/>
            <w:sz w:val="11"/>
            <w:szCs w:val="11"/>
            <w:u w:val="single" w:color="auto"/>
            <w:color w:val="0000FF"/>
          </w:rPr>
          <w:t>NRG Yield, Inc., and GIP III Zephyr Acquisition Partners, L.P., and NRG Yield Operating LLC (solely with respect to Sections E.5, E.6</w:t>
        </w:r>
      </w:hyperlink>
      <w:r>
        <w:rPr>
          <w:rFonts w:ascii="Arial" w:cs="Arial" w:eastAsia="Arial" w:hAnsi="Arial"/>
          <w:sz w:val="11"/>
          <w:szCs w:val="11"/>
          <w:u w:val="single" w:color="auto"/>
          <w:color w:val="0000FF"/>
        </w:rPr>
        <w:t xml:space="preserve"> </w:t>
      </w:r>
      <w:hyperlink r:id="rId129">
        <w:r>
          <w:rPr>
            <w:rFonts w:ascii="Arial" w:cs="Arial" w:eastAsia="Arial" w:hAnsi="Arial"/>
            <w:sz w:val="11"/>
            <w:szCs w:val="11"/>
            <w:u w:val="single" w:color="auto"/>
            <w:color w:val="0000FF"/>
          </w:rPr>
          <w:t>and G.12).</w:t>
        </w:r>
      </w:hyperlink>
    </w:p>
    <w:p>
      <w:pPr>
        <w:spacing w:after="0" w:line="217" w:lineRule="exact"/>
        <w:rPr>
          <w:rFonts w:ascii="Arial" w:cs="Arial" w:eastAsia="Arial" w:hAnsi="Arial"/>
          <w:sz w:val="11"/>
          <w:szCs w:val="11"/>
          <w:u w:val="single" w:color="auto"/>
          <w:color w:val="0000FF"/>
        </w:rPr>
      </w:pPr>
    </w:p>
    <w:p>
      <w:pPr>
        <w:ind w:left="4580"/>
        <w:spacing w:after="0"/>
        <w:rPr>
          <w:sz w:val="20"/>
          <w:szCs w:val="20"/>
          <w:color w:val="auto"/>
        </w:rPr>
      </w:pPr>
      <w:r>
        <w:rPr>
          <w:rFonts w:ascii="Arial" w:cs="Arial" w:eastAsia="Arial" w:hAnsi="Arial"/>
          <w:sz w:val="12"/>
          <w:szCs w:val="12"/>
          <w:color w:val="auto"/>
        </w:rPr>
        <w:t>137</w:t>
      </w:r>
    </w:p>
    <w:p>
      <w:pPr>
        <w:spacing w:after="0" w:line="20" w:lineRule="exact"/>
        <w:rPr>
          <w:rFonts w:ascii="Arial" w:cs="Arial" w:eastAsia="Arial" w:hAnsi="Arial"/>
          <w:sz w:val="11"/>
          <w:szCs w:val="11"/>
          <w:u w:val="single" w:color="auto"/>
          <w:color w:val="0000FF"/>
        </w:rPr>
      </w:pPr>
      <w:r>
        <w:rPr>
          <w:rFonts w:ascii="Arial" w:cs="Arial" w:eastAsia="Arial" w:hAnsi="Arial"/>
          <w:sz w:val="11"/>
          <w:szCs w:val="11"/>
          <w:u w:val="single" w:color="auto"/>
          <w:color w:val="0000FF"/>
        </w:rPr>
        <w:br w:type="column"/>
      </w:r>
    </w:p>
    <w:p>
      <w:pPr>
        <w:ind w:right="60"/>
        <w:spacing w:after="0" w:line="274" w:lineRule="auto"/>
        <w:rPr>
          <w:sz w:val="20"/>
          <w:szCs w:val="20"/>
          <w:color w:val="auto"/>
        </w:rPr>
      </w:pPr>
      <w:r>
        <w:rPr>
          <w:rFonts w:ascii="Arial" w:cs="Arial" w:eastAsia="Arial" w:hAnsi="Arial"/>
          <w:sz w:val="11"/>
          <w:szCs w:val="11"/>
          <w:color w:val="auto"/>
        </w:rPr>
        <w:t>Incorporated herein by reference to Exhibit 10.8 to the Company's Quarterly Report on Form 10-Q filed on August 4, 2015.</w:t>
      </w:r>
    </w:p>
    <w:p>
      <w:pPr>
        <w:spacing w:after="0" w:line="153"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10.5 to the Company's Quarterly Report on Form 10-Q filed on August 7, 2014.</w:t>
      </w:r>
    </w:p>
    <w:p>
      <w:pPr>
        <w:spacing w:after="0" w:line="17"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10.6 to the Company's Quarterly Report on Form 10-Q filed on August 7, 2014.</w:t>
      </w:r>
    </w:p>
    <w:p>
      <w:pPr>
        <w:spacing w:after="0" w:line="17"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August 4, 2015.</w:t>
      </w:r>
    </w:p>
    <w:p>
      <w:pPr>
        <w:spacing w:after="0" w:line="126"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10.2 to the Company's Quarterly Report on Form 10-Q filed on August 4, 2015.</w:t>
      </w:r>
    </w:p>
    <w:p>
      <w:pPr>
        <w:spacing w:after="0" w:line="17"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May 5, 2016.</w:t>
      </w:r>
    </w:p>
    <w:p>
      <w:pPr>
        <w:spacing w:after="0" w:line="153"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10.2 to the Company's Quarterly Report on Form 10-Q filed on May 5, 2016.</w:t>
      </w:r>
    </w:p>
    <w:p>
      <w:pPr>
        <w:spacing w:after="0" w:line="126"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10.3 to the Company's Quarterly Report on Form 10-Q filed on May 5, 2016.</w:t>
      </w:r>
    </w:p>
    <w:p>
      <w:pPr>
        <w:spacing w:after="0" w:line="153"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August 9, 2016.</w:t>
      </w:r>
    </w:p>
    <w:p>
      <w:pPr>
        <w:spacing w:after="0" w:line="207" w:lineRule="exact"/>
        <w:rPr>
          <w:rFonts w:ascii="Arial" w:cs="Arial" w:eastAsia="Arial" w:hAnsi="Arial"/>
          <w:sz w:val="11"/>
          <w:szCs w:val="11"/>
          <w:u w:val="single" w:color="auto"/>
          <w:color w:val="0000FF"/>
        </w:rPr>
      </w:pPr>
    </w:p>
    <w:p>
      <w:pPr>
        <w:ind w:right="60"/>
        <w:spacing w:after="0" w:line="274" w:lineRule="auto"/>
        <w:rPr>
          <w:sz w:val="20"/>
          <w:szCs w:val="20"/>
          <w:color w:val="auto"/>
        </w:rPr>
      </w:pPr>
      <w:r>
        <w:rPr>
          <w:rFonts w:ascii="Arial" w:cs="Arial" w:eastAsia="Arial" w:hAnsi="Arial"/>
          <w:sz w:val="11"/>
          <w:szCs w:val="11"/>
          <w:color w:val="auto"/>
        </w:rPr>
        <w:t>Incorporated herein by reference to Exhibit 10.1 to the Company's Current Report on Form 8-K/A, filed on August 9, 2016.</w:t>
      </w:r>
    </w:p>
    <w:p>
      <w:pPr>
        <w:spacing w:after="0" w:line="71" w:lineRule="exact"/>
        <w:rPr>
          <w:rFonts w:ascii="Arial" w:cs="Arial" w:eastAsia="Arial" w:hAnsi="Arial"/>
          <w:sz w:val="11"/>
          <w:szCs w:val="11"/>
          <w:u w:val="single" w:color="auto"/>
          <w:color w:val="0000FF"/>
        </w:rPr>
      </w:pPr>
    </w:p>
    <w:p>
      <w:pPr>
        <w:ind w:right="100"/>
        <w:spacing w:after="0" w:line="274" w:lineRule="auto"/>
        <w:rPr>
          <w:sz w:val="20"/>
          <w:szCs w:val="20"/>
          <w:color w:val="auto"/>
        </w:rPr>
      </w:pPr>
      <w:r>
        <w:rPr>
          <w:rFonts w:ascii="Arial" w:cs="Arial" w:eastAsia="Arial" w:hAnsi="Arial"/>
          <w:sz w:val="11"/>
          <w:szCs w:val="11"/>
          <w:color w:val="auto"/>
        </w:rPr>
        <w:t>Incorporated herein by reference to Exhibit 10.28 to the Company's Annual Report on Form 10-K filed on March 1, 2018.</w:t>
      </w:r>
    </w:p>
    <w:p>
      <w:pPr>
        <w:spacing w:after="0" w:line="261"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288"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288"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342"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153"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153"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153" w:lineRule="exact"/>
        <w:rPr>
          <w:rFonts w:ascii="Arial" w:cs="Arial" w:eastAsia="Arial" w:hAnsi="Arial"/>
          <w:sz w:val="11"/>
          <w:szCs w:val="11"/>
          <w:u w:val="single" w:color="auto"/>
          <w:color w:val="0000FF"/>
        </w:rPr>
      </w:pPr>
    </w:p>
    <w:p>
      <w:pPr>
        <w:spacing w:after="0"/>
        <w:rPr>
          <w:sz w:val="20"/>
          <w:szCs w:val="20"/>
          <w:color w:val="auto"/>
        </w:rPr>
      </w:pPr>
      <w:r>
        <w:rPr>
          <w:rFonts w:ascii="Arial" w:cs="Arial" w:eastAsia="Arial" w:hAnsi="Arial"/>
          <w:sz w:val="11"/>
          <w:szCs w:val="11"/>
          <w:color w:val="auto"/>
        </w:rPr>
        <w:t>Filed herewith.</w:t>
      </w:r>
    </w:p>
    <w:p>
      <w:pPr>
        <w:spacing w:after="0" w:line="288" w:lineRule="exact"/>
        <w:rPr>
          <w:rFonts w:ascii="Arial" w:cs="Arial" w:eastAsia="Arial" w:hAnsi="Arial"/>
          <w:sz w:val="11"/>
          <w:szCs w:val="11"/>
          <w:u w:val="single" w:color="auto"/>
          <w:color w:val="0000FF"/>
        </w:rPr>
      </w:pPr>
    </w:p>
    <w:p>
      <w:pPr>
        <w:spacing w:after="0" w:line="274" w:lineRule="auto"/>
        <w:rPr>
          <w:sz w:val="20"/>
          <w:szCs w:val="20"/>
          <w:color w:val="auto"/>
        </w:rPr>
      </w:pPr>
      <w:r>
        <w:rPr>
          <w:rFonts w:ascii="Arial" w:cs="Arial" w:eastAsia="Arial" w:hAnsi="Arial"/>
          <w:sz w:val="11"/>
          <w:szCs w:val="11"/>
          <w:color w:val="auto"/>
        </w:rPr>
        <w:t>Incorporated by reference to Exhibit 10.34 to the Company's Annual Report on Form 10-K, filed on March 1, 2018.</w:t>
      </w:r>
    </w:p>
    <w:p>
      <w:pPr>
        <w:sectPr>
          <w:pgSz w:w="11900" w:h="16838" w:orient="portrait"/>
          <w:cols w:equalWidth="0" w:num="3">
            <w:col w:w="320" w:space="720"/>
            <w:col w:w="5920" w:space="160"/>
            <w:col w:w="4320"/>
          </w:cols>
          <w:pgMar w:left="240" w:top="630" w:right="219" w:bottom="1440" w:gutter="0" w:footer="0" w:header="0"/>
        </w:sectPr>
      </w:pPr>
    </w:p>
    <w:bookmarkStart w:id="137" w:name="page138"/>
    <w:bookmarkEnd w:id="137"/>
    <w:tbl>
      <w:tblPr>
        <w:tblLayout w:type="fixed"/>
        <w:tblInd w:w="10" w:type="dxa"/>
        <w:tblCellMar>
          <w:top w:w="0" w:type="dxa"/>
          <w:left w:w="0" w:type="dxa"/>
          <w:bottom w:w="0" w:type="dxa"/>
          <w:right w:w="0" w:type="dxa"/>
        </w:tblCellMar>
      </w:tblPr>
      <w:tr>
        <w:trPr>
          <w:trHeight w:val="136"/>
        </w:trPr>
        <w:tc>
          <w:tcPr>
            <w:tcW w:w="1040" w:type="dxa"/>
            <w:vAlign w:val="bottom"/>
            <w:gridSpan w:val="2"/>
          </w:tcPr>
          <w:p>
            <w:pPr>
              <w:spacing w:after="0"/>
              <w:rPr>
                <w:sz w:val="20"/>
                <w:szCs w:val="20"/>
                <w:color w:val="auto"/>
              </w:rPr>
            </w:pPr>
            <w:r>
              <w:rPr>
                <w:rFonts w:ascii="Arial" w:cs="Arial" w:eastAsia="Arial" w:hAnsi="Arial"/>
                <w:sz w:val="11"/>
                <w:szCs w:val="11"/>
                <w:color w:val="auto"/>
              </w:rPr>
              <w:t>10.30</w:t>
            </w:r>
          </w:p>
        </w:tc>
        <w:tc>
          <w:tcPr>
            <w:tcW w:w="5920" w:type="dxa"/>
            <w:vAlign w:val="bottom"/>
            <w:gridSpan w:val="7"/>
            <w:vMerge w:val="restart"/>
          </w:tcPr>
          <w:p>
            <w:pPr>
              <w:spacing w:after="0"/>
              <w:rPr>
                <w:rFonts w:ascii="Arial" w:cs="Arial" w:eastAsia="Arial" w:hAnsi="Arial"/>
                <w:sz w:val="11"/>
                <w:szCs w:val="11"/>
                <w:color w:val="0000FF"/>
                <w:w w:val="89"/>
              </w:rPr>
            </w:pPr>
            <w:hyperlink w:anchor="page241">
              <w:r>
                <w:rPr>
                  <w:rFonts w:ascii="Arial" w:cs="Arial" w:eastAsia="Arial" w:hAnsi="Arial"/>
                  <w:sz w:val="11"/>
                  <w:szCs w:val="11"/>
                  <w:color w:val="0000FF"/>
                  <w:w w:val="89"/>
                </w:rPr>
                <w:t>Assignment and Assumption Agreement, effective as of February 26, 2019, among Clearway Energy Operating LLC and GIP III Zephyr</w:t>
              </w:r>
            </w:hyperlink>
          </w:p>
        </w:tc>
        <w:tc>
          <w:tcPr>
            <w:tcW w:w="80" w:type="dxa"/>
            <w:vAlign w:val="bottom"/>
            <w:vMerge w:val="restart"/>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20" w:type="dxa"/>
            <w:vAlign w:val="bottom"/>
            <w:tcBorders>
              <w:bottom w:val="single" w:sz="8" w:color="0000FF"/>
            </w:tcBorders>
            <w:gridSpan w:val="7"/>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0" w:type="dxa"/>
            <w:vAlign w:val="bottom"/>
            <w:gridSpan w:val="8"/>
          </w:tcPr>
          <w:p>
            <w:pPr>
              <w:spacing w:after="0" w:line="115" w:lineRule="exact"/>
              <w:rPr>
                <w:rFonts w:ascii="Arial" w:cs="Arial" w:eastAsia="Arial" w:hAnsi="Arial"/>
                <w:sz w:val="11"/>
                <w:szCs w:val="11"/>
                <w:color w:val="0000FF"/>
              </w:rPr>
            </w:pPr>
            <w:hyperlink w:anchor="page241">
              <w:r>
                <w:rPr>
                  <w:rFonts w:ascii="Arial" w:cs="Arial" w:eastAsia="Arial" w:hAnsi="Arial"/>
                  <w:sz w:val="11"/>
                  <w:szCs w:val="11"/>
                  <w:color w:val="0000FF"/>
                </w:rPr>
                <w:t>Carlsbad Holdings, LLC.</w:t>
              </w:r>
            </w:hyperlink>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20"/>
                <w:szCs w:val="20"/>
                <w:color w:val="auto"/>
              </w:rPr>
            </w:pPr>
            <w:r>
              <w:rPr>
                <w:rFonts w:ascii="Arial" w:cs="Arial" w:eastAsia="Arial" w:hAnsi="Arial"/>
                <w:sz w:val="11"/>
                <w:szCs w:val="11"/>
                <w:color w:val="auto"/>
                <w:w w:val="74"/>
              </w:rPr>
              <w:t>21.1</w:t>
            </w:r>
          </w:p>
        </w:tc>
        <w:tc>
          <w:tcPr>
            <w:tcW w:w="860" w:type="dxa"/>
            <w:vAlign w:val="bottom"/>
          </w:tcPr>
          <w:p>
            <w:pPr>
              <w:spacing w:after="0"/>
              <w:rPr>
                <w:sz w:val="18"/>
                <w:szCs w:val="18"/>
                <w:color w:val="auto"/>
              </w:rPr>
            </w:pPr>
          </w:p>
        </w:tc>
        <w:tc>
          <w:tcPr>
            <w:tcW w:w="1640" w:type="dxa"/>
            <w:vAlign w:val="bottom"/>
            <w:tcBorders>
              <w:bottom w:val="single" w:sz="8" w:color="0000FF"/>
            </w:tcBorders>
            <w:gridSpan w:val="3"/>
          </w:tcPr>
          <w:p>
            <w:pPr>
              <w:spacing w:after="0"/>
              <w:rPr>
                <w:rFonts w:ascii="Arial" w:cs="Arial" w:eastAsia="Arial" w:hAnsi="Arial"/>
                <w:sz w:val="11"/>
                <w:szCs w:val="11"/>
                <w:color w:val="0000FF"/>
                <w:w w:val="88"/>
              </w:rPr>
            </w:pPr>
            <w:hyperlink w:anchor="page244">
              <w:r>
                <w:rPr>
                  <w:rFonts w:ascii="Arial" w:cs="Arial" w:eastAsia="Arial" w:hAnsi="Arial"/>
                  <w:sz w:val="11"/>
                  <w:szCs w:val="11"/>
                  <w:color w:val="0000FF"/>
                  <w:w w:val="88"/>
                </w:rPr>
                <w:t>Subsidiaries of Clearway Energy, Inc.</w:t>
              </w:r>
            </w:hyperlink>
          </w:p>
        </w:tc>
        <w:tc>
          <w:tcPr>
            <w:tcW w:w="4360" w:type="dxa"/>
            <w:vAlign w:val="bottom"/>
            <w:gridSpan w:val="5"/>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w w:val="74"/>
              </w:rPr>
              <w:t>23.1</w:t>
            </w:r>
          </w:p>
        </w:tc>
        <w:tc>
          <w:tcPr>
            <w:tcW w:w="860" w:type="dxa"/>
            <w:vAlign w:val="bottom"/>
          </w:tcPr>
          <w:p>
            <w:pPr>
              <w:spacing w:after="0"/>
              <w:rPr>
                <w:sz w:val="13"/>
                <w:szCs w:val="13"/>
                <w:color w:val="auto"/>
              </w:rPr>
            </w:pPr>
          </w:p>
        </w:tc>
        <w:tc>
          <w:tcPr>
            <w:tcW w:w="1080" w:type="dxa"/>
            <w:vAlign w:val="bottom"/>
            <w:tcBorders>
              <w:bottom w:val="single" w:sz="8" w:color="0000FF"/>
            </w:tcBorders>
          </w:tcPr>
          <w:p>
            <w:pPr>
              <w:spacing w:after="0"/>
              <w:rPr>
                <w:rFonts w:ascii="Arial" w:cs="Arial" w:eastAsia="Arial" w:hAnsi="Arial"/>
                <w:sz w:val="11"/>
                <w:szCs w:val="11"/>
                <w:color w:val="0000FF"/>
                <w:w w:val="90"/>
              </w:rPr>
            </w:pPr>
            <w:hyperlink w:anchor="page253">
              <w:r>
                <w:rPr>
                  <w:rFonts w:ascii="Arial" w:cs="Arial" w:eastAsia="Arial" w:hAnsi="Arial"/>
                  <w:sz w:val="11"/>
                  <w:szCs w:val="11"/>
                  <w:color w:val="0000FF"/>
                  <w:w w:val="90"/>
                </w:rPr>
                <w:t>Consent of KPMG LLP.</w:t>
              </w:r>
            </w:hyperlink>
          </w:p>
        </w:tc>
        <w:tc>
          <w:tcPr>
            <w:tcW w:w="4920" w:type="dxa"/>
            <w:vAlign w:val="bottom"/>
            <w:gridSpan w:val="7"/>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w w:val="74"/>
              </w:rPr>
              <w:t>31.1</w:t>
            </w:r>
          </w:p>
        </w:tc>
        <w:tc>
          <w:tcPr>
            <w:tcW w:w="860" w:type="dxa"/>
            <w:vAlign w:val="bottom"/>
          </w:tcPr>
          <w:p>
            <w:pPr>
              <w:spacing w:after="0"/>
              <w:rPr>
                <w:sz w:val="13"/>
                <w:szCs w:val="13"/>
                <w:color w:val="auto"/>
              </w:rPr>
            </w:pPr>
          </w:p>
        </w:tc>
        <w:tc>
          <w:tcPr>
            <w:tcW w:w="2720" w:type="dxa"/>
            <w:vAlign w:val="bottom"/>
            <w:tcBorders>
              <w:bottom w:val="single" w:sz="8" w:color="0000FF"/>
            </w:tcBorders>
            <w:gridSpan w:val="6"/>
          </w:tcPr>
          <w:p>
            <w:pPr>
              <w:spacing w:after="0"/>
              <w:rPr>
                <w:rFonts w:ascii="Arial" w:cs="Arial" w:eastAsia="Arial" w:hAnsi="Arial"/>
                <w:sz w:val="11"/>
                <w:szCs w:val="11"/>
                <w:color w:val="0000FF"/>
                <w:w w:val="89"/>
              </w:rPr>
            </w:pPr>
            <w:hyperlink w:anchor="page254">
              <w:r>
                <w:rPr>
                  <w:rFonts w:ascii="Arial" w:cs="Arial" w:eastAsia="Arial" w:hAnsi="Arial"/>
                  <w:sz w:val="11"/>
                  <w:szCs w:val="11"/>
                  <w:color w:val="0000FF"/>
                  <w:w w:val="89"/>
                </w:rPr>
                <w:t>Rule 13a-14(a)/15d-14(a) certification of Christopher S. Sotos.</w:t>
              </w:r>
            </w:hyperlink>
          </w:p>
        </w:tc>
        <w:tc>
          <w:tcPr>
            <w:tcW w:w="3280" w:type="dxa"/>
            <w:vAlign w:val="bottom"/>
            <w:gridSpan w:val="2"/>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w w:val="74"/>
              </w:rPr>
              <w:t>31.2</w:t>
            </w:r>
          </w:p>
        </w:tc>
        <w:tc>
          <w:tcPr>
            <w:tcW w:w="860" w:type="dxa"/>
            <w:vAlign w:val="bottom"/>
          </w:tcPr>
          <w:p>
            <w:pPr>
              <w:spacing w:after="0"/>
              <w:rPr>
                <w:sz w:val="13"/>
                <w:szCs w:val="13"/>
                <w:color w:val="auto"/>
              </w:rPr>
            </w:pPr>
          </w:p>
        </w:tc>
        <w:tc>
          <w:tcPr>
            <w:tcW w:w="2400" w:type="dxa"/>
            <w:vAlign w:val="bottom"/>
            <w:tcBorders>
              <w:bottom w:val="single" w:sz="8" w:color="0000FF"/>
            </w:tcBorders>
            <w:gridSpan w:val="4"/>
          </w:tcPr>
          <w:p>
            <w:pPr>
              <w:spacing w:after="0"/>
              <w:rPr>
                <w:rFonts w:ascii="Arial" w:cs="Arial" w:eastAsia="Arial" w:hAnsi="Arial"/>
                <w:sz w:val="11"/>
                <w:szCs w:val="11"/>
                <w:color w:val="0000FF"/>
                <w:w w:val="90"/>
              </w:rPr>
            </w:pPr>
            <w:hyperlink w:anchor="page255">
              <w:r>
                <w:rPr>
                  <w:rFonts w:ascii="Arial" w:cs="Arial" w:eastAsia="Arial" w:hAnsi="Arial"/>
                  <w:sz w:val="11"/>
                  <w:szCs w:val="11"/>
                  <w:color w:val="0000FF"/>
                  <w:w w:val="90"/>
                </w:rPr>
                <w:t>Rule 13a-14(a)/15d-14(a) certification of Chad Plotkin.</w:t>
              </w:r>
            </w:hyperlink>
          </w:p>
        </w:tc>
        <w:tc>
          <w:tcPr>
            <w:tcW w:w="3600" w:type="dxa"/>
            <w:vAlign w:val="bottom"/>
            <w:gridSpan w:val="4"/>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w w:val="74"/>
              </w:rPr>
              <w:t>31.3</w:t>
            </w:r>
          </w:p>
        </w:tc>
        <w:tc>
          <w:tcPr>
            <w:tcW w:w="860" w:type="dxa"/>
            <w:vAlign w:val="bottom"/>
          </w:tcPr>
          <w:p>
            <w:pPr>
              <w:spacing w:after="0"/>
              <w:rPr>
                <w:sz w:val="13"/>
                <w:szCs w:val="13"/>
                <w:color w:val="auto"/>
              </w:rPr>
            </w:pPr>
          </w:p>
        </w:tc>
        <w:tc>
          <w:tcPr>
            <w:tcW w:w="6000" w:type="dxa"/>
            <w:vAlign w:val="bottom"/>
            <w:gridSpan w:val="8"/>
          </w:tcPr>
          <w:p>
            <w:pPr>
              <w:spacing w:after="0"/>
              <w:rPr>
                <w:rFonts w:ascii="Arial" w:cs="Arial" w:eastAsia="Arial" w:hAnsi="Arial"/>
                <w:sz w:val="11"/>
                <w:szCs w:val="11"/>
                <w:color w:val="0000FF"/>
              </w:rPr>
            </w:pPr>
            <w:hyperlink w:anchor="page256">
              <w:r>
                <w:rPr>
                  <w:rFonts w:ascii="Arial" w:cs="Arial" w:eastAsia="Arial" w:hAnsi="Arial"/>
                  <w:sz w:val="11"/>
                  <w:szCs w:val="11"/>
                  <w:color w:val="0000FF"/>
                </w:rPr>
                <w:t>Rule 13a-14(a)/15d-14(a) certification of Mary-Lee Stillwell.</w:t>
              </w:r>
            </w:hyperlink>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20"/>
                <w:szCs w:val="20"/>
                <w:color w:val="auto"/>
              </w:rPr>
            </w:pPr>
            <w:r>
              <w:rPr>
                <w:rFonts w:ascii="Arial" w:cs="Arial" w:eastAsia="Arial" w:hAnsi="Arial"/>
                <w:sz w:val="11"/>
                <w:szCs w:val="11"/>
                <w:color w:val="auto"/>
              </w:rPr>
              <w:t>32</w:t>
            </w:r>
          </w:p>
        </w:tc>
        <w:tc>
          <w:tcPr>
            <w:tcW w:w="860" w:type="dxa"/>
            <w:vAlign w:val="bottom"/>
          </w:tcPr>
          <w:p>
            <w:pPr>
              <w:spacing w:after="0"/>
              <w:rPr>
                <w:sz w:val="13"/>
                <w:szCs w:val="13"/>
                <w:color w:val="auto"/>
              </w:rPr>
            </w:pPr>
          </w:p>
        </w:tc>
        <w:tc>
          <w:tcPr>
            <w:tcW w:w="2640" w:type="dxa"/>
            <w:vAlign w:val="bottom"/>
            <w:tcBorders>
              <w:top w:val="single" w:sz="8" w:color="0000FF"/>
            </w:tcBorders>
            <w:gridSpan w:val="5"/>
          </w:tcPr>
          <w:p>
            <w:pPr>
              <w:spacing w:after="0"/>
              <w:rPr>
                <w:rFonts w:ascii="Arial" w:cs="Arial" w:eastAsia="Arial" w:hAnsi="Arial"/>
                <w:sz w:val="11"/>
                <w:szCs w:val="11"/>
                <w:color w:val="0000FF"/>
              </w:rPr>
            </w:pPr>
            <w:hyperlink w:anchor="page257">
              <w:r>
                <w:rPr>
                  <w:rFonts w:ascii="Arial" w:cs="Arial" w:eastAsia="Arial" w:hAnsi="Arial"/>
                  <w:sz w:val="11"/>
                  <w:szCs w:val="11"/>
                  <w:color w:val="0000FF"/>
                </w:rPr>
                <w:t>Section 1350 Certification.</w:t>
              </w:r>
            </w:hyperlink>
          </w:p>
        </w:tc>
        <w:tc>
          <w:tcPr>
            <w:tcW w:w="3360" w:type="dxa"/>
            <w:vAlign w:val="bottom"/>
            <w:gridSpan w:val="3"/>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auto"/>
                <w:w w:val="86"/>
              </w:rPr>
              <w:t>Furnished herewith.</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INS</w:t>
            </w:r>
          </w:p>
        </w:tc>
        <w:tc>
          <w:tcPr>
            <w:tcW w:w="6000" w:type="dxa"/>
            <w:vAlign w:val="bottom"/>
            <w:gridSpan w:val="8"/>
          </w:tcPr>
          <w:p>
            <w:pPr>
              <w:spacing w:after="0"/>
              <w:rPr>
                <w:sz w:val="20"/>
                <w:szCs w:val="20"/>
                <w:color w:val="auto"/>
              </w:rPr>
            </w:pPr>
            <w:r>
              <w:rPr>
                <w:rFonts w:ascii="Arial" w:cs="Arial" w:eastAsia="Arial" w:hAnsi="Arial"/>
                <w:sz w:val="11"/>
                <w:szCs w:val="11"/>
                <w:color w:val="auto"/>
              </w:rPr>
              <w:t>XBRL Instance Document.</w:t>
            </w: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SCH</w:t>
            </w:r>
          </w:p>
        </w:tc>
        <w:tc>
          <w:tcPr>
            <w:tcW w:w="6000" w:type="dxa"/>
            <w:vAlign w:val="bottom"/>
            <w:gridSpan w:val="8"/>
          </w:tcPr>
          <w:p>
            <w:pPr>
              <w:spacing w:after="0"/>
              <w:rPr>
                <w:sz w:val="20"/>
                <w:szCs w:val="20"/>
                <w:color w:val="auto"/>
              </w:rPr>
            </w:pPr>
            <w:r>
              <w:rPr>
                <w:rFonts w:ascii="Arial" w:cs="Arial" w:eastAsia="Arial" w:hAnsi="Arial"/>
                <w:sz w:val="11"/>
                <w:szCs w:val="11"/>
                <w:color w:val="auto"/>
              </w:rPr>
              <w:t>XBRL Taxonomy Extension Schema.</w:t>
            </w: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CAL</w:t>
            </w:r>
          </w:p>
        </w:tc>
        <w:tc>
          <w:tcPr>
            <w:tcW w:w="6000" w:type="dxa"/>
            <w:vAlign w:val="bottom"/>
            <w:gridSpan w:val="8"/>
          </w:tcPr>
          <w:p>
            <w:pPr>
              <w:spacing w:after="0"/>
              <w:rPr>
                <w:sz w:val="20"/>
                <w:szCs w:val="20"/>
                <w:color w:val="auto"/>
              </w:rPr>
            </w:pPr>
            <w:r>
              <w:rPr>
                <w:rFonts w:ascii="Arial" w:cs="Arial" w:eastAsia="Arial" w:hAnsi="Arial"/>
                <w:sz w:val="11"/>
                <w:szCs w:val="11"/>
                <w:color w:val="auto"/>
              </w:rPr>
              <w:t>XBRL Taxonomy Extension Calculation Linkbase.</w:t>
            </w: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DEF</w:t>
            </w:r>
          </w:p>
        </w:tc>
        <w:tc>
          <w:tcPr>
            <w:tcW w:w="6000" w:type="dxa"/>
            <w:vAlign w:val="bottom"/>
            <w:gridSpan w:val="8"/>
          </w:tcPr>
          <w:p>
            <w:pPr>
              <w:spacing w:after="0"/>
              <w:rPr>
                <w:sz w:val="20"/>
                <w:szCs w:val="20"/>
                <w:color w:val="auto"/>
              </w:rPr>
            </w:pPr>
            <w:r>
              <w:rPr>
                <w:rFonts w:ascii="Arial" w:cs="Arial" w:eastAsia="Arial" w:hAnsi="Arial"/>
                <w:sz w:val="11"/>
                <w:szCs w:val="11"/>
                <w:color w:val="auto"/>
              </w:rPr>
              <w:t>XBRL Taxonomy Extension Definition Linkbase.</w:t>
            </w: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LAB</w:t>
            </w:r>
          </w:p>
        </w:tc>
        <w:tc>
          <w:tcPr>
            <w:tcW w:w="6000" w:type="dxa"/>
            <w:vAlign w:val="bottom"/>
            <w:gridSpan w:val="8"/>
          </w:tcPr>
          <w:p>
            <w:pPr>
              <w:spacing w:after="0"/>
              <w:rPr>
                <w:sz w:val="20"/>
                <w:szCs w:val="20"/>
                <w:color w:val="auto"/>
              </w:rPr>
            </w:pPr>
            <w:r>
              <w:rPr>
                <w:rFonts w:ascii="Arial" w:cs="Arial" w:eastAsia="Arial" w:hAnsi="Arial"/>
                <w:sz w:val="11"/>
                <w:szCs w:val="11"/>
                <w:color w:val="auto"/>
              </w:rPr>
              <w:t>XBRL Taxonomy Extension Label Linkbase.</w:t>
            </w: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PRE</w:t>
            </w:r>
          </w:p>
        </w:tc>
        <w:tc>
          <w:tcPr>
            <w:tcW w:w="6000" w:type="dxa"/>
            <w:vAlign w:val="bottom"/>
            <w:gridSpan w:val="8"/>
          </w:tcPr>
          <w:p>
            <w:pPr>
              <w:spacing w:after="0"/>
              <w:rPr>
                <w:sz w:val="20"/>
                <w:szCs w:val="20"/>
                <w:color w:val="auto"/>
              </w:rPr>
            </w:pPr>
            <w:r>
              <w:rPr>
                <w:rFonts w:ascii="Arial" w:cs="Arial" w:eastAsia="Arial" w:hAnsi="Arial"/>
                <w:sz w:val="11"/>
                <w:szCs w:val="11"/>
                <w:color w:val="auto"/>
              </w:rPr>
              <w:t>XBRL Taxonomy Extension Presentation Linkbase.</w:t>
            </w:r>
          </w:p>
        </w:tc>
        <w:tc>
          <w:tcPr>
            <w:tcW w:w="940" w:type="dxa"/>
            <w:vAlign w:val="bottom"/>
          </w:tcPr>
          <w:p>
            <w:pPr>
              <w:ind w:left="8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70" w:hanging="370"/>
        <w:spacing w:after="0"/>
        <w:tabs>
          <w:tab w:leader="none" w:pos="37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Indicates exhibits that constitute compensatory plans or arrangements.</w:t>
      </w:r>
    </w:p>
    <w:p>
      <w:pPr>
        <w:spacing w:after="0" w:line="54" w:lineRule="exact"/>
        <w:rPr>
          <w:sz w:val="20"/>
          <w:szCs w:val="20"/>
          <w:color w:val="auto"/>
        </w:rPr>
      </w:pPr>
    </w:p>
    <w:p>
      <w:pPr>
        <w:ind w:left="370" w:right="4119" w:hanging="370"/>
        <w:spacing w:after="0" w:line="274" w:lineRule="auto"/>
        <w:tabs>
          <w:tab w:leader="none" w:pos="37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This filing excludes schedules pursuant to Item 601(b)(2) of Regulation S-K, which the registrant agrees to furnish supplementary to the Securities and Exchange Commission upon request by the Commission.</w:t>
      </w:r>
    </w:p>
    <w:p>
      <w:pPr>
        <w:spacing w:after="0" w:line="17" w:lineRule="exact"/>
        <w:rPr>
          <w:sz w:val="20"/>
          <w:szCs w:val="20"/>
          <w:color w:val="auto"/>
        </w:rPr>
      </w:pPr>
    </w:p>
    <w:p>
      <w:pPr>
        <w:ind w:left="370" w:right="4119" w:hanging="370"/>
        <w:spacing w:after="0" w:line="326" w:lineRule="auto"/>
        <w:tabs>
          <w:tab w:leader="none" w:pos="370" w:val="left"/>
        </w:tabs>
        <w:numPr>
          <w:ilvl w:val="0"/>
          <w:numId w:val="59"/>
        </w:numPr>
        <w:rPr>
          <w:rFonts w:ascii="Arial" w:cs="Arial" w:eastAsia="Arial" w:hAnsi="Arial"/>
          <w:sz w:val="10"/>
          <w:szCs w:val="10"/>
          <w:color w:val="auto"/>
        </w:rPr>
      </w:pPr>
      <w:r>
        <w:rPr>
          <w:rFonts w:ascii="Arial" w:cs="Arial" w:eastAsia="Arial" w:hAnsi="Arial"/>
          <w:sz w:val="10"/>
          <w:szCs w:val="10"/>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13" w:lineRule="exact"/>
        <w:rPr>
          <w:sz w:val="20"/>
          <w:szCs w:val="20"/>
          <w:color w:val="auto"/>
        </w:rPr>
      </w:pPr>
    </w:p>
    <w:p>
      <w:pPr>
        <w:ind w:left="5630"/>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10229"/>
          </w:cols>
          <w:pgMar w:left="230" w:top="630" w:right="1440"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b w:val="1"/>
          <w:bCs w:val="1"/>
          <w:color w:val="auto"/>
        </w:rPr>
        <w:t>Item 16 — Form 10-K Summary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76"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239"/>
          </w:cols>
          <w:pgMar w:left="220" w:top="514" w:right="1440" w:bottom="1440" w:gutter="0" w:footer="0" w:header="0"/>
        </w:sectPr>
      </w:pPr>
    </w:p>
    <w:bookmarkStart w:id="139" w:name="page140"/>
    <w:bookmarkEnd w:id="139"/>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CLEARWAY ENERGY, INC.</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(Registrant)</w:t>
      </w:r>
    </w:p>
    <w:p>
      <w:pPr>
        <w:spacing w:after="0" w:line="231"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20955</wp:posOffset>
            </wp:positionV>
            <wp:extent cx="21107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0">
                      <a:extLst>
                        <a:ext uri="{28A0092B-C50C-407E-A947-70E740481C1C}"/>
                      </a:extLst>
                    </a:blip>
                    <a:srcRect/>
                    <a:stretch>
                      <a:fillRect/>
                    </a:stretch>
                  </pic:blipFill>
                  <pic:spPr bwMode="auto">
                    <a:xfrm>
                      <a:off x="0" y="0"/>
                      <a:ext cx="2110740" cy="5715"/>
                    </a:xfrm>
                    <a:prstGeom prst="rect">
                      <a:avLst/>
                    </a:prstGeom>
                    <a:noFill/>
                  </pic:spPr>
                </pic:pic>
              </a:graphicData>
            </a:graphic>
          </wp:anchor>
        </w:drawing>
      </w:r>
    </w:p>
    <w:p>
      <w:pPr>
        <w:spacing w:after="0" w:line="31"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Christopher S. Sotos</w:t>
      </w:r>
    </w:p>
    <w:p>
      <w:pPr>
        <w:spacing w:after="0" w:line="42" w:lineRule="exact"/>
        <w:rPr>
          <w:sz w:val="20"/>
          <w:szCs w:val="20"/>
          <w:color w:val="auto"/>
        </w:rPr>
      </w:pPr>
    </w:p>
    <w:p>
      <w:pPr>
        <w:ind w:left="6880"/>
        <w:spacing w:after="0"/>
        <w:rPr>
          <w:sz w:val="20"/>
          <w:szCs w:val="20"/>
          <w:color w:val="auto"/>
        </w:rPr>
      </w:pPr>
      <w:r>
        <w:rPr>
          <w:rFonts w:ascii="Arial" w:cs="Arial" w:eastAsia="Arial" w:hAnsi="Arial"/>
          <w:sz w:val="12"/>
          <w:szCs w:val="12"/>
          <w:i w:val="1"/>
          <w:iCs w:val="1"/>
          <w:color w:val="auto"/>
        </w:rPr>
        <w:t>Chief Executive Officer</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2"/>
          <w:szCs w:val="12"/>
          <w:i w:val="1"/>
          <w:iCs w:val="1"/>
          <w:color w:val="auto"/>
        </w:rPr>
        <w:t>(Principal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28, 2019</w:t>
      </w:r>
    </w:p>
    <w:p>
      <w:pPr>
        <w:spacing w:after="0" w:line="200" w:lineRule="exact"/>
        <w:rPr>
          <w:sz w:val="20"/>
          <w:szCs w:val="20"/>
          <w:color w:val="auto"/>
        </w:rPr>
      </w:pP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10219"/>
          </w:cols>
          <w:pgMar w:left="240" w:top="766"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0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Each person whose signature appears below constitutes and appoints Christopher S. Sotos, Kevin P. Malcarney and Michael A. Brown,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accordance with the Exchange Act, this report has been signed by the following persons on behalf of the registrant in the capacities indicated on February 28, 2019.</w:t>
      </w:r>
    </w:p>
    <w:p>
      <w:pPr>
        <w:sectPr>
          <w:pgSz w:w="11900" w:h="16838" w:orient="portrait"/>
          <w:cols w:equalWidth="0" w:num="1">
            <w:col w:w="11480"/>
          </w:cols>
          <w:pgMar w:left="220" w:top="514" w:right="199" w:bottom="1440" w:gutter="0" w:footer="0" w:header="0"/>
        </w:sectPr>
      </w:pPr>
    </w:p>
    <w:p>
      <w:pPr>
        <w:spacing w:after="0" w:line="146" w:lineRule="exact"/>
        <w:rPr>
          <w:sz w:val="20"/>
          <w:szCs w:val="20"/>
          <w:color w:val="auto"/>
        </w:rPr>
      </w:pPr>
    </w:p>
    <w:p>
      <w:pPr>
        <w:jc w:val="center"/>
        <w:ind w:left="60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26504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1">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5" w:lineRule="exact"/>
        <w:rPr>
          <w:sz w:val="20"/>
          <w:szCs w:val="20"/>
          <w:color w:val="auto"/>
        </w:rPr>
      </w:pPr>
    </w:p>
    <w:p>
      <w:pPr>
        <w:jc w:val="center"/>
        <w:ind w:left="600"/>
        <w:spacing w:after="0"/>
        <w:rPr>
          <w:sz w:val="20"/>
          <w:szCs w:val="20"/>
          <w:color w:val="auto"/>
        </w:rPr>
      </w:pPr>
      <w:r>
        <w:rPr>
          <w:rFonts w:ascii="Arial" w:cs="Arial" w:eastAsia="Arial" w:hAnsi="Arial"/>
          <w:sz w:val="11"/>
          <w:szCs w:val="11"/>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26504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2">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Christopher S. Sotos</w:t>
      </w:r>
    </w:p>
    <w:p>
      <w:pPr>
        <w:spacing w:after="0" w:line="4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3">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Chad Plotkin</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4">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Mary-Lee Stillwell</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5">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Jonathan Bram</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1"/>
          <w:szCs w:val="11"/>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26504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6">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Nathaniel Anschuetz</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7">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Brian Ford</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8">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Bruce MacLennan</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 FERRELL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9">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Ferrell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226504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0">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21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Daniel B. More</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1">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E. Stanley O'Neal</w:t>
      </w:r>
    </w:p>
    <w:p>
      <w:pPr>
        <w:spacing w:after="0" w:line="42"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 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26504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2">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2"/>
          <w:szCs w:val="12"/>
          <w:color w:val="auto"/>
        </w:rPr>
        <w:t>Scott Stanley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10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60"/>
        </w:trPr>
        <w:tc>
          <w:tcPr>
            <w:tcW w:w="550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President, Chief Executive Officer and Director</w:t>
            </w:r>
          </w:p>
        </w:tc>
        <w:tc>
          <w:tcPr>
            <w:tcW w:w="2300" w:type="dxa"/>
            <w:vAlign w:val="bottom"/>
            <w:vMerge w:val="restart"/>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90"/>
        </w:trPr>
        <w:tc>
          <w:tcPr>
            <w:tcW w:w="550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4"/>
              </w:rPr>
              <w:t>(Principal Executive Officer)</w:t>
            </w: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500" w:type="dxa"/>
            <w:vAlign w:val="bottom"/>
            <w:gridSpan w:val="2"/>
            <w:vMerge w:val="continue"/>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Chief Financial Officer</w:t>
            </w:r>
          </w:p>
        </w:tc>
        <w:tc>
          <w:tcPr>
            <w:tcW w:w="2300" w:type="dxa"/>
            <w:vAlign w:val="bottom"/>
            <w:vMerge w:val="restart"/>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90"/>
        </w:trPr>
        <w:tc>
          <w:tcPr>
            <w:tcW w:w="550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4"/>
              </w:rPr>
              <w:t>(Principal Financial Officer)</w:t>
            </w: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500" w:type="dxa"/>
            <w:vAlign w:val="bottom"/>
            <w:gridSpan w:val="2"/>
            <w:vMerge w:val="continue"/>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50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Chief Accounting Officer</w:t>
            </w:r>
          </w:p>
        </w:tc>
        <w:tc>
          <w:tcPr>
            <w:tcW w:w="2300" w:type="dxa"/>
            <w:vAlign w:val="bottom"/>
            <w:vMerge w:val="restart"/>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90"/>
        </w:trPr>
        <w:tc>
          <w:tcPr>
            <w:tcW w:w="5500" w:type="dxa"/>
            <w:vAlign w:val="bottom"/>
            <w:gridSpan w:val="2"/>
            <w:vMerge w:val="restart"/>
          </w:tcPr>
          <w:p>
            <w:pPr>
              <w:jc w:val="center"/>
              <w:ind w:right="100"/>
              <w:spacing w:after="0"/>
              <w:rPr>
                <w:sz w:val="20"/>
                <w:szCs w:val="20"/>
                <w:color w:val="auto"/>
              </w:rPr>
            </w:pPr>
            <w:r>
              <w:rPr>
                <w:rFonts w:ascii="Arial" w:cs="Arial" w:eastAsia="Arial" w:hAnsi="Arial"/>
                <w:sz w:val="12"/>
                <w:szCs w:val="12"/>
                <w:color w:val="auto"/>
                <w:w w:val="95"/>
              </w:rPr>
              <w:t>(Principal Accounting Officer)</w:t>
            </w: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500" w:type="dxa"/>
            <w:vAlign w:val="bottom"/>
            <w:gridSpan w:val="2"/>
            <w:vMerge w:val="continue"/>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5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Chairman of the Board</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r>
        <w:trPr>
          <w:trHeight w:val="369"/>
        </w:trPr>
        <w:tc>
          <w:tcPr>
            <w:tcW w:w="550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300" w:type="dxa"/>
            <w:vAlign w:val="bottom"/>
          </w:tcPr>
          <w:p>
            <w:pPr>
              <w:jc w:val="center"/>
              <w:spacing w:after="0"/>
              <w:rPr>
                <w:sz w:val="20"/>
                <w:szCs w:val="20"/>
                <w:color w:val="auto"/>
              </w:rPr>
            </w:pPr>
            <w:r>
              <w:rPr>
                <w:rFonts w:ascii="Arial" w:cs="Arial" w:eastAsia="Arial" w:hAnsi="Arial"/>
                <w:sz w:val="12"/>
                <w:szCs w:val="12"/>
                <w:color w:val="auto"/>
                <w:w w:val="89"/>
              </w:rPr>
              <w:t>February 28, 2019</w:t>
            </w:r>
          </w:p>
        </w:tc>
        <w:tc>
          <w:tcPr>
            <w:tcW w:w="0" w:type="dxa"/>
            <w:vAlign w:val="bottom"/>
          </w:tcPr>
          <w:p>
            <w:pPr>
              <w:spacing w:after="0"/>
              <w:rPr>
                <w:sz w:val="1"/>
                <w:szCs w:val="1"/>
                <w:color w:val="auto"/>
              </w:rPr>
            </w:pPr>
          </w:p>
        </w:tc>
      </w:tr>
    </w:tbl>
    <w:p>
      <w:pPr>
        <w:spacing w:after="0" w:line="284" w:lineRule="exact"/>
        <w:rPr>
          <w:sz w:val="20"/>
          <w:szCs w:val="20"/>
          <w:color w:val="auto"/>
        </w:rPr>
      </w:pPr>
    </w:p>
    <w:p>
      <w:pPr>
        <w:sectPr>
          <w:pgSz w:w="11900" w:h="16838" w:orient="portrait"/>
          <w:cols w:equalWidth="0" w:num="2">
            <w:col w:w="2960" w:space="720"/>
            <w:col w:w="7800"/>
          </w:cols>
          <w:pgMar w:left="220" w:top="514" w:right="199" w:bottom="1440" w:gutter="0" w:footer="0" w:header="0"/>
          <w:type w:val="continuous"/>
        </w:sectPr>
      </w:pP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141</w:t>
      </w:r>
    </w:p>
    <w:p>
      <w:pPr>
        <w:sectPr>
          <w:pgSz w:w="11900" w:h="16838" w:orient="portrait"/>
          <w:cols w:equalWidth="0" w:num="1">
            <w:col w:w="11480"/>
          </w:cols>
          <w:pgMar w:left="220" w:top="514" w:right="199" w:bottom="1440" w:gutter="0" w:footer="0" w:header="0"/>
          <w:type w:val="continuous"/>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186055</wp:posOffset>
            </wp:positionV>
            <wp:extent cx="7332980" cy="4489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48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901065</wp:posOffset>
            </wp:positionH>
            <wp:positionV relativeFrom="page">
              <wp:posOffset>186055</wp:posOffset>
            </wp:positionV>
            <wp:extent cx="5765165" cy="95116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765165" cy="9511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186055</wp:posOffset>
            </wp:positionV>
            <wp:extent cx="7332980" cy="4489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48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901065</wp:posOffset>
            </wp:positionH>
            <wp:positionV relativeFrom="page">
              <wp:posOffset>186055</wp:posOffset>
            </wp:positionV>
            <wp:extent cx="5765165" cy="9511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765165" cy="9511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Arial" w:cs="Arial" w:eastAsia="Arial" w:hAnsi="Arial"/>
          <w:sz w:val="12"/>
          <w:szCs w:val="12"/>
          <w:b w:val="1"/>
          <w:bCs w:val="1"/>
          <w:color w:val="auto"/>
        </w:rPr>
        <w:t>Exhibit 10.9</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CLEARWAY ENERGY, INC.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AMENDED AND RESTATED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2013 EQUITY INCENTIVE PLAN</w:t>
      </w:r>
    </w:p>
    <w:p>
      <w:pPr>
        <w:spacing w:after="0" w:line="141" w:lineRule="exact"/>
        <w:rPr>
          <w:sz w:val="20"/>
          <w:szCs w:val="20"/>
          <w:color w:val="auto"/>
        </w:rPr>
      </w:pPr>
    </w:p>
    <w:p>
      <w:pPr>
        <w:ind w:left="8" w:right="20" w:firstLine="432"/>
        <w:spacing w:after="0" w:line="263" w:lineRule="auto"/>
        <w:rPr>
          <w:sz w:val="20"/>
          <w:szCs w:val="20"/>
          <w:color w:val="auto"/>
        </w:rPr>
      </w:pPr>
      <w:r>
        <w:rPr>
          <w:rFonts w:ascii="Arial" w:cs="Arial" w:eastAsia="Arial" w:hAnsi="Arial"/>
          <w:sz w:val="12"/>
          <w:szCs w:val="12"/>
          <w:color w:val="auto"/>
        </w:rPr>
        <w:t>Clearway Energy, Inc. (the “</w:t>
      </w:r>
      <w:r>
        <w:rPr>
          <w:rFonts w:ascii="Arial" w:cs="Arial" w:eastAsia="Arial" w:hAnsi="Arial"/>
          <w:sz w:val="12"/>
          <w:szCs w:val="12"/>
          <w:i w:val="1"/>
          <w:iCs w:val="1"/>
          <w:color w:val="auto"/>
        </w:rPr>
        <w:t>Company</w:t>
      </w:r>
      <w:r>
        <w:rPr>
          <w:rFonts w:ascii="Arial" w:cs="Arial" w:eastAsia="Arial" w:hAnsi="Arial"/>
          <w:sz w:val="12"/>
          <w:szCs w:val="12"/>
          <w:color w:val="auto"/>
        </w:rPr>
        <w:t>”) has adjusted its capital structure by (i) establishing two new classes of common stock, Class C common stock and Class D common stock, and (ii) distributing shares of the Class C common stock and Class D common stock to holders of Class A common stock and Class B common stock, respectively, through a stock split. As a result, the Clearway Energy, Inc. 2013 Equity Incentive Plan is hereby amended and restated to conform with the new capital structure of the Company and make minor technical changes.</w:t>
      </w:r>
    </w:p>
    <w:p>
      <w:pPr>
        <w:spacing w:after="0" w:line="141" w:lineRule="exact"/>
        <w:rPr>
          <w:sz w:val="20"/>
          <w:szCs w:val="20"/>
          <w:color w:val="auto"/>
        </w:rPr>
      </w:pPr>
    </w:p>
    <w:p>
      <w:pPr>
        <w:ind w:left="528" w:hanging="528"/>
        <w:spacing w:after="0"/>
        <w:tabs>
          <w:tab w:leader="none" w:pos="528" w:val="left"/>
        </w:tabs>
        <w:numPr>
          <w:ilvl w:val="0"/>
          <w:numId w:val="60"/>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Purpose.</w:t>
      </w:r>
    </w:p>
    <w:p>
      <w:pPr>
        <w:spacing w:after="0" w:line="159" w:lineRule="exact"/>
        <w:rPr>
          <w:sz w:val="20"/>
          <w:szCs w:val="20"/>
          <w:color w:val="auto"/>
        </w:rPr>
      </w:pPr>
    </w:p>
    <w:p>
      <w:pPr>
        <w:ind w:left="8" w:right="20" w:firstLine="432"/>
        <w:spacing w:after="0" w:line="283" w:lineRule="auto"/>
        <w:rPr>
          <w:sz w:val="20"/>
          <w:szCs w:val="20"/>
          <w:color w:val="auto"/>
        </w:rPr>
      </w:pPr>
      <w:r>
        <w:rPr>
          <w:rFonts w:ascii="Arial" w:cs="Arial" w:eastAsia="Arial" w:hAnsi="Arial"/>
          <w:sz w:val="11"/>
          <w:szCs w:val="11"/>
          <w:color w:val="auto"/>
        </w:rPr>
        <w:t>This plan shall be known as the Clearway Energy, Inc. Amended and Restated 2013 Equity Incentive Plan (the “</w:t>
      </w:r>
      <w:r>
        <w:rPr>
          <w:rFonts w:ascii="Arial" w:cs="Arial" w:eastAsia="Arial" w:hAnsi="Arial"/>
          <w:sz w:val="11"/>
          <w:szCs w:val="11"/>
          <w:i w:val="1"/>
          <w:iCs w:val="1"/>
          <w:color w:val="auto"/>
        </w:rPr>
        <w:t>Plan</w:t>
      </w:r>
      <w:r>
        <w:rPr>
          <w:rFonts w:ascii="Arial" w:cs="Arial" w:eastAsia="Arial" w:hAnsi="Arial"/>
          <w:sz w:val="11"/>
          <w:szCs w:val="11"/>
          <w:color w:val="auto"/>
        </w:rPr>
        <w:t>”). The purpose of the Plan shall be to promote the long-term growth and profitability of Clearway Energy, Inc., a Delaware corporation (the “</w:t>
      </w:r>
      <w:r>
        <w:rPr>
          <w:rFonts w:ascii="Arial" w:cs="Arial" w:eastAsia="Arial" w:hAnsi="Arial"/>
          <w:sz w:val="11"/>
          <w:szCs w:val="11"/>
          <w:i w:val="1"/>
          <w:iCs w:val="1"/>
          <w:color w:val="auto"/>
        </w:rPr>
        <w:t>Company</w:t>
      </w:r>
      <w:r>
        <w:rPr>
          <w:rFonts w:ascii="Arial" w:cs="Arial" w:eastAsia="Arial" w:hAnsi="Arial"/>
          <w:sz w:val="11"/>
          <w:szCs w:val="11"/>
          <w:color w:val="auto"/>
        </w:rPr>
        <w:t>”), and its Subsidiaries by (i) providing certain directors, officers and employees of, and certain other individuals who perform services for, or to whom an offer of employment has been extended by, the Company and its Subsidiaries with incentives to maximize shareholder value and otherwise contribute to the success of the Company and (ii) enabling the Company to attract, retain and reward the best available persons for positions of responsibility. Grants of Incentive Stock Options or Non-qualified Stock Options, stock appreciation rights (“</w:t>
      </w:r>
      <w:r>
        <w:rPr>
          <w:rFonts w:ascii="Arial" w:cs="Arial" w:eastAsia="Arial" w:hAnsi="Arial"/>
          <w:sz w:val="11"/>
          <w:szCs w:val="11"/>
          <w:i w:val="1"/>
          <w:iCs w:val="1"/>
          <w:color w:val="auto"/>
        </w:rPr>
        <w:t>SARs</w:t>
      </w:r>
      <w:r>
        <w:rPr>
          <w:rFonts w:ascii="Arial" w:cs="Arial" w:eastAsia="Arial" w:hAnsi="Arial"/>
          <w:sz w:val="11"/>
          <w:szCs w:val="11"/>
          <w:color w:val="auto"/>
        </w:rPr>
        <w:t>”), either alone or in tandem with options, restricted stock, Restricted Stock Units, Performance Awards, Deferred Stock Units, other stock based or cash based awards, or any combination of the foregoing (collectively, the “</w:t>
      </w:r>
      <w:r>
        <w:rPr>
          <w:rFonts w:ascii="Arial" w:cs="Arial" w:eastAsia="Arial" w:hAnsi="Arial"/>
          <w:sz w:val="11"/>
          <w:szCs w:val="11"/>
          <w:i w:val="1"/>
          <w:iCs w:val="1"/>
          <w:color w:val="auto"/>
        </w:rPr>
        <w:t>Awards</w:t>
      </w:r>
      <w:r>
        <w:rPr>
          <w:rFonts w:ascii="Arial" w:cs="Arial" w:eastAsia="Arial" w:hAnsi="Arial"/>
          <w:sz w:val="11"/>
          <w:szCs w:val="11"/>
          <w:color w:val="auto"/>
        </w:rPr>
        <w:t>”)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114" w:lineRule="exact"/>
        <w:rPr>
          <w:sz w:val="20"/>
          <w:szCs w:val="20"/>
          <w:color w:val="auto"/>
        </w:rPr>
      </w:pPr>
    </w:p>
    <w:p>
      <w:pPr>
        <w:ind w:left="208" w:hanging="208"/>
        <w:spacing w:after="0"/>
        <w:tabs>
          <w:tab w:leader="none" w:pos="208" w:val="left"/>
        </w:tabs>
        <w:numPr>
          <w:ilvl w:val="0"/>
          <w:numId w:val="61"/>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Definitions.</w:t>
      </w:r>
    </w:p>
    <w:p>
      <w:pPr>
        <w:spacing w:after="0" w:line="150" w:lineRule="exact"/>
        <w:rPr>
          <w:rFonts w:ascii="Arial" w:cs="Arial" w:eastAsia="Arial" w:hAnsi="Arial"/>
          <w:sz w:val="12"/>
          <w:szCs w:val="12"/>
          <w:b w:val="1"/>
          <w:bCs w:val="1"/>
          <w:color w:val="010000"/>
        </w:rPr>
      </w:pPr>
    </w:p>
    <w:p>
      <w:pPr>
        <w:ind w:left="8" w:right="60" w:firstLine="424"/>
        <w:spacing w:after="0" w:line="257" w:lineRule="auto"/>
        <w:tabs>
          <w:tab w:leader="none" w:pos="694" w:val="left"/>
        </w:tabs>
        <w:numPr>
          <w:ilvl w:val="1"/>
          <w:numId w:val="61"/>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Affiliate</w:t>
      </w:r>
      <w:r>
        <w:rPr>
          <w:rFonts w:ascii="Arial" w:cs="Arial" w:eastAsia="Arial" w:hAnsi="Arial"/>
          <w:sz w:val="12"/>
          <w:szCs w:val="12"/>
          <w:color w:val="auto"/>
        </w:rPr>
        <w:t>” means each of the following: (a) any Subsidiary; (b) any Parent; (c)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(d) any trade or business (including, without limitation, a partnership or limited liability company) which directly or indirectly controls 50% or more (whether by ownership of stock, assets or an equivalent ownership interest or voting interest) of the Company; and (e) any other entity in which the Company or any of its Affiliates has a material equity interest and which is designated as an “Affiliate” by resolution of the Committee; provided that, unless otherwise determined by the Committee, the Common Stock subject to any Award constitutes “service recipient stock” for purposes of Section 409A of the Code or otherwise does not subject the Award to Section 409A of the Code.</w:t>
      </w:r>
    </w:p>
    <w:p>
      <w:pPr>
        <w:spacing w:after="0" w:line="125" w:lineRule="exact"/>
        <w:rPr>
          <w:rFonts w:ascii="Arial" w:cs="Arial" w:eastAsia="Arial" w:hAnsi="Arial"/>
          <w:sz w:val="12"/>
          <w:szCs w:val="12"/>
          <w:color w:val="010000"/>
        </w:rPr>
      </w:pPr>
    </w:p>
    <w:p>
      <w:pPr>
        <w:ind w:left="688" w:hanging="256"/>
        <w:spacing w:after="0"/>
        <w:tabs>
          <w:tab w:leader="none" w:pos="688" w:val="left"/>
        </w:tabs>
        <w:numPr>
          <w:ilvl w:val="1"/>
          <w:numId w:val="61"/>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Board</w:t>
      </w:r>
      <w:r>
        <w:rPr>
          <w:rFonts w:ascii="Arial" w:cs="Arial" w:eastAsia="Arial" w:hAnsi="Arial"/>
          <w:sz w:val="12"/>
          <w:szCs w:val="12"/>
          <w:color w:val="auto"/>
        </w:rPr>
        <w:t>” means the board of directors of the Company.</w:t>
      </w:r>
    </w:p>
    <w:p>
      <w:pPr>
        <w:spacing w:after="0" w:line="150" w:lineRule="exact"/>
        <w:rPr>
          <w:rFonts w:ascii="Arial" w:cs="Arial" w:eastAsia="Arial" w:hAnsi="Arial"/>
          <w:sz w:val="12"/>
          <w:szCs w:val="12"/>
          <w:color w:val="010000"/>
        </w:rPr>
      </w:pPr>
    </w:p>
    <w:p>
      <w:pPr>
        <w:ind w:left="8" w:right="20" w:firstLine="424"/>
        <w:spacing w:after="0" w:line="276" w:lineRule="auto"/>
        <w:tabs>
          <w:tab w:leader="none" w:pos="694" w:val="left"/>
        </w:tabs>
        <w:numPr>
          <w:ilvl w:val="1"/>
          <w:numId w:val="61"/>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Cause</w:t>
      </w:r>
      <w:r>
        <w:rPr>
          <w:rFonts w:ascii="Arial" w:cs="Arial" w:eastAsia="Arial" w:hAnsi="Arial"/>
          <w:sz w:val="12"/>
          <w:szCs w:val="12"/>
          <w:color w:val="auto"/>
        </w:rPr>
        <w:t>”, unless otherwise defined in a Participant’s Grant Agreement or in a Participant’s written employment arrangements with the Company or any of its Subsidiaries in effect on the date of grant (as amended from time to time thereafter), means the occurrence of one or more of the following events:</w:t>
      </w:r>
    </w:p>
    <w:p>
      <w:pPr>
        <w:spacing w:after="0" w:line="114" w:lineRule="exact"/>
        <w:rPr>
          <w:rFonts w:ascii="Arial" w:cs="Arial" w:eastAsia="Arial" w:hAnsi="Arial"/>
          <w:sz w:val="12"/>
          <w:szCs w:val="12"/>
          <w:color w:val="010000"/>
        </w:rPr>
      </w:pPr>
    </w:p>
    <w:p>
      <w:pPr>
        <w:ind w:left="1108" w:hanging="243"/>
        <w:spacing w:after="0"/>
        <w:tabs>
          <w:tab w:leader="none" w:pos="1108" w:val="left"/>
        </w:tabs>
        <w:numPr>
          <w:ilvl w:val="2"/>
          <w:numId w:val="61"/>
        </w:numPr>
        <w:rPr>
          <w:rFonts w:ascii="Arial" w:cs="Arial" w:eastAsia="Arial" w:hAnsi="Arial"/>
          <w:sz w:val="12"/>
          <w:szCs w:val="12"/>
          <w:color w:val="010000"/>
        </w:rPr>
      </w:pPr>
      <w:r>
        <w:rPr>
          <w:rFonts w:ascii="Arial" w:cs="Arial" w:eastAsia="Arial" w:hAnsi="Arial"/>
          <w:sz w:val="12"/>
          <w:szCs w:val="12"/>
          <w:color w:val="auto"/>
        </w:rPr>
        <w:t>Conviction of, or agreement to a plea of nolo contendere to, a felony, or any crime or offense lesser than a felony involving the property of the Company or a Subsidiary; or</w:t>
      </w:r>
    </w:p>
    <w:p>
      <w:pPr>
        <w:spacing w:after="0" w:line="150" w:lineRule="exact"/>
        <w:rPr>
          <w:rFonts w:ascii="Arial" w:cs="Arial" w:eastAsia="Arial" w:hAnsi="Arial"/>
          <w:sz w:val="12"/>
          <w:szCs w:val="12"/>
          <w:color w:val="010000"/>
        </w:rPr>
      </w:pPr>
    </w:p>
    <w:p>
      <w:pPr>
        <w:ind w:left="1128" w:hanging="263"/>
        <w:spacing w:after="0"/>
        <w:tabs>
          <w:tab w:leader="none" w:pos="1128" w:val="left"/>
        </w:tabs>
        <w:numPr>
          <w:ilvl w:val="2"/>
          <w:numId w:val="61"/>
        </w:numPr>
        <w:rPr>
          <w:rFonts w:ascii="Arial" w:cs="Arial" w:eastAsia="Arial" w:hAnsi="Arial"/>
          <w:sz w:val="12"/>
          <w:szCs w:val="12"/>
          <w:color w:val="010000"/>
        </w:rPr>
      </w:pPr>
      <w:r>
        <w:rPr>
          <w:rFonts w:ascii="Arial" w:cs="Arial" w:eastAsia="Arial" w:hAnsi="Arial"/>
          <w:sz w:val="12"/>
          <w:szCs w:val="12"/>
          <w:color w:val="auto"/>
        </w:rPr>
        <w:t>Conduct that has caused demonstrable and serious injury to the Company or a Subsidiary, monetary or otherwise; or</w:t>
      </w:r>
    </w:p>
    <w:p>
      <w:pPr>
        <w:spacing w:after="0" w:line="150" w:lineRule="exact"/>
        <w:rPr>
          <w:rFonts w:ascii="Arial" w:cs="Arial" w:eastAsia="Arial" w:hAnsi="Arial"/>
          <w:sz w:val="12"/>
          <w:szCs w:val="12"/>
          <w:color w:val="010000"/>
        </w:rPr>
      </w:pPr>
    </w:p>
    <w:p>
      <w:pPr>
        <w:ind w:left="1168" w:hanging="303"/>
        <w:spacing w:after="0"/>
        <w:tabs>
          <w:tab w:leader="none" w:pos="1168" w:val="left"/>
        </w:tabs>
        <w:numPr>
          <w:ilvl w:val="2"/>
          <w:numId w:val="61"/>
        </w:numPr>
        <w:rPr>
          <w:rFonts w:ascii="Arial" w:cs="Arial" w:eastAsia="Arial" w:hAnsi="Arial"/>
          <w:sz w:val="12"/>
          <w:szCs w:val="12"/>
          <w:color w:val="010000"/>
        </w:rPr>
      </w:pPr>
      <w:r>
        <w:rPr>
          <w:rFonts w:ascii="Arial" w:cs="Arial" w:eastAsia="Arial" w:hAnsi="Arial"/>
          <w:sz w:val="12"/>
          <w:szCs w:val="12"/>
          <w:color w:val="auto"/>
        </w:rPr>
        <w:t>Willful refusal to perform or substantial disregard of duties properly assigned, as determined by the Company; or</w:t>
      </w:r>
    </w:p>
    <w:p>
      <w:pPr>
        <w:sectPr>
          <w:pgSz w:w="11900" w:h="16838" w:orient="portrait"/>
          <w:cols w:equalWidth="0" w:num="1">
            <w:col w:w="11488"/>
          </w:cols>
          <w:pgMar w:left="212" w:top="289" w:right="199" w:bottom="1440" w:gutter="0" w:footer="0" w:header="0"/>
        </w:sectPr>
      </w:pPr>
    </w:p>
    <w:bookmarkStart w:id="146" w:name="page147"/>
    <w:bookmarkEnd w:id="146"/>
    <w:p>
      <w:pPr>
        <w:ind w:left="1160" w:hanging="303"/>
        <w:spacing w:after="0"/>
        <w:tabs>
          <w:tab w:leader="none" w:pos="1160" w:val="left"/>
        </w:tabs>
        <w:numPr>
          <w:ilvl w:val="0"/>
          <w:numId w:val="62"/>
        </w:numPr>
        <w:rPr>
          <w:rFonts w:ascii="Arial" w:cs="Arial" w:eastAsia="Arial" w:hAnsi="Arial"/>
          <w:sz w:val="12"/>
          <w:szCs w:val="12"/>
          <w:color w:val="010000"/>
        </w:rPr>
      </w:pPr>
      <w:r>
        <w:rPr>
          <w:rFonts w:ascii="Arial" w:cs="Arial" w:eastAsia="Arial" w:hAnsi="Arial"/>
          <w:sz w:val="12"/>
          <w:szCs w:val="12"/>
          <w:color w:val="auto"/>
        </w:rPr>
        <w:t>Breach of duty of loyalty to the Company or a Subsidiary or other act of fraud or dishonesty with respect to the Company or a Subsidiary; or</w:t>
      </w:r>
    </w:p>
    <w:p>
      <w:pPr>
        <w:spacing w:after="0" w:line="150" w:lineRule="exact"/>
        <w:rPr>
          <w:rFonts w:ascii="Arial" w:cs="Arial" w:eastAsia="Arial" w:hAnsi="Arial"/>
          <w:sz w:val="12"/>
          <w:szCs w:val="12"/>
          <w:color w:val="010000"/>
        </w:rPr>
      </w:pPr>
    </w:p>
    <w:p>
      <w:pPr>
        <w:ind w:left="1120" w:hanging="263"/>
        <w:spacing w:after="0"/>
        <w:tabs>
          <w:tab w:leader="none" w:pos="1120" w:val="left"/>
        </w:tabs>
        <w:numPr>
          <w:ilvl w:val="0"/>
          <w:numId w:val="62"/>
        </w:numPr>
        <w:rPr>
          <w:rFonts w:ascii="Arial" w:cs="Arial" w:eastAsia="Arial" w:hAnsi="Arial"/>
          <w:sz w:val="12"/>
          <w:szCs w:val="12"/>
          <w:color w:val="010000"/>
        </w:rPr>
      </w:pPr>
      <w:r>
        <w:rPr>
          <w:rFonts w:ascii="Arial" w:cs="Arial" w:eastAsia="Arial" w:hAnsi="Arial"/>
          <w:sz w:val="12"/>
          <w:szCs w:val="12"/>
          <w:color w:val="auto"/>
        </w:rPr>
        <w:t>Violation of the Company’s code of conduct.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definition of Cause set forth in a Participant’s Grant Agreement shall control if such definition is different from the definition of Cause set forth in a Participant’s written employment arrangements with the Company or any of its Subsidiaries.</w:t>
      </w:r>
    </w:p>
    <w:p>
      <w:pPr>
        <w:spacing w:after="0" w:line="115" w:lineRule="exact"/>
        <w:rPr>
          <w:sz w:val="20"/>
          <w:szCs w:val="20"/>
          <w:color w:val="auto"/>
        </w:rPr>
      </w:pPr>
    </w:p>
    <w:p>
      <w:pPr>
        <w:ind w:left="680" w:hanging="256"/>
        <w:spacing w:after="0"/>
        <w:tabs>
          <w:tab w:leader="none" w:pos="680" w:val="left"/>
        </w:tabs>
        <w:numPr>
          <w:ilvl w:val="0"/>
          <w:numId w:val="63"/>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Change in Control</w:t>
      </w:r>
      <w:r>
        <w:rPr>
          <w:rFonts w:ascii="Arial" w:cs="Arial" w:eastAsia="Arial" w:hAnsi="Arial"/>
          <w:sz w:val="12"/>
          <w:szCs w:val="12"/>
          <w:color w:val="auto"/>
        </w:rPr>
        <w:t>” means, unless otherwise defined in a Participant’s Grant Agreement, the occurrence of one of the following events:</w:t>
      </w:r>
    </w:p>
    <w:p>
      <w:pPr>
        <w:spacing w:after="0" w:line="150" w:lineRule="exact"/>
        <w:rPr>
          <w:rFonts w:ascii="Arial" w:cs="Arial" w:eastAsia="Arial" w:hAnsi="Arial"/>
          <w:sz w:val="12"/>
          <w:szCs w:val="12"/>
          <w:color w:val="010000"/>
        </w:rPr>
      </w:pPr>
    </w:p>
    <w:p>
      <w:pPr>
        <w:jc w:val="both"/>
        <w:ind w:left="420" w:right="360" w:firstLine="437"/>
        <w:spacing w:after="0" w:line="263" w:lineRule="auto"/>
        <w:tabs>
          <w:tab w:leader="none" w:pos="1079" w:val="left"/>
        </w:tabs>
        <w:numPr>
          <w:ilvl w:val="1"/>
          <w:numId w:val="63"/>
        </w:numPr>
        <w:rPr>
          <w:rFonts w:ascii="Arial" w:cs="Arial" w:eastAsia="Arial" w:hAnsi="Arial"/>
          <w:sz w:val="12"/>
          <w:szCs w:val="12"/>
          <w:color w:val="010000"/>
        </w:rPr>
      </w:pPr>
      <w:r>
        <w:rPr>
          <w:rFonts w:ascii="Arial" w:cs="Arial" w:eastAsia="Arial" w:hAnsi="Arial"/>
          <w:sz w:val="12"/>
          <w:szCs w:val="12"/>
          <w:color w:val="auto"/>
        </w:rPr>
        <w:t>Any “person” (as that term is used in Sections 13 and 14(d)(2) of the Exchange Act or any successors thereto) becomes the “beneficial owner” (as that term is used in Section 13(d) of the Exchange Act or any successor thereto), directly or indirectly, of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w:t>
      </w:r>
    </w:p>
    <w:p>
      <w:pPr>
        <w:spacing w:after="0" w:line="122" w:lineRule="exact"/>
        <w:rPr>
          <w:rFonts w:ascii="Arial" w:cs="Arial" w:eastAsia="Arial" w:hAnsi="Arial"/>
          <w:sz w:val="12"/>
          <w:szCs w:val="12"/>
          <w:color w:val="010000"/>
        </w:rPr>
      </w:pPr>
    </w:p>
    <w:p>
      <w:pPr>
        <w:ind w:left="420" w:right="40" w:firstLine="437"/>
        <w:spacing w:after="0" w:line="255" w:lineRule="auto"/>
        <w:tabs>
          <w:tab w:leader="none" w:pos="1119" w:val="left"/>
        </w:tabs>
        <w:numPr>
          <w:ilvl w:val="1"/>
          <w:numId w:val="63"/>
        </w:numPr>
        <w:rPr>
          <w:rFonts w:ascii="Arial" w:cs="Arial" w:eastAsia="Arial" w:hAnsi="Arial"/>
          <w:sz w:val="12"/>
          <w:szCs w:val="12"/>
          <w:color w:val="010000"/>
        </w:rPr>
      </w:pPr>
      <w:r>
        <w:rPr>
          <w:rFonts w:ascii="Arial" w:cs="Arial" w:eastAsia="Arial" w:hAnsi="Arial"/>
          <w:sz w:val="12"/>
          <w:szCs w:val="12"/>
          <w:color w:val="auto"/>
        </w:rPr>
        <w:t>Persons who on the effective date of the plan of reorganization of the Company (the “</w:t>
      </w:r>
      <w:r>
        <w:rPr>
          <w:rFonts w:ascii="Arial" w:cs="Arial" w:eastAsia="Arial" w:hAnsi="Arial"/>
          <w:sz w:val="12"/>
          <w:szCs w:val="12"/>
          <w:i w:val="1"/>
          <w:iCs w:val="1"/>
          <w:color w:val="auto"/>
        </w:rPr>
        <w:t>Commencement Date</w:t>
      </w:r>
      <w:r>
        <w:rPr>
          <w:rFonts w:ascii="Arial" w:cs="Arial" w:eastAsia="Arial" w:hAnsi="Arial"/>
          <w:sz w:val="12"/>
          <w:szCs w:val="12"/>
          <w:color w:val="auto"/>
        </w:rPr>
        <w:t>”) constitute the Board (the “</w:t>
      </w:r>
      <w:r>
        <w:rPr>
          <w:rFonts w:ascii="Arial" w:cs="Arial" w:eastAsia="Arial" w:hAnsi="Arial"/>
          <w:sz w:val="12"/>
          <w:szCs w:val="12"/>
          <w:i w:val="1"/>
          <w:iCs w:val="1"/>
          <w:color w:val="auto"/>
        </w:rPr>
        <w:t>Incumbent Directors</w:t>
      </w:r>
      <w:r>
        <w:rPr>
          <w:rFonts w:ascii="Arial" w:cs="Arial" w:eastAsia="Arial" w:hAnsi="Arial"/>
          <w:sz w:val="12"/>
          <w:szCs w:val="12"/>
          <w:color w:val="auto"/>
        </w:rPr>
        <w:t>”)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29" w:lineRule="exact"/>
        <w:rPr>
          <w:rFonts w:ascii="Arial" w:cs="Arial" w:eastAsia="Arial" w:hAnsi="Arial"/>
          <w:sz w:val="12"/>
          <w:szCs w:val="12"/>
          <w:color w:val="010000"/>
        </w:rPr>
      </w:pPr>
    </w:p>
    <w:p>
      <w:pPr>
        <w:ind w:left="420" w:right="120" w:firstLine="437"/>
        <w:spacing w:after="0" w:line="286" w:lineRule="auto"/>
        <w:tabs>
          <w:tab w:leader="none" w:pos="1152" w:val="left"/>
        </w:tabs>
        <w:numPr>
          <w:ilvl w:val="1"/>
          <w:numId w:val="63"/>
        </w:numPr>
        <w:rPr>
          <w:rFonts w:ascii="Arial" w:cs="Arial" w:eastAsia="Arial" w:hAnsi="Arial"/>
          <w:sz w:val="11"/>
          <w:szCs w:val="11"/>
          <w:color w:val="010000"/>
        </w:rPr>
      </w:pPr>
      <w:r>
        <w:rPr>
          <w:rFonts w:ascii="Arial" w:cs="Arial" w:eastAsia="Arial" w:hAnsi="Arial"/>
          <w:sz w:val="11"/>
          <w:szCs w:val="11"/>
          <w:color w:val="auto"/>
        </w:rPr>
        <w:t>Consummation of a reorganization, merger or consolidation or sale or other disposition of all or substantially all of the assets of the Company (a “</w:t>
      </w:r>
      <w:r>
        <w:rPr>
          <w:rFonts w:ascii="Arial" w:cs="Arial" w:eastAsia="Arial" w:hAnsi="Arial"/>
          <w:sz w:val="11"/>
          <w:szCs w:val="11"/>
          <w:i w:val="1"/>
          <w:iCs w:val="1"/>
          <w:color w:val="auto"/>
        </w:rPr>
        <w:t>Business Combination</w:t>
      </w:r>
      <w:r>
        <w:rPr>
          <w:rFonts w:ascii="Arial" w:cs="Arial" w:eastAsia="Arial" w:hAnsi="Arial"/>
          <w:sz w:val="11"/>
          <w:szCs w:val="11"/>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11" w:lineRule="exact"/>
        <w:rPr>
          <w:rFonts w:ascii="Arial" w:cs="Arial" w:eastAsia="Arial" w:hAnsi="Arial"/>
          <w:sz w:val="11"/>
          <w:szCs w:val="11"/>
          <w:color w:val="010000"/>
        </w:rPr>
      </w:pPr>
    </w:p>
    <w:p>
      <w:pPr>
        <w:ind w:left="1140" w:hanging="283"/>
        <w:spacing w:after="0"/>
        <w:tabs>
          <w:tab w:leader="none" w:pos="1140" w:val="left"/>
        </w:tabs>
        <w:numPr>
          <w:ilvl w:val="1"/>
          <w:numId w:val="63"/>
        </w:numPr>
        <w:rPr>
          <w:rFonts w:ascii="Arial" w:cs="Arial" w:eastAsia="Arial" w:hAnsi="Arial"/>
          <w:sz w:val="12"/>
          <w:szCs w:val="12"/>
          <w:color w:val="010000"/>
        </w:rPr>
      </w:pPr>
      <w:r>
        <w:rPr>
          <w:rFonts w:ascii="Arial" w:cs="Arial" w:eastAsia="Arial" w:hAnsi="Arial"/>
          <w:sz w:val="12"/>
          <w:szCs w:val="12"/>
          <w:color w:val="auto"/>
        </w:rPr>
        <w:t>The shareholders of the Company approve any plan or proposal for the liquidation or dissolution of the Company.</w:t>
      </w:r>
    </w:p>
    <w:p>
      <w:pPr>
        <w:spacing w:after="0" w:line="15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In addition,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 ownership,” a “change in effective control” or a change in ownership of a substantial portion of the assets” of the Company within the meaning of Section 409A of the Code.</w:t>
      </w:r>
    </w:p>
    <w:p>
      <w:pPr>
        <w:spacing w:after="0" w:line="123" w:lineRule="exact"/>
        <w:rPr>
          <w:sz w:val="20"/>
          <w:szCs w:val="20"/>
          <w:color w:val="auto"/>
        </w:rPr>
      </w:pPr>
    </w:p>
    <w:p>
      <w:pPr>
        <w:ind w:left="680" w:hanging="256"/>
        <w:spacing w:after="0"/>
        <w:tabs>
          <w:tab w:leader="none" w:pos="680" w:val="left"/>
        </w:tabs>
        <w:numPr>
          <w:ilvl w:val="0"/>
          <w:numId w:val="64"/>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Code</w:t>
      </w:r>
      <w:r>
        <w:rPr>
          <w:rFonts w:ascii="Arial" w:cs="Arial" w:eastAsia="Arial" w:hAnsi="Arial"/>
          <w:sz w:val="12"/>
          <w:szCs w:val="12"/>
          <w:color w:val="auto"/>
        </w:rPr>
        <w:t>” means the Internal Revenue Code of 1986, as amended.</w:t>
      </w:r>
    </w:p>
    <w:p>
      <w:pPr>
        <w:spacing w:after="0" w:line="316"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93" w:right="239" w:bottom="1440" w:gutter="0" w:footer="0" w:header="0"/>
        </w:sectPr>
      </w:pPr>
    </w:p>
    <w:bookmarkStart w:id="147" w:name="page148"/>
    <w:bookmarkEnd w:id="147"/>
    <w:p>
      <w:pPr>
        <w:ind w:left="-424" w:right="40" w:firstLine="424"/>
        <w:spacing w:after="0" w:line="259" w:lineRule="auto"/>
        <w:tabs>
          <w:tab w:leader="none" w:pos="248"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Committee</w:t>
      </w:r>
      <w:r>
        <w:rPr>
          <w:rFonts w:ascii="Arial" w:cs="Arial" w:eastAsia="Arial" w:hAnsi="Arial"/>
          <w:sz w:val="12"/>
          <w:szCs w:val="12"/>
          <w:color w:val="auto"/>
        </w:rPr>
        <w:t>” means the Compensation Committee of the Board or such other committee which shall consist solely of two or more members of the Board, each of whom is (i) an “outside director” within the meaning of Treasury Regulation §1.162-27(e)(3); (ii) a non-employee director under Rule 16b-3 of the Exchange Act and (iii)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w:t>
      </w:r>
    </w:p>
    <w:p>
      <w:pPr>
        <w:spacing w:after="0" w:line="124" w:lineRule="exact"/>
        <w:rPr>
          <w:rFonts w:ascii="Arial" w:cs="Arial" w:eastAsia="Arial" w:hAnsi="Arial"/>
          <w:sz w:val="12"/>
          <w:szCs w:val="12"/>
          <w:color w:val="010000"/>
        </w:rPr>
      </w:pPr>
    </w:p>
    <w:p>
      <w:pPr>
        <w:jc w:val="both"/>
        <w:ind w:left="-424" w:firstLine="424"/>
        <w:spacing w:after="0" w:line="298" w:lineRule="auto"/>
        <w:tabs>
          <w:tab w:leader="none" w:pos="268" w:val="left"/>
        </w:tabs>
        <w:numPr>
          <w:ilvl w:val="0"/>
          <w:numId w:val="65"/>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Common Stock</w:t>
      </w:r>
      <w:r>
        <w:rPr>
          <w:rFonts w:ascii="Arial" w:cs="Arial" w:eastAsia="Arial" w:hAnsi="Arial"/>
          <w:sz w:val="11"/>
          <w:szCs w:val="11"/>
          <w:color w:val="auto"/>
        </w:rPr>
        <w:t>” means the Class A Common Stock, par value $0.01 per share, of the Company (as described in the Company’s Second Amended and Restated Certificate of Incorporation, as it may be amended from time to time); the Class C Common Stock, par value $0.01 per share, of the Company (as described in the Company’s Second Amended and Restated Certificate of Incorporation, as it may be amended from time to time); and any other shares into which such stock may be changed by reason of a recapitalization, reorganization, merger, consolidation or any other change in the corporate structure or capital stock of the Company.</w:t>
      </w:r>
    </w:p>
    <w:p>
      <w:pPr>
        <w:spacing w:after="0" w:line="105" w:lineRule="exact"/>
        <w:rPr>
          <w:rFonts w:ascii="Arial" w:cs="Arial" w:eastAsia="Arial" w:hAnsi="Arial"/>
          <w:sz w:val="11"/>
          <w:szCs w:val="11"/>
          <w:color w:val="010000"/>
        </w:rPr>
      </w:pPr>
    </w:p>
    <w:p>
      <w:pPr>
        <w:ind w:left="256" w:hanging="256"/>
        <w:spacing w:after="0"/>
        <w:tabs>
          <w:tab w:leader="none" w:pos="25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Company</w:t>
      </w:r>
      <w:r>
        <w:rPr>
          <w:rFonts w:ascii="Arial" w:cs="Arial" w:eastAsia="Arial" w:hAnsi="Arial"/>
          <w:sz w:val="12"/>
          <w:szCs w:val="12"/>
          <w:color w:val="auto"/>
        </w:rPr>
        <w:t>” shall have the meaning given to such term in Section 1 above.</w:t>
      </w:r>
    </w:p>
    <w:p>
      <w:pPr>
        <w:spacing w:after="0" w:line="150" w:lineRule="exact"/>
        <w:rPr>
          <w:rFonts w:ascii="Arial" w:cs="Arial" w:eastAsia="Arial" w:hAnsi="Arial"/>
          <w:sz w:val="12"/>
          <w:szCs w:val="12"/>
          <w:color w:val="010000"/>
        </w:rPr>
      </w:pPr>
    </w:p>
    <w:p>
      <w:pPr>
        <w:ind w:left="236" w:hanging="236"/>
        <w:spacing w:after="0"/>
        <w:tabs>
          <w:tab w:leader="none" w:pos="23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Consultant</w:t>
      </w:r>
      <w:r>
        <w:rPr>
          <w:rFonts w:ascii="Arial" w:cs="Arial" w:eastAsia="Arial" w:hAnsi="Arial"/>
          <w:sz w:val="12"/>
          <w:szCs w:val="12"/>
          <w:color w:val="auto"/>
        </w:rPr>
        <w:t>” means any natural person who is an advisor or consultant to the Company or its Affiliates.</w:t>
      </w:r>
    </w:p>
    <w:p>
      <w:pPr>
        <w:spacing w:after="0" w:line="150" w:lineRule="exact"/>
        <w:rPr>
          <w:rFonts w:ascii="Arial" w:cs="Arial" w:eastAsia="Arial" w:hAnsi="Arial"/>
          <w:sz w:val="12"/>
          <w:szCs w:val="12"/>
          <w:color w:val="010000"/>
        </w:rPr>
      </w:pPr>
    </w:p>
    <w:p>
      <w:pPr>
        <w:ind w:left="-424" w:right="80" w:firstLine="424"/>
        <w:spacing w:after="0" w:line="276" w:lineRule="auto"/>
        <w:tabs>
          <w:tab w:leader="none" w:pos="241"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Disability</w:t>
      </w:r>
      <w:r>
        <w:rPr>
          <w:rFonts w:ascii="Arial" w:cs="Arial" w:eastAsia="Arial" w:hAnsi="Arial"/>
          <w:sz w:val="12"/>
          <w:szCs w:val="12"/>
          <w:color w:val="auto"/>
        </w:rPr>
        <w:t>”, unless otherwise defined in a Participant’s Grant Agreement, means a disability that would entitle an eligible Participant to payment of monthly disability payments under any Company long-term disability plan or as otherwise determined by the Committee.</w:t>
      </w:r>
    </w:p>
    <w:p>
      <w:pPr>
        <w:spacing w:after="0" w:line="114" w:lineRule="exact"/>
        <w:rPr>
          <w:rFonts w:ascii="Arial" w:cs="Arial" w:eastAsia="Arial" w:hAnsi="Arial"/>
          <w:sz w:val="12"/>
          <w:szCs w:val="12"/>
          <w:color w:val="010000"/>
        </w:rPr>
      </w:pPr>
    </w:p>
    <w:p>
      <w:pPr>
        <w:ind w:left="256" w:hanging="256"/>
        <w:spacing w:after="0"/>
        <w:tabs>
          <w:tab w:leader="none" w:pos="25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Effective Date</w:t>
      </w:r>
      <w:r>
        <w:rPr>
          <w:rFonts w:ascii="Arial" w:cs="Arial" w:eastAsia="Arial" w:hAnsi="Arial"/>
          <w:sz w:val="12"/>
          <w:szCs w:val="12"/>
          <w:color w:val="auto"/>
        </w:rPr>
        <w:t>” shall have the meaning set forth in Section 25.</w:t>
      </w:r>
    </w:p>
    <w:p>
      <w:pPr>
        <w:spacing w:after="0" w:line="150" w:lineRule="exact"/>
        <w:rPr>
          <w:rFonts w:ascii="Arial" w:cs="Arial" w:eastAsia="Arial" w:hAnsi="Arial"/>
          <w:sz w:val="12"/>
          <w:szCs w:val="12"/>
          <w:color w:val="010000"/>
        </w:rPr>
      </w:pPr>
    </w:p>
    <w:p>
      <w:pPr>
        <w:ind w:left="236" w:hanging="236"/>
        <w:spacing w:after="0"/>
        <w:tabs>
          <w:tab w:leader="none" w:pos="23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Eligible Employees</w:t>
      </w:r>
      <w:r>
        <w:rPr>
          <w:rFonts w:ascii="Arial" w:cs="Arial" w:eastAsia="Arial" w:hAnsi="Arial"/>
          <w:sz w:val="12"/>
          <w:szCs w:val="12"/>
          <w:color w:val="auto"/>
        </w:rPr>
        <w:t>” means each employee of the Company or an Affiliate.</w:t>
      </w:r>
    </w:p>
    <w:p>
      <w:pPr>
        <w:spacing w:after="0" w:line="150" w:lineRule="exact"/>
        <w:rPr>
          <w:rFonts w:ascii="Arial" w:cs="Arial" w:eastAsia="Arial" w:hAnsi="Arial"/>
          <w:sz w:val="12"/>
          <w:szCs w:val="12"/>
          <w:color w:val="010000"/>
        </w:rPr>
      </w:pPr>
    </w:p>
    <w:p>
      <w:pPr>
        <w:ind w:left="296" w:hanging="296"/>
        <w:spacing w:after="0"/>
        <w:tabs>
          <w:tab w:leader="none" w:pos="29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Exchange Act</w:t>
      </w:r>
      <w:r>
        <w:rPr>
          <w:rFonts w:ascii="Arial" w:cs="Arial" w:eastAsia="Arial" w:hAnsi="Arial"/>
          <w:sz w:val="12"/>
          <w:szCs w:val="12"/>
          <w:color w:val="auto"/>
        </w:rPr>
        <w:t>” means the Securities Exchange Act of 1934, as amended.</w:t>
      </w:r>
    </w:p>
    <w:p>
      <w:pPr>
        <w:spacing w:after="0" w:line="150" w:lineRule="exact"/>
        <w:rPr>
          <w:rFonts w:ascii="Arial" w:cs="Arial" w:eastAsia="Arial" w:hAnsi="Arial"/>
          <w:sz w:val="12"/>
          <w:szCs w:val="12"/>
          <w:color w:val="010000"/>
        </w:rPr>
      </w:pPr>
    </w:p>
    <w:p>
      <w:pPr>
        <w:ind w:left="-424" w:right="20" w:firstLine="424"/>
        <w:spacing w:after="0" w:line="283" w:lineRule="auto"/>
        <w:tabs>
          <w:tab w:leader="none" w:pos="268" w:val="left"/>
        </w:tabs>
        <w:numPr>
          <w:ilvl w:val="0"/>
          <w:numId w:val="65"/>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Fair Market Value</w:t>
      </w:r>
      <w:r>
        <w:rPr>
          <w:rFonts w:ascii="Arial" w:cs="Arial" w:eastAsia="Arial" w:hAnsi="Arial"/>
          <w:sz w:val="11"/>
          <w:szCs w:val="11"/>
          <w:color w:val="auto"/>
        </w:rPr>
        <w:t>” of a share of Common Stock of the Company means, as of the date in question, and except as otherwise provided in any Grant Agreement entered into pursuant to agreements in effect as of the Commencement Date, the officially-quoted closing selling price of the applicable class of Common Stock (or if no selling price is quoted, the bid price) on the principal securities exchange on which the Common Stock is then listed for trading (including for this purpose the Nasdaq National Market) (the “</w:t>
      </w:r>
      <w:r>
        <w:rPr>
          <w:rFonts w:ascii="Arial" w:cs="Arial" w:eastAsia="Arial" w:hAnsi="Arial"/>
          <w:sz w:val="11"/>
          <w:szCs w:val="11"/>
          <w:i w:val="1"/>
          <w:iCs w:val="1"/>
          <w:color w:val="auto"/>
        </w:rPr>
        <w:t>Market</w:t>
      </w:r>
      <w:r>
        <w:rPr>
          <w:rFonts w:ascii="Arial" w:cs="Arial" w:eastAsia="Arial" w:hAnsi="Arial"/>
          <w:sz w:val="11"/>
          <w:szCs w:val="11"/>
          <w:color w:val="auto"/>
        </w:rPr>
        <w:t>”) for the applicable trading day (or if there no closing price on such day because the Market is not open on such day, the last preceding day on which the Market was open) or, if the applicable class of Common Stock is not then listed or quoted in the Market, the Fair Market Value shall be the fair value of the applicable class of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w:t>
      </w:r>
    </w:p>
    <w:p>
      <w:pPr>
        <w:spacing w:after="0" w:line="113" w:lineRule="exact"/>
        <w:rPr>
          <w:rFonts w:ascii="Arial" w:cs="Arial" w:eastAsia="Arial" w:hAnsi="Arial"/>
          <w:sz w:val="11"/>
          <w:szCs w:val="11"/>
          <w:color w:val="010000"/>
        </w:rPr>
      </w:pPr>
    </w:p>
    <w:p>
      <w:pPr>
        <w:ind w:left="256" w:hanging="256"/>
        <w:spacing w:after="0"/>
        <w:tabs>
          <w:tab w:leader="none" w:pos="25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Family Member</w:t>
      </w:r>
      <w:r>
        <w:rPr>
          <w:rFonts w:ascii="Arial" w:cs="Arial" w:eastAsia="Arial" w:hAnsi="Arial"/>
          <w:sz w:val="12"/>
          <w:szCs w:val="12"/>
          <w:color w:val="auto"/>
        </w:rPr>
        <w:t>” has the meaning given to such term in General Instructions A.1(a)(5) to Form S-8 under the Securities Act.</w:t>
      </w:r>
    </w:p>
    <w:p>
      <w:pPr>
        <w:spacing w:after="0" w:line="150" w:lineRule="exact"/>
        <w:rPr>
          <w:rFonts w:ascii="Arial" w:cs="Arial" w:eastAsia="Arial" w:hAnsi="Arial"/>
          <w:sz w:val="12"/>
          <w:szCs w:val="12"/>
          <w:color w:val="010000"/>
        </w:rPr>
      </w:pPr>
    </w:p>
    <w:p>
      <w:pPr>
        <w:ind w:left="-424" w:right="300" w:firstLine="424"/>
        <w:spacing w:after="0" w:line="276" w:lineRule="auto"/>
        <w:tabs>
          <w:tab w:leader="none" w:pos="268"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Grant Agreement</w:t>
      </w:r>
      <w:r>
        <w:rPr>
          <w:rFonts w:ascii="Arial" w:cs="Arial" w:eastAsia="Arial" w:hAnsi="Arial"/>
          <w:sz w:val="12"/>
          <w:szCs w:val="12"/>
          <w:color w:val="auto"/>
        </w:rPr>
        <w: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w:t>
      </w:r>
    </w:p>
    <w:p>
      <w:pPr>
        <w:spacing w:after="0" w:line="114" w:lineRule="exact"/>
        <w:rPr>
          <w:rFonts w:ascii="Arial" w:cs="Arial" w:eastAsia="Arial" w:hAnsi="Arial"/>
          <w:sz w:val="12"/>
          <w:szCs w:val="12"/>
          <w:color w:val="010000"/>
        </w:rPr>
      </w:pPr>
    </w:p>
    <w:p>
      <w:pPr>
        <w:ind w:left="256" w:hanging="256"/>
        <w:spacing w:after="0"/>
        <w:tabs>
          <w:tab w:leader="none" w:pos="25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Incentive Stock Option</w:t>
      </w:r>
      <w:r>
        <w:rPr>
          <w:rFonts w:ascii="Arial" w:cs="Arial" w:eastAsia="Arial" w:hAnsi="Arial"/>
          <w:sz w:val="12"/>
          <w:szCs w:val="12"/>
          <w:color w:val="auto"/>
        </w:rPr>
        <w:t>” means an option conforming to the requirements of Section 422 of the Code and any successor thereto.</w:t>
      </w:r>
    </w:p>
    <w:p>
      <w:pPr>
        <w:spacing w:after="0" w:line="150" w:lineRule="exact"/>
        <w:rPr>
          <w:rFonts w:ascii="Arial" w:cs="Arial" w:eastAsia="Arial" w:hAnsi="Arial"/>
          <w:sz w:val="12"/>
          <w:szCs w:val="12"/>
          <w:color w:val="010000"/>
        </w:rPr>
      </w:pPr>
    </w:p>
    <w:p>
      <w:pPr>
        <w:ind w:left="236" w:hanging="236"/>
        <w:spacing w:after="0"/>
        <w:tabs>
          <w:tab w:leader="none" w:pos="236" w:val="left"/>
        </w:tabs>
        <w:numPr>
          <w:ilvl w:val="0"/>
          <w:numId w:val="6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Lead Underwriter</w:t>
      </w:r>
      <w:r>
        <w:rPr>
          <w:rFonts w:ascii="Arial" w:cs="Arial" w:eastAsia="Arial" w:hAnsi="Arial"/>
          <w:sz w:val="12"/>
          <w:szCs w:val="12"/>
          <w:color w:val="auto"/>
        </w:rPr>
        <w:t>” has the meaning set forth in Section 18.</w:t>
      </w:r>
    </w:p>
    <w:p>
      <w:pPr>
        <w:spacing w:after="0" w:line="316" w:lineRule="exact"/>
        <w:rPr>
          <w:sz w:val="20"/>
          <w:szCs w:val="20"/>
          <w:color w:val="auto"/>
        </w:rPr>
      </w:pPr>
    </w:p>
    <w:p>
      <w:pPr>
        <w:ind w:left="2376"/>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36"/>
          </w:cols>
          <w:pgMar w:left="644" w:top="293" w:right="219" w:bottom="1440" w:gutter="0" w:footer="0" w:header="0"/>
        </w:sectPr>
      </w:pPr>
    </w:p>
    <w:bookmarkStart w:id="148" w:name="page149"/>
    <w:bookmarkEnd w:id="148"/>
    <w:p>
      <w:pPr>
        <w:ind w:left="680" w:hanging="256"/>
        <w:spacing w:after="0"/>
        <w:tabs>
          <w:tab w:leader="none" w:pos="680"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Lock-Up Period</w:t>
      </w:r>
      <w:r>
        <w:rPr>
          <w:rFonts w:ascii="Arial" w:cs="Arial" w:eastAsia="Arial" w:hAnsi="Arial"/>
          <w:sz w:val="12"/>
          <w:szCs w:val="12"/>
          <w:color w:val="auto"/>
        </w:rPr>
        <w:t>” has the meaning set forth in Section 18.</w:t>
      </w:r>
    </w:p>
    <w:p>
      <w:pPr>
        <w:spacing w:after="0" w:line="150" w:lineRule="exact"/>
        <w:rPr>
          <w:rFonts w:ascii="Arial" w:cs="Arial" w:eastAsia="Arial" w:hAnsi="Arial"/>
          <w:sz w:val="12"/>
          <w:szCs w:val="12"/>
          <w:color w:val="010000"/>
        </w:rPr>
      </w:pPr>
    </w:p>
    <w:p>
      <w:pPr>
        <w:ind w:left="660" w:hanging="236"/>
        <w:spacing w:after="0"/>
        <w:tabs>
          <w:tab w:leader="none" w:pos="660"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Non-Employee Director</w:t>
      </w:r>
      <w:r>
        <w:rPr>
          <w:rFonts w:ascii="Arial" w:cs="Arial" w:eastAsia="Arial" w:hAnsi="Arial"/>
          <w:sz w:val="12"/>
          <w:szCs w:val="12"/>
          <w:color w:val="auto"/>
        </w:rPr>
        <w:t>” means a director or a member of the Board of the Company or any Affiliate who is not an active employee of the Company or any Affiliate.</w:t>
      </w:r>
    </w:p>
    <w:p>
      <w:pPr>
        <w:spacing w:after="0" w:line="150" w:lineRule="exact"/>
        <w:rPr>
          <w:rFonts w:ascii="Arial" w:cs="Arial" w:eastAsia="Arial" w:hAnsi="Arial"/>
          <w:sz w:val="12"/>
          <w:szCs w:val="12"/>
          <w:color w:val="010000"/>
        </w:rPr>
      </w:pPr>
    </w:p>
    <w:p>
      <w:pPr>
        <w:ind w:left="680" w:hanging="256"/>
        <w:spacing w:after="0"/>
        <w:tabs>
          <w:tab w:leader="none" w:pos="680"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Non-qualified Stock Option</w:t>
      </w:r>
      <w:r>
        <w:rPr>
          <w:rFonts w:ascii="Arial" w:cs="Arial" w:eastAsia="Arial" w:hAnsi="Arial"/>
          <w:sz w:val="12"/>
          <w:szCs w:val="12"/>
          <w:color w:val="auto"/>
        </w:rPr>
        <w:t>” means any stock option other than an Incentive Stock Option.</w:t>
      </w:r>
    </w:p>
    <w:p>
      <w:pPr>
        <w:spacing w:after="0" w:line="150" w:lineRule="exact"/>
        <w:rPr>
          <w:rFonts w:ascii="Arial" w:cs="Arial" w:eastAsia="Arial" w:hAnsi="Arial"/>
          <w:sz w:val="12"/>
          <w:szCs w:val="12"/>
          <w:color w:val="010000"/>
        </w:rPr>
      </w:pPr>
    </w:p>
    <w:p>
      <w:pPr>
        <w:ind w:left="680" w:hanging="256"/>
        <w:spacing w:after="0"/>
        <w:tabs>
          <w:tab w:leader="none" w:pos="680" w:val="left"/>
        </w:tabs>
        <w:numPr>
          <w:ilvl w:val="0"/>
          <w:numId w:val="66"/>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Other Cash-Based Award</w:t>
      </w:r>
      <w:r>
        <w:rPr>
          <w:rFonts w:ascii="Arial" w:cs="Arial" w:eastAsia="Arial" w:hAnsi="Arial"/>
          <w:sz w:val="11"/>
          <w:szCs w:val="11"/>
          <w:color w:val="auto"/>
        </w:rPr>
        <w:t>” means an Award granted pursuant to Section 12 of the Plan and payable in cash at such time or times and subject to such terms and conditions as determined by the Committee in its sole</w:t>
      </w:r>
    </w:p>
    <w:p>
      <w:pPr>
        <w:spacing w:after="0" w:line="26" w:lineRule="exact"/>
        <w:rPr>
          <w:rFonts w:ascii="Arial" w:cs="Arial" w:eastAsia="Arial" w:hAnsi="Arial"/>
          <w:sz w:val="11"/>
          <w:szCs w:val="11"/>
          <w:color w:val="010000"/>
        </w:rPr>
      </w:pPr>
    </w:p>
    <w:p>
      <w:pPr>
        <w:spacing w:after="0"/>
        <w:rPr>
          <w:rFonts w:ascii="Arial" w:cs="Arial" w:eastAsia="Arial" w:hAnsi="Arial"/>
          <w:sz w:val="11"/>
          <w:szCs w:val="11"/>
          <w:color w:val="010000"/>
        </w:rPr>
      </w:pPr>
      <w:r>
        <w:rPr>
          <w:rFonts w:ascii="Arial" w:cs="Arial" w:eastAsia="Arial" w:hAnsi="Arial"/>
          <w:sz w:val="12"/>
          <w:szCs w:val="12"/>
          <w:color w:val="auto"/>
        </w:rPr>
        <w:t>discretion.</w:t>
      </w:r>
    </w:p>
    <w:p>
      <w:pPr>
        <w:spacing w:after="0" w:line="141" w:lineRule="exact"/>
        <w:rPr>
          <w:rFonts w:ascii="Arial" w:cs="Arial" w:eastAsia="Arial" w:hAnsi="Arial"/>
          <w:sz w:val="11"/>
          <w:szCs w:val="11"/>
          <w:color w:val="010000"/>
        </w:rPr>
      </w:pPr>
    </w:p>
    <w:p>
      <w:pPr>
        <w:ind w:right="120" w:firstLine="424"/>
        <w:spacing w:after="0" w:line="276" w:lineRule="auto"/>
        <w:tabs>
          <w:tab w:leader="none" w:pos="719"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Other Stock-Based Award</w:t>
      </w:r>
      <w:r>
        <w:rPr>
          <w:rFonts w:ascii="Arial" w:cs="Arial" w:eastAsia="Arial" w:hAnsi="Arial"/>
          <w:sz w:val="12"/>
          <w:szCs w:val="12"/>
          <w:color w:val="auto"/>
        </w:rPr>
        <w:t>” means an Award under of this Plan that is valued in whole or in part by reference to, or is payable in or otherwise based on, Common Stock, including, without limitation, an Award valued by reference to an Affiliate.</w:t>
      </w:r>
    </w:p>
    <w:p>
      <w:pPr>
        <w:spacing w:after="0" w:line="114" w:lineRule="exact"/>
        <w:rPr>
          <w:rFonts w:ascii="Arial" w:cs="Arial" w:eastAsia="Arial" w:hAnsi="Arial"/>
          <w:sz w:val="12"/>
          <w:szCs w:val="12"/>
          <w:color w:val="010000"/>
        </w:rPr>
      </w:pPr>
    </w:p>
    <w:p>
      <w:pPr>
        <w:ind w:left="680" w:hanging="256"/>
        <w:spacing w:after="0"/>
        <w:tabs>
          <w:tab w:leader="none" w:pos="680"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Parent</w:t>
      </w:r>
      <w:r>
        <w:rPr>
          <w:rFonts w:ascii="Arial" w:cs="Arial" w:eastAsia="Arial" w:hAnsi="Arial"/>
          <w:sz w:val="12"/>
          <w:szCs w:val="12"/>
          <w:color w:val="auto"/>
        </w:rPr>
        <w:t>” means any parent corporation of the Company within the meaning of Section 424(e) of the Code.</w:t>
      </w:r>
    </w:p>
    <w:p>
      <w:pPr>
        <w:spacing w:after="0" w:line="150" w:lineRule="exact"/>
        <w:rPr>
          <w:rFonts w:ascii="Arial" w:cs="Arial" w:eastAsia="Arial" w:hAnsi="Arial"/>
          <w:sz w:val="12"/>
          <w:szCs w:val="12"/>
          <w:color w:val="010000"/>
        </w:rPr>
      </w:pPr>
    </w:p>
    <w:p>
      <w:pPr>
        <w:ind w:firstLine="424"/>
        <w:spacing w:after="0" w:line="276" w:lineRule="auto"/>
        <w:tabs>
          <w:tab w:leader="none" w:pos="692"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Participant</w:t>
      </w:r>
      <w:r>
        <w:rPr>
          <w:rFonts w:ascii="Arial" w:cs="Arial" w:eastAsia="Arial" w:hAnsi="Arial"/>
          <w:sz w:val="12"/>
          <w:szCs w:val="12"/>
          <w:color w:val="auto"/>
        </w:rPr>
        <w:t>” means any director, officer or employee of, or other individual performing services for, or to whom an offer of employment has been extended by, the Company or any Subsidiary who has been selected by the Committee to participate in the Plan (including a Participant located outside the United States).</w:t>
      </w:r>
    </w:p>
    <w:p>
      <w:pPr>
        <w:spacing w:after="0" w:line="114" w:lineRule="exact"/>
        <w:rPr>
          <w:rFonts w:ascii="Arial" w:cs="Arial" w:eastAsia="Arial" w:hAnsi="Arial"/>
          <w:sz w:val="12"/>
          <w:szCs w:val="12"/>
          <w:color w:val="010000"/>
        </w:rPr>
      </w:pPr>
    </w:p>
    <w:p>
      <w:pPr>
        <w:ind w:left="680" w:hanging="256"/>
        <w:spacing w:after="0"/>
        <w:tabs>
          <w:tab w:leader="none" w:pos="680" w:val="left"/>
        </w:tabs>
        <w:numPr>
          <w:ilvl w:val="0"/>
          <w:numId w:val="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Performance Award</w:t>
      </w:r>
      <w:r>
        <w:rPr>
          <w:rFonts w:ascii="Arial" w:cs="Arial" w:eastAsia="Arial" w:hAnsi="Arial"/>
          <w:sz w:val="12"/>
          <w:szCs w:val="12"/>
          <w:color w:val="auto"/>
        </w:rPr>
        <w:t>” means an Award granted to a Participant pursuant to Section 9, hereof contingent upon achieving certain Performance Goals.</w:t>
      </w:r>
    </w:p>
    <w:p>
      <w:pPr>
        <w:spacing w:after="0" w:line="150" w:lineRule="exact"/>
        <w:rPr>
          <w:sz w:val="20"/>
          <w:szCs w:val="20"/>
          <w:color w:val="auto"/>
        </w:rPr>
      </w:pPr>
    </w:p>
    <w:p>
      <w:pPr>
        <w:ind w:left="740" w:hanging="316"/>
        <w:spacing w:after="0"/>
        <w:tabs>
          <w:tab w:leader="none" w:pos="74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Performance Cycle</w:t>
      </w:r>
      <w:r>
        <w:rPr>
          <w:rFonts w:ascii="Arial" w:cs="Arial" w:eastAsia="Arial" w:hAnsi="Arial"/>
          <w:sz w:val="12"/>
          <w:szCs w:val="12"/>
          <w:color w:val="auto"/>
        </w:rPr>
        <w:t>” shall have the meaning provided in Section 9.</w:t>
      </w:r>
    </w:p>
    <w:p>
      <w:pPr>
        <w:spacing w:after="0" w:line="150" w:lineRule="exact"/>
        <w:rPr>
          <w:rFonts w:ascii="Arial" w:cs="Arial" w:eastAsia="Arial" w:hAnsi="Arial"/>
          <w:sz w:val="12"/>
          <w:szCs w:val="12"/>
          <w:color w:val="010000"/>
        </w:rPr>
      </w:pPr>
    </w:p>
    <w:p>
      <w:pPr>
        <w:ind w:left="740" w:hanging="316"/>
        <w:spacing w:after="0"/>
        <w:tabs>
          <w:tab w:leader="none" w:pos="740" w:val="left"/>
        </w:tabs>
        <w:numPr>
          <w:ilvl w:val="0"/>
          <w:numId w:val="67"/>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Performance Goals</w:t>
      </w:r>
      <w:r>
        <w:rPr>
          <w:rFonts w:ascii="Arial" w:cs="Arial" w:eastAsia="Arial" w:hAnsi="Arial"/>
          <w:sz w:val="11"/>
          <w:szCs w:val="11"/>
          <w:color w:val="auto"/>
        </w:rPr>
        <w:t>” means goals established by the Committee as contingencies for Awards to vest and/or become exercisable or distributable based on one or more of the performance goals set forth in Section 9.</w:t>
      </w:r>
    </w:p>
    <w:p>
      <w:pPr>
        <w:spacing w:after="0" w:line="161" w:lineRule="exact"/>
        <w:rPr>
          <w:rFonts w:ascii="Arial" w:cs="Arial" w:eastAsia="Arial" w:hAnsi="Arial"/>
          <w:sz w:val="11"/>
          <w:szCs w:val="11"/>
          <w:color w:val="010000"/>
        </w:rPr>
      </w:pPr>
    </w:p>
    <w:p>
      <w:pPr>
        <w:ind w:left="740" w:hanging="316"/>
        <w:spacing w:after="0"/>
        <w:tabs>
          <w:tab w:leader="none" w:pos="740" w:val="left"/>
        </w:tabs>
        <w:numPr>
          <w:ilvl w:val="0"/>
          <w:numId w:val="67"/>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Person</w:t>
      </w:r>
      <w:r>
        <w:rPr>
          <w:rFonts w:ascii="Arial" w:cs="Arial" w:eastAsia="Arial" w:hAnsi="Arial"/>
          <w:sz w:val="11"/>
          <w:szCs w:val="11"/>
          <w:color w:val="auto"/>
        </w:rPr>
        <w:t>” means any individual, corporation, partnership, limited liability company, firm, joint venture, association, joint-stock company, trust, incorporated organization, governmental or regulatory or other entity.</w:t>
      </w:r>
    </w:p>
    <w:p>
      <w:pPr>
        <w:spacing w:after="0" w:line="161" w:lineRule="exact"/>
        <w:rPr>
          <w:rFonts w:ascii="Arial" w:cs="Arial" w:eastAsia="Arial" w:hAnsi="Arial"/>
          <w:sz w:val="11"/>
          <w:szCs w:val="11"/>
          <w:color w:val="010000"/>
        </w:rPr>
      </w:pPr>
    </w:p>
    <w:p>
      <w:pPr>
        <w:ind w:left="740" w:hanging="316"/>
        <w:spacing w:after="0"/>
        <w:tabs>
          <w:tab w:leader="none" w:pos="74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Plan</w:t>
      </w:r>
      <w:r>
        <w:rPr>
          <w:rFonts w:ascii="Arial" w:cs="Arial" w:eastAsia="Arial" w:hAnsi="Arial"/>
          <w:sz w:val="12"/>
          <w:szCs w:val="12"/>
          <w:color w:val="auto"/>
        </w:rPr>
        <w:t>” has the meaning set forth in Section 1.</w:t>
      </w:r>
    </w:p>
    <w:p>
      <w:pPr>
        <w:spacing w:after="0" w:line="150" w:lineRule="exact"/>
        <w:rPr>
          <w:rFonts w:ascii="Arial" w:cs="Arial" w:eastAsia="Arial" w:hAnsi="Arial"/>
          <w:sz w:val="12"/>
          <w:szCs w:val="12"/>
          <w:color w:val="010000"/>
        </w:rPr>
      </w:pPr>
    </w:p>
    <w:p>
      <w:pPr>
        <w:ind w:left="740" w:hanging="316"/>
        <w:spacing w:after="0"/>
        <w:tabs>
          <w:tab w:leader="none" w:pos="74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Proceeding</w:t>
      </w:r>
      <w:r>
        <w:rPr>
          <w:rFonts w:ascii="Arial" w:cs="Arial" w:eastAsia="Arial" w:hAnsi="Arial"/>
          <w:sz w:val="12"/>
          <w:szCs w:val="12"/>
          <w:color w:val="auto"/>
        </w:rPr>
        <w:t>” has the meaning set forth in Section 27.</w:t>
      </w:r>
    </w:p>
    <w:p>
      <w:pPr>
        <w:spacing w:after="0" w:line="150" w:lineRule="exact"/>
        <w:rPr>
          <w:rFonts w:ascii="Arial" w:cs="Arial" w:eastAsia="Arial" w:hAnsi="Arial"/>
          <w:sz w:val="12"/>
          <w:szCs w:val="12"/>
          <w:color w:val="010000"/>
        </w:rPr>
      </w:pPr>
    </w:p>
    <w:p>
      <w:pPr>
        <w:ind w:left="700" w:hanging="276"/>
        <w:spacing w:after="0"/>
        <w:tabs>
          <w:tab w:leader="none" w:pos="70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Registration Date</w:t>
      </w:r>
      <w:r>
        <w:rPr>
          <w:rFonts w:ascii="Arial" w:cs="Arial" w:eastAsia="Arial" w:hAnsi="Arial"/>
          <w:sz w:val="12"/>
          <w:szCs w:val="12"/>
          <w:color w:val="auto"/>
        </w:rPr>
        <w:t>” means the date on which the Company sells its Common Stock in a bona fide, firm commitment underwriting pursuant to a registration statement under the Securities Act.</w:t>
      </w:r>
    </w:p>
    <w:p>
      <w:pPr>
        <w:spacing w:after="0" w:line="150" w:lineRule="exact"/>
        <w:rPr>
          <w:rFonts w:ascii="Arial" w:cs="Arial" w:eastAsia="Arial" w:hAnsi="Arial"/>
          <w:sz w:val="12"/>
          <w:szCs w:val="12"/>
          <w:color w:val="010000"/>
        </w:rPr>
      </w:pPr>
    </w:p>
    <w:p>
      <w:pPr>
        <w:ind w:left="740" w:hanging="316"/>
        <w:spacing w:after="0"/>
        <w:tabs>
          <w:tab w:leader="none" w:pos="74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Restricted Stock</w:t>
      </w:r>
      <w:r>
        <w:rPr>
          <w:rFonts w:ascii="Arial" w:cs="Arial" w:eastAsia="Arial" w:hAnsi="Arial"/>
          <w:sz w:val="12"/>
          <w:szCs w:val="12"/>
          <w:color w:val="auto"/>
        </w:rPr>
        <w:t>” means an Award of Shares under this Plan that is subject to restrictions under Section 8.</w:t>
      </w:r>
    </w:p>
    <w:p>
      <w:pPr>
        <w:spacing w:after="0" w:line="150" w:lineRule="exact"/>
        <w:rPr>
          <w:rFonts w:ascii="Arial" w:cs="Arial" w:eastAsia="Arial" w:hAnsi="Arial"/>
          <w:sz w:val="12"/>
          <w:szCs w:val="12"/>
          <w:color w:val="010000"/>
        </w:rPr>
      </w:pPr>
    </w:p>
    <w:p>
      <w:pPr>
        <w:ind w:left="740" w:hanging="316"/>
        <w:spacing w:after="0"/>
        <w:tabs>
          <w:tab w:leader="none" w:pos="74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Restricted Stock Unit</w:t>
      </w:r>
      <w:r>
        <w:rPr>
          <w:rFonts w:ascii="Arial" w:cs="Arial" w:eastAsia="Arial" w:hAnsi="Arial"/>
          <w:sz w:val="12"/>
          <w:szCs w:val="12"/>
          <w:color w:val="auto"/>
        </w:rPr>
        <w:t>” or “</w:t>
      </w:r>
      <w:r>
        <w:rPr>
          <w:rFonts w:ascii="Arial" w:cs="Arial" w:eastAsia="Arial" w:hAnsi="Arial"/>
          <w:sz w:val="12"/>
          <w:szCs w:val="12"/>
          <w:i w:val="1"/>
          <w:iCs w:val="1"/>
          <w:color w:val="auto"/>
        </w:rPr>
        <w:t>Unit</w:t>
      </w:r>
      <w:r>
        <w:rPr>
          <w:rFonts w:ascii="Arial" w:cs="Arial" w:eastAsia="Arial" w:hAnsi="Arial"/>
          <w:sz w:val="12"/>
          <w:szCs w:val="12"/>
          <w:color w:val="auto"/>
        </w:rPr>
        <w:t>” means an Award of hypothetical Share units under this Plan that are convertible to Shares in accordance with Section 8.</w:t>
      </w:r>
    </w:p>
    <w:p>
      <w:pPr>
        <w:spacing w:after="0" w:line="150" w:lineRule="exact"/>
        <w:rPr>
          <w:rFonts w:ascii="Arial" w:cs="Arial" w:eastAsia="Arial" w:hAnsi="Arial"/>
          <w:sz w:val="12"/>
          <w:szCs w:val="12"/>
          <w:color w:val="010000"/>
        </w:rPr>
      </w:pPr>
    </w:p>
    <w:p>
      <w:pPr>
        <w:ind w:left="700" w:hanging="276"/>
        <w:spacing w:after="0"/>
        <w:tabs>
          <w:tab w:leader="none" w:pos="700"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Restriction Period</w:t>
      </w:r>
      <w:r>
        <w:rPr>
          <w:rFonts w:ascii="Arial" w:cs="Arial" w:eastAsia="Arial" w:hAnsi="Arial"/>
          <w:sz w:val="12"/>
          <w:szCs w:val="12"/>
          <w:color w:val="auto"/>
        </w:rPr>
        <w:t>” has the meaning set forth in Section 8(d) with respect to Restricted Stock.</w:t>
      </w:r>
    </w:p>
    <w:p>
      <w:pPr>
        <w:spacing w:after="0" w:line="150" w:lineRule="exact"/>
        <w:rPr>
          <w:rFonts w:ascii="Arial" w:cs="Arial" w:eastAsia="Arial" w:hAnsi="Arial"/>
          <w:sz w:val="12"/>
          <w:szCs w:val="12"/>
          <w:color w:val="010000"/>
        </w:rPr>
      </w:pPr>
    </w:p>
    <w:p>
      <w:pPr>
        <w:ind w:right="140" w:firstLine="424"/>
        <w:spacing w:after="0" w:line="276" w:lineRule="auto"/>
        <w:tabs>
          <w:tab w:leader="none" w:pos="699" w:val="left"/>
        </w:tabs>
        <w:numPr>
          <w:ilvl w:val="0"/>
          <w:numId w:val="67"/>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Retirement</w:t>
      </w:r>
      <w:r>
        <w:rPr>
          <w:rFonts w:ascii="Arial" w:cs="Arial" w:eastAsia="Arial" w:hAnsi="Arial"/>
          <w:sz w:val="12"/>
          <w:szCs w:val="12"/>
          <w:color w:val="auto"/>
        </w:rPr>
        <w:t>” means, (i) for any non-director, unless otherwise determined by the Committee, (A) termination of service as a non-director after at least 10 years of service by such non-director and (B) attaining at least 55 years of age, and (ii) for any director, unless otherwise determined by the Committee, termination of service as a director after at least five years of Board service by such director.</w:t>
      </w:r>
    </w:p>
    <w:p>
      <w:pPr>
        <w:spacing w:after="0" w:line="28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60"/>
          </w:cols>
          <w:pgMar w:left="220" w:top="293" w:right="319" w:bottom="1440" w:gutter="0" w:footer="0" w:header="0"/>
        </w:sectPr>
      </w:pPr>
    </w:p>
    <w:bookmarkStart w:id="149" w:name="page150"/>
    <w:bookmarkEnd w:id="149"/>
    <w:p>
      <w:pPr>
        <w:ind w:left="316" w:hanging="316"/>
        <w:spacing w:after="0"/>
        <w:tabs>
          <w:tab w:leader="none" w:pos="316"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Rule 16b-3</w:t>
      </w:r>
      <w:r>
        <w:rPr>
          <w:rFonts w:ascii="Arial" w:cs="Arial" w:eastAsia="Arial" w:hAnsi="Arial"/>
          <w:sz w:val="12"/>
          <w:szCs w:val="12"/>
          <w:color w:val="auto"/>
        </w:rPr>
        <w:t>” means Rule 16b-3 under Section 16(b) of the Exchange Act as then in effect or any successor provision.</w:t>
      </w:r>
    </w:p>
    <w:p>
      <w:pPr>
        <w:spacing w:after="0" w:line="150" w:lineRule="exact"/>
        <w:rPr>
          <w:rFonts w:ascii="Arial" w:cs="Arial" w:eastAsia="Arial" w:hAnsi="Arial"/>
          <w:sz w:val="12"/>
          <w:szCs w:val="12"/>
          <w:color w:val="010000"/>
        </w:rPr>
      </w:pPr>
    </w:p>
    <w:p>
      <w:pPr>
        <w:ind w:left="-424" w:right="80" w:firstLine="424"/>
        <w:spacing w:after="0" w:line="323" w:lineRule="auto"/>
        <w:tabs>
          <w:tab w:leader="none" w:pos="275" w:val="left"/>
        </w:tabs>
        <w:numPr>
          <w:ilvl w:val="0"/>
          <w:numId w:val="68"/>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Securities Act</w:t>
      </w:r>
      <w:r>
        <w:rPr>
          <w:rFonts w:ascii="Arial" w:cs="Arial" w:eastAsia="Arial" w:hAnsi="Arial"/>
          <w:sz w:val="11"/>
          <w:szCs w:val="11"/>
          <w:color w:val="auto"/>
        </w:rPr>
        <w: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91" w:lineRule="exact"/>
        <w:rPr>
          <w:rFonts w:ascii="Arial" w:cs="Arial" w:eastAsia="Arial" w:hAnsi="Arial"/>
          <w:sz w:val="11"/>
          <w:szCs w:val="11"/>
          <w:color w:val="010000"/>
        </w:rPr>
      </w:pPr>
    </w:p>
    <w:p>
      <w:pPr>
        <w:ind w:left="396" w:hanging="396"/>
        <w:spacing w:after="0"/>
        <w:tabs>
          <w:tab w:leader="none" w:pos="396"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Shares</w:t>
      </w:r>
      <w:r>
        <w:rPr>
          <w:rFonts w:ascii="Arial" w:cs="Arial" w:eastAsia="Arial" w:hAnsi="Arial"/>
          <w:sz w:val="12"/>
          <w:szCs w:val="12"/>
          <w:color w:val="auto"/>
        </w:rPr>
        <w:t>” shall have the meaning set forth in Section 4.</w:t>
      </w:r>
    </w:p>
    <w:p>
      <w:pPr>
        <w:spacing w:after="0" w:line="150" w:lineRule="exact"/>
        <w:rPr>
          <w:rFonts w:ascii="Arial" w:cs="Arial" w:eastAsia="Arial" w:hAnsi="Arial"/>
          <w:sz w:val="12"/>
          <w:szCs w:val="12"/>
          <w:color w:val="010000"/>
        </w:rPr>
      </w:pPr>
    </w:p>
    <w:p>
      <w:pPr>
        <w:ind w:left="316" w:hanging="316"/>
        <w:spacing w:after="0"/>
        <w:tabs>
          <w:tab w:leader="none" w:pos="316"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Stock Appreciation Right</w:t>
      </w:r>
      <w:r>
        <w:rPr>
          <w:rFonts w:ascii="Arial" w:cs="Arial" w:eastAsia="Arial" w:hAnsi="Arial"/>
          <w:sz w:val="12"/>
          <w:szCs w:val="12"/>
          <w:color w:val="auto"/>
        </w:rPr>
        <w:t>” shall mean the right pursuant to an Award granted under Section 7.</w:t>
      </w:r>
    </w:p>
    <w:p>
      <w:pPr>
        <w:spacing w:after="0" w:line="150" w:lineRule="exact"/>
        <w:rPr>
          <w:rFonts w:ascii="Arial" w:cs="Arial" w:eastAsia="Arial" w:hAnsi="Arial"/>
          <w:sz w:val="12"/>
          <w:szCs w:val="12"/>
          <w:color w:val="010000"/>
        </w:rPr>
      </w:pPr>
    </w:p>
    <w:p>
      <w:pPr>
        <w:ind w:left="316" w:hanging="316"/>
        <w:spacing w:after="0"/>
        <w:tabs>
          <w:tab w:leader="none" w:pos="316"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Stock Option</w:t>
      </w:r>
      <w:r>
        <w:rPr>
          <w:rFonts w:ascii="Arial" w:cs="Arial" w:eastAsia="Arial" w:hAnsi="Arial"/>
          <w:sz w:val="12"/>
          <w:szCs w:val="12"/>
          <w:color w:val="auto"/>
        </w:rPr>
        <w:t>” or “</w:t>
      </w:r>
      <w:r>
        <w:rPr>
          <w:rFonts w:ascii="Arial" w:cs="Arial" w:eastAsia="Arial" w:hAnsi="Arial"/>
          <w:sz w:val="12"/>
          <w:szCs w:val="12"/>
          <w:i w:val="1"/>
          <w:iCs w:val="1"/>
          <w:color w:val="auto"/>
        </w:rPr>
        <w:t>Option</w:t>
      </w:r>
      <w:r>
        <w:rPr>
          <w:rFonts w:ascii="Arial" w:cs="Arial" w:eastAsia="Arial" w:hAnsi="Arial"/>
          <w:sz w:val="12"/>
          <w:szCs w:val="12"/>
          <w:color w:val="auto"/>
        </w:rPr>
        <w:t>” means any option to purchase shares of Common Stock granted to Participants granted pursuant to Section 6.</w:t>
      </w:r>
    </w:p>
    <w:p>
      <w:pPr>
        <w:spacing w:after="0" w:line="150" w:lineRule="exact"/>
        <w:rPr>
          <w:rFonts w:ascii="Arial" w:cs="Arial" w:eastAsia="Arial" w:hAnsi="Arial"/>
          <w:sz w:val="12"/>
          <w:szCs w:val="12"/>
          <w:color w:val="010000"/>
        </w:rPr>
      </w:pPr>
    </w:p>
    <w:p>
      <w:pPr>
        <w:ind w:left="-424" w:right="540" w:firstLine="424"/>
        <w:spacing w:after="0" w:line="276" w:lineRule="auto"/>
        <w:tabs>
          <w:tab w:leader="none" w:pos="328"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Subsidiary</w:t>
      </w:r>
      <w:r>
        <w:rPr>
          <w:rFonts w:ascii="Arial" w:cs="Arial" w:eastAsia="Arial" w:hAnsi="Arial"/>
          <w:sz w:val="12"/>
          <w:szCs w:val="12"/>
          <w:color w:val="auto"/>
        </w:rPr>
        <w:t>”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w:t>
      </w:r>
    </w:p>
    <w:p>
      <w:pPr>
        <w:spacing w:after="0" w:line="114" w:lineRule="exact"/>
        <w:rPr>
          <w:rFonts w:ascii="Arial" w:cs="Arial" w:eastAsia="Arial" w:hAnsi="Arial"/>
          <w:sz w:val="12"/>
          <w:szCs w:val="12"/>
          <w:color w:val="010000"/>
        </w:rPr>
      </w:pPr>
    </w:p>
    <w:p>
      <w:pPr>
        <w:ind w:left="316" w:hanging="316"/>
        <w:spacing w:after="0"/>
        <w:tabs>
          <w:tab w:leader="none" w:pos="316"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Termination</w:t>
      </w:r>
      <w:r>
        <w:rPr>
          <w:rFonts w:ascii="Arial" w:cs="Arial" w:eastAsia="Arial" w:hAnsi="Arial"/>
          <w:sz w:val="12"/>
          <w:szCs w:val="12"/>
          <w:color w:val="auto"/>
        </w:rPr>
        <w:t>” means a Termination of Consultancy, Termination of Directorship or Termination of Employment, as applicable.</w:t>
      </w:r>
    </w:p>
    <w:p>
      <w:pPr>
        <w:spacing w:after="0" w:line="150" w:lineRule="exact"/>
        <w:rPr>
          <w:rFonts w:ascii="Arial" w:cs="Arial" w:eastAsia="Arial" w:hAnsi="Arial"/>
          <w:sz w:val="12"/>
          <w:szCs w:val="12"/>
          <w:color w:val="010000"/>
        </w:rPr>
      </w:pPr>
    </w:p>
    <w:p>
      <w:pPr>
        <w:ind w:left="-424" w:right="140" w:firstLine="424"/>
        <w:spacing w:after="0" w:line="286" w:lineRule="auto"/>
        <w:tabs>
          <w:tab w:leader="none" w:pos="288" w:val="left"/>
        </w:tabs>
        <w:numPr>
          <w:ilvl w:val="0"/>
          <w:numId w:val="68"/>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Termination of Consultancy</w:t>
      </w:r>
      <w:r>
        <w:rPr>
          <w:rFonts w:ascii="Arial" w:cs="Arial" w:eastAsia="Arial" w:hAnsi="Arial"/>
          <w:sz w:val="11"/>
          <w:szCs w:val="11"/>
          <w:color w:val="auto"/>
        </w:rPr>
        <w:t>” means: (a) that the Consultant is no longer acting as a consultant to the Company or an Affiliate; or (b)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unless otherwise determined by the Committee, in its sole discretion, no Termination of Consultancy shall be deemed to occur until such time as such Consultant is no longer a Consultant, an Eligible Employee or a Non-Employee Director. Notwithstanding the foregoing, the Committee may otherwise define Termination of Consultancy in the Grant Agreement or, if no rights of a Participant are reduced, may otherwise define Termination of Consultancy thereafter, provided that any such change to the definition of the term “Termination of Consultancy” does not subject the applicable Award to Section 409A of the Code.</w:t>
      </w:r>
    </w:p>
    <w:p>
      <w:pPr>
        <w:spacing w:after="0" w:line="111" w:lineRule="exact"/>
        <w:rPr>
          <w:rFonts w:ascii="Arial" w:cs="Arial" w:eastAsia="Arial" w:hAnsi="Arial"/>
          <w:sz w:val="11"/>
          <w:szCs w:val="11"/>
          <w:color w:val="010000"/>
        </w:rPr>
      </w:pPr>
    </w:p>
    <w:p>
      <w:pPr>
        <w:ind w:left="-424" w:firstLine="424"/>
        <w:spacing w:after="0" w:line="263" w:lineRule="auto"/>
        <w:tabs>
          <w:tab w:leader="none" w:pos="301"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Termination of Directorship</w:t>
      </w:r>
      <w:r>
        <w:rPr>
          <w:rFonts w:ascii="Arial" w:cs="Arial" w:eastAsia="Arial" w:hAnsi="Arial"/>
          <w:sz w:val="12"/>
          <w:szCs w:val="12"/>
          <w:color w:val="auto"/>
        </w:rPr>
        <w:t>” means that the Non- Employee Director has ceased to be a director of the 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w:t>
      </w:r>
    </w:p>
    <w:p>
      <w:pPr>
        <w:spacing w:after="0" w:line="122" w:lineRule="exact"/>
        <w:rPr>
          <w:rFonts w:ascii="Arial" w:cs="Arial" w:eastAsia="Arial" w:hAnsi="Arial"/>
          <w:sz w:val="12"/>
          <w:szCs w:val="12"/>
          <w:color w:val="010000"/>
        </w:rPr>
      </w:pPr>
    </w:p>
    <w:p>
      <w:pPr>
        <w:ind w:left="-424" w:firstLine="424"/>
        <w:spacing w:after="0" w:line="255" w:lineRule="auto"/>
        <w:tabs>
          <w:tab w:leader="none" w:pos="275" w:val="left"/>
        </w:tabs>
        <w:numPr>
          <w:ilvl w:val="0"/>
          <w:numId w:val="6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Termination of Employment</w:t>
      </w:r>
      <w:r>
        <w:rPr>
          <w:rFonts w:ascii="Arial" w:cs="Arial" w:eastAsia="Arial" w:hAnsi="Arial"/>
          <w:sz w:val="12"/>
          <w:szCs w:val="12"/>
          <w:color w:val="auto"/>
        </w:rPr>
        <w:t>” means: (a) a termination of employment (for reasons other than a military or personal leave of absence granted by the Company) of a Participant from the Company and its Affiliates; or (b)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in its sole discretion, no Termination of Employment shall be deemed to occur until such time as such Eligible Employee is no longer an Eligible Employee, a Consultant or a Non-Employee Director. Notwithstanding the foregoing, the Committee may otherwise define Termination of Employment in the Grant Agreement or, if no rights of a Participant are reduced, may otherwise define Termination of Employment thereafter, provided that any such change to the definition of the term “Termination of Employment” does not subject the applicable Award to Section 409A of the Code.</w:t>
      </w:r>
    </w:p>
    <w:p>
      <w:pPr>
        <w:spacing w:after="0" w:line="295" w:lineRule="exact"/>
        <w:rPr>
          <w:sz w:val="20"/>
          <w:szCs w:val="20"/>
          <w:color w:val="auto"/>
        </w:rPr>
      </w:pPr>
    </w:p>
    <w:p>
      <w:pPr>
        <w:ind w:left="2376"/>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036"/>
          </w:cols>
          <w:pgMar w:left="644" w:top="293" w:right="219" w:bottom="1440" w:gutter="0" w:footer="0" w:header="0"/>
        </w:sectPr>
      </w:pPr>
    </w:p>
    <w:bookmarkStart w:id="150" w:name="page151"/>
    <w:bookmarkEnd w:id="150"/>
    <w:p>
      <w:pPr>
        <w:ind w:left="8" w:right="20" w:firstLine="424"/>
        <w:spacing w:after="0" w:line="298" w:lineRule="auto"/>
        <w:tabs>
          <w:tab w:leader="none" w:pos="760" w:val="left"/>
        </w:tabs>
        <w:numPr>
          <w:ilvl w:val="1"/>
          <w:numId w:val="69"/>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i w:val="1"/>
          <w:iCs w:val="1"/>
          <w:color w:val="auto"/>
        </w:rPr>
        <w:t>Transfer</w:t>
      </w:r>
      <w:r>
        <w:rPr>
          <w:rFonts w:ascii="Arial" w:cs="Arial" w:eastAsia="Arial" w:hAnsi="Arial"/>
          <w:sz w:val="11"/>
          <w:szCs w:val="11"/>
          <w:color w:val="auto"/>
        </w:rPr>
        <w:t>” means: (a) when used as a noun, any direct or indirect transfer, sale, assignment, pledge, hypothecation, encumbrance or other disposition (including the issuance of equity in a Person), whether for value or no value and whether voluntary or involuntary (including by operation of law), and (b) 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w:t>
      </w:r>
    </w:p>
    <w:p>
      <w:pPr>
        <w:spacing w:after="0" w:line="105" w:lineRule="exact"/>
        <w:rPr>
          <w:rFonts w:ascii="Arial" w:cs="Arial" w:eastAsia="Arial" w:hAnsi="Arial"/>
          <w:sz w:val="11"/>
          <w:szCs w:val="11"/>
          <w:color w:val="010000"/>
        </w:rPr>
      </w:pPr>
    </w:p>
    <w:p>
      <w:pPr>
        <w:ind w:left="8" w:right="260" w:firstLine="424"/>
        <w:spacing w:after="0" w:line="276" w:lineRule="auto"/>
        <w:tabs>
          <w:tab w:leader="none" w:pos="760" w:val="left"/>
        </w:tabs>
        <w:numPr>
          <w:ilvl w:val="1"/>
          <w:numId w:val="69"/>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i w:val="1"/>
          <w:iCs w:val="1"/>
          <w:color w:val="auto"/>
        </w:rPr>
        <w:t>Transition Period</w:t>
      </w:r>
      <w:r>
        <w:rPr>
          <w:rFonts w:ascii="Arial" w:cs="Arial" w:eastAsia="Arial" w:hAnsi="Arial"/>
          <w:sz w:val="12"/>
          <w:szCs w:val="12"/>
          <w:color w:val="auto"/>
        </w:rPr>
        <w:t>” means the period beginning with the Effective Date and ending as of the earlier to occur of: (i) the date of the first regularly scheduled meeting of the shareholders occurring more than twelve (12) months after the Registration Date; (ii) the expiration of the Plan; or (iii) the expiration of the applicable transition period as provided in Treasury Regulation Section 1.162-27(f)(4)(iii).</w:t>
      </w:r>
    </w:p>
    <w:p>
      <w:pPr>
        <w:spacing w:after="0" w:line="114" w:lineRule="exact"/>
        <w:rPr>
          <w:rFonts w:ascii="Arial" w:cs="Arial" w:eastAsia="Arial" w:hAnsi="Arial"/>
          <w:sz w:val="12"/>
          <w:szCs w:val="12"/>
          <w:color w:val="010000"/>
        </w:rPr>
      </w:pPr>
    </w:p>
    <w:p>
      <w:pPr>
        <w:ind w:left="208" w:hanging="208"/>
        <w:spacing w:after="0"/>
        <w:tabs>
          <w:tab w:leader="none" w:pos="208" w:val="left"/>
        </w:tabs>
        <w:numPr>
          <w:ilvl w:val="0"/>
          <w:numId w:val="70"/>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Administration.</w:t>
      </w:r>
    </w:p>
    <w:p>
      <w:pPr>
        <w:spacing w:after="0" w:line="150" w:lineRule="exact"/>
        <w:rPr>
          <w:rFonts w:ascii="Arial" w:cs="Arial" w:eastAsia="Arial" w:hAnsi="Arial"/>
          <w:sz w:val="12"/>
          <w:szCs w:val="12"/>
          <w:b w:val="1"/>
          <w:bCs w:val="1"/>
          <w:color w:val="010000"/>
        </w:rPr>
      </w:pPr>
    </w:p>
    <w:p>
      <w:pPr>
        <w:ind w:left="8" w:right="40" w:firstLine="424"/>
        <w:spacing w:after="0" w:line="290" w:lineRule="auto"/>
        <w:tabs>
          <w:tab w:leader="none" w:pos="691" w:val="left"/>
        </w:tabs>
        <w:numPr>
          <w:ilvl w:val="1"/>
          <w:numId w:val="70"/>
        </w:numPr>
        <w:rPr>
          <w:rFonts w:ascii="Arial" w:cs="Arial" w:eastAsia="Arial" w:hAnsi="Arial"/>
          <w:sz w:val="11"/>
          <w:szCs w:val="11"/>
          <w:color w:val="010000"/>
        </w:rPr>
      </w:pPr>
      <w:r>
        <w:rPr>
          <w:rFonts w:ascii="Arial" w:cs="Arial" w:eastAsia="Arial" w:hAnsi="Arial"/>
          <w:sz w:val="11"/>
          <w:szCs w:val="11"/>
          <w:color w:val="auto"/>
        </w:rPr>
        <w:t>The Plan shall be administered and interpreted by the Committee. To the extent required by applicable law, rule or regulation, it is intended that each member of the Committee shall qualify as (a) a “non-employee director” under Rule 16b-3, (b) an “outside director” under Section 162(m) of the Code, and (c) an “independent director” under the rules of any national securities exchange or national securities association, as applicable. If it is later determined that one or more members of the Committee do not so qualify, actions taken by the Committee prior to such determination shall be valid despite such failure to qualify. In no event, however, shall the Committee modify the distribution terms in any Award or Grant Agreement that has a feature for the deferral of compensation if such modification would result in taxes, additional interest and/or penalties pursuant to Code Section 409A.</w:t>
      </w:r>
    </w:p>
    <w:p>
      <w:pPr>
        <w:spacing w:after="0" w:line="109" w:lineRule="exact"/>
        <w:rPr>
          <w:rFonts w:ascii="Arial" w:cs="Arial" w:eastAsia="Arial" w:hAnsi="Arial"/>
          <w:sz w:val="11"/>
          <w:szCs w:val="11"/>
          <w:color w:val="010000"/>
        </w:rPr>
      </w:pPr>
    </w:p>
    <w:p>
      <w:pPr>
        <w:ind w:left="688" w:hanging="256"/>
        <w:spacing w:after="0"/>
        <w:tabs>
          <w:tab w:leader="none" w:pos="688" w:val="left"/>
        </w:tabs>
        <w:numPr>
          <w:ilvl w:val="1"/>
          <w:numId w:val="70"/>
        </w:numPr>
        <w:rPr>
          <w:rFonts w:ascii="Arial" w:cs="Arial" w:eastAsia="Arial" w:hAnsi="Arial"/>
          <w:sz w:val="12"/>
          <w:szCs w:val="12"/>
          <w:color w:val="010000"/>
        </w:rPr>
      </w:pPr>
      <w:r>
        <w:rPr>
          <w:rFonts w:ascii="Arial" w:cs="Arial" w:eastAsia="Arial" w:hAnsi="Arial"/>
          <w:sz w:val="12"/>
          <w:szCs w:val="12"/>
          <w:color w:val="auto"/>
        </w:rPr>
        <w:t>Subject to the provisions of the Plan, the Committee shall be authorized to:</w:t>
      </w:r>
    </w:p>
    <w:p>
      <w:pPr>
        <w:spacing w:after="0" w:line="150" w:lineRule="exact"/>
        <w:rPr>
          <w:rFonts w:ascii="Arial" w:cs="Arial" w:eastAsia="Arial" w:hAnsi="Arial"/>
          <w:sz w:val="12"/>
          <w:szCs w:val="12"/>
          <w:color w:val="010000"/>
        </w:rPr>
      </w:pPr>
    </w:p>
    <w:p>
      <w:pPr>
        <w:ind w:left="1108" w:hanging="243"/>
        <w:spacing w:after="0"/>
        <w:tabs>
          <w:tab w:leader="none" w:pos="110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select persons to participate in the Plan;</w:t>
      </w:r>
    </w:p>
    <w:p>
      <w:pPr>
        <w:spacing w:after="0" w:line="150" w:lineRule="exact"/>
        <w:rPr>
          <w:rFonts w:ascii="Arial" w:cs="Arial" w:eastAsia="Arial" w:hAnsi="Arial"/>
          <w:sz w:val="12"/>
          <w:szCs w:val="12"/>
          <w:color w:val="010000"/>
        </w:rPr>
      </w:pPr>
    </w:p>
    <w:p>
      <w:pPr>
        <w:ind w:left="1128" w:hanging="263"/>
        <w:spacing w:after="0"/>
        <w:tabs>
          <w:tab w:leader="none" w:pos="112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determine the form and substance of grants made under the Plan to each Participant, and the conditions and restrictions, if any, subject to which such grants will be made;</w:t>
      </w:r>
    </w:p>
    <w:p>
      <w:pPr>
        <w:spacing w:after="0" w:line="150" w:lineRule="exact"/>
        <w:rPr>
          <w:rFonts w:ascii="Arial" w:cs="Arial" w:eastAsia="Arial" w:hAnsi="Arial"/>
          <w:sz w:val="12"/>
          <w:szCs w:val="12"/>
          <w:color w:val="010000"/>
        </w:rPr>
      </w:pPr>
    </w:p>
    <w:p>
      <w:pPr>
        <w:ind w:left="1168" w:hanging="303"/>
        <w:spacing w:after="0"/>
        <w:tabs>
          <w:tab w:leader="none" w:pos="116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determine the form and substance of the Grant Agreements reflecting the terms and conditions of each grant made under the Plan;</w:t>
      </w:r>
    </w:p>
    <w:p>
      <w:pPr>
        <w:spacing w:after="0" w:line="150" w:lineRule="exact"/>
        <w:rPr>
          <w:rFonts w:ascii="Arial" w:cs="Arial" w:eastAsia="Arial" w:hAnsi="Arial"/>
          <w:sz w:val="12"/>
          <w:szCs w:val="12"/>
          <w:color w:val="010000"/>
        </w:rPr>
      </w:pPr>
    </w:p>
    <w:p>
      <w:pPr>
        <w:ind w:left="1168" w:hanging="303"/>
        <w:spacing w:after="0"/>
        <w:tabs>
          <w:tab w:leader="none" w:pos="116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certify that the conditions and restrictions applicable to any grant have been met;</w:t>
      </w:r>
    </w:p>
    <w:p>
      <w:pPr>
        <w:spacing w:after="0" w:line="150" w:lineRule="exact"/>
        <w:rPr>
          <w:rFonts w:ascii="Arial" w:cs="Arial" w:eastAsia="Arial" w:hAnsi="Arial"/>
          <w:sz w:val="12"/>
          <w:szCs w:val="12"/>
          <w:color w:val="010000"/>
        </w:rPr>
      </w:pPr>
    </w:p>
    <w:p>
      <w:pPr>
        <w:ind w:left="1128" w:hanging="263"/>
        <w:spacing w:after="0"/>
        <w:tabs>
          <w:tab w:leader="none" w:pos="112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modify the terms of grants made under the Plan;</w:t>
      </w:r>
    </w:p>
    <w:p>
      <w:pPr>
        <w:spacing w:after="0" w:line="150" w:lineRule="exact"/>
        <w:rPr>
          <w:rFonts w:ascii="Arial" w:cs="Arial" w:eastAsia="Arial" w:hAnsi="Arial"/>
          <w:sz w:val="12"/>
          <w:szCs w:val="12"/>
          <w:color w:val="010000"/>
        </w:rPr>
      </w:pPr>
    </w:p>
    <w:p>
      <w:pPr>
        <w:ind w:left="1168" w:hanging="303"/>
        <w:spacing w:after="0"/>
        <w:tabs>
          <w:tab w:leader="none" w:pos="116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interpret the Plan and Grant Agreements entered into under the Plan,</w:t>
      </w:r>
    </w:p>
    <w:p>
      <w:pPr>
        <w:spacing w:after="0" w:line="150" w:lineRule="exact"/>
        <w:rPr>
          <w:rFonts w:ascii="Arial" w:cs="Arial" w:eastAsia="Arial" w:hAnsi="Arial"/>
          <w:sz w:val="12"/>
          <w:szCs w:val="12"/>
          <w:color w:val="010000"/>
        </w:rPr>
      </w:pPr>
    </w:p>
    <w:p>
      <w:pPr>
        <w:ind w:left="1188" w:hanging="323"/>
        <w:spacing w:after="0"/>
        <w:tabs>
          <w:tab w:leader="none" w:pos="1188" w:val="left"/>
        </w:tabs>
        <w:numPr>
          <w:ilvl w:val="2"/>
          <w:numId w:val="70"/>
        </w:numPr>
        <w:rPr>
          <w:rFonts w:ascii="Arial" w:cs="Arial" w:eastAsia="Arial" w:hAnsi="Arial"/>
          <w:sz w:val="11"/>
          <w:szCs w:val="11"/>
          <w:color w:val="010000"/>
        </w:rPr>
      </w:pPr>
      <w:r>
        <w:rPr>
          <w:rFonts w:ascii="Arial" w:cs="Arial" w:eastAsia="Arial" w:hAnsi="Arial"/>
          <w:sz w:val="11"/>
          <w:szCs w:val="11"/>
          <w:color w:val="auto"/>
        </w:rPr>
        <w:t>determine the duration and purposes for leaves of absence which may be granted to a Participant on an individual basis without constituting a termination of employment or services for purposes of the Plan;</w:t>
      </w:r>
    </w:p>
    <w:p>
      <w:pPr>
        <w:spacing w:after="0" w:line="161" w:lineRule="exact"/>
        <w:rPr>
          <w:rFonts w:ascii="Arial" w:cs="Arial" w:eastAsia="Arial" w:hAnsi="Arial"/>
          <w:sz w:val="11"/>
          <w:szCs w:val="11"/>
          <w:color w:val="010000"/>
        </w:rPr>
      </w:pPr>
    </w:p>
    <w:p>
      <w:pPr>
        <w:ind w:left="1228" w:hanging="363"/>
        <w:spacing w:after="0"/>
        <w:tabs>
          <w:tab w:leader="none" w:pos="1228"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make any adjustments necessary or desirable in connection with grants made under the Plan to eligible Participants located outside the United States;</w:t>
      </w:r>
    </w:p>
    <w:p>
      <w:pPr>
        <w:spacing w:after="0" w:line="150" w:lineRule="exact"/>
        <w:rPr>
          <w:rFonts w:ascii="Arial" w:cs="Arial" w:eastAsia="Arial" w:hAnsi="Arial"/>
          <w:sz w:val="12"/>
          <w:szCs w:val="12"/>
          <w:color w:val="010000"/>
        </w:rPr>
      </w:pPr>
    </w:p>
    <w:p>
      <w:pPr>
        <w:jc w:val="both"/>
        <w:ind w:left="428" w:firstLine="437"/>
        <w:spacing w:after="0" w:line="263" w:lineRule="auto"/>
        <w:tabs>
          <w:tab w:leader="none" w:pos="1154" w:val="left"/>
        </w:tabs>
        <w:numPr>
          <w:ilvl w:val="2"/>
          <w:numId w:val="70"/>
        </w:numPr>
        <w:rPr>
          <w:rFonts w:ascii="Arial" w:cs="Arial" w:eastAsia="Arial" w:hAnsi="Arial"/>
          <w:sz w:val="12"/>
          <w:szCs w:val="12"/>
          <w:color w:val="010000"/>
        </w:rPr>
      </w:pPr>
      <w:r>
        <w:rPr>
          <w:rFonts w:ascii="Arial" w:cs="Arial" w:eastAsia="Arial" w:hAnsi="Arial"/>
          <w:sz w:val="12"/>
          <w:szCs w:val="12"/>
          <w:color w:val="auto"/>
        </w:rPr>
        <w:t>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under the Exchange Act, the Code to the extent applicable and other applicable law and make such other determinations for carrying out the Plan as it may deem appropriate; and</w:t>
      </w:r>
    </w:p>
    <w:p>
      <w:pPr>
        <w:spacing w:after="0" w:line="289"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8"/>
          </w:cols>
          <w:pgMar w:left="212" w:top="293" w:right="299" w:bottom="1440" w:gutter="0" w:footer="0" w:header="0"/>
        </w:sectPr>
      </w:pPr>
    </w:p>
    <w:bookmarkStart w:id="151" w:name="page152"/>
    <w:bookmarkEnd w:id="151"/>
    <w:p>
      <w:pPr>
        <w:ind w:left="1128" w:hanging="263"/>
        <w:spacing w:after="0"/>
        <w:tabs>
          <w:tab w:leader="none" w:pos="1128" w:val="left"/>
        </w:tabs>
        <w:numPr>
          <w:ilvl w:val="2"/>
          <w:numId w:val="71"/>
        </w:numPr>
        <w:rPr>
          <w:rFonts w:ascii="Arial" w:cs="Arial" w:eastAsia="Arial" w:hAnsi="Arial"/>
          <w:sz w:val="12"/>
          <w:szCs w:val="12"/>
          <w:color w:val="010000"/>
        </w:rPr>
      </w:pPr>
      <w:r>
        <w:rPr>
          <w:rFonts w:ascii="Arial" w:cs="Arial" w:eastAsia="Arial" w:hAnsi="Arial"/>
          <w:sz w:val="12"/>
          <w:szCs w:val="12"/>
          <w:color w:val="auto"/>
        </w:rPr>
        <w:t>exercise such powers and perform such acts as are deemed necessary or advisable to promote the best interests of the Company with respect to the Plan.</w:t>
      </w:r>
    </w:p>
    <w:p>
      <w:pPr>
        <w:spacing w:after="0" w:line="150" w:lineRule="exact"/>
        <w:rPr>
          <w:rFonts w:ascii="Arial" w:cs="Arial" w:eastAsia="Arial" w:hAnsi="Arial"/>
          <w:sz w:val="12"/>
          <w:szCs w:val="12"/>
          <w:color w:val="010000"/>
        </w:rPr>
      </w:pPr>
    </w:p>
    <w:p>
      <w:pPr>
        <w:ind w:left="688" w:hanging="256"/>
        <w:spacing w:after="0"/>
        <w:tabs>
          <w:tab w:leader="none" w:pos="688" w:val="left"/>
        </w:tabs>
        <w:numPr>
          <w:ilvl w:val="1"/>
          <w:numId w:val="72"/>
        </w:numPr>
        <w:rPr>
          <w:rFonts w:ascii="Arial" w:cs="Arial" w:eastAsia="Arial" w:hAnsi="Arial"/>
          <w:sz w:val="11"/>
          <w:szCs w:val="11"/>
          <w:color w:val="010000"/>
        </w:rPr>
      </w:pPr>
      <w:r>
        <w:rPr>
          <w:rFonts w:ascii="Arial" w:cs="Arial" w:eastAsia="Arial" w:hAnsi="Arial"/>
          <w:sz w:val="11"/>
          <w:szCs w:val="11"/>
          <w:color w:val="auto"/>
        </w:rPr>
        <w:t>Notwithstanding the foregoing, the Committee shall not take any of the following actions without shareholder approval, except as provided in Section 20: (i) reduce the exercise price following the grant of an option or SAR;</w:t>
      </w:r>
    </w:p>
    <w:p>
      <w:pPr>
        <w:spacing w:after="0" w:line="26" w:lineRule="exact"/>
        <w:rPr>
          <w:rFonts w:ascii="Arial" w:cs="Arial" w:eastAsia="Arial" w:hAnsi="Arial"/>
          <w:sz w:val="11"/>
          <w:szCs w:val="11"/>
          <w:color w:val="010000"/>
        </w:rPr>
      </w:pPr>
    </w:p>
    <w:p>
      <w:pPr>
        <w:ind w:left="8" w:hanging="8"/>
        <w:spacing w:after="0" w:line="252" w:lineRule="auto"/>
        <w:tabs>
          <w:tab w:leader="none" w:pos="185" w:val="left"/>
        </w:tabs>
        <w:numPr>
          <w:ilvl w:val="0"/>
          <w:numId w:val="73"/>
        </w:numPr>
        <w:rPr>
          <w:rFonts w:ascii="Arial" w:cs="Arial" w:eastAsia="Arial" w:hAnsi="Arial"/>
          <w:sz w:val="12"/>
          <w:szCs w:val="12"/>
          <w:color w:val="auto"/>
        </w:rPr>
      </w:pPr>
      <w:r>
        <w:rPr>
          <w:rFonts w:ascii="Arial" w:cs="Arial" w:eastAsia="Arial" w:hAnsi="Arial"/>
          <w:sz w:val="12"/>
          <w:szCs w:val="12"/>
          <w:color w:val="auto"/>
        </w:rPr>
        <w:t>exchange an option or SAR which has an exercise price that is greater than the Fair Market Value of a Share for cash or Shares or (iii) cancel an option or SAR in exchange for a replacement option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w:t>
      </w:r>
    </w:p>
    <w:p>
      <w:pPr>
        <w:spacing w:after="0" w:line="130" w:lineRule="exact"/>
        <w:rPr>
          <w:rFonts w:ascii="Arial" w:cs="Arial" w:eastAsia="Arial" w:hAnsi="Arial"/>
          <w:sz w:val="12"/>
          <w:szCs w:val="12"/>
          <w:color w:val="auto"/>
        </w:rPr>
      </w:pPr>
    </w:p>
    <w:p>
      <w:pPr>
        <w:ind w:left="8" w:right="120" w:firstLine="424"/>
        <w:spacing w:after="0" w:line="276" w:lineRule="auto"/>
        <w:tabs>
          <w:tab w:leader="none" w:pos="698" w:val="left"/>
        </w:tabs>
        <w:numPr>
          <w:ilvl w:val="1"/>
          <w:numId w:val="73"/>
        </w:numPr>
        <w:rPr>
          <w:rFonts w:ascii="Arial" w:cs="Arial" w:eastAsia="Arial" w:hAnsi="Arial"/>
          <w:sz w:val="12"/>
          <w:szCs w:val="12"/>
          <w:color w:val="010000"/>
        </w:rPr>
      </w:pPr>
      <w:r>
        <w:rPr>
          <w:rFonts w:ascii="Arial" w:cs="Arial" w:eastAsia="Arial" w:hAnsi="Arial"/>
          <w:sz w:val="12"/>
          <w:szCs w:val="12"/>
          <w:color w:val="auto"/>
        </w:rPr>
        <w:t>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w:t>
      </w:r>
    </w:p>
    <w:p>
      <w:pPr>
        <w:spacing w:after="0" w:line="115" w:lineRule="exact"/>
        <w:rPr>
          <w:sz w:val="20"/>
          <w:szCs w:val="20"/>
          <w:color w:val="auto"/>
        </w:rPr>
      </w:pPr>
    </w:p>
    <w:p>
      <w:pPr>
        <w:ind w:left="208" w:hanging="208"/>
        <w:spacing w:after="0"/>
        <w:tabs>
          <w:tab w:leader="none" w:pos="208" w:val="left"/>
        </w:tabs>
        <w:numPr>
          <w:ilvl w:val="0"/>
          <w:numId w:val="74"/>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Shares Available for the Plan.</w:t>
      </w:r>
    </w:p>
    <w:p>
      <w:pPr>
        <w:spacing w:after="0" w:line="150" w:lineRule="exact"/>
        <w:rPr>
          <w:rFonts w:ascii="Arial" w:cs="Arial" w:eastAsia="Arial" w:hAnsi="Arial"/>
          <w:sz w:val="12"/>
          <w:szCs w:val="12"/>
          <w:b w:val="1"/>
          <w:bCs w:val="1"/>
          <w:color w:val="010000"/>
        </w:rPr>
      </w:pPr>
    </w:p>
    <w:p>
      <w:pPr>
        <w:ind w:left="8" w:firstLine="424"/>
        <w:spacing w:after="0" w:line="280" w:lineRule="auto"/>
        <w:tabs>
          <w:tab w:leader="none" w:pos="694" w:val="left"/>
        </w:tabs>
        <w:numPr>
          <w:ilvl w:val="1"/>
          <w:numId w:val="74"/>
        </w:numPr>
        <w:rPr>
          <w:rFonts w:ascii="Arial" w:cs="Arial" w:eastAsia="Arial" w:hAnsi="Arial"/>
          <w:sz w:val="11"/>
          <w:szCs w:val="11"/>
          <w:color w:val="010000"/>
        </w:rPr>
      </w:pPr>
      <w:r>
        <w:rPr>
          <w:rFonts w:ascii="Arial" w:cs="Arial" w:eastAsia="Arial" w:hAnsi="Arial"/>
          <w:sz w:val="11"/>
          <w:szCs w:val="11"/>
          <w:color w:val="auto"/>
        </w:rPr>
        <w:t>Subject to adjustments as provided in Section 20, an aggregate of 2,000,000 shares of Common Stock (the “</w:t>
      </w:r>
      <w:r>
        <w:rPr>
          <w:rFonts w:ascii="Arial" w:cs="Arial" w:eastAsia="Arial" w:hAnsi="Arial"/>
          <w:sz w:val="11"/>
          <w:szCs w:val="11"/>
          <w:i w:val="1"/>
          <w:iCs w:val="1"/>
          <w:color w:val="auto"/>
        </w:rPr>
        <w:t>Shares</w:t>
      </w:r>
      <w:r>
        <w:rPr>
          <w:rFonts w:ascii="Arial" w:cs="Arial" w:eastAsia="Arial" w:hAnsi="Arial"/>
          <w:sz w:val="11"/>
          <w:szCs w:val="11"/>
          <w:color w:val="auto"/>
        </w:rPr>
        <w:t>”) may be issued pursuant to the Plan. Such Shares may be in whole or in part authorized and unissued or held by the Company as treasury shares. If any grant under the Plan expires or terminates unexercised, becomes unexercisable or is forfeited as to any Shares, or is tendered or withheld as to any Shares in payment of the exercise price of the grant or the taxes payable with respect to the exercise, then such unpurchased, forfeited, tendered or withheld Shares shall thereafter be available for further grants under the Plan unless, in the case of options granted under the Plan, related SARs are exercised. With respect to SARs that are settled in Common Stock, upon settlement, only the number of shares of Common Stock delivered to a Participant upon the exercise of the SARs shall count against the number of Shares issued under the Plan. Any Award under the Plan settled in cash shall not be counted against the foregoing maximum share limitations. The maximum number of shares with respect to which Incentive Stock Options may be granted shall be 500,000. Shares issued under Awards granted in assumption, substitution or exchange for previously granted awards of a company acquired by the Company (“</w:t>
      </w:r>
      <w:r>
        <w:rPr>
          <w:rFonts w:ascii="Arial" w:cs="Arial" w:eastAsia="Arial" w:hAnsi="Arial"/>
          <w:sz w:val="11"/>
          <w:szCs w:val="11"/>
          <w:i w:val="1"/>
          <w:iCs w:val="1"/>
          <w:color w:val="auto"/>
        </w:rPr>
        <w:t>Substitute Awards</w:t>
      </w:r>
      <w:r>
        <w:rPr>
          <w:rFonts w:ascii="Arial" w:cs="Arial" w:eastAsia="Arial" w:hAnsi="Arial"/>
          <w:sz w:val="11"/>
          <w:szCs w:val="11"/>
          <w:color w:val="auto"/>
        </w:rPr>
        <w:t>”)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w:t>
      </w:r>
    </w:p>
    <w:p>
      <w:pPr>
        <w:spacing w:after="0" w:line="116" w:lineRule="exact"/>
        <w:rPr>
          <w:rFonts w:ascii="Arial" w:cs="Arial" w:eastAsia="Arial" w:hAnsi="Arial"/>
          <w:sz w:val="11"/>
          <w:szCs w:val="11"/>
          <w:color w:val="010000"/>
        </w:rPr>
      </w:pPr>
    </w:p>
    <w:p>
      <w:pPr>
        <w:ind w:left="688" w:hanging="256"/>
        <w:spacing w:after="0"/>
        <w:tabs>
          <w:tab w:leader="none" w:pos="688" w:val="left"/>
        </w:tabs>
        <w:numPr>
          <w:ilvl w:val="1"/>
          <w:numId w:val="74"/>
        </w:numPr>
        <w:rPr>
          <w:rFonts w:ascii="Arial" w:cs="Arial" w:eastAsia="Arial" w:hAnsi="Arial"/>
          <w:sz w:val="12"/>
          <w:szCs w:val="12"/>
          <w:color w:val="010000"/>
        </w:rPr>
      </w:pPr>
      <w:r>
        <w:rPr>
          <w:rFonts w:ascii="Arial" w:cs="Arial" w:eastAsia="Arial" w:hAnsi="Arial"/>
          <w:sz w:val="12"/>
          <w:szCs w:val="12"/>
          <w:color w:val="auto"/>
        </w:rPr>
        <w:t>To the extent required by Section 162(m) of the Code for Awards under the Plan to qualify as “performance-based compensation,” the following individual Participant limitations shall apply:</w:t>
      </w:r>
    </w:p>
    <w:p>
      <w:pPr>
        <w:spacing w:after="0" w:line="150" w:lineRule="exact"/>
        <w:rPr>
          <w:rFonts w:ascii="Arial" w:cs="Arial" w:eastAsia="Arial" w:hAnsi="Arial"/>
          <w:sz w:val="12"/>
          <w:szCs w:val="12"/>
          <w:color w:val="010000"/>
        </w:rPr>
      </w:pPr>
    </w:p>
    <w:p>
      <w:pPr>
        <w:ind w:left="428" w:right="60" w:firstLine="437"/>
        <w:spacing w:after="0" w:line="290" w:lineRule="auto"/>
        <w:tabs>
          <w:tab w:leader="none" w:pos="1091" w:val="left"/>
        </w:tabs>
        <w:numPr>
          <w:ilvl w:val="2"/>
          <w:numId w:val="74"/>
        </w:numPr>
        <w:rPr>
          <w:rFonts w:ascii="Arial" w:cs="Arial" w:eastAsia="Arial" w:hAnsi="Arial"/>
          <w:sz w:val="11"/>
          <w:szCs w:val="11"/>
          <w:color w:val="010000"/>
        </w:rPr>
      </w:pPr>
      <w:r>
        <w:rPr>
          <w:rFonts w:ascii="Arial" w:cs="Arial" w:eastAsia="Arial" w:hAnsi="Arial"/>
          <w:sz w:val="11"/>
          <w:szCs w:val="11"/>
          <w:color w:val="auto"/>
        </w:rPr>
        <w:t>The maximum number of shares of Common Stock subject to any Award of Stock Options, or Stock Appreciation Rights, or shares of Restricted Stock, or Other Stock-Based Awards for which the grant of such Award or the lapse of the relevant Restriction Period is subject to the attainment of Performance Goals in accordance with Section 8(d) which may be granted under this Plan during any fiscal year of the Company to each Eligible Employee or Consultant shall be 500,000 shares per type of Award (which shall be subject to any further increase or decrease pursuant to Section 22), provided that the maximum number of shares of Common Stock for all types of Awards does not exceed 500,000 (which shall be subject to any further increase or decrease pursuant to Section 22) during any fiscal year of the Company.</w:t>
      </w:r>
    </w:p>
    <w:p>
      <w:pPr>
        <w:spacing w:after="0" w:line="275"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8"/>
          </w:cols>
          <w:pgMar w:left="212" w:top="293" w:right="219" w:bottom="1440" w:gutter="0" w:footer="0" w:header="0"/>
        </w:sectPr>
      </w:pPr>
    </w:p>
    <w:bookmarkStart w:id="152" w:name="page153"/>
    <w:bookmarkEnd w:id="152"/>
    <w:p>
      <w:pPr>
        <w:ind w:left="428" w:right="120" w:firstLine="437"/>
        <w:spacing w:after="0" w:line="276" w:lineRule="auto"/>
        <w:tabs>
          <w:tab w:leader="none" w:pos="1125" w:val="left"/>
        </w:tabs>
        <w:numPr>
          <w:ilvl w:val="0"/>
          <w:numId w:val="75"/>
        </w:numPr>
        <w:rPr>
          <w:rFonts w:ascii="Arial" w:cs="Arial" w:eastAsia="Arial" w:hAnsi="Arial"/>
          <w:sz w:val="12"/>
          <w:szCs w:val="12"/>
          <w:color w:val="010000"/>
        </w:rPr>
      </w:pPr>
      <w:r>
        <w:rPr>
          <w:rFonts w:ascii="Arial" w:cs="Arial" w:eastAsia="Arial" w:hAnsi="Arial"/>
          <w:sz w:val="12"/>
          <w:szCs w:val="12"/>
          <w:color w:val="auto"/>
        </w:rPr>
        <w:t>There are no annual individual Eligible Employee or Consultant share limitations on Restricted Stock for which the grant of such Award or the lapse of the relevant Restriction Period is not subject to attainment of Performance Goals in accordance with Section 8(d).</w:t>
      </w:r>
    </w:p>
    <w:p>
      <w:pPr>
        <w:spacing w:after="0" w:line="114" w:lineRule="exact"/>
        <w:rPr>
          <w:rFonts w:ascii="Arial" w:cs="Arial" w:eastAsia="Arial" w:hAnsi="Arial"/>
          <w:sz w:val="12"/>
          <w:szCs w:val="12"/>
          <w:color w:val="010000"/>
        </w:rPr>
      </w:pPr>
    </w:p>
    <w:p>
      <w:pPr>
        <w:ind w:left="428" w:right="40" w:firstLine="437"/>
        <w:spacing w:after="0" w:line="276" w:lineRule="auto"/>
        <w:tabs>
          <w:tab w:leader="none" w:pos="1158" w:val="left"/>
        </w:tabs>
        <w:numPr>
          <w:ilvl w:val="0"/>
          <w:numId w:val="75"/>
        </w:numPr>
        <w:rPr>
          <w:rFonts w:ascii="Arial" w:cs="Arial" w:eastAsia="Arial" w:hAnsi="Arial"/>
          <w:sz w:val="12"/>
          <w:szCs w:val="12"/>
          <w:color w:val="010000"/>
        </w:rPr>
      </w:pPr>
      <w:r>
        <w:rPr>
          <w:rFonts w:ascii="Arial" w:cs="Arial" w:eastAsia="Arial" w:hAnsi="Arial"/>
          <w:sz w:val="12"/>
          <w:szCs w:val="12"/>
          <w:color w:val="auto"/>
        </w:rPr>
        <w:t>The maximum number of shares of Common Stock subject to any Performance Award which may be granted under this Plan during any fiscal year of the Company to each Eligible Employee or Consultant shall be 500,000 shares (which shall be subject to any further increase or decrease pursuant to Section 22 with respect to any fiscal year of the Company.</w:t>
      </w:r>
    </w:p>
    <w:p>
      <w:pPr>
        <w:spacing w:after="0" w:line="114" w:lineRule="exact"/>
        <w:rPr>
          <w:rFonts w:ascii="Arial" w:cs="Arial" w:eastAsia="Arial" w:hAnsi="Arial"/>
          <w:sz w:val="12"/>
          <w:szCs w:val="12"/>
          <w:color w:val="010000"/>
        </w:rPr>
      </w:pPr>
    </w:p>
    <w:p>
      <w:pPr>
        <w:ind w:left="428" w:firstLine="437"/>
        <w:spacing w:after="0" w:line="276" w:lineRule="auto"/>
        <w:tabs>
          <w:tab w:leader="none" w:pos="1151" w:val="left"/>
        </w:tabs>
        <w:numPr>
          <w:ilvl w:val="0"/>
          <w:numId w:val="75"/>
        </w:numPr>
        <w:rPr>
          <w:rFonts w:ascii="Arial" w:cs="Arial" w:eastAsia="Arial" w:hAnsi="Arial"/>
          <w:sz w:val="12"/>
          <w:szCs w:val="12"/>
          <w:color w:val="010000"/>
        </w:rPr>
      </w:pPr>
      <w:r>
        <w:rPr>
          <w:rFonts w:ascii="Arial" w:cs="Arial" w:eastAsia="Arial" w:hAnsi="Arial"/>
          <w:sz w:val="12"/>
          <w:szCs w:val="12"/>
          <w:color w:val="auto"/>
        </w:rPr>
        <w:t>The maximum number of shares of Common Stock subject to any Award which may be granted under this Plan during any fiscal year of the Company to each Non-Employee Director shall be 300,000 shares (which shall be subject to any further increase or decrease pursuant to Section 22).</w:t>
      </w:r>
    </w:p>
    <w:p>
      <w:pPr>
        <w:spacing w:after="0" w:line="114" w:lineRule="exact"/>
        <w:rPr>
          <w:rFonts w:ascii="Arial" w:cs="Arial" w:eastAsia="Arial" w:hAnsi="Arial"/>
          <w:sz w:val="12"/>
          <w:szCs w:val="12"/>
          <w:color w:val="010000"/>
        </w:rPr>
      </w:pPr>
    </w:p>
    <w:p>
      <w:pPr>
        <w:ind w:left="428" w:right="80" w:firstLine="437"/>
        <w:spacing w:after="0" w:line="323" w:lineRule="auto"/>
        <w:tabs>
          <w:tab w:leader="none" w:pos="1118" w:val="left"/>
        </w:tabs>
        <w:numPr>
          <w:ilvl w:val="0"/>
          <w:numId w:val="75"/>
        </w:numPr>
        <w:rPr>
          <w:rFonts w:ascii="Arial" w:cs="Arial" w:eastAsia="Arial" w:hAnsi="Arial"/>
          <w:sz w:val="11"/>
          <w:szCs w:val="11"/>
          <w:color w:val="010000"/>
        </w:rPr>
      </w:pPr>
      <w:r>
        <w:rPr>
          <w:rFonts w:ascii="Arial" w:cs="Arial" w:eastAsia="Arial" w:hAnsi="Arial"/>
          <w:sz w:val="11"/>
          <w:szCs w:val="11"/>
          <w:color w:val="auto"/>
        </w:rPr>
        <w:t>The maximum value of a cash payment made under a Performance Award which may be granted under the Plan with respect to any fiscal year of the Company to any Participant shall be $5,000,000. The maximum value of a cash payment made under a Performance Award which may be granted under the Plan with respect to any fiscal year of the Company to any Non-Employee Director shall be $1,000,000.</w:t>
      </w:r>
    </w:p>
    <w:p>
      <w:pPr>
        <w:spacing w:after="0" w:line="91" w:lineRule="exact"/>
        <w:rPr>
          <w:rFonts w:ascii="Arial" w:cs="Arial" w:eastAsia="Arial" w:hAnsi="Arial"/>
          <w:sz w:val="11"/>
          <w:szCs w:val="11"/>
          <w:color w:val="010000"/>
        </w:rPr>
      </w:pPr>
    </w:p>
    <w:p>
      <w:pPr>
        <w:ind w:left="428" w:firstLine="437"/>
        <w:spacing w:after="0" w:line="263" w:lineRule="auto"/>
        <w:tabs>
          <w:tab w:leader="none" w:pos="1151" w:val="left"/>
        </w:tabs>
        <w:numPr>
          <w:ilvl w:val="0"/>
          <w:numId w:val="75"/>
        </w:numPr>
        <w:rPr>
          <w:rFonts w:ascii="Arial" w:cs="Arial" w:eastAsia="Arial" w:hAnsi="Arial"/>
          <w:sz w:val="12"/>
          <w:szCs w:val="12"/>
          <w:color w:val="010000"/>
        </w:rPr>
      </w:pPr>
      <w:r>
        <w:rPr>
          <w:rFonts w:ascii="Arial" w:cs="Arial" w:eastAsia="Arial" w:hAnsi="Arial"/>
          <w:sz w:val="12"/>
          <w:szCs w:val="12"/>
          <w:color w:val="auto"/>
        </w:rPr>
        <w:t>The individual Participant limitations set forth in this Section 4(b) (other than Section) shall be cumulative; that is, to the extent that shares of Common Stock for which Awards are permitted to be granted to an Eligible Employee or a Consultant during a fiscal year are not covered by an Award to such Eligible Employee or Consultant in a fiscal year, the number of shares of Common Stock available for Awards to such Eligible Employee or Consultant shall automatically increase in the subsequent fiscal years during the term of the Plan until used.</w:t>
      </w:r>
    </w:p>
    <w:p>
      <w:pPr>
        <w:spacing w:after="0" w:line="123" w:lineRule="exact"/>
        <w:rPr>
          <w:sz w:val="20"/>
          <w:szCs w:val="20"/>
          <w:color w:val="auto"/>
        </w:rPr>
      </w:pPr>
    </w:p>
    <w:p>
      <w:pPr>
        <w:ind w:left="8" w:right="20" w:firstLine="424"/>
        <w:spacing w:after="0" w:line="263" w:lineRule="auto"/>
        <w:tabs>
          <w:tab w:leader="none" w:pos="691" w:val="left"/>
        </w:tabs>
        <w:numPr>
          <w:ilvl w:val="1"/>
          <w:numId w:val="76"/>
        </w:numPr>
        <w:rPr>
          <w:rFonts w:ascii="Arial" w:cs="Arial" w:eastAsia="Arial" w:hAnsi="Arial"/>
          <w:sz w:val="12"/>
          <w:szCs w:val="12"/>
          <w:color w:val="010000"/>
        </w:rPr>
      </w:pPr>
      <w:r>
        <w:rPr>
          <w:rFonts w:ascii="Arial" w:cs="Arial" w:eastAsia="Arial" w:hAnsi="Arial"/>
          <w:sz w:val="12"/>
          <w:szCs w:val="12"/>
          <w:color w:val="auto"/>
        </w:rPr>
        <w:t>Without limiting the generality of the foregoing provisions of this Section 4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 outstanding Awards.</w:t>
      </w:r>
    </w:p>
    <w:p>
      <w:pPr>
        <w:spacing w:after="0" w:line="122" w:lineRule="exact"/>
        <w:rPr>
          <w:rFonts w:ascii="Arial" w:cs="Arial" w:eastAsia="Arial" w:hAnsi="Arial"/>
          <w:sz w:val="12"/>
          <w:szCs w:val="12"/>
          <w:color w:val="010000"/>
        </w:rPr>
      </w:pPr>
    </w:p>
    <w:p>
      <w:pPr>
        <w:ind w:left="208" w:hanging="208"/>
        <w:spacing w:after="0"/>
        <w:tabs>
          <w:tab w:leader="none" w:pos="208" w:val="left"/>
        </w:tabs>
        <w:numPr>
          <w:ilvl w:val="0"/>
          <w:numId w:val="77"/>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Participation.</w:t>
      </w:r>
    </w:p>
    <w:p>
      <w:pPr>
        <w:spacing w:after="0" w:line="150" w:lineRule="exact"/>
        <w:rPr>
          <w:sz w:val="20"/>
          <w:szCs w:val="20"/>
          <w:color w:val="auto"/>
        </w:rPr>
      </w:pPr>
    </w:p>
    <w:p>
      <w:pPr>
        <w:ind w:left="8" w:firstLine="432"/>
        <w:spacing w:after="0" w:line="259" w:lineRule="auto"/>
        <w:rPr>
          <w:sz w:val="20"/>
          <w:szCs w:val="20"/>
          <w:color w:val="auto"/>
        </w:rPr>
      </w:pPr>
      <w:r>
        <w:rPr>
          <w:rFonts w:ascii="Arial" w:cs="Arial" w:eastAsia="Arial" w:hAnsi="Arial"/>
          <w:sz w:val="12"/>
          <w:szCs w:val="12"/>
          <w:color w:val="auto"/>
        </w:rPr>
        <w:t>Participation in the Plan shall be limited to the Participants. Nothing in the Plan or in any Grant Agreement shall confer any right on a Participant to continue in the employ of the Company or any Subsidiary as a director, officer or employee of or in the performance of services for the Company or shall interfere in any way with the right of the Company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w:t>
      </w:r>
    </w:p>
    <w:p>
      <w:pPr>
        <w:spacing w:after="0" w:line="125" w:lineRule="exact"/>
        <w:rPr>
          <w:sz w:val="20"/>
          <w:szCs w:val="20"/>
          <w:color w:val="auto"/>
        </w:rPr>
      </w:pPr>
    </w:p>
    <w:p>
      <w:pPr>
        <w:jc w:val="both"/>
        <w:ind w:left="8" w:right="340" w:firstLine="432"/>
        <w:spacing w:after="0" w:line="340" w:lineRule="auto"/>
        <w:rPr>
          <w:sz w:val="20"/>
          <w:szCs w:val="20"/>
          <w:color w:val="auto"/>
        </w:rPr>
      </w:pPr>
      <w:r>
        <w:rPr>
          <w:rFonts w:ascii="Arial" w:cs="Arial" w:eastAsia="Arial" w:hAnsi="Arial"/>
          <w:sz w:val="10"/>
          <w:szCs w:val="10"/>
          <w:color w:val="auto"/>
        </w:rPr>
        <w:t>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88" w:lineRule="exact"/>
        <w:rPr>
          <w:sz w:val="20"/>
          <w:szCs w:val="20"/>
          <w:color w:val="auto"/>
        </w:rPr>
      </w:pPr>
    </w:p>
    <w:p>
      <w:pPr>
        <w:ind w:left="208" w:hanging="208"/>
        <w:spacing w:after="0"/>
        <w:tabs>
          <w:tab w:leader="none" w:pos="208" w:val="left"/>
        </w:tabs>
        <w:numPr>
          <w:ilvl w:val="0"/>
          <w:numId w:val="78"/>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Incentive and Non-qualified Options.</w:t>
      </w:r>
    </w:p>
    <w:p>
      <w:pPr>
        <w:spacing w:after="0" w:line="150"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The Committee may from time to time grant to eligible Participants Incentive Stock Options, Non-qualified Stock Options, or any combination thereof; provided that, the Committee may grant Incentive Stock Options only to eligible employees of the Company or its Subsidiaries (as defined for this purpose in Section 424(f) of the Code or</w:t>
      </w:r>
    </w:p>
    <w:p>
      <w:pPr>
        <w:spacing w:after="0" w:line="281"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8"/>
          </w:cols>
          <w:pgMar w:left="212" w:top="293" w:right="219" w:bottom="1440" w:gutter="0" w:footer="0" w:header="0"/>
        </w:sectPr>
      </w:pPr>
    </w:p>
    <w:bookmarkStart w:id="153" w:name="page154"/>
    <w:bookmarkEnd w:id="153"/>
    <w:p>
      <w:pPr>
        <w:ind w:right="20"/>
        <w:spacing w:after="0" w:line="276" w:lineRule="auto"/>
        <w:rPr>
          <w:sz w:val="20"/>
          <w:szCs w:val="20"/>
          <w:color w:val="auto"/>
        </w:rPr>
      </w:pPr>
      <w:r>
        <w:rPr>
          <w:rFonts w:ascii="Arial" w:cs="Arial" w:eastAsia="Arial" w:hAnsi="Arial"/>
          <w:sz w:val="12"/>
          <w:szCs w:val="12"/>
          <w:color w:val="auto"/>
        </w:rPr>
        <w:t>any successor thereto). In any one calendar year, the Committee shall not grant to any one Participant options to purchase a number of Shares of Common Stock in excess of 500,000 shares of Common Stock. The options granted under the Plan shall be evidenced by a Grant Agreement and shall take such form as the Committee shall determine, subject to the terms and conditions of the Plan.</w:t>
      </w:r>
    </w:p>
    <w:p>
      <w:pPr>
        <w:spacing w:after="0" w:line="11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w:t>
      </w:r>
    </w:p>
    <w:p>
      <w:pPr>
        <w:spacing w:after="0" w:line="125" w:lineRule="exact"/>
        <w:rPr>
          <w:sz w:val="20"/>
          <w:szCs w:val="20"/>
          <w:color w:val="auto"/>
        </w:rPr>
      </w:pPr>
    </w:p>
    <w:p>
      <w:pPr>
        <w:ind w:right="20" w:firstLine="424"/>
        <w:spacing w:after="0" w:line="257" w:lineRule="auto"/>
        <w:tabs>
          <w:tab w:leader="none" w:pos="686" w:val="left"/>
        </w:tabs>
        <w:numPr>
          <w:ilvl w:val="0"/>
          <w:numId w:val="79"/>
        </w:numPr>
        <w:rPr>
          <w:rFonts w:ascii="Arial" w:cs="Arial" w:eastAsia="Arial" w:hAnsi="Arial"/>
          <w:sz w:val="12"/>
          <w:szCs w:val="12"/>
          <w:color w:val="010000"/>
        </w:rPr>
      </w:pPr>
      <w:r>
        <w:rPr>
          <w:rFonts w:ascii="Arial" w:cs="Arial" w:eastAsia="Arial" w:hAnsi="Arial"/>
          <w:sz w:val="12"/>
          <w:szCs w:val="12"/>
          <w:i w:val="1"/>
          <w:iCs w:val="1"/>
          <w:color w:val="auto"/>
        </w:rPr>
        <w:t>Price</w:t>
      </w:r>
      <w:r>
        <w:rPr>
          <w:rFonts w:ascii="Arial" w:cs="Arial" w:eastAsia="Arial" w:hAnsi="Arial"/>
          <w:sz w:val="12"/>
          <w:szCs w:val="12"/>
          <w:color w:val="auto"/>
        </w:rPr>
        <w:t>. The price per Share deliverable upon the exercise of each option shall be established by the Committee, except that in the case of the grant of any option, the exercise price may not be less than 100% of the Fair Market</w:t>
      </w:r>
      <w:r>
        <w:rPr>
          <w:rFonts w:ascii="Arial" w:cs="Arial" w:eastAsia="Arial" w:hAnsi="Arial"/>
          <w:sz w:val="12"/>
          <w:szCs w:val="12"/>
          <w:i w:val="1"/>
          <w:iCs w:val="1"/>
          <w:color w:val="auto"/>
        </w:rPr>
        <w:t xml:space="preserve"> </w:t>
      </w:r>
      <w:r>
        <w:rPr>
          <w:rFonts w:ascii="Arial" w:cs="Arial" w:eastAsia="Arial" w:hAnsi="Arial"/>
          <w:sz w:val="12"/>
          <w:szCs w:val="12"/>
          <w:color w:val="auto"/>
        </w:rPr>
        <w:t>Value of a share of Common Stock as of the date of grant of the option except for Substitute Awards, which shall have the exercise price as determined by the Committee provided that such exercise price does not cause the Substitute Award to become subject to Code Section 409A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w:t>
      </w:r>
    </w:p>
    <w:p>
      <w:pPr>
        <w:spacing w:after="0" w:line="125" w:lineRule="exact"/>
        <w:rPr>
          <w:rFonts w:ascii="Arial" w:cs="Arial" w:eastAsia="Arial" w:hAnsi="Arial"/>
          <w:sz w:val="12"/>
          <w:szCs w:val="12"/>
          <w:color w:val="010000"/>
        </w:rPr>
      </w:pPr>
    </w:p>
    <w:p>
      <w:pPr>
        <w:jc w:val="both"/>
        <w:ind w:right="120" w:firstLine="424"/>
        <w:spacing w:after="0" w:line="259" w:lineRule="auto"/>
        <w:tabs>
          <w:tab w:leader="none" w:pos="692" w:val="left"/>
        </w:tabs>
        <w:numPr>
          <w:ilvl w:val="0"/>
          <w:numId w:val="79"/>
        </w:numPr>
        <w:rPr>
          <w:rFonts w:ascii="Arial" w:cs="Arial" w:eastAsia="Arial" w:hAnsi="Arial"/>
          <w:sz w:val="12"/>
          <w:szCs w:val="12"/>
          <w:color w:val="010000"/>
        </w:rPr>
      </w:pPr>
      <w:r>
        <w:rPr>
          <w:rFonts w:ascii="Arial" w:cs="Arial" w:eastAsia="Arial" w:hAnsi="Arial"/>
          <w:sz w:val="12"/>
          <w:szCs w:val="12"/>
          <w:i w:val="1"/>
          <w:iCs w:val="1"/>
          <w:color w:val="auto"/>
        </w:rPr>
        <w:t>Payment</w:t>
      </w:r>
      <w:r>
        <w:rPr>
          <w:rFonts w:ascii="Arial" w:cs="Arial" w:eastAsia="Arial" w:hAnsi="Arial"/>
          <w:sz w:val="12"/>
          <w:szCs w:val="12"/>
          <w:color w:val="auto"/>
        </w:rPr>
        <w:t>. Options may be exercised, in whole or in part, upon payment of the exercise price of the Shares to be acquired. Unless otherwise determined by the Committee, payment shall be made (i) in cash (including check,</w:t>
      </w:r>
      <w:r>
        <w:rPr>
          <w:rFonts w:ascii="Arial" w:cs="Arial" w:eastAsia="Arial" w:hAnsi="Arial"/>
          <w:sz w:val="12"/>
          <w:szCs w:val="12"/>
          <w:i w:val="1"/>
          <w:iCs w:val="1"/>
          <w:color w:val="auto"/>
        </w:rPr>
        <w:t xml:space="preserve"> </w:t>
      </w:r>
      <w:r>
        <w:rPr>
          <w:rFonts w:ascii="Arial" w:cs="Arial" w:eastAsia="Arial" w:hAnsi="Arial"/>
          <w:sz w:val="12"/>
          <w:szCs w:val="12"/>
          <w:color w:val="auto"/>
        </w:rPr>
        <w:t>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Common Stock otherwise deliverable upon exercise of the Option having a Fair Market Value equal to the exercise price or (v) by any combination of the foregoing.</w:t>
      </w:r>
    </w:p>
    <w:p>
      <w:pPr>
        <w:spacing w:after="0" w:line="125" w:lineRule="exact"/>
        <w:rPr>
          <w:sz w:val="20"/>
          <w:szCs w:val="20"/>
          <w:color w:val="auto"/>
        </w:rPr>
      </w:pPr>
    </w:p>
    <w:p>
      <w:pPr>
        <w:ind w:right="100" w:firstLine="432"/>
        <w:spacing w:after="0" w:line="280" w:lineRule="auto"/>
        <w:rPr>
          <w:sz w:val="20"/>
          <w:szCs w:val="20"/>
          <w:color w:val="auto"/>
        </w:rPr>
      </w:pPr>
      <w:r>
        <w:rPr>
          <w:rFonts w:ascii="Arial" w:cs="Arial" w:eastAsia="Arial" w:hAnsi="Arial"/>
          <w:sz w:val="11"/>
          <w:szCs w:val="11"/>
          <w:color w:val="auto"/>
        </w:rPr>
        <w:t>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have not been subject to any substantial risk of forfeiture) for at least six months prior to the date of exercise or such longer period as determined from time to time by the Committee, and (C) Common Stock must be delivered to the Company. Delivery for this purpose may, at the election of the grantee, be made either by (A) physical delivery of the certificate(s) for all such shares of Common Stock tendered in payment of the exercise price, accompanied by duly executed instruments of transfer in a form acceptable to the Company, (B) direction to the grantee’s broker to transfer, by book entry, such shares of Common Stock from a brokerage account of the grantee to a brokerage account specified by the Company, or (C)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116" w:lineRule="exact"/>
        <w:rPr>
          <w:sz w:val="20"/>
          <w:szCs w:val="20"/>
          <w:color w:val="auto"/>
        </w:rPr>
      </w:pPr>
    </w:p>
    <w:p>
      <w:pPr>
        <w:ind w:firstLine="424"/>
        <w:spacing w:after="0" w:line="323" w:lineRule="auto"/>
        <w:tabs>
          <w:tab w:leader="none" w:pos="686" w:val="left"/>
        </w:tabs>
        <w:numPr>
          <w:ilvl w:val="0"/>
          <w:numId w:val="80"/>
        </w:numPr>
        <w:rPr>
          <w:rFonts w:ascii="Arial" w:cs="Arial" w:eastAsia="Arial" w:hAnsi="Arial"/>
          <w:sz w:val="11"/>
          <w:szCs w:val="11"/>
          <w:color w:val="010000"/>
        </w:rPr>
      </w:pPr>
      <w:r>
        <w:rPr>
          <w:rFonts w:ascii="Arial" w:cs="Arial" w:eastAsia="Arial" w:hAnsi="Arial"/>
          <w:sz w:val="11"/>
          <w:szCs w:val="11"/>
          <w:i w:val="1"/>
          <w:iCs w:val="1"/>
          <w:color w:val="auto"/>
        </w:rPr>
        <w:t>Terms of Options</w:t>
      </w:r>
      <w:r>
        <w:rPr>
          <w:rFonts w:ascii="Arial" w:cs="Arial" w:eastAsia="Arial" w:hAnsi="Arial"/>
          <w:sz w:val="11"/>
          <w:szCs w:val="11"/>
          <w:color w:val="auto"/>
        </w:rPr>
        <w:t>. The term during which each option may be exercised shall be determined by the Committee, but if required by the Code, no option shall be exercisable in whole or in part more than ten years from the date it</w:t>
      </w:r>
      <w:r>
        <w:rPr>
          <w:rFonts w:ascii="Arial" w:cs="Arial" w:eastAsia="Arial" w:hAnsi="Arial"/>
          <w:sz w:val="11"/>
          <w:szCs w:val="11"/>
          <w:i w:val="1"/>
          <w:iCs w:val="1"/>
          <w:color w:val="auto"/>
        </w:rPr>
        <w:t xml:space="preserve"> </w:t>
      </w:r>
      <w:r>
        <w:rPr>
          <w:rFonts w:ascii="Arial" w:cs="Arial" w:eastAsia="Arial" w:hAnsi="Arial"/>
          <w:sz w:val="11"/>
          <w:szCs w:val="11"/>
          <w:color w:val="auto"/>
        </w:rPr>
        <w:t>is granted, and no Incentive Stock Option granted to an employee who at the time of the grant owns more than 10% of the total combined voting power of all classes of stock of the Company or any of its Subsidiaries shall</w:t>
      </w:r>
    </w:p>
    <w:p>
      <w:pPr>
        <w:spacing w:after="0" w:line="258"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80"/>
          </w:cols>
          <w:pgMar w:left="220" w:top="293" w:right="199" w:bottom="1440" w:gutter="0" w:footer="0" w:header="0"/>
        </w:sectPr>
      </w:pPr>
    </w:p>
    <w:bookmarkStart w:id="154" w:name="page155"/>
    <w:bookmarkEnd w:id="154"/>
    <w:p>
      <w:pPr>
        <w:spacing w:after="0" w:line="254" w:lineRule="auto"/>
        <w:rPr>
          <w:sz w:val="20"/>
          <w:szCs w:val="20"/>
          <w:color w:val="auto"/>
        </w:rPr>
      </w:pPr>
      <w:r>
        <w:rPr>
          <w:rFonts w:ascii="Arial" w:cs="Arial" w:eastAsia="Arial" w:hAnsi="Arial"/>
          <w:sz w:val="12"/>
          <w:szCs w:val="12"/>
          <w:color w:val="auto"/>
        </w:rPr>
        <w:t>be exercisable more than five years from the date it is granted. All rights to purchase Shares pursuant to an option shall, unless sooner terminated, expire on the date designated by the Committee.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Code Section 409A.</w:t>
      </w:r>
    </w:p>
    <w:p>
      <w:pPr>
        <w:spacing w:after="0" w:line="129" w:lineRule="exact"/>
        <w:rPr>
          <w:sz w:val="20"/>
          <w:szCs w:val="20"/>
          <w:color w:val="auto"/>
        </w:rPr>
      </w:pPr>
    </w:p>
    <w:p>
      <w:pPr>
        <w:ind w:right="80" w:firstLine="424"/>
        <w:spacing w:after="0" w:line="276" w:lineRule="auto"/>
        <w:tabs>
          <w:tab w:leader="none" w:pos="692" w:val="left"/>
        </w:tabs>
        <w:numPr>
          <w:ilvl w:val="0"/>
          <w:numId w:val="81"/>
        </w:numPr>
        <w:rPr>
          <w:rFonts w:ascii="Arial" w:cs="Arial" w:eastAsia="Arial" w:hAnsi="Arial"/>
          <w:sz w:val="12"/>
          <w:szCs w:val="12"/>
          <w:color w:val="010000"/>
        </w:rPr>
      </w:pPr>
      <w:r>
        <w:rPr>
          <w:rFonts w:ascii="Arial" w:cs="Arial" w:eastAsia="Arial" w:hAnsi="Arial"/>
          <w:sz w:val="12"/>
          <w:szCs w:val="12"/>
          <w:i w:val="1"/>
          <w:iCs w:val="1"/>
          <w:color w:val="auto"/>
        </w:rPr>
        <w:t>Limitations on Grants</w:t>
      </w:r>
      <w:r>
        <w:rPr>
          <w:rFonts w:ascii="Arial" w:cs="Arial" w:eastAsia="Arial" w:hAnsi="Arial"/>
          <w:sz w:val="12"/>
          <w:szCs w:val="12"/>
          <w:color w:val="auto"/>
        </w:rPr>
        <w:t>. If required by the Code, the aggregate Fair Market Value (determined as of the grant date) of Shares for which an Incentive Stock Option is exercisable for the first time during any calendar year under</w:t>
      </w:r>
      <w:r>
        <w:rPr>
          <w:rFonts w:ascii="Arial" w:cs="Arial" w:eastAsia="Arial" w:hAnsi="Arial"/>
          <w:sz w:val="12"/>
          <w:szCs w:val="12"/>
          <w:i w:val="1"/>
          <w:iCs w:val="1"/>
          <w:color w:val="auto"/>
        </w:rPr>
        <w:t xml:space="preserve"> </w:t>
      </w:r>
      <w:r>
        <w:rPr>
          <w:rFonts w:ascii="Arial" w:cs="Arial" w:eastAsia="Arial" w:hAnsi="Arial"/>
          <w:sz w:val="12"/>
          <w:szCs w:val="12"/>
          <w:color w:val="auto"/>
        </w:rPr>
        <w:t>all equity incentive plans of the Company and its Subsidiaries (as defined in Section 422 of the Code or any successor thereto) may not exceed $100,000.</w:t>
      </w:r>
    </w:p>
    <w:p>
      <w:pPr>
        <w:spacing w:after="0" w:line="114" w:lineRule="exact"/>
        <w:rPr>
          <w:rFonts w:ascii="Arial" w:cs="Arial" w:eastAsia="Arial" w:hAnsi="Arial"/>
          <w:sz w:val="12"/>
          <w:szCs w:val="12"/>
          <w:color w:val="010000"/>
        </w:rPr>
      </w:pPr>
    </w:p>
    <w:p>
      <w:pPr>
        <w:ind w:right="100" w:firstLine="424"/>
        <w:spacing w:after="0" w:line="255" w:lineRule="auto"/>
        <w:tabs>
          <w:tab w:leader="none" w:pos="686" w:val="left"/>
        </w:tabs>
        <w:numPr>
          <w:ilvl w:val="0"/>
          <w:numId w:val="81"/>
        </w:numPr>
        <w:rPr>
          <w:rFonts w:ascii="Arial" w:cs="Arial" w:eastAsia="Arial" w:hAnsi="Arial"/>
          <w:sz w:val="12"/>
          <w:szCs w:val="12"/>
          <w:color w:val="010000"/>
        </w:rPr>
      </w:pPr>
      <w:r>
        <w:rPr>
          <w:rFonts w:ascii="Arial" w:cs="Arial" w:eastAsia="Arial" w:hAnsi="Arial"/>
          <w:sz w:val="12"/>
          <w:szCs w:val="12"/>
          <w:i w:val="1"/>
          <w:iCs w:val="1"/>
          <w:color w:val="auto"/>
        </w:rPr>
        <w:t>Non-Transferability</w:t>
      </w:r>
      <w:r>
        <w:rPr>
          <w:rFonts w:ascii="Arial" w:cs="Arial" w:eastAsia="Arial" w:hAnsi="Arial"/>
          <w:sz w:val="12"/>
          <w:szCs w:val="12"/>
          <w:color w:val="auto"/>
        </w:rPr>
        <w:t>. No Stock Option shall be Transferable by the Participant other than by will or by the laws of descent and distribution, and all Stock Options shall be exercisable, during the Participant’s lifetime, only by</w:t>
      </w:r>
      <w:r>
        <w:rPr>
          <w:rFonts w:ascii="Arial" w:cs="Arial" w:eastAsia="Arial" w:hAnsi="Arial"/>
          <w:sz w:val="12"/>
          <w:szCs w:val="12"/>
          <w:i w:val="1"/>
          <w:iCs w:val="1"/>
          <w:color w:val="auto"/>
        </w:rPr>
        <w:t xml:space="preserve"> </w:t>
      </w:r>
      <w:r>
        <w:rPr>
          <w:rFonts w:ascii="Arial" w:cs="Arial" w:eastAsia="Arial" w:hAnsi="Arial"/>
          <w:sz w:val="12"/>
          <w:szCs w:val="12"/>
          <w:color w:val="auto"/>
        </w:rPr>
        <w:t>the Participant. Notwithstanding the foregoing, the Committee may determine, in its sole discretion, at the time of grant or thereafter that a Non-Qualified Stock Option that is otherwise not Transferable pursuant to this Section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this Plan and the applicable Grant Agreement. Any shares of Common Stock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Grant Agreement.</w:t>
      </w:r>
    </w:p>
    <w:p>
      <w:pPr>
        <w:spacing w:after="0" w:line="129" w:lineRule="exact"/>
        <w:rPr>
          <w:rFonts w:ascii="Arial" w:cs="Arial" w:eastAsia="Arial" w:hAnsi="Arial"/>
          <w:sz w:val="12"/>
          <w:szCs w:val="12"/>
          <w:color w:val="010000"/>
        </w:rPr>
      </w:pPr>
    </w:p>
    <w:p>
      <w:pPr>
        <w:jc w:val="both"/>
        <w:ind w:right="40" w:firstLine="424"/>
        <w:spacing w:after="0" w:line="259" w:lineRule="auto"/>
        <w:tabs>
          <w:tab w:leader="none" w:pos="672" w:val="left"/>
        </w:tabs>
        <w:numPr>
          <w:ilvl w:val="0"/>
          <w:numId w:val="81"/>
        </w:numPr>
        <w:rPr>
          <w:rFonts w:ascii="Arial" w:cs="Arial" w:eastAsia="Arial" w:hAnsi="Arial"/>
          <w:sz w:val="12"/>
          <w:szCs w:val="12"/>
          <w:color w:val="010000"/>
        </w:rPr>
      </w:pPr>
      <w:r>
        <w:rPr>
          <w:rFonts w:ascii="Arial" w:cs="Arial" w:eastAsia="Arial" w:hAnsi="Arial"/>
          <w:sz w:val="12"/>
          <w:szCs w:val="12"/>
          <w:i w:val="1"/>
          <w:iCs w:val="1"/>
          <w:color w:val="auto"/>
        </w:rPr>
        <w:t>Other Terms and Conditions</w:t>
      </w:r>
      <w:r>
        <w:rPr>
          <w:rFonts w:ascii="Arial" w:cs="Arial" w:eastAsia="Arial" w:hAnsi="Arial"/>
          <w:sz w:val="12"/>
          <w:szCs w:val="12"/>
          <w:color w:val="auto"/>
        </w:rPr>
        <w:t>. The Committee may include a provision in a Grant Agreement providing for the automatic exercise of a Non-Qualified Stock Option on a cashless basis on the last day of the term of such Option</w:t>
      </w:r>
      <w:r>
        <w:rPr>
          <w:rFonts w:ascii="Arial" w:cs="Arial" w:eastAsia="Arial" w:hAnsi="Arial"/>
          <w:sz w:val="12"/>
          <w:szCs w:val="12"/>
          <w:i w:val="1"/>
          <w:iCs w:val="1"/>
          <w:color w:val="auto"/>
        </w:rPr>
        <w:t xml:space="preserve"> </w:t>
      </w:r>
      <w:r>
        <w:rPr>
          <w:rFonts w:ascii="Arial" w:cs="Arial" w:eastAsia="Arial" w:hAnsi="Arial"/>
          <w:sz w:val="12"/>
          <w:szCs w:val="12"/>
          <w:color w:val="auto"/>
        </w:rPr>
        <w:t>if the Participant has failed to exercise the Non-Qualified Stock Option as of such date, with respect to which the Fair Market Value of the shares of Common Stock underlying the Non-Qualified Stock Option exceeds the exercise price of such Non-Qualified Stock Option on the date of expiration of such Option, subject to Section 14. Stock Options may contain such other provisions, which shall not be inconsistent with any of the terms of the Plan, as the Committee shall deem appropriate.</w:t>
      </w:r>
    </w:p>
    <w:p>
      <w:pPr>
        <w:spacing w:after="0" w:line="124" w:lineRule="exact"/>
        <w:rPr>
          <w:rFonts w:ascii="Arial" w:cs="Arial" w:eastAsia="Arial" w:hAnsi="Arial"/>
          <w:sz w:val="12"/>
          <w:szCs w:val="12"/>
          <w:color w:val="010000"/>
        </w:rPr>
      </w:pPr>
    </w:p>
    <w:p>
      <w:pPr>
        <w:ind w:left="680" w:hanging="256"/>
        <w:spacing w:after="0"/>
        <w:tabs>
          <w:tab w:leader="none" w:pos="680" w:val="left"/>
        </w:tabs>
        <w:numPr>
          <w:ilvl w:val="0"/>
          <w:numId w:val="81"/>
        </w:numPr>
        <w:rPr>
          <w:rFonts w:ascii="Arial" w:cs="Arial" w:eastAsia="Arial" w:hAnsi="Arial"/>
          <w:sz w:val="12"/>
          <w:szCs w:val="12"/>
          <w:color w:val="010000"/>
        </w:rPr>
      </w:pPr>
      <w:r>
        <w:rPr>
          <w:rFonts w:ascii="Arial" w:cs="Arial" w:eastAsia="Arial" w:hAnsi="Arial"/>
          <w:sz w:val="12"/>
          <w:szCs w:val="12"/>
          <w:i w:val="1"/>
          <w:iCs w:val="1"/>
          <w:color w:val="auto"/>
        </w:rPr>
        <w:t>Termination; Forfeiture</w:t>
      </w:r>
      <w:r>
        <w:rPr>
          <w:rFonts w:ascii="Arial" w:cs="Arial" w:eastAsia="Arial" w:hAnsi="Arial"/>
          <w:sz w:val="12"/>
          <w:szCs w:val="12"/>
          <w:color w:val="auto"/>
        </w:rPr>
        <w:t>.</w:t>
      </w:r>
    </w:p>
    <w:p>
      <w:pPr>
        <w:spacing w:after="0" w:line="150" w:lineRule="exact"/>
        <w:rPr>
          <w:rFonts w:ascii="Arial" w:cs="Arial" w:eastAsia="Arial" w:hAnsi="Arial"/>
          <w:sz w:val="12"/>
          <w:szCs w:val="12"/>
          <w:color w:val="010000"/>
        </w:rPr>
      </w:pPr>
    </w:p>
    <w:p>
      <w:pPr>
        <w:ind w:left="420" w:right="120" w:firstLine="437"/>
        <w:spacing w:after="0" w:line="263" w:lineRule="auto"/>
        <w:tabs>
          <w:tab w:leader="none" w:pos="1086" w:val="left"/>
        </w:tabs>
        <w:numPr>
          <w:ilvl w:val="1"/>
          <w:numId w:val="81"/>
        </w:numPr>
        <w:rPr>
          <w:rFonts w:ascii="Arial" w:cs="Arial" w:eastAsia="Arial" w:hAnsi="Arial"/>
          <w:sz w:val="12"/>
          <w:szCs w:val="12"/>
          <w:color w:val="010000"/>
        </w:rPr>
      </w:pPr>
      <w:r>
        <w:rPr>
          <w:rFonts w:ascii="Arial" w:cs="Arial" w:eastAsia="Arial" w:hAnsi="Arial"/>
          <w:sz w:val="12"/>
          <w:szCs w:val="12"/>
          <w:i w:val="1"/>
          <w:iCs w:val="1"/>
          <w:color w:val="auto"/>
        </w:rPr>
        <w:t>Death</w:t>
      </w:r>
      <w:r>
        <w:rPr>
          <w:rFonts w:ascii="Arial" w:cs="Arial" w:eastAsia="Arial" w:hAnsi="Arial"/>
          <w:sz w:val="12"/>
          <w:szCs w:val="12"/>
          <w:color w:val="auto"/>
        </w:rPr>
        <w:t>. Unless otherwise provided in a Participant’s Grant Agreement, if a Participant ceases to be a director, officer or employee of, or to perform other services for, the Company or any Subsidiary due to his or her</w:t>
      </w:r>
      <w:r>
        <w:rPr>
          <w:rFonts w:ascii="Arial" w:cs="Arial" w:eastAsia="Arial" w:hAnsi="Arial"/>
          <w:sz w:val="12"/>
          <w:szCs w:val="12"/>
          <w:i w:val="1"/>
          <w:iCs w:val="1"/>
          <w:color w:val="auto"/>
        </w:rPr>
        <w:t xml:space="preserve"> </w:t>
      </w:r>
      <w:r>
        <w:rPr>
          <w:rFonts w:ascii="Arial" w:cs="Arial" w:eastAsia="Arial" w:hAnsi="Arial"/>
          <w:sz w:val="12"/>
          <w:szCs w:val="12"/>
          <w:color w:val="auto"/>
        </w:rPr>
        <w:t>death, all of the Participant’s Awards shall become fully vested and all of the Participant’s options shall become exercisable and shall remain so for a period of one year from the date of such death, but in no event after the expiration date of the options.</w:t>
      </w:r>
    </w:p>
    <w:p>
      <w:pPr>
        <w:spacing w:after="0" w:line="122" w:lineRule="exact"/>
        <w:rPr>
          <w:rFonts w:ascii="Arial" w:cs="Arial" w:eastAsia="Arial" w:hAnsi="Arial"/>
          <w:sz w:val="12"/>
          <w:szCs w:val="12"/>
          <w:color w:val="010000"/>
        </w:rPr>
      </w:pPr>
    </w:p>
    <w:p>
      <w:pPr>
        <w:ind w:left="420" w:right="120" w:firstLine="437"/>
        <w:spacing w:after="0" w:line="263" w:lineRule="auto"/>
        <w:tabs>
          <w:tab w:leader="none" w:pos="1119" w:val="left"/>
        </w:tabs>
        <w:numPr>
          <w:ilvl w:val="1"/>
          <w:numId w:val="81"/>
        </w:numPr>
        <w:rPr>
          <w:rFonts w:ascii="Arial" w:cs="Arial" w:eastAsia="Arial" w:hAnsi="Arial"/>
          <w:sz w:val="12"/>
          <w:szCs w:val="12"/>
          <w:color w:val="010000"/>
        </w:rPr>
      </w:pPr>
      <w:r>
        <w:rPr>
          <w:rFonts w:ascii="Arial" w:cs="Arial" w:eastAsia="Arial" w:hAnsi="Arial"/>
          <w:sz w:val="12"/>
          <w:szCs w:val="12"/>
          <w:i w:val="1"/>
          <w:iCs w:val="1"/>
          <w:color w:val="auto"/>
        </w:rPr>
        <w:t>Disability</w:t>
      </w:r>
      <w:r>
        <w:rPr>
          <w:rFonts w:ascii="Arial" w:cs="Arial" w:eastAsia="Arial" w:hAnsi="Arial"/>
          <w:sz w:val="12"/>
          <w:szCs w:val="12"/>
          <w:color w:val="auto"/>
        </w:rPr>
        <w:t>. Unless otherwise provided in a Participant’s Grant Agreement, if a Participant ceases to be a director, officer or employee of, or to perform other services for, the Company or any Subsidiary due to</w:t>
      </w:r>
      <w:r>
        <w:rPr>
          <w:rFonts w:ascii="Arial" w:cs="Arial" w:eastAsia="Arial" w:hAnsi="Arial"/>
          <w:sz w:val="12"/>
          <w:szCs w:val="12"/>
          <w:i w:val="1"/>
          <w:iCs w:val="1"/>
          <w:color w:val="auto"/>
        </w:rPr>
        <w:t xml:space="preserve"> </w:t>
      </w:r>
      <w:r>
        <w:rPr>
          <w:rFonts w:ascii="Arial" w:cs="Arial" w:eastAsia="Arial" w:hAnsi="Arial"/>
          <w:sz w:val="12"/>
          <w:szCs w:val="12"/>
          <w:color w:val="auto"/>
        </w:rPr>
        <w:t>Disability, (A) all of the Participant’s options that were exercisable on the date of Disability shall remain exercisable for, and shall otherwise terminate and thereafter be forfeited at the end of, a period of one year after the date of Disability, but in no event after the expiration date of the options,</w:t>
      </w:r>
    </w:p>
    <w:p>
      <w:pPr>
        <w:spacing w:after="0" w:line="289"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80"/>
          </w:cols>
          <w:pgMar w:left="220" w:top="293" w:right="199" w:bottom="1440" w:gutter="0" w:footer="0" w:header="0"/>
        </w:sectPr>
      </w:pPr>
    </w:p>
    <w:bookmarkStart w:id="155" w:name="page156"/>
    <w:bookmarkEnd w:id="155"/>
    <w:p>
      <w:pPr>
        <w:jc w:val="both"/>
        <w:ind w:left="428"/>
        <w:spacing w:after="0" w:line="259" w:lineRule="auto"/>
        <w:rPr>
          <w:sz w:val="20"/>
          <w:szCs w:val="20"/>
          <w:color w:val="auto"/>
        </w:rPr>
      </w:pPr>
      <w:r>
        <w:rPr>
          <w:rFonts w:ascii="Arial" w:cs="Arial" w:eastAsia="Arial" w:hAnsi="Arial"/>
          <w:sz w:val="12"/>
          <w:szCs w:val="12"/>
          <w:color w:val="auto"/>
        </w:rPr>
        <w:t>and (B) all of the Participant’s Awards that were not fully vested (or, with respect to the Participant’s options, exercisable) on the date of Disability shall be forfeited immediately upon such Disability; provided, however, that such Awards may become fully vested (and, with respect to the Participant’s options, exercisable) in the discretion of the Committee.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w:t>
      </w:r>
    </w:p>
    <w:p>
      <w:pPr>
        <w:spacing w:after="0" w:line="125" w:lineRule="exact"/>
        <w:rPr>
          <w:sz w:val="20"/>
          <w:szCs w:val="20"/>
          <w:color w:val="auto"/>
        </w:rPr>
      </w:pPr>
    </w:p>
    <w:p>
      <w:pPr>
        <w:ind w:left="428" w:firstLine="437"/>
        <w:spacing w:after="0" w:line="255" w:lineRule="auto"/>
        <w:tabs>
          <w:tab w:leader="none" w:pos="1160" w:val="left"/>
        </w:tabs>
        <w:numPr>
          <w:ilvl w:val="0"/>
          <w:numId w:val="82"/>
        </w:numPr>
        <w:rPr>
          <w:rFonts w:ascii="Arial" w:cs="Arial" w:eastAsia="Arial" w:hAnsi="Arial"/>
          <w:sz w:val="12"/>
          <w:szCs w:val="12"/>
          <w:color w:val="010000"/>
        </w:rPr>
      </w:pPr>
      <w:r>
        <w:rPr>
          <w:rFonts w:ascii="Arial" w:cs="Arial" w:eastAsia="Arial" w:hAnsi="Arial"/>
          <w:sz w:val="12"/>
          <w:szCs w:val="12"/>
          <w:i w:val="1"/>
          <w:iCs w:val="1"/>
          <w:color w:val="auto"/>
        </w:rPr>
        <w:t>Retirement</w:t>
      </w:r>
      <w:r>
        <w:rPr>
          <w:rFonts w:ascii="Arial" w:cs="Arial" w:eastAsia="Arial" w:hAnsi="Arial"/>
          <w:sz w:val="12"/>
          <w:szCs w:val="12"/>
          <w:color w:val="auto"/>
        </w:rPr>
        <w:t>. Unless otherwise provided in a Participant’s Grant Agreement, if a Participant ceases to be an officer or employee of, or to perform other services for, the Company or any Subsidiary upon the</w:t>
      </w:r>
      <w:r>
        <w:rPr>
          <w:rFonts w:ascii="Arial" w:cs="Arial" w:eastAsia="Arial" w:hAnsi="Arial"/>
          <w:sz w:val="12"/>
          <w:szCs w:val="12"/>
          <w:i w:val="1"/>
          <w:iCs w:val="1"/>
          <w:color w:val="auto"/>
        </w:rPr>
        <w:t xml:space="preserve"> </w:t>
      </w:r>
      <w:r>
        <w:rPr>
          <w:rFonts w:ascii="Arial" w:cs="Arial" w:eastAsia="Arial" w:hAnsi="Arial"/>
          <w:sz w:val="12"/>
          <w:szCs w:val="12"/>
          <w:color w:val="auto"/>
        </w:rPr>
        <w:t>occurrence of his or her Retirement, (A) all of the Participant’s options that were exercisable on the date of Retirement shall remain exercisable for, and shall otherwise terminate and thereafter be forfeited at the end of, a period of two years after the date of Retirement, but in no event after the expiration date of the options, and (B) all of the Participant’s Awards that were not fully vested (or, with respect to the Participant’s options, exercisable) on the date of Retirement shall be forfeited immediately upon such Retirement; provided, however, that such Awards may become fully vested (and, with respect to the Participant’s options, exercisable) in the discretion of the Committee. Notwithstanding the foregoing, Incentive Stock Options not exercised by such Participant within 90 days after Retirement will cease to qualify as Incentive Stock Options and will be treated as Non-qualified Stock Options under the Plan if required to be so treated under the Code.</w:t>
      </w:r>
    </w:p>
    <w:p>
      <w:pPr>
        <w:spacing w:after="0" w:line="129" w:lineRule="exact"/>
        <w:rPr>
          <w:sz w:val="20"/>
          <w:szCs w:val="20"/>
          <w:color w:val="auto"/>
        </w:rPr>
      </w:pPr>
    </w:p>
    <w:p>
      <w:pPr>
        <w:ind w:left="428" w:right="100" w:firstLine="432"/>
        <w:spacing w:after="0" w:line="323" w:lineRule="auto"/>
        <w:rPr>
          <w:sz w:val="20"/>
          <w:szCs w:val="20"/>
          <w:color w:val="auto"/>
        </w:rPr>
      </w:pPr>
      <w:r>
        <w:rPr>
          <w:rFonts w:ascii="Arial" w:cs="Arial" w:eastAsia="Arial" w:hAnsi="Arial"/>
          <w:sz w:val="11"/>
          <w:szCs w:val="11"/>
          <w:color w:val="auto"/>
        </w:rPr>
        <w:t>Unless otherwise provided in a Participant’s Grant Agreement, if a Participant ceases to be a director of the Company or any Subsidiary upon the occurrence of his or her Retirement, all of the Participant’s Awards shall become fully vested and all of the Participant’s options shall become exercisable and shall remain so for a period of two years after the date of Retirement, but in no event after the expiration date of the options.</w:t>
      </w:r>
    </w:p>
    <w:p>
      <w:pPr>
        <w:spacing w:after="0" w:line="92" w:lineRule="exact"/>
        <w:rPr>
          <w:sz w:val="20"/>
          <w:szCs w:val="20"/>
          <w:color w:val="auto"/>
        </w:rPr>
      </w:pPr>
    </w:p>
    <w:p>
      <w:pPr>
        <w:ind w:left="428" w:right="20" w:firstLine="437"/>
        <w:spacing w:after="0" w:line="263" w:lineRule="auto"/>
        <w:tabs>
          <w:tab w:leader="none" w:pos="1154" w:val="left"/>
        </w:tabs>
        <w:numPr>
          <w:ilvl w:val="0"/>
          <w:numId w:val="83"/>
        </w:numPr>
        <w:rPr>
          <w:rFonts w:ascii="Arial" w:cs="Arial" w:eastAsia="Arial" w:hAnsi="Arial"/>
          <w:sz w:val="12"/>
          <w:szCs w:val="12"/>
          <w:color w:val="010000"/>
        </w:rPr>
      </w:pPr>
      <w:r>
        <w:rPr>
          <w:rFonts w:ascii="Arial" w:cs="Arial" w:eastAsia="Arial" w:hAnsi="Arial"/>
          <w:sz w:val="12"/>
          <w:szCs w:val="12"/>
          <w:i w:val="1"/>
          <w:iCs w:val="1"/>
          <w:color w:val="auto"/>
        </w:rPr>
        <w:t>Discharge for Cause</w:t>
      </w:r>
      <w:r>
        <w:rPr>
          <w:rFonts w:ascii="Arial" w:cs="Arial" w:eastAsia="Arial" w:hAnsi="Arial"/>
          <w:sz w:val="12"/>
          <w:szCs w:val="12"/>
          <w:color w:val="auto"/>
        </w:rPr>
        <w:t>. Unless otherwise provided in a Participant’s Grant Agreement, if a Participant ceases to be a director, officer or employee of, or to perform other services for, the Company or a Subsidiary due</w:t>
      </w:r>
      <w:r>
        <w:rPr>
          <w:rFonts w:ascii="Arial" w:cs="Arial" w:eastAsia="Arial" w:hAnsi="Arial"/>
          <w:sz w:val="12"/>
          <w:szCs w:val="12"/>
          <w:i w:val="1"/>
          <w:iCs w:val="1"/>
          <w:color w:val="auto"/>
        </w:rPr>
        <w:t xml:space="preserve"> </w:t>
      </w:r>
      <w:r>
        <w:rPr>
          <w:rFonts w:ascii="Arial" w:cs="Arial" w:eastAsia="Arial" w:hAnsi="Arial"/>
          <w:sz w:val="12"/>
          <w:szCs w:val="12"/>
          <w:color w:val="auto"/>
        </w:rPr>
        <w:t>to Cause, or if a Participant does not become a director, officer or employee of, or does not begin performing other services for, the Company or a Subsidiary for any reason, all of the Participant’s Awards shall be forfeited immediately and all of the Participant’s options shall expire and be forfeited immediately, whether or not then exercisable, upon such cessation or non- commencement.</w:t>
      </w:r>
    </w:p>
    <w:p>
      <w:pPr>
        <w:spacing w:after="0" w:line="122" w:lineRule="exact"/>
        <w:rPr>
          <w:rFonts w:ascii="Arial" w:cs="Arial" w:eastAsia="Arial" w:hAnsi="Arial"/>
          <w:sz w:val="12"/>
          <w:szCs w:val="12"/>
          <w:color w:val="010000"/>
        </w:rPr>
      </w:pPr>
    </w:p>
    <w:p>
      <w:pPr>
        <w:ind w:left="428" w:right="80" w:firstLine="437"/>
        <w:spacing w:after="0" w:line="257" w:lineRule="auto"/>
        <w:tabs>
          <w:tab w:leader="none" w:pos="1120" w:val="left"/>
        </w:tabs>
        <w:numPr>
          <w:ilvl w:val="0"/>
          <w:numId w:val="83"/>
        </w:numPr>
        <w:rPr>
          <w:rFonts w:ascii="Arial" w:cs="Arial" w:eastAsia="Arial" w:hAnsi="Arial"/>
          <w:sz w:val="12"/>
          <w:szCs w:val="12"/>
          <w:color w:val="010000"/>
        </w:rPr>
      </w:pPr>
      <w:r>
        <w:rPr>
          <w:rFonts w:ascii="Arial" w:cs="Arial" w:eastAsia="Arial" w:hAnsi="Arial"/>
          <w:sz w:val="12"/>
          <w:szCs w:val="12"/>
          <w:i w:val="1"/>
          <w:iCs w:val="1"/>
          <w:color w:val="auto"/>
        </w:rPr>
        <w:t>Other Termination</w:t>
      </w:r>
      <w:r>
        <w:rPr>
          <w:rFonts w:ascii="Arial" w:cs="Arial" w:eastAsia="Arial" w:hAnsi="Arial"/>
          <w:sz w:val="12"/>
          <w:szCs w:val="12"/>
          <w:color w:val="auto"/>
        </w:rPr>
        <w:t>. If a Participant ceases to be a director, officer or employee of, or to otherwise perform services for, the Company or a Subsidiary for any reason other than death, Disability, Retirement or Cause</w:t>
      </w:r>
      <w:r>
        <w:rPr>
          <w:rFonts w:ascii="Arial" w:cs="Arial" w:eastAsia="Arial" w:hAnsi="Arial"/>
          <w:sz w:val="12"/>
          <w:szCs w:val="12"/>
          <w:i w:val="1"/>
          <w:iCs w:val="1"/>
          <w:color w:val="auto"/>
        </w:rPr>
        <w:t xml:space="preserve"> </w:t>
      </w:r>
      <w:r>
        <w:rPr>
          <w:rFonts w:ascii="Arial" w:cs="Arial" w:eastAsia="Arial" w:hAnsi="Arial"/>
          <w:sz w:val="12"/>
          <w:szCs w:val="12"/>
          <w:color w:val="auto"/>
        </w:rPr>
        <w:t>(each such termination referred to as an “</w:t>
      </w:r>
      <w:r>
        <w:rPr>
          <w:rFonts w:ascii="Arial" w:cs="Arial" w:eastAsia="Arial" w:hAnsi="Arial"/>
          <w:sz w:val="12"/>
          <w:szCs w:val="12"/>
          <w:i w:val="1"/>
          <w:iCs w:val="1"/>
          <w:color w:val="auto"/>
        </w:rPr>
        <w:t>Other Termination</w:t>
      </w:r>
      <w:r>
        <w:rPr>
          <w:rFonts w:ascii="Arial" w:cs="Arial" w:eastAsia="Arial" w:hAnsi="Arial"/>
          <w:sz w:val="12"/>
          <w:szCs w:val="12"/>
          <w:color w:val="auto"/>
        </w:rPr>
        <w:t>”),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Section 6(g)(v) applies.</w:t>
      </w:r>
    </w:p>
    <w:p>
      <w:pPr>
        <w:spacing w:after="0" w:line="126" w:lineRule="exact"/>
        <w:rPr>
          <w:sz w:val="20"/>
          <w:szCs w:val="20"/>
          <w:color w:val="auto"/>
        </w:rPr>
      </w:pPr>
    </w:p>
    <w:p>
      <w:pPr>
        <w:ind w:left="208" w:hanging="208"/>
        <w:spacing w:after="0"/>
        <w:tabs>
          <w:tab w:leader="none" w:pos="208" w:val="left"/>
        </w:tabs>
        <w:numPr>
          <w:ilvl w:val="0"/>
          <w:numId w:val="84"/>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Stock Appreciation Rights.</w:t>
      </w:r>
    </w:p>
    <w:p>
      <w:pPr>
        <w:spacing w:after="0" w:line="150" w:lineRule="exact"/>
        <w:rPr>
          <w:sz w:val="20"/>
          <w:szCs w:val="20"/>
          <w:color w:val="auto"/>
        </w:rPr>
      </w:pPr>
    </w:p>
    <w:p>
      <w:pPr>
        <w:ind w:left="8" w:right="60" w:firstLine="432"/>
        <w:spacing w:after="0" w:line="263" w:lineRule="auto"/>
        <w:rPr>
          <w:sz w:val="20"/>
          <w:szCs w:val="20"/>
          <w:color w:val="auto"/>
        </w:rPr>
      </w:pPr>
      <w:r>
        <w:rPr>
          <w:rFonts w:ascii="Arial" w:cs="Arial" w:eastAsia="Arial" w:hAnsi="Arial"/>
          <w:sz w:val="12"/>
          <w:szCs w:val="12"/>
          <w:color w:val="auto"/>
        </w:rPr>
        <w:t>The Committee shall have the authority to grant SARs under this Plan, either alone or to any optionee in tandem with options (either at the time of grant of the related option or thereafter by amendment to an outstanding option). SARs shall be subject to such terms and conditions as the Committee may specify. In any one calendar year, the Committee shall not grant to any one Participant SARs with respect to a number of Shares of Common Stock in excess of 500,000 shares of Common Stock.</w:t>
      </w:r>
    </w:p>
    <w:p>
      <w:pPr>
        <w:spacing w:after="0" w:line="289"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8"/>
          </w:cols>
          <w:pgMar w:left="212" w:top="293" w:right="259" w:bottom="1440" w:gutter="0" w:footer="0" w:header="0"/>
        </w:sectPr>
      </w:pPr>
    </w:p>
    <w:bookmarkStart w:id="156" w:name="page157"/>
    <w:bookmarkEnd w:id="156"/>
    <w:p>
      <w:pPr>
        <w:ind w:left="8" w:right="60" w:firstLine="432"/>
        <w:spacing w:after="0" w:line="298" w:lineRule="auto"/>
        <w:rPr>
          <w:sz w:val="20"/>
          <w:szCs w:val="20"/>
          <w:color w:val="auto"/>
        </w:rPr>
      </w:pPr>
      <w:r>
        <w:rPr>
          <w:rFonts w:ascii="Arial" w:cs="Arial" w:eastAsia="Arial" w:hAnsi="Arial"/>
          <w:sz w:val="11"/>
          <w:szCs w:val="11"/>
          <w:color w:val="auto"/>
        </w:rPr>
        <w:t>The exercise price of an SAR must equal or exceed the Fair Market Value of a share of Common Stock on the date of grant of the SAR except for Substitute Awards, which shall have the exercise price as determined by the Committee provided that such exercise price does not cause the Substitute Award to become subject to Code Section 409A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w:t>
      </w:r>
    </w:p>
    <w:p>
      <w:pPr>
        <w:spacing w:after="0" w:line="105" w:lineRule="exact"/>
        <w:rPr>
          <w:sz w:val="20"/>
          <w:szCs w:val="20"/>
          <w:color w:val="auto"/>
        </w:rPr>
      </w:pPr>
    </w:p>
    <w:p>
      <w:pPr>
        <w:ind w:left="8" w:right="40" w:firstLine="432"/>
        <w:spacing w:after="0" w:line="276" w:lineRule="auto"/>
        <w:rPr>
          <w:sz w:val="20"/>
          <w:szCs w:val="20"/>
          <w:color w:val="auto"/>
        </w:rPr>
      </w:pPr>
      <w:r>
        <w:rPr>
          <w:rFonts w:ascii="Arial" w:cs="Arial" w:eastAsia="Arial" w:hAnsi="Arial"/>
          <w:sz w:val="12"/>
          <w:szCs w:val="12"/>
          <w:color w:val="auto"/>
        </w:rPr>
        <w:t>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w:t>
      </w:r>
    </w:p>
    <w:p>
      <w:pPr>
        <w:spacing w:after="0" w:line="115" w:lineRule="exact"/>
        <w:rPr>
          <w:sz w:val="20"/>
          <w:szCs w:val="20"/>
          <w:color w:val="auto"/>
        </w:rPr>
      </w:pPr>
    </w:p>
    <w:p>
      <w:pPr>
        <w:ind w:left="8" w:right="200" w:firstLine="432"/>
        <w:spacing w:after="0" w:line="263" w:lineRule="auto"/>
        <w:rPr>
          <w:sz w:val="20"/>
          <w:szCs w:val="20"/>
          <w:color w:val="auto"/>
        </w:rPr>
      </w:pPr>
      <w:r>
        <w:rPr>
          <w:rFonts w:ascii="Arial" w:cs="Arial" w:eastAsia="Arial" w:hAnsi="Arial"/>
          <w:sz w:val="12"/>
          <w:szCs w:val="12"/>
          <w:color w:val="auto"/>
        </w:rPr>
        <w:t>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w:t>
      </w:r>
    </w:p>
    <w:p>
      <w:pPr>
        <w:spacing w:after="0" w:line="123" w:lineRule="exact"/>
        <w:rPr>
          <w:sz w:val="20"/>
          <w:szCs w:val="20"/>
          <w:color w:val="auto"/>
        </w:rPr>
      </w:pPr>
    </w:p>
    <w:p>
      <w:pPr>
        <w:ind w:left="8" w:right="140" w:firstLine="432"/>
        <w:spacing w:after="0" w:line="340" w:lineRule="auto"/>
        <w:rPr>
          <w:sz w:val="20"/>
          <w:szCs w:val="20"/>
          <w:color w:val="auto"/>
        </w:rPr>
      </w:pPr>
      <w:r>
        <w:rPr>
          <w:rFonts w:ascii="Arial" w:cs="Arial" w:eastAsia="Arial" w:hAnsi="Arial"/>
          <w:sz w:val="10"/>
          <w:szCs w:val="10"/>
          <w:color w:val="auto"/>
        </w:rPr>
        <w:t>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Section 6.e.</w:t>
      </w:r>
    </w:p>
    <w:p>
      <w:pPr>
        <w:spacing w:after="0" w:line="88" w:lineRule="exact"/>
        <w:rPr>
          <w:sz w:val="20"/>
          <w:szCs w:val="20"/>
          <w:color w:val="auto"/>
        </w:rPr>
      </w:pPr>
    </w:p>
    <w:p>
      <w:pPr>
        <w:ind w:left="208" w:hanging="208"/>
        <w:spacing w:after="0"/>
        <w:tabs>
          <w:tab w:leader="none" w:pos="208" w:val="left"/>
        </w:tabs>
        <w:numPr>
          <w:ilvl w:val="0"/>
          <w:numId w:val="85"/>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Restricted Stock; Restricted Stock Units.</w:t>
      </w:r>
    </w:p>
    <w:p>
      <w:pPr>
        <w:spacing w:after="0" w:line="150" w:lineRule="exact"/>
        <w:rPr>
          <w:rFonts w:ascii="Arial" w:cs="Arial" w:eastAsia="Arial" w:hAnsi="Arial"/>
          <w:sz w:val="12"/>
          <w:szCs w:val="12"/>
          <w:b w:val="1"/>
          <w:bCs w:val="1"/>
          <w:color w:val="010000"/>
        </w:rPr>
      </w:pPr>
    </w:p>
    <w:p>
      <w:pPr>
        <w:ind w:left="8" w:right="120" w:firstLine="424"/>
        <w:spacing w:after="0" w:line="298" w:lineRule="auto"/>
        <w:tabs>
          <w:tab w:leader="none" w:pos="691" w:val="left"/>
        </w:tabs>
        <w:numPr>
          <w:ilvl w:val="1"/>
          <w:numId w:val="85"/>
        </w:numPr>
        <w:rPr>
          <w:rFonts w:ascii="Arial" w:cs="Arial" w:eastAsia="Arial" w:hAnsi="Arial"/>
          <w:sz w:val="11"/>
          <w:szCs w:val="11"/>
          <w:color w:val="010000"/>
        </w:rPr>
      </w:pPr>
      <w:r>
        <w:rPr>
          <w:rFonts w:ascii="Arial" w:cs="Arial" w:eastAsia="Arial" w:hAnsi="Arial"/>
          <w:sz w:val="11"/>
          <w:szCs w:val="11"/>
          <w:color w:val="auto"/>
        </w:rPr>
        <w:t>The Committee may at any time and from time to time grant Shares of Restricted Stock or Restricted Stock Units under the Plan to such Participants and in such amounts as it determines. Each Share of Restricted Stock or Restricted Stock Unit shall be equivalent in value to one share of Common Stock and shall entitle the Participant to receive from the Company at the end of the vesting period (the “</w:t>
      </w:r>
      <w:r>
        <w:rPr>
          <w:rFonts w:ascii="Arial" w:cs="Arial" w:eastAsia="Arial" w:hAnsi="Arial"/>
          <w:sz w:val="11"/>
          <w:szCs w:val="11"/>
          <w:i w:val="1"/>
          <w:iCs w:val="1"/>
          <w:color w:val="auto"/>
        </w:rPr>
        <w:t>Vesting Period</w:t>
      </w:r>
      <w:r>
        <w:rPr>
          <w:rFonts w:ascii="Arial" w:cs="Arial" w:eastAsia="Arial" w:hAnsi="Arial"/>
          <w:sz w:val="11"/>
          <w:szCs w:val="11"/>
          <w:color w:val="auto"/>
        </w:rPr>
        <w:t>”) applicable to such unit the Fair Market Value of one share of Common Stock, unless the Participant has elected at a time that complies with Code Section 409A to defer the receipt of shares of Common Stock.</w:t>
      </w:r>
    </w:p>
    <w:p>
      <w:pPr>
        <w:spacing w:after="0" w:line="105" w:lineRule="exact"/>
        <w:rPr>
          <w:rFonts w:ascii="Arial" w:cs="Arial" w:eastAsia="Arial" w:hAnsi="Arial"/>
          <w:sz w:val="11"/>
          <w:szCs w:val="11"/>
          <w:color w:val="010000"/>
        </w:rPr>
      </w:pPr>
    </w:p>
    <w:p>
      <w:pPr>
        <w:ind w:left="8" w:firstLine="424"/>
        <w:spacing w:after="0" w:line="254" w:lineRule="auto"/>
        <w:tabs>
          <w:tab w:leader="none" w:pos="700" w:val="left"/>
        </w:tabs>
        <w:numPr>
          <w:ilvl w:val="1"/>
          <w:numId w:val="85"/>
        </w:numPr>
        <w:rPr>
          <w:rFonts w:ascii="Arial" w:cs="Arial" w:eastAsia="Arial" w:hAnsi="Arial"/>
          <w:sz w:val="12"/>
          <w:szCs w:val="12"/>
          <w:color w:val="010000"/>
        </w:rPr>
      </w:pPr>
      <w:r>
        <w:rPr>
          <w:rFonts w:ascii="Arial" w:cs="Arial" w:eastAsia="Arial" w:hAnsi="Arial"/>
          <w:sz w:val="12"/>
          <w:szCs w:val="12"/>
          <w:color w:val="auto"/>
        </w:rPr>
        <w:t>Each grant of Restricted Stock Units or Shares of Restricted Stock shall be evidenced by a Grant Agreement which shall specify the applicable restrictions on such Units or Shares, the duration of such restrictions, and the time or times at which such restrictions shall lapse with respect to all or a specified number of shares that are part of the grant; provided, however, except for maximum aggregate Awards of Restricted Stock of 5% of the aggregate Shares authorized by Section 4, if the vesting condition for any Award, other than an Incentive Stock Option or Non-qualified Stock Option, that is settled in Common Stock (including Awards of Restricted Stock or Restricted Stock Units) (a “</w:t>
      </w:r>
      <w:r>
        <w:rPr>
          <w:rFonts w:ascii="Arial" w:cs="Arial" w:eastAsia="Arial" w:hAnsi="Arial"/>
          <w:sz w:val="12"/>
          <w:szCs w:val="12"/>
          <w:i w:val="1"/>
          <w:iCs w:val="1"/>
          <w:color w:val="auto"/>
        </w:rPr>
        <w:t>Full Value Award</w:t>
      </w:r>
      <w:r>
        <w:rPr>
          <w:rFonts w:ascii="Arial" w:cs="Arial" w:eastAsia="Arial" w:hAnsi="Arial"/>
          <w:sz w:val="12"/>
          <w:szCs w:val="12"/>
          <w:color w:val="auto"/>
        </w:rPr>
        <w:t>”), relates (x) exclusively to the passage of time and continued employment, such time period shall not be less than 36 months, with thirty-three and one-third percent (33 1/3%) of the Award vesting every 12 months from the date of the Award, subject to Section 6(g) and (y) to the attainment of specified performance goals, such Full Value Award shall vest over a Performance Cycle of not less than one (1) year. Except for maximum aggregate Awards of Restricted Stock or Restricted Stock Units of 5% of the aggregate Shares authorized by Section 4, the Committee shall not waive or modify any vesting condition for a Full Value Award after such vesting condition has been established with respect to such Award.</w:t>
      </w:r>
    </w:p>
    <w:p>
      <w:pPr>
        <w:spacing w:after="0" w:line="130" w:lineRule="exact"/>
        <w:rPr>
          <w:rFonts w:ascii="Arial" w:cs="Arial" w:eastAsia="Arial" w:hAnsi="Arial"/>
          <w:sz w:val="12"/>
          <w:szCs w:val="12"/>
          <w:color w:val="010000"/>
        </w:rPr>
      </w:pPr>
    </w:p>
    <w:p>
      <w:pPr>
        <w:ind w:left="8" w:right="40" w:firstLine="424"/>
        <w:spacing w:after="0" w:line="323" w:lineRule="auto"/>
        <w:tabs>
          <w:tab w:leader="none" w:pos="694" w:val="left"/>
        </w:tabs>
        <w:numPr>
          <w:ilvl w:val="1"/>
          <w:numId w:val="85"/>
        </w:numPr>
        <w:rPr>
          <w:rFonts w:ascii="Arial" w:cs="Arial" w:eastAsia="Arial" w:hAnsi="Arial"/>
          <w:sz w:val="11"/>
          <w:szCs w:val="11"/>
          <w:color w:val="010000"/>
        </w:rPr>
      </w:pPr>
      <w:r>
        <w:rPr>
          <w:rFonts w:ascii="Arial" w:cs="Arial" w:eastAsia="Arial" w:hAnsi="Arial"/>
          <w:sz w:val="11"/>
          <w:szCs w:val="11"/>
          <w:color w:val="auto"/>
        </w:rPr>
        <w:t>Except as otherwise provided in any Grant Agreement, the Participant will be required to pay the Company the aggregate par value of any Shares of Restricted Stock within ten days of the date of grant, unless such Shares of Restricted Stock are treasury shares. Unless otherwise determined by the Committee, certificates representing Shares of Restricted Stock granted under the Plan will be held in escrow by the Company on the</w:t>
      </w:r>
    </w:p>
    <w:p>
      <w:pPr>
        <w:spacing w:after="0" w:line="258"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8"/>
          </w:cols>
          <w:pgMar w:left="212" w:top="293" w:right="219" w:bottom="1440" w:gutter="0" w:footer="0" w:header="0"/>
        </w:sectPr>
      </w:pPr>
    </w:p>
    <w:bookmarkStart w:id="157" w:name="page158"/>
    <w:bookmarkEnd w:id="157"/>
    <w:p>
      <w:pPr>
        <w:spacing w:after="0"/>
        <w:rPr>
          <w:sz w:val="20"/>
          <w:szCs w:val="20"/>
          <w:color w:val="auto"/>
        </w:rPr>
      </w:pPr>
      <w:r>
        <w:rPr>
          <w:rFonts w:ascii="Arial" w:cs="Arial" w:eastAsia="Arial" w:hAnsi="Arial"/>
          <w:sz w:val="11"/>
          <w:szCs w:val="11"/>
          <w:color w:val="auto"/>
        </w:rPr>
        <w:t>Participant’s behalf during any period of restriction thereon and will bear an appropriate legend specifying the applicable restrictions thereon, and the Participant will be required to execute a blank stock power therefor.</w:t>
      </w:r>
    </w:p>
    <w:p>
      <w:pPr>
        <w:spacing w:after="0" w:line="162" w:lineRule="exact"/>
        <w:rPr>
          <w:sz w:val="20"/>
          <w:szCs w:val="20"/>
          <w:color w:val="auto"/>
        </w:rPr>
      </w:pPr>
    </w:p>
    <w:p>
      <w:pPr>
        <w:ind w:right="20" w:firstLine="424"/>
        <w:spacing w:after="0" w:line="286" w:lineRule="auto"/>
        <w:tabs>
          <w:tab w:leader="none" w:pos="692" w:val="left"/>
        </w:tabs>
        <w:numPr>
          <w:ilvl w:val="0"/>
          <w:numId w:val="86"/>
        </w:numPr>
        <w:rPr>
          <w:rFonts w:ascii="Arial" w:cs="Arial" w:eastAsia="Arial" w:hAnsi="Arial"/>
          <w:sz w:val="11"/>
          <w:szCs w:val="11"/>
          <w:color w:val="010000"/>
        </w:rPr>
      </w:pPr>
      <w:r>
        <w:rPr>
          <w:rFonts w:ascii="Arial" w:cs="Arial" w:eastAsia="Arial" w:hAnsi="Arial"/>
          <w:sz w:val="11"/>
          <w:szCs w:val="11"/>
          <w:color w:val="auto"/>
        </w:rPr>
        <w:t>If the grant of Restricted Stock Units or Restricted Stock or the lapse of restrictions is based on the attainment of Performance Goals, the Committee shall establish the objective Performance Goals and the applicable vesting percentage of the Restricted Stock or Restricted Stock Units applicable to each Participant or class of Participants in writing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With regard to an Award of either Restricted Stock or Restricted Stock Units that is intended to comply with Section 162(m) of the Code, to the extent any such provision would create impermissible discretion under Section 162(m) of the Code or otherwise violate Section 162(m) of the Code, such provision shall be of no force or effect.</w:t>
      </w:r>
    </w:p>
    <w:p>
      <w:pPr>
        <w:spacing w:after="0" w:line="111" w:lineRule="exact"/>
        <w:rPr>
          <w:rFonts w:ascii="Arial" w:cs="Arial" w:eastAsia="Arial" w:hAnsi="Arial"/>
          <w:sz w:val="11"/>
          <w:szCs w:val="11"/>
          <w:color w:val="010000"/>
        </w:rPr>
      </w:pPr>
    </w:p>
    <w:p>
      <w:pPr>
        <w:ind w:right="100" w:firstLine="424"/>
        <w:spacing w:after="0" w:line="263" w:lineRule="auto"/>
        <w:tabs>
          <w:tab w:leader="none" w:pos="686" w:val="left"/>
        </w:tabs>
        <w:numPr>
          <w:ilvl w:val="0"/>
          <w:numId w:val="86"/>
        </w:numPr>
        <w:rPr>
          <w:rFonts w:ascii="Arial" w:cs="Arial" w:eastAsia="Arial" w:hAnsi="Arial"/>
          <w:sz w:val="12"/>
          <w:szCs w:val="12"/>
          <w:color w:val="010000"/>
        </w:rPr>
      </w:pPr>
      <w:r>
        <w:rPr>
          <w:rFonts w:ascii="Arial" w:cs="Arial" w:eastAsia="Arial" w:hAnsi="Arial"/>
          <w:sz w:val="12"/>
          <w:szCs w:val="12"/>
          <w:color w:val="auto"/>
        </w:rPr>
        <w:t>Restricted Stock Units may be granted without payment of cash or consideration to the Company. Except as otherwise provided in any Grant Agreement, on the date the Restricted Stock Units become fully vested and nonforfeitable, the Participant shall receive, upon payment by the Participant to the Company of the aggregate par value of the shares of Common Stock underlying each fully vested Restricted Stock Unit, stock certificates evidencing the conversion of Restricted Stock Units into shares of Common Stock.</w:t>
      </w:r>
    </w:p>
    <w:p>
      <w:pPr>
        <w:spacing w:after="0" w:line="122" w:lineRule="exact"/>
        <w:rPr>
          <w:rFonts w:ascii="Arial" w:cs="Arial" w:eastAsia="Arial" w:hAnsi="Arial"/>
          <w:sz w:val="12"/>
          <w:szCs w:val="12"/>
          <w:color w:val="010000"/>
        </w:rPr>
      </w:pPr>
    </w:p>
    <w:p>
      <w:pPr>
        <w:ind w:firstLine="424"/>
        <w:spacing w:after="0" w:line="279" w:lineRule="auto"/>
        <w:tabs>
          <w:tab w:leader="none" w:pos="670" w:val="left"/>
        </w:tabs>
        <w:numPr>
          <w:ilvl w:val="0"/>
          <w:numId w:val="86"/>
        </w:numPr>
        <w:rPr>
          <w:rFonts w:ascii="Arial" w:cs="Arial" w:eastAsia="Arial" w:hAnsi="Arial"/>
          <w:sz w:val="11"/>
          <w:szCs w:val="11"/>
          <w:color w:val="010000"/>
        </w:rPr>
      </w:pPr>
      <w:r>
        <w:rPr>
          <w:rFonts w:ascii="Arial" w:cs="Arial" w:eastAsia="Arial" w:hAnsi="Arial"/>
          <w:sz w:val="11"/>
          <w:szCs w:val="11"/>
          <w:color w:val="auto"/>
        </w:rPr>
        <w:t>The Participant shall not be permitted to Transfer shares of Restricted Stock awarded under this Plan during the period or periods set by the Committee (the “</w:t>
      </w:r>
      <w:r>
        <w:rPr>
          <w:rFonts w:ascii="Arial" w:cs="Arial" w:eastAsia="Arial" w:hAnsi="Arial"/>
          <w:sz w:val="11"/>
          <w:szCs w:val="11"/>
          <w:i w:val="1"/>
          <w:iCs w:val="1"/>
          <w:color w:val="auto"/>
        </w:rPr>
        <w:t>Restriction Period</w:t>
      </w:r>
      <w:r>
        <w:rPr>
          <w:rFonts w:ascii="Arial" w:cs="Arial" w:eastAsia="Arial" w:hAnsi="Arial"/>
          <w:sz w:val="11"/>
          <w:szCs w:val="11"/>
          <w:color w:val="auto"/>
        </w:rPr>
        <w:t>”) commencing on the date of such Award, as set forth in the Restricted Stock Grant Agreement and such agreement shall set forth a vesting schedule and any events which would accelerate vesting of the shares of Restricted Stock. Within these limits, based on service, attainment of Performance Goals pursuant to this Section 8(d)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 and/or waive the deferral limitations for all or any part of any Restricted Stock Award. If the grant of shares of Restricted Stock or the lapse of restrictions is based on the attainment of Performance Goals, the Committee shall establish the objective Performance Goals and the applicable vesting percentage of the Restricted Stock applicable to each Participant or class of Participants in writing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With regard to a Restricted Stock Award that is intended to comply with Section 162(m) of the Code, to the extent any such provision would create impermissible discretion under Section 162(m) of the Code or otherwise violate Section 162(m) of the Code, such provision shall be of no force or effect.</w:t>
      </w:r>
    </w:p>
    <w:p>
      <w:pPr>
        <w:spacing w:after="0" w:line="117" w:lineRule="exact"/>
        <w:rPr>
          <w:rFonts w:ascii="Arial" w:cs="Arial" w:eastAsia="Arial" w:hAnsi="Arial"/>
          <w:sz w:val="11"/>
          <w:szCs w:val="11"/>
          <w:color w:val="010000"/>
        </w:rPr>
      </w:pPr>
    </w:p>
    <w:p>
      <w:pPr>
        <w:ind w:right="80" w:firstLine="424"/>
        <w:spacing w:after="0" w:line="281" w:lineRule="auto"/>
        <w:tabs>
          <w:tab w:leader="none" w:pos="692" w:val="left"/>
        </w:tabs>
        <w:numPr>
          <w:ilvl w:val="0"/>
          <w:numId w:val="86"/>
        </w:numPr>
        <w:rPr>
          <w:rFonts w:ascii="Arial" w:cs="Arial" w:eastAsia="Arial" w:hAnsi="Arial"/>
          <w:sz w:val="11"/>
          <w:szCs w:val="11"/>
          <w:color w:val="010000"/>
        </w:rPr>
      </w:pPr>
      <w:r>
        <w:rPr>
          <w:rFonts w:ascii="Arial" w:cs="Arial" w:eastAsia="Arial" w:hAnsi="Arial"/>
          <w:sz w:val="11"/>
          <w:szCs w:val="11"/>
          <w:color w:val="auto"/>
        </w:rPr>
        <w:t>Except as otherwise provided in Section 8(d) or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 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underlying each Restricted Stock Unit at the end of the Vesting Period, unless such Restricted Stock Units are converted into Deferred Stock Units, in which case such accumulated dividends or distributions shall be paid by the Company to the Participant at such time as the Deferred Stock Units are converted into shares of Common Stock.</w:t>
      </w:r>
    </w:p>
    <w:p>
      <w:pPr>
        <w:spacing w:after="0" w:line="282"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293" w:right="219" w:bottom="1440" w:gutter="0" w:footer="0" w:header="0"/>
        </w:sectPr>
      </w:pPr>
    </w:p>
    <w:bookmarkStart w:id="158" w:name="page159"/>
    <w:bookmarkEnd w:id="158"/>
    <w:p>
      <w:pPr>
        <w:ind w:left="688" w:hanging="256"/>
        <w:spacing w:after="0"/>
        <w:tabs>
          <w:tab w:leader="none" w:pos="688" w:val="left"/>
        </w:tabs>
        <w:numPr>
          <w:ilvl w:val="1"/>
          <w:numId w:val="87"/>
        </w:numPr>
        <w:rPr>
          <w:rFonts w:ascii="Arial" w:cs="Arial" w:eastAsia="Arial" w:hAnsi="Arial"/>
          <w:sz w:val="12"/>
          <w:szCs w:val="12"/>
          <w:color w:val="010000"/>
        </w:rPr>
      </w:pPr>
      <w:r>
        <w:rPr>
          <w:rFonts w:ascii="Arial" w:cs="Arial" w:eastAsia="Arial" w:hAnsi="Arial"/>
          <w:sz w:val="12"/>
          <w:szCs w:val="12"/>
          <w:color w:val="auto"/>
        </w:rPr>
        <w:t>Unless otherwise provided in a Participant’s Grant Agreement, each unit or Share of Restricted Stock shall be subject to the termination and forfeiture provisions as set forth in Section 6(g).</w:t>
      </w:r>
    </w:p>
    <w:p>
      <w:pPr>
        <w:spacing w:after="0" w:line="150" w:lineRule="exact"/>
        <w:rPr>
          <w:rFonts w:ascii="Arial" w:cs="Arial" w:eastAsia="Arial" w:hAnsi="Arial"/>
          <w:sz w:val="12"/>
          <w:szCs w:val="12"/>
          <w:color w:val="010000"/>
        </w:rPr>
      </w:pPr>
    </w:p>
    <w:p>
      <w:pPr>
        <w:ind w:left="208" w:hanging="208"/>
        <w:spacing w:after="0"/>
        <w:tabs>
          <w:tab w:leader="none" w:pos="208" w:val="left"/>
        </w:tabs>
        <w:numPr>
          <w:ilvl w:val="0"/>
          <w:numId w:val="88"/>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Performance Awards.</w:t>
      </w:r>
    </w:p>
    <w:p>
      <w:pPr>
        <w:spacing w:after="0" w:line="150" w:lineRule="exact"/>
        <w:rPr>
          <w:sz w:val="20"/>
          <w:szCs w:val="20"/>
          <w:color w:val="auto"/>
        </w:rPr>
      </w:pPr>
    </w:p>
    <w:p>
      <w:pPr>
        <w:ind w:left="8" w:firstLine="432"/>
        <w:spacing w:after="0" w:line="286" w:lineRule="auto"/>
        <w:rPr>
          <w:sz w:val="20"/>
          <w:szCs w:val="20"/>
          <w:color w:val="auto"/>
        </w:rPr>
      </w:pPr>
      <w:r>
        <w:rPr>
          <w:rFonts w:ascii="Arial" w:cs="Arial" w:eastAsia="Arial" w:hAnsi="Arial"/>
          <w:sz w:val="11"/>
          <w:szCs w:val="11"/>
          <w:color w:val="auto"/>
        </w:rPr>
        <w:t>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w:t>
      </w:r>
      <w:r>
        <w:rPr>
          <w:rFonts w:ascii="Arial" w:cs="Arial" w:eastAsia="Arial" w:hAnsi="Arial"/>
          <w:sz w:val="11"/>
          <w:szCs w:val="11"/>
          <w:i w:val="1"/>
          <w:iCs w:val="1"/>
          <w:color w:val="auto"/>
        </w:rPr>
        <w:t>Performance Cycle</w:t>
      </w:r>
      <w:r>
        <w:rPr>
          <w:rFonts w:ascii="Arial" w:cs="Arial" w:eastAsia="Arial" w:hAnsi="Arial"/>
          <w:sz w:val="11"/>
          <w:szCs w:val="11"/>
          <w:color w:val="auto"/>
        </w:rPr>
        <w:t>”). Performance Awards may include (i) specific dollar-value target awards (ii) performance units, the value of each such unit being determined by the Committee at the time of issuance, and/or (iii) performance Shares, the value of each such Share being equal to the Fair Market Value of a share of Common Stock. In any one calendar year, the Committee shall not grant to any one Participant Performance Awards (i) payable in Common Stock for an amount in excess of 500,000 shares of Common Stock, or (ii) for Performance Awards payable in Other Securities or a combination of Common Stock and Other Securities, with a maximum amount payable thereunder of more than the Fair Market Value of 500,000 shares of Common Stock determined either on the date of grant of the award or the date the award is paid, whichever is greater.</w:t>
      </w:r>
    </w:p>
    <w:p>
      <w:pPr>
        <w:spacing w:after="0" w:line="111" w:lineRule="exact"/>
        <w:rPr>
          <w:sz w:val="20"/>
          <w:szCs w:val="20"/>
          <w:color w:val="auto"/>
        </w:rPr>
      </w:pPr>
    </w:p>
    <w:p>
      <w:pPr>
        <w:ind w:left="8" w:right="60" w:firstLine="432"/>
        <w:spacing w:after="0" w:line="278" w:lineRule="auto"/>
        <w:rPr>
          <w:sz w:val="20"/>
          <w:szCs w:val="20"/>
          <w:color w:val="auto"/>
        </w:rPr>
      </w:pPr>
      <w:r>
        <w:rPr>
          <w:rFonts w:ascii="Arial" w:cs="Arial" w:eastAsia="Arial" w:hAnsi="Arial"/>
          <w:sz w:val="11"/>
          <w:szCs w:val="11"/>
          <w:color w:val="auto"/>
        </w:rPr>
        <w:t>The value of each Performance Award may be fixed or it may be permitted to fluctuate based on a performance factor (e.g., return on equity) selected by the Committee; provided that, payment of any Performance Award that is intended to qualify as “qualified performance-based compensation” within the meaning of Treasury Regulation §1.162-27(e) shall be based solely on the satisfaction of pre-established, objective goals determined with reference to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Cycle,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at any time ending on or before the 90th day of the applicable Performance Cycle.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w:t>
      </w:r>
    </w:p>
    <w:p>
      <w:pPr>
        <w:spacing w:after="0" w:line="115" w:lineRule="exact"/>
        <w:rPr>
          <w:sz w:val="20"/>
          <w:szCs w:val="20"/>
          <w:color w:val="auto"/>
        </w:rPr>
      </w:pPr>
    </w:p>
    <w:p>
      <w:pPr>
        <w:ind w:left="8" w:right="160" w:firstLine="432"/>
        <w:spacing w:after="0" w:line="263" w:lineRule="auto"/>
        <w:rPr>
          <w:sz w:val="20"/>
          <w:szCs w:val="20"/>
          <w:color w:val="auto"/>
        </w:rPr>
      </w:pPr>
      <w:r>
        <w:rPr>
          <w:rFonts w:ascii="Arial" w:cs="Arial" w:eastAsia="Arial" w:hAnsi="Arial"/>
          <w:sz w:val="12"/>
          <w:szCs w:val="12"/>
          <w:color w:val="auto"/>
        </w:rPr>
        <w:t>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Committee shall determine the portion of each Performance Award that is earned by a Participant on the basis of the Company’s performance over the Performance Cycle in relation to the Performance Goals for such cycle.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earned portion of a Performance Award may be paid out in Shares, Other Company Securities or any combination thereof, as the Committee may determine.</w:t>
      </w:r>
    </w:p>
    <w:p>
      <w:pPr>
        <w:spacing w:after="0" w:line="307"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8"/>
          </w:cols>
          <w:pgMar w:left="212" w:top="293" w:right="219" w:bottom="1440" w:gutter="0" w:footer="0" w:header="0"/>
        </w:sectPr>
      </w:pPr>
    </w:p>
    <w:bookmarkStart w:id="159" w:name="page160"/>
    <w:bookmarkEnd w:id="159"/>
    <w:p>
      <w:pPr>
        <w:ind w:left="8" w:right="60" w:firstLine="432"/>
        <w:spacing w:after="0" w:line="323" w:lineRule="auto"/>
        <w:rPr>
          <w:sz w:val="20"/>
          <w:szCs w:val="20"/>
          <w:color w:val="auto"/>
        </w:rPr>
      </w:pPr>
      <w:r>
        <w:rPr>
          <w:rFonts w:ascii="Arial" w:cs="Arial" w:eastAsia="Arial" w:hAnsi="Arial"/>
          <w:sz w:val="11"/>
          <w:szCs w:val="11"/>
          <w:color w:val="auto"/>
        </w:rPr>
        <w:t>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Section 6(g).</w:t>
      </w:r>
    </w:p>
    <w:p>
      <w:pPr>
        <w:spacing w:after="0" w:line="92" w:lineRule="exact"/>
        <w:rPr>
          <w:sz w:val="20"/>
          <w:szCs w:val="20"/>
          <w:color w:val="auto"/>
        </w:rPr>
      </w:pPr>
    </w:p>
    <w:p>
      <w:pPr>
        <w:ind w:left="8" w:right="40" w:firstLine="432"/>
        <w:spacing w:after="0" w:line="276" w:lineRule="auto"/>
        <w:rPr>
          <w:sz w:val="20"/>
          <w:szCs w:val="20"/>
          <w:color w:val="auto"/>
        </w:rPr>
      </w:pPr>
      <w:r>
        <w:rPr>
          <w:rFonts w:ascii="Arial" w:cs="Arial" w:eastAsia="Arial" w:hAnsi="Arial"/>
          <w:sz w:val="12"/>
          <w:szCs w:val="12"/>
          <w:color w:val="auto"/>
        </w:rPr>
        <w:t>Unless otherwise provided in a Participant’s Grant Agreement, if there is a Change in Control of the Company, the Committee shall determine the level at which a Participant’s Performance Awards shall become vested upon such Change in Control.</w:t>
      </w:r>
    </w:p>
    <w:p>
      <w:pPr>
        <w:spacing w:after="0" w:line="115" w:lineRule="exact"/>
        <w:rPr>
          <w:sz w:val="20"/>
          <w:szCs w:val="20"/>
          <w:color w:val="auto"/>
        </w:rPr>
      </w:pPr>
    </w:p>
    <w:p>
      <w:pPr>
        <w:ind w:left="268" w:hanging="268"/>
        <w:spacing w:after="0"/>
        <w:tabs>
          <w:tab w:leader="none" w:pos="268" w:val="left"/>
        </w:tabs>
        <w:numPr>
          <w:ilvl w:val="0"/>
          <w:numId w:val="89"/>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Deferred Stock Units.</w:t>
      </w:r>
    </w:p>
    <w:p>
      <w:pPr>
        <w:spacing w:after="0" w:line="150" w:lineRule="exact"/>
        <w:rPr>
          <w:sz w:val="20"/>
          <w:szCs w:val="20"/>
          <w:color w:val="auto"/>
        </w:rPr>
      </w:pPr>
    </w:p>
    <w:p>
      <w:pPr>
        <w:ind w:left="8" w:firstLine="432"/>
        <w:spacing w:after="0" w:line="263" w:lineRule="auto"/>
        <w:rPr>
          <w:sz w:val="20"/>
          <w:szCs w:val="20"/>
          <w:color w:val="auto"/>
        </w:rPr>
      </w:pPr>
      <w:r>
        <w:rPr>
          <w:rFonts w:ascii="Arial" w:cs="Arial" w:eastAsia="Arial" w:hAnsi="Arial"/>
          <w:sz w:val="12"/>
          <w:szCs w:val="12"/>
          <w:color w:val="auto"/>
        </w:rPr>
        <w:t>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Code Section 409A.</w:t>
      </w:r>
    </w:p>
    <w:p>
      <w:pPr>
        <w:spacing w:after="0" w:line="123" w:lineRule="exact"/>
        <w:rPr>
          <w:sz w:val="20"/>
          <w:szCs w:val="20"/>
          <w:color w:val="auto"/>
        </w:rPr>
      </w:pPr>
    </w:p>
    <w:p>
      <w:pPr>
        <w:jc w:val="both"/>
        <w:ind w:left="8" w:right="60" w:firstLine="432"/>
        <w:spacing w:after="0" w:line="257" w:lineRule="auto"/>
        <w:rPr>
          <w:sz w:val="20"/>
          <w:szCs w:val="20"/>
          <w:color w:val="auto"/>
        </w:rPr>
      </w:pPr>
      <w:r>
        <w:rPr>
          <w:rFonts w:ascii="Arial" w:cs="Arial" w:eastAsia="Arial" w:hAnsi="Arial"/>
          <w:sz w:val="12"/>
          <w:szCs w:val="12"/>
          <w:color w:val="auto"/>
        </w:rPr>
        <w:t>Except as otherwise provided in any Grant Agreement, Deferred Stock Units shall be granted without payment of cash or other consideration to the Company but in consideration of services performed for or for the benefit of the Company or any Subsidiary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 Payments in respect of Deferred Stock Units shall be made only at the end of the Deferral Period applicable to such units,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w:t>
      </w:r>
    </w:p>
    <w:p>
      <w:pPr>
        <w:spacing w:after="0" w:line="126" w:lineRule="exact"/>
        <w:rPr>
          <w:sz w:val="20"/>
          <w:szCs w:val="20"/>
          <w:color w:val="auto"/>
        </w:rPr>
      </w:pPr>
    </w:p>
    <w:p>
      <w:pPr>
        <w:ind w:left="8" w:right="40" w:firstLine="432"/>
        <w:spacing w:after="0" w:line="263" w:lineRule="auto"/>
        <w:rPr>
          <w:sz w:val="20"/>
          <w:szCs w:val="20"/>
          <w:color w:val="auto"/>
        </w:rPr>
      </w:pPr>
      <w:r>
        <w:rPr>
          <w:rFonts w:ascii="Arial" w:cs="Arial" w:eastAsia="Arial" w:hAnsi="Arial"/>
          <w:sz w:val="12"/>
          <w:szCs w:val="12"/>
          <w:color w:val="auto"/>
        </w:rPr>
        <w:t>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w:t>
      </w:r>
    </w:p>
    <w:p>
      <w:pPr>
        <w:spacing w:after="0" w:line="123" w:lineRule="exact"/>
        <w:rPr>
          <w:sz w:val="20"/>
          <w:szCs w:val="20"/>
          <w:color w:val="auto"/>
        </w:rPr>
      </w:pPr>
    </w:p>
    <w:p>
      <w:pPr>
        <w:ind w:left="8" w:firstLine="432"/>
        <w:spacing w:after="0" w:line="263" w:lineRule="auto"/>
        <w:rPr>
          <w:sz w:val="20"/>
          <w:szCs w:val="20"/>
          <w:color w:val="auto"/>
        </w:rPr>
      </w:pPr>
      <w:r>
        <w:rPr>
          <w:rFonts w:ascii="Arial" w:cs="Arial" w:eastAsia="Arial" w:hAnsi="Arial"/>
          <w:sz w:val="12"/>
          <w:szCs w:val="12"/>
          <w:color w:val="auto"/>
        </w:rPr>
        <w:t>Unless otherwise provided in the Participant’s Grant Agreement or related election form, if a Participant dies while serving as a director, officer or employee of the Company or its Subsidiary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w:t>
      </w:r>
    </w:p>
    <w:p>
      <w:pPr>
        <w:spacing w:after="0" w:line="123" w:lineRule="exact"/>
        <w:rPr>
          <w:sz w:val="20"/>
          <w:szCs w:val="20"/>
          <w:color w:val="auto"/>
        </w:rPr>
      </w:pPr>
    </w:p>
    <w:p>
      <w:pPr>
        <w:ind w:left="8" w:right="80" w:firstLine="432"/>
        <w:spacing w:after="0" w:line="323" w:lineRule="auto"/>
        <w:rPr>
          <w:sz w:val="20"/>
          <w:szCs w:val="20"/>
          <w:color w:val="auto"/>
        </w:rPr>
      </w:pPr>
      <w:r>
        <w:rPr>
          <w:rFonts w:ascii="Arial" w:cs="Arial" w:eastAsia="Arial" w:hAnsi="Arial"/>
          <w:sz w:val="11"/>
          <w:szCs w:val="11"/>
          <w:color w:val="auto"/>
        </w:rPr>
        <w:t>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w:t>
      </w:r>
    </w:p>
    <w:p>
      <w:pPr>
        <w:spacing w:after="0" w:line="92" w:lineRule="exact"/>
        <w:rPr>
          <w:sz w:val="20"/>
          <w:szCs w:val="20"/>
          <w:color w:val="auto"/>
        </w:rPr>
      </w:pPr>
    </w:p>
    <w:p>
      <w:pPr>
        <w:ind w:left="8" w:right="60" w:firstLine="432"/>
        <w:spacing w:after="0" w:line="263" w:lineRule="auto"/>
        <w:rPr>
          <w:sz w:val="20"/>
          <w:szCs w:val="20"/>
          <w:color w:val="auto"/>
        </w:rPr>
      </w:pPr>
      <w:r>
        <w:rPr>
          <w:rFonts w:ascii="Arial" w:cs="Arial" w:eastAsia="Arial" w:hAnsi="Arial"/>
          <w:sz w:val="12"/>
          <w:szCs w:val="12"/>
          <w:color w:val="auto"/>
        </w:rPr>
        <w:t>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w:t>
      </w:r>
    </w:p>
    <w:p>
      <w:pPr>
        <w:spacing w:after="0" w:line="123" w:lineRule="exact"/>
        <w:rPr>
          <w:sz w:val="20"/>
          <w:szCs w:val="20"/>
          <w:color w:val="auto"/>
        </w:rPr>
      </w:pPr>
    </w:p>
    <w:p>
      <w:pPr>
        <w:ind w:left="268" w:hanging="268"/>
        <w:spacing w:after="0"/>
        <w:tabs>
          <w:tab w:leader="none" w:pos="268" w:val="left"/>
        </w:tabs>
        <w:numPr>
          <w:ilvl w:val="0"/>
          <w:numId w:val="90"/>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Other Stock-Based Awards.</w:t>
      </w:r>
    </w:p>
    <w:p>
      <w:pPr>
        <w:spacing w:after="0" w:line="316"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8"/>
          </w:cols>
          <w:pgMar w:left="212" w:top="293" w:right="239" w:bottom="1440" w:gutter="0" w:footer="0" w:header="0"/>
        </w:sectPr>
      </w:pPr>
    </w:p>
    <w:bookmarkStart w:id="160" w:name="page161"/>
    <w:bookmarkEnd w:id="160"/>
    <w:p>
      <w:pPr>
        <w:ind w:left="8" w:right="40" w:firstLine="424"/>
        <w:spacing w:after="0" w:line="278" w:lineRule="auto"/>
        <w:tabs>
          <w:tab w:leader="none" w:pos="694" w:val="left"/>
        </w:tabs>
        <w:numPr>
          <w:ilvl w:val="1"/>
          <w:numId w:val="91"/>
        </w:numPr>
        <w:rPr>
          <w:rFonts w:ascii="Arial" w:cs="Arial" w:eastAsia="Arial" w:hAnsi="Arial"/>
          <w:sz w:val="11"/>
          <w:szCs w:val="11"/>
          <w:color w:val="010000"/>
        </w:rPr>
      </w:pPr>
      <w:r>
        <w:rPr>
          <w:rFonts w:ascii="Arial" w:cs="Arial" w:eastAsia="Arial" w:hAnsi="Arial"/>
          <w:sz w:val="11"/>
          <w:szCs w:val="11"/>
          <w:i w:val="1"/>
          <w:iCs w:val="1"/>
          <w:color w:val="auto"/>
        </w:rPr>
        <w:t>Generally</w:t>
      </w:r>
      <w:r>
        <w:rPr>
          <w:rFonts w:ascii="Arial" w:cs="Arial" w:eastAsia="Arial" w:hAnsi="Arial"/>
          <w:sz w:val="11"/>
          <w:szCs w:val="11"/>
          <w:color w:val="auto"/>
        </w:rPr>
        <w:t>. The Committee is authorized to grant to Participants Other Stock-Based Awards that are payable in, valued in whole or in part by reference to, or otherwise based on or related to shares of Common Stock,</w:t>
      </w:r>
      <w:r>
        <w:rPr>
          <w:rFonts w:ascii="Arial" w:cs="Arial" w:eastAsia="Arial" w:hAnsi="Arial"/>
          <w:sz w:val="11"/>
          <w:szCs w:val="11"/>
          <w:i w:val="1"/>
          <w:iCs w:val="1"/>
          <w:color w:val="auto"/>
        </w:rPr>
        <w:t xml:space="preserve"> </w:t>
      </w:r>
      <w:r>
        <w:rPr>
          <w:rFonts w:ascii="Arial" w:cs="Arial" w:eastAsia="Arial" w:hAnsi="Arial"/>
          <w:sz w:val="11"/>
          <w:szCs w:val="11"/>
          <w:color w:val="auto"/>
        </w:rPr>
        <w:t>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equivalent units, and Awards valued by reference to book value of shares of Common Stock. Other Stock-Based Awards may be granted either alone or in addition to or in tandem with other Awards granted under the Plan. Subject to the provisions of this Plan, the Committee shall have authority to determine the Participants,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Cycle. The Committee may condition the grant or vesting of Other Stock-Based Awards upon the attainment of specified Performance Goals as the Committee may determine, in its sole discretion; provided that to the extent that such Other Stock-Based Awards are intended to comply with Section 162(m) of the Code, the Committee shall establish the objective Performance Goals for the grant or vesting of such Other Stock-Based Awards based on a Performance Cycle applicable to each Participant or class of Participants in writing prior to the beginning of the applicable Performance Cycle or at such later date as permitted under Section 162(m) of the Code and while the outcome of the Performance Goals are substantially uncertain. Such Performance Goals may incorporate, if and only to the extent permitted under Section 162(m) of the Code, provisions for disregarding (or adjusting for) changes in accounting methods, corporate transactions (including, without limitation, dispositions and acquisitions) and other similar type events or circumstances. To the extent any such provision would create impermissible discretion under Section 162(m) of the Code or otherwise violate Section 162(m) of the Code, such provision shall be of no force or effect.</w:t>
      </w:r>
    </w:p>
    <w:p>
      <w:pPr>
        <w:spacing w:after="0" w:line="117" w:lineRule="exact"/>
        <w:rPr>
          <w:rFonts w:ascii="Arial" w:cs="Arial" w:eastAsia="Arial" w:hAnsi="Arial"/>
          <w:sz w:val="11"/>
          <w:szCs w:val="11"/>
          <w:color w:val="010000"/>
        </w:rPr>
      </w:pPr>
    </w:p>
    <w:p>
      <w:pPr>
        <w:ind w:left="688" w:hanging="256"/>
        <w:spacing w:after="0"/>
        <w:tabs>
          <w:tab w:leader="none" w:pos="688" w:val="left"/>
        </w:tabs>
        <w:numPr>
          <w:ilvl w:val="1"/>
          <w:numId w:val="91"/>
        </w:numPr>
        <w:rPr>
          <w:rFonts w:ascii="Arial" w:cs="Arial" w:eastAsia="Arial" w:hAnsi="Arial"/>
          <w:sz w:val="12"/>
          <w:szCs w:val="12"/>
          <w:color w:val="010000"/>
        </w:rPr>
      </w:pPr>
      <w:r>
        <w:rPr>
          <w:rFonts w:ascii="Arial" w:cs="Arial" w:eastAsia="Arial" w:hAnsi="Arial"/>
          <w:sz w:val="12"/>
          <w:szCs w:val="12"/>
          <w:i w:val="1"/>
          <w:iCs w:val="1"/>
          <w:color w:val="auto"/>
        </w:rPr>
        <w:t>Terms and Conditions</w:t>
      </w:r>
      <w:r>
        <w:rPr>
          <w:rFonts w:ascii="Arial" w:cs="Arial" w:eastAsia="Arial" w:hAnsi="Arial"/>
          <w:sz w:val="12"/>
          <w:szCs w:val="12"/>
          <w:color w:val="auto"/>
        </w:rPr>
        <w:t>. Other Stock-Based Awards made pursuant to this Section 9 shall be subject to the following terms and conditions:</w:t>
      </w:r>
    </w:p>
    <w:p>
      <w:pPr>
        <w:spacing w:after="0" w:line="150" w:lineRule="exact"/>
        <w:rPr>
          <w:rFonts w:ascii="Arial" w:cs="Arial" w:eastAsia="Arial" w:hAnsi="Arial"/>
          <w:sz w:val="12"/>
          <w:szCs w:val="12"/>
          <w:color w:val="010000"/>
        </w:rPr>
      </w:pPr>
    </w:p>
    <w:p>
      <w:pPr>
        <w:ind w:left="428" w:right="280" w:firstLine="437"/>
        <w:spacing w:after="0" w:line="276" w:lineRule="auto"/>
        <w:tabs>
          <w:tab w:leader="none" w:pos="1094" w:val="left"/>
        </w:tabs>
        <w:numPr>
          <w:ilvl w:val="2"/>
          <w:numId w:val="91"/>
        </w:numPr>
        <w:rPr>
          <w:rFonts w:ascii="Arial" w:cs="Arial" w:eastAsia="Arial" w:hAnsi="Arial"/>
          <w:sz w:val="12"/>
          <w:szCs w:val="12"/>
          <w:color w:val="010000"/>
        </w:rPr>
      </w:pPr>
      <w:r>
        <w:rPr>
          <w:rFonts w:ascii="Arial" w:cs="Arial" w:eastAsia="Arial" w:hAnsi="Arial"/>
          <w:sz w:val="12"/>
          <w:szCs w:val="12"/>
          <w:i w:val="1"/>
          <w:iCs w:val="1"/>
          <w:color w:val="auto"/>
        </w:rPr>
        <w:t>Non-Transferability</w:t>
      </w:r>
      <w:r>
        <w:rPr>
          <w:rFonts w:ascii="Arial" w:cs="Arial" w:eastAsia="Arial" w:hAnsi="Arial"/>
          <w:sz w:val="12"/>
          <w:szCs w:val="12"/>
          <w:color w:val="auto"/>
        </w:rPr>
        <w:t>. Subject to the applicable provisions of the Grant Agreement and this Plan, shares of Common Stock subject to Awards made under this Section 9 may not be Transferred prior to the date on</w:t>
      </w:r>
      <w:r>
        <w:rPr>
          <w:rFonts w:ascii="Arial" w:cs="Arial" w:eastAsia="Arial" w:hAnsi="Arial"/>
          <w:sz w:val="12"/>
          <w:szCs w:val="12"/>
          <w:i w:val="1"/>
          <w:iCs w:val="1"/>
          <w:color w:val="auto"/>
        </w:rPr>
        <w:t xml:space="preserve"> </w:t>
      </w:r>
      <w:r>
        <w:rPr>
          <w:rFonts w:ascii="Arial" w:cs="Arial" w:eastAsia="Arial" w:hAnsi="Arial"/>
          <w:sz w:val="12"/>
          <w:szCs w:val="12"/>
          <w:color w:val="auto"/>
        </w:rPr>
        <w:t>which the shares are issued, or, if later, the date on which any applicable restriction, performance or deferral period lapses.</w:t>
      </w:r>
    </w:p>
    <w:p>
      <w:pPr>
        <w:spacing w:after="0" w:line="114" w:lineRule="exact"/>
        <w:rPr>
          <w:rFonts w:ascii="Arial" w:cs="Arial" w:eastAsia="Arial" w:hAnsi="Arial"/>
          <w:sz w:val="12"/>
          <w:szCs w:val="12"/>
          <w:color w:val="010000"/>
        </w:rPr>
      </w:pPr>
    </w:p>
    <w:p>
      <w:pPr>
        <w:ind w:left="428" w:right="60" w:firstLine="437"/>
        <w:spacing w:after="0" w:line="263" w:lineRule="auto"/>
        <w:tabs>
          <w:tab w:leader="none" w:pos="1127" w:val="left"/>
        </w:tabs>
        <w:numPr>
          <w:ilvl w:val="2"/>
          <w:numId w:val="91"/>
        </w:numPr>
        <w:rPr>
          <w:rFonts w:ascii="Arial" w:cs="Arial" w:eastAsia="Arial" w:hAnsi="Arial"/>
          <w:sz w:val="12"/>
          <w:szCs w:val="12"/>
          <w:color w:val="010000"/>
        </w:rPr>
      </w:pPr>
      <w:r>
        <w:rPr>
          <w:rFonts w:ascii="Arial" w:cs="Arial" w:eastAsia="Arial" w:hAnsi="Arial"/>
          <w:sz w:val="12"/>
          <w:szCs w:val="12"/>
          <w:i w:val="1"/>
          <w:iCs w:val="1"/>
          <w:color w:val="auto"/>
        </w:rPr>
        <w:t>Dividends</w:t>
      </w:r>
      <w:r>
        <w:rPr>
          <w:rFonts w:ascii="Arial" w:cs="Arial" w:eastAsia="Arial" w:hAnsi="Arial"/>
          <w:sz w:val="12"/>
          <w:szCs w:val="12"/>
          <w:color w:val="auto"/>
        </w:rPr>
        <w:t>. Unless otherwise determined by the Committee at the time of Award, subject to the provisions of the Grant Agreement and this Plan, the recipient of an Award under this Section 9 shall not be entitled to</w:t>
      </w:r>
      <w:r>
        <w:rPr>
          <w:rFonts w:ascii="Arial" w:cs="Arial" w:eastAsia="Arial" w:hAnsi="Arial"/>
          <w:sz w:val="12"/>
          <w:szCs w:val="12"/>
          <w:i w:val="1"/>
          <w:iCs w:val="1"/>
          <w:color w:val="auto"/>
        </w:rPr>
        <w:t xml:space="preserve"> </w:t>
      </w:r>
      <w:r>
        <w:rPr>
          <w:rFonts w:ascii="Arial" w:cs="Arial" w:eastAsia="Arial" w:hAnsi="Arial"/>
          <w:sz w:val="12"/>
          <w:szCs w:val="12"/>
          <w:color w:val="auto"/>
        </w:rPr>
        <w:t>receive, currently or on a deferred basis, dividends or dividend equivalents with respect to the number of shares of Common Stock covered by the Award, as determined at the time of the Award by the Committee, in its sole discretion.</w:t>
      </w:r>
    </w:p>
    <w:p>
      <w:pPr>
        <w:spacing w:after="0" w:line="122" w:lineRule="exact"/>
        <w:rPr>
          <w:rFonts w:ascii="Arial" w:cs="Arial" w:eastAsia="Arial" w:hAnsi="Arial"/>
          <w:sz w:val="12"/>
          <w:szCs w:val="12"/>
          <w:color w:val="010000"/>
        </w:rPr>
      </w:pPr>
    </w:p>
    <w:p>
      <w:pPr>
        <w:ind w:left="1168" w:hanging="303"/>
        <w:spacing w:after="0"/>
        <w:tabs>
          <w:tab w:leader="none" w:pos="1168" w:val="left"/>
        </w:tabs>
        <w:numPr>
          <w:ilvl w:val="2"/>
          <w:numId w:val="91"/>
        </w:numPr>
        <w:rPr>
          <w:rFonts w:ascii="Arial" w:cs="Arial" w:eastAsia="Arial" w:hAnsi="Arial"/>
          <w:sz w:val="10"/>
          <w:szCs w:val="10"/>
          <w:color w:val="010000"/>
        </w:rPr>
      </w:pPr>
      <w:r>
        <w:rPr>
          <w:rFonts w:ascii="Arial" w:cs="Arial" w:eastAsia="Arial" w:hAnsi="Arial"/>
          <w:sz w:val="10"/>
          <w:szCs w:val="10"/>
          <w:i w:val="1"/>
          <w:iCs w:val="1"/>
          <w:color w:val="auto"/>
        </w:rPr>
        <w:t>Vesting</w:t>
      </w:r>
      <w:r>
        <w:rPr>
          <w:rFonts w:ascii="Arial" w:cs="Arial" w:eastAsia="Arial" w:hAnsi="Arial"/>
          <w:sz w:val="10"/>
          <w:szCs w:val="10"/>
          <w:color w:val="auto"/>
        </w:rPr>
        <w:t>. Any Award under this Section 9 and any Common Stock covered by any such Award shall vest or be forfeited to the extent so provided in the Grant Agreement, as determined by the Committee, in its sole</w:t>
      </w:r>
    </w:p>
    <w:p>
      <w:pPr>
        <w:spacing w:after="0" w:line="37" w:lineRule="exact"/>
        <w:rPr>
          <w:rFonts w:ascii="Arial" w:cs="Arial" w:eastAsia="Arial" w:hAnsi="Arial"/>
          <w:sz w:val="10"/>
          <w:szCs w:val="10"/>
          <w:color w:val="010000"/>
        </w:rPr>
      </w:pPr>
    </w:p>
    <w:p>
      <w:pPr>
        <w:ind w:left="428"/>
        <w:spacing w:after="0"/>
        <w:rPr>
          <w:rFonts w:ascii="Arial" w:cs="Arial" w:eastAsia="Arial" w:hAnsi="Arial"/>
          <w:sz w:val="10"/>
          <w:szCs w:val="10"/>
          <w:color w:val="010000"/>
        </w:rPr>
      </w:pPr>
      <w:r>
        <w:rPr>
          <w:rFonts w:ascii="Arial" w:cs="Arial" w:eastAsia="Arial" w:hAnsi="Arial"/>
          <w:sz w:val="12"/>
          <w:szCs w:val="12"/>
          <w:color w:val="auto"/>
        </w:rPr>
        <w:t>discretion.</w:t>
      </w:r>
    </w:p>
    <w:p>
      <w:pPr>
        <w:spacing w:after="0" w:line="141" w:lineRule="exact"/>
        <w:rPr>
          <w:rFonts w:ascii="Arial" w:cs="Arial" w:eastAsia="Arial" w:hAnsi="Arial"/>
          <w:sz w:val="10"/>
          <w:szCs w:val="10"/>
          <w:color w:val="010000"/>
        </w:rPr>
      </w:pPr>
    </w:p>
    <w:p>
      <w:pPr>
        <w:ind w:left="428" w:right="120" w:firstLine="437"/>
        <w:spacing w:after="0" w:line="276" w:lineRule="auto"/>
        <w:tabs>
          <w:tab w:leader="none" w:pos="1154" w:val="left"/>
        </w:tabs>
        <w:numPr>
          <w:ilvl w:val="2"/>
          <w:numId w:val="91"/>
        </w:numPr>
        <w:rPr>
          <w:rFonts w:ascii="Arial" w:cs="Arial" w:eastAsia="Arial" w:hAnsi="Arial"/>
          <w:sz w:val="12"/>
          <w:szCs w:val="12"/>
          <w:color w:val="010000"/>
        </w:rPr>
      </w:pPr>
      <w:r>
        <w:rPr>
          <w:rFonts w:ascii="Arial" w:cs="Arial" w:eastAsia="Arial" w:hAnsi="Arial"/>
          <w:sz w:val="12"/>
          <w:szCs w:val="12"/>
          <w:i w:val="1"/>
          <w:iCs w:val="1"/>
          <w:color w:val="auto"/>
        </w:rPr>
        <w:t>Price</w:t>
      </w:r>
      <w:r>
        <w:rPr>
          <w:rFonts w:ascii="Arial" w:cs="Arial" w:eastAsia="Arial" w:hAnsi="Arial"/>
          <w:sz w:val="12"/>
          <w:szCs w:val="12"/>
          <w:color w:val="auto"/>
        </w:rPr>
        <w:t>. Common Stock issued on a bonus basis under this Section 9 may be issued for no cash consideration; Common Stock purchased pursuant to a purchase right awarded under this Section 9 shall be priced, as</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determined by the Committee in its sole discretion.</w:t>
      </w:r>
    </w:p>
    <w:p>
      <w:pPr>
        <w:spacing w:after="0" w:line="114" w:lineRule="exact"/>
        <w:rPr>
          <w:rFonts w:ascii="Arial" w:cs="Arial" w:eastAsia="Arial" w:hAnsi="Arial"/>
          <w:sz w:val="12"/>
          <w:szCs w:val="12"/>
          <w:color w:val="010000"/>
        </w:rPr>
      </w:pPr>
    </w:p>
    <w:p>
      <w:pPr>
        <w:ind w:left="268" w:hanging="268"/>
        <w:spacing w:after="0"/>
        <w:tabs>
          <w:tab w:leader="none" w:pos="268" w:val="left"/>
        </w:tabs>
        <w:numPr>
          <w:ilvl w:val="0"/>
          <w:numId w:val="92"/>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Other Cash Based Awards.</w:t>
      </w:r>
    </w:p>
    <w:p>
      <w:pPr>
        <w:spacing w:after="0" w:line="150" w:lineRule="exact"/>
        <w:rPr>
          <w:sz w:val="20"/>
          <w:szCs w:val="20"/>
          <w:color w:val="auto"/>
        </w:rPr>
      </w:pPr>
    </w:p>
    <w:p>
      <w:pPr>
        <w:ind w:left="8" w:firstLine="432"/>
        <w:spacing w:after="0" w:line="263" w:lineRule="auto"/>
        <w:rPr>
          <w:sz w:val="20"/>
          <w:szCs w:val="20"/>
          <w:color w:val="auto"/>
        </w:rPr>
      </w:pPr>
      <w:r>
        <w:rPr>
          <w:rFonts w:ascii="Arial" w:cs="Arial" w:eastAsia="Arial" w:hAnsi="Arial"/>
          <w:sz w:val="12"/>
          <w:szCs w:val="12"/>
          <w:color w:val="auto"/>
        </w:rPr>
        <w:t>The Committee may from time to time grant Other Cash-Based Awards to Participants in such amounts, on such terms and conditions, and for such consideration, including no consideration or such minimum consideration as may be required by applicable law, as it shall determine in its sole discretion. Other Cash-Based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w:t>
      </w:r>
    </w:p>
    <w:p>
      <w:pPr>
        <w:spacing w:after="0" w:line="289"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48"/>
          </w:cols>
          <w:pgMar w:left="212" w:top="293" w:right="239" w:bottom="1440" w:gutter="0" w:footer="0" w:header="0"/>
        </w:sectPr>
      </w:pPr>
    </w:p>
    <w:bookmarkStart w:id="161" w:name="page162"/>
    <w:bookmarkEnd w:id="161"/>
    <w:p>
      <w:pPr>
        <w:ind w:left="428"/>
        <w:spacing w:after="0"/>
        <w:rPr>
          <w:sz w:val="20"/>
          <w:szCs w:val="20"/>
          <w:color w:val="auto"/>
        </w:rPr>
      </w:pPr>
      <w:r>
        <w:rPr>
          <w:rFonts w:ascii="Arial" w:cs="Arial" w:eastAsia="Arial" w:hAnsi="Arial"/>
          <w:sz w:val="12"/>
          <w:szCs w:val="12"/>
          <w:color w:val="auto"/>
        </w:rPr>
        <w:t>The grant of an Other Cash-Based Award shall not require a segregation of any of the Company’s assets for satisfaction of the Company’s payment obligation thereunder.</w:t>
      </w:r>
    </w:p>
    <w:p>
      <w:pPr>
        <w:spacing w:after="0" w:line="150" w:lineRule="exact"/>
        <w:rPr>
          <w:sz w:val="20"/>
          <w:szCs w:val="20"/>
          <w:color w:val="auto"/>
        </w:rPr>
      </w:pPr>
    </w:p>
    <w:p>
      <w:pPr>
        <w:ind w:left="268" w:hanging="268"/>
        <w:spacing w:after="0"/>
        <w:tabs>
          <w:tab w:leader="none" w:pos="268" w:val="left"/>
        </w:tabs>
        <w:numPr>
          <w:ilvl w:val="0"/>
          <w:numId w:val="93"/>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Grant of Dividend Equivalent Rights.</w:t>
      </w:r>
    </w:p>
    <w:p>
      <w:pPr>
        <w:spacing w:after="0" w:line="150" w:lineRule="exact"/>
        <w:rPr>
          <w:sz w:val="20"/>
          <w:szCs w:val="20"/>
          <w:color w:val="auto"/>
        </w:rPr>
      </w:pPr>
    </w:p>
    <w:p>
      <w:pPr>
        <w:ind w:left="8" w:right="120" w:firstLine="432"/>
        <w:spacing w:after="0" w:line="257" w:lineRule="auto"/>
        <w:rPr>
          <w:sz w:val="20"/>
          <w:szCs w:val="20"/>
          <w:color w:val="auto"/>
        </w:rPr>
      </w:pPr>
      <w:r>
        <w:rPr>
          <w:rFonts w:ascii="Arial" w:cs="Arial" w:eastAsia="Arial" w:hAnsi="Arial"/>
          <w:sz w:val="12"/>
          <w:szCs w:val="12"/>
          <w:color w:val="auto"/>
        </w:rPr>
        <w:t>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whether they shall be conditioned upon the exercise of the Award to which they relate, the time or times at which they shall be made, and such other terms and conditions as the Committee shall deem appropriate. Any dividend equivalent rights that may be granted on account of Awards that vest based upon the satisfaction of any performance conditions may only be paid if the underlying performance conditions of the Award are satisfied.</w:t>
      </w:r>
    </w:p>
    <w:p>
      <w:pPr>
        <w:spacing w:after="0" w:line="126" w:lineRule="exact"/>
        <w:rPr>
          <w:sz w:val="20"/>
          <w:szCs w:val="20"/>
          <w:color w:val="auto"/>
        </w:rPr>
      </w:pPr>
    </w:p>
    <w:p>
      <w:pPr>
        <w:ind w:left="268" w:hanging="268"/>
        <w:spacing w:after="0"/>
        <w:tabs>
          <w:tab w:leader="none" w:pos="268" w:val="left"/>
        </w:tabs>
        <w:numPr>
          <w:ilvl w:val="0"/>
          <w:numId w:val="94"/>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Withholding Taxes.</w:t>
      </w:r>
    </w:p>
    <w:p>
      <w:pPr>
        <w:spacing w:after="0" w:line="150" w:lineRule="exact"/>
        <w:rPr>
          <w:rFonts w:ascii="Arial" w:cs="Arial" w:eastAsia="Arial" w:hAnsi="Arial"/>
          <w:sz w:val="12"/>
          <w:szCs w:val="12"/>
          <w:b w:val="1"/>
          <w:bCs w:val="1"/>
          <w:color w:val="010000"/>
        </w:rPr>
      </w:pPr>
    </w:p>
    <w:p>
      <w:pPr>
        <w:ind w:left="8" w:right="120" w:firstLine="424"/>
        <w:spacing w:after="0" w:line="283" w:lineRule="auto"/>
        <w:tabs>
          <w:tab w:leader="none" w:pos="694" w:val="left"/>
        </w:tabs>
        <w:numPr>
          <w:ilvl w:val="1"/>
          <w:numId w:val="94"/>
        </w:numPr>
        <w:rPr>
          <w:rFonts w:ascii="Arial" w:cs="Arial" w:eastAsia="Arial" w:hAnsi="Arial"/>
          <w:sz w:val="11"/>
          <w:szCs w:val="11"/>
          <w:color w:val="010000"/>
        </w:rPr>
      </w:pPr>
      <w:r>
        <w:rPr>
          <w:rFonts w:ascii="Arial" w:cs="Arial" w:eastAsia="Arial" w:hAnsi="Arial"/>
          <w:sz w:val="11"/>
          <w:szCs w:val="11"/>
          <w:i w:val="1"/>
          <w:iCs w:val="1"/>
          <w:color w:val="auto"/>
        </w:rPr>
        <w:t>Participant Election</w:t>
      </w:r>
      <w:r>
        <w:rPr>
          <w:rFonts w:ascii="Arial" w:cs="Arial" w:eastAsia="Arial" w:hAnsi="Arial"/>
          <w:sz w:val="11"/>
          <w:szCs w:val="11"/>
          <w:color w:val="auto"/>
        </w:rPr>
        <w:t>. Unless otherwise determined by the Committee, a Participant may elect to deliver shares of Common Stock (or have the Company withhold Shares acquired upon exercise of an option or SAR or</w:t>
      </w:r>
      <w:r>
        <w:rPr>
          <w:rFonts w:ascii="Arial" w:cs="Arial" w:eastAsia="Arial" w:hAnsi="Arial"/>
          <w:sz w:val="11"/>
          <w:szCs w:val="11"/>
          <w:i w:val="1"/>
          <w:iCs w:val="1"/>
          <w:color w:val="auto"/>
        </w:rPr>
        <w:t xml:space="preserve"> </w:t>
      </w:r>
      <w:r>
        <w:rPr>
          <w:rFonts w:ascii="Arial" w:cs="Arial" w:eastAsia="Arial" w:hAnsi="Arial"/>
          <w:sz w:val="11"/>
          <w:szCs w:val="11"/>
          <w:color w:val="auto"/>
        </w:rPr>
        <w:t>deliverable upon grant or vesting of Restricted Stock or vesting of Restricted Stock Units or Deferred Stock Units or the receipt of Common Stock, as the case may be) to satisfy, in whole or in part, the amount the Company is required to withhold for taxes in connection with the exercise of an option or SAR or the delivery of Restricted Stock upon grant or vesting or the receipt of Common Stock, as the case may be. Such election must be made on or before the date the amount of tax to be withheld is determined. Once made, the election shall be irrevocable. The fair market value of the shares to be withheld or delivered will be the Fair Market Value as of the date the amount of tax to be withheld is determined. In the event a Participant elects to deliver or have the Company withhold shares of Common Stock pursuant to this Section 14(a), such delivery or withholding must be made subject to the conditions and pursuant to the procedures set forth in Section 6(b) with respect to the delivery or withholding of Common Stock in payment of the exercise price of options.</w:t>
      </w:r>
    </w:p>
    <w:p>
      <w:pPr>
        <w:spacing w:after="0" w:line="113" w:lineRule="exact"/>
        <w:rPr>
          <w:rFonts w:ascii="Arial" w:cs="Arial" w:eastAsia="Arial" w:hAnsi="Arial"/>
          <w:sz w:val="11"/>
          <w:szCs w:val="11"/>
          <w:color w:val="010000"/>
        </w:rPr>
      </w:pPr>
    </w:p>
    <w:p>
      <w:pPr>
        <w:ind w:left="8" w:firstLine="424"/>
        <w:spacing w:after="0" w:line="257" w:lineRule="auto"/>
        <w:tabs>
          <w:tab w:leader="none" w:pos="700" w:val="left"/>
        </w:tabs>
        <w:numPr>
          <w:ilvl w:val="1"/>
          <w:numId w:val="94"/>
        </w:numPr>
        <w:rPr>
          <w:rFonts w:ascii="Arial" w:cs="Arial" w:eastAsia="Arial" w:hAnsi="Arial"/>
          <w:sz w:val="12"/>
          <w:szCs w:val="12"/>
          <w:color w:val="010000"/>
        </w:rPr>
      </w:pPr>
      <w:r>
        <w:rPr>
          <w:rFonts w:ascii="Arial" w:cs="Arial" w:eastAsia="Arial" w:hAnsi="Arial"/>
          <w:sz w:val="12"/>
          <w:szCs w:val="12"/>
          <w:i w:val="1"/>
          <w:iCs w:val="1"/>
          <w:color w:val="auto"/>
        </w:rPr>
        <w:t>Company Requirement</w:t>
      </w:r>
      <w:r>
        <w:rPr>
          <w:rFonts w:ascii="Arial" w:cs="Arial" w:eastAsia="Arial" w:hAnsi="Arial"/>
          <w:sz w:val="12"/>
          <w:szCs w:val="12"/>
          <w:color w:val="auto"/>
        </w:rPr>
        <w:t>. The Company may require, as a condition to any grant or exercise under the Plan or to the delivery of certificates for Shares issued hereunder, that the grantee make provision for the payment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either pursuant to Section 14(a) or this Section 14(b), of federal, state or local taxes of any kind required by law to be withheld with respect to any grant, delivery or vesting of Shares. The Company,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delivery of Shares under the Plan. The Company shall in no event be liable for any taxes whatsoever (including, without limitation, taxes under Code Section 409A) associated with the grant, vesting, exercise, or settlement of any Award granted pursuant to this Plan, other than the Company’s share of any payroll taxes.</w:t>
      </w:r>
    </w:p>
    <w:p>
      <w:pPr>
        <w:spacing w:after="0" w:line="125" w:lineRule="exact"/>
        <w:rPr>
          <w:rFonts w:ascii="Arial" w:cs="Arial" w:eastAsia="Arial" w:hAnsi="Arial"/>
          <w:sz w:val="12"/>
          <w:szCs w:val="12"/>
          <w:color w:val="010000"/>
        </w:rPr>
      </w:pPr>
    </w:p>
    <w:p>
      <w:pPr>
        <w:ind w:left="268" w:hanging="268"/>
        <w:spacing w:after="0"/>
        <w:tabs>
          <w:tab w:leader="none" w:pos="268" w:val="left"/>
        </w:tabs>
        <w:numPr>
          <w:ilvl w:val="0"/>
          <w:numId w:val="94"/>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Grant Agreement; Vesting.</w:t>
      </w:r>
    </w:p>
    <w:p>
      <w:pPr>
        <w:spacing w:after="0" w:line="150" w:lineRule="exact"/>
        <w:rPr>
          <w:sz w:val="20"/>
          <w:szCs w:val="20"/>
          <w:color w:val="auto"/>
        </w:rPr>
      </w:pPr>
    </w:p>
    <w:p>
      <w:pPr>
        <w:jc w:val="both"/>
        <w:ind w:left="8" w:right="80" w:firstLine="432"/>
        <w:spacing w:after="0" w:line="263" w:lineRule="auto"/>
        <w:rPr>
          <w:sz w:val="20"/>
          <w:szCs w:val="20"/>
          <w:color w:val="auto"/>
        </w:rPr>
      </w:pPr>
      <w:r>
        <w:rPr>
          <w:rFonts w:ascii="Arial" w:cs="Arial" w:eastAsia="Arial" w:hAnsi="Arial"/>
          <w:sz w:val="12"/>
          <w:szCs w:val="12"/>
          <w:color w:val="auto"/>
        </w:rPr>
        <w:t>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herein in connection with a Change of Control or certain occurrences of Termination, no Award under this Plan may be exercised, and no restrictions relating thereto may lapse, within six months of the date such Award is made.</w:t>
      </w:r>
    </w:p>
    <w:p>
      <w:pPr>
        <w:spacing w:after="0" w:line="123" w:lineRule="exact"/>
        <w:rPr>
          <w:sz w:val="20"/>
          <w:szCs w:val="20"/>
          <w:color w:val="auto"/>
        </w:rPr>
      </w:pPr>
    </w:p>
    <w:p>
      <w:pPr>
        <w:ind w:left="268" w:hanging="268"/>
        <w:spacing w:after="0"/>
        <w:tabs>
          <w:tab w:leader="none" w:pos="268" w:val="left"/>
        </w:tabs>
        <w:numPr>
          <w:ilvl w:val="0"/>
          <w:numId w:val="95"/>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Transferability.</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 Award granted under the Plan shall be transferable by a Participant other than (a) by will or the laws of descent and distribution, (b) to a Participant’s Family Member by gift or a qualified domestic relations order as</w:t>
      </w:r>
    </w:p>
    <w:p>
      <w:pPr>
        <w:spacing w:after="0" w:line="327"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88"/>
          </w:cols>
          <w:pgMar w:left="212" w:top="293" w:right="199" w:bottom="1440" w:gutter="0" w:footer="0" w:header="0"/>
        </w:sectPr>
      </w:pPr>
    </w:p>
    <w:bookmarkStart w:id="162" w:name="page163"/>
    <w:bookmarkEnd w:id="162"/>
    <w:p>
      <w:pPr>
        <w:ind w:left="8"/>
        <w:spacing w:after="0" w:line="286" w:lineRule="auto"/>
        <w:rPr>
          <w:sz w:val="20"/>
          <w:szCs w:val="20"/>
          <w:color w:val="auto"/>
        </w:rPr>
      </w:pPr>
      <w:r>
        <w:rPr>
          <w:rFonts w:ascii="Arial" w:cs="Arial" w:eastAsia="Arial" w:hAnsi="Arial"/>
          <w:sz w:val="11"/>
          <w:szCs w:val="11"/>
          <w:color w:val="auto"/>
        </w:rPr>
        <w:t>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Section 16, and any transferee of any such Award shall be bound by all provisions of this Plan as and to the same extent as the applicable original grantee.</w:t>
      </w:r>
    </w:p>
    <w:p>
      <w:pPr>
        <w:spacing w:after="0" w:line="111" w:lineRule="exact"/>
        <w:rPr>
          <w:sz w:val="20"/>
          <w:szCs w:val="20"/>
          <w:color w:val="auto"/>
        </w:rPr>
      </w:pPr>
    </w:p>
    <w:p>
      <w:pPr>
        <w:ind w:left="268" w:hanging="268"/>
        <w:spacing w:after="0"/>
        <w:tabs>
          <w:tab w:leader="none" w:pos="268" w:val="left"/>
        </w:tabs>
        <w:numPr>
          <w:ilvl w:val="0"/>
          <w:numId w:val="96"/>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Listing, Registration and Qualification.</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w:t>
      </w:r>
    </w:p>
    <w:p>
      <w:pPr>
        <w:spacing w:after="0" w:line="123" w:lineRule="exact"/>
        <w:rPr>
          <w:sz w:val="20"/>
          <w:szCs w:val="20"/>
          <w:color w:val="auto"/>
        </w:rPr>
      </w:pPr>
    </w:p>
    <w:p>
      <w:pPr>
        <w:ind w:left="268" w:hanging="268"/>
        <w:spacing w:after="0"/>
        <w:tabs>
          <w:tab w:leader="none" w:pos="268" w:val="left"/>
        </w:tabs>
        <w:numPr>
          <w:ilvl w:val="0"/>
          <w:numId w:val="97"/>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Lock-Up Period.</w:t>
      </w:r>
    </w:p>
    <w:p>
      <w:pPr>
        <w:spacing w:after="0" w:line="150" w:lineRule="exact"/>
        <w:rPr>
          <w:sz w:val="20"/>
          <w:szCs w:val="20"/>
          <w:color w:val="auto"/>
        </w:rPr>
      </w:pPr>
    </w:p>
    <w:p>
      <w:pPr>
        <w:ind w:left="8" w:right="20" w:firstLine="432"/>
        <w:spacing w:after="0" w:line="286" w:lineRule="auto"/>
        <w:rPr>
          <w:sz w:val="20"/>
          <w:szCs w:val="20"/>
          <w:color w:val="auto"/>
        </w:rPr>
      </w:pPr>
      <w:r>
        <w:rPr>
          <w:rFonts w:ascii="Arial" w:cs="Arial" w:eastAsia="Arial" w:hAnsi="Arial"/>
          <w:sz w:val="11"/>
          <w:szCs w:val="11"/>
          <w:color w:val="auto"/>
        </w:rPr>
        <w:t>As a condition to the grant of an Award, if requested by the Company and the lead underwriter of any public offering of the Common Stock (the “</w:t>
      </w:r>
      <w:r>
        <w:rPr>
          <w:rFonts w:ascii="Arial" w:cs="Arial" w:eastAsia="Arial" w:hAnsi="Arial"/>
          <w:sz w:val="11"/>
          <w:szCs w:val="11"/>
          <w:i w:val="1"/>
          <w:iCs w:val="1"/>
          <w:color w:val="auto"/>
        </w:rPr>
        <w:t>Lead Underwriter</w:t>
      </w:r>
      <w:r>
        <w:rPr>
          <w:rFonts w:ascii="Arial" w:cs="Arial" w:eastAsia="Arial" w:hAnsi="Arial"/>
          <w:sz w:val="11"/>
          <w:szCs w:val="11"/>
          <w:color w:val="auto"/>
        </w:rPr>
        <w:t>”),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Arial" w:cs="Arial" w:eastAsia="Arial" w:hAnsi="Arial"/>
          <w:sz w:val="11"/>
          <w:szCs w:val="11"/>
          <w:i w:val="1"/>
          <w:iCs w:val="1"/>
          <w:color w:val="auto"/>
        </w:rPr>
        <w:t>Lock-Up Period</w:t>
      </w:r>
      <w:r>
        <w:rPr>
          <w:rFonts w:ascii="Arial" w:cs="Arial" w:eastAsia="Arial" w:hAnsi="Arial"/>
          <w:sz w:val="11"/>
          <w:szCs w:val="11"/>
          <w:color w:val="auto"/>
        </w:rPr>
        <w:t>”).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w:t>
      </w:r>
    </w:p>
    <w:p>
      <w:pPr>
        <w:spacing w:after="0" w:line="111" w:lineRule="exact"/>
        <w:rPr>
          <w:sz w:val="20"/>
          <w:szCs w:val="20"/>
          <w:color w:val="auto"/>
        </w:rPr>
      </w:pPr>
    </w:p>
    <w:p>
      <w:pPr>
        <w:ind w:left="268" w:hanging="268"/>
        <w:spacing w:after="0"/>
        <w:tabs>
          <w:tab w:leader="none" w:pos="268" w:val="left"/>
        </w:tabs>
        <w:numPr>
          <w:ilvl w:val="0"/>
          <w:numId w:val="98"/>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Transfer of Employee.</w:t>
      </w:r>
    </w:p>
    <w:p>
      <w:pPr>
        <w:spacing w:after="0" w:line="150" w:lineRule="exact"/>
        <w:rPr>
          <w:sz w:val="20"/>
          <w:szCs w:val="20"/>
          <w:color w:val="auto"/>
        </w:rPr>
      </w:pPr>
    </w:p>
    <w:p>
      <w:pPr>
        <w:ind w:left="8" w:right="80" w:firstLine="432"/>
        <w:spacing w:after="0" w:line="323" w:lineRule="auto"/>
        <w:rPr>
          <w:sz w:val="20"/>
          <w:szCs w:val="20"/>
          <w:color w:val="auto"/>
        </w:rPr>
      </w:pPr>
      <w:r>
        <w:rPr>
          <w:rFonts w:ascii="Arial" w:cs="Arial" w:eastAsia="Arial" w:hAnsi="Arial"/>
          <w:sz w:val="11"/>
          <w:szCs w:val="11"/>
          <w:color w:val="auto"/>
        </w:rPr>
        <w:t>The transfer of an employee from the Company to a Subsidiary, from a Subsidiary to the Company, or from one Subsidiary to another Subsidiary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pacing w:after="0" w:line="92" w:lineRule="exact"/>
        <w:rPr>
          <w:sz w:val="20"/>
          <w:szCs w:val="20"/>
          <w:color w:val="auto"/>
        </w:rPr>
      </w:pPr>
    </w:p>
    <w:p>
      <w:pPr>
        <w:ind w:left="268" w:hanging="268"/>
        <w:spacing w:after="0"/>
        <w:tabs>
          <w:tab w:leader="none" w:pos="268" w:val="left"/>
        </w:tabs>
        <w:numPr>
          <w:ilvl w:val="0"/>
          <w:numId w:val="99"/>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Section 162(m) of the Code.</w:t>
      </w:r>
    </w:p>
    <w:p>
      <w:pPr>
        <w:spacing w:after="0" w:line="150" w:lineRule="exact"/>
        <w:rPr>
          <w:sz w:val="20"/>
          <w:szCs w:val="20"/>
          <w:color w:val="auto"/>
        </w:rPr>
      </w:pPr>
    </w:p>
    <w:p>
      <w:pPr>
        <w:ind w:left="8" w:right="100" w:firstLine="432"/>
        <w:spacing w:after="0" w:line="263" w:lineRule="auto"/>
        <w:rPr>
          <w:sz w:val="20"/>
          <w:szCs w:val="20"/>
          <w:color w:val="auto"/>
        </w:rPr>
      </w:pPr>
      <w:r>
        <w:rPr>
          <w:rFonts w:ascii="Arial" w:cs="Arial" w:eastAsia="Arial" w:hAnsi="Arial"/>
          <w:sz w:val="12"/>
          <w:szCs w:val="12"/>
          <w:color w:val="auto"/>
        </w:rPr>
        <w:t>Notwithstanding any other provision of the Plan to the contrary, (i) prior to the Registration Date and during the Transition Period, the provisions of the Plan requiring compliance with Section 162(m) of the Code for Awards intended to qualify as “performance-based compensation” shall only apply to the extent required by Section 162(m) of the Code, and (ii) the provisions of the Plan requiring compliance with Section 162(m) of the Code shall not apply to Awards granted under the Plan that are not intended to qualify as “performance-based compensation” under Section 162(m) of the Code.</w:t>
      </w:r>
    </w:p>
    <w:p>
      <w:pPr>
        <w:spacing w:after="0" w:line="123" w:lineRule="exact"/>
        <w:rPr>
          <w:sz w:val="20"/>
          <w:szCs w:val="20"/>
          <w:color w:val="auto"/>
        </w:rPr>
      </w:pPr>
    </w:p>
    <w:p>
      <w:pPr>
        <w:ind w:left="268" w:hanging="268"/>
        <w:spacing w:after="0"/>
        <w:tabs>
          <w:tab w:leader="none" w:pos="268" w:val="left"/>
        </w:tabs>
        <w:numPr>
          <w:ilvl w:val="0"/>
          <w:numId w:val="100"/>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Post-Transition Period.</w:t>
      </w:r>
    </w:p>
    <w:p>
      <w:pPr>
        <w:spacing w:after="0" w:line="316"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8"/>
          </w:cols>
          <w:pgMar w:left="212" w:top="293" w:right="239" w:bottom="1440" w:gutter="0" w:footer="0" w:header="0"/>
        </w:sectPr>
      </w:pPr>
    </w:p>
    <w:bookmarkStart w:id="163" w:name="page164"/>
    <w:bookmarkEnd w:id="163"/>
    <w:p>
      <w:pPr>
        <w:ind w:left="8" w:firstLine="432"/>
        <w:spacing w:after="0" w:line="276" w:lineRule="auto"/>
        <w:rPr>
          <w:sz w:val="20"/>
          <w:szCs w:val="20"/>
          <w:color w:val="auto"/>
        </w:rPr>
      </w:pPr>
      <w:r>
        <w:rPr>
          <w:rFonts w:ascii="Arial" w:cs="Arial" w:eastAsia="Arial" w:hAnsi="Arial"/>
          <w:sz w:val="12"/>
          <w:szCs w:val="12"/>
          <w:color w:val="auto"/>
        </w:rPr>
        <w:t>Following the Transition Period, any Award granted under the Plan that is intended to be “performance-based compensation” under Section 162(m) of the Code, shall be subject to the approval of the material terms of the Plan by a majority of the stockholders of the Company in accordance with Section 162(m) of the Code and the treasury regulations promulgated thereunder.</w:t>
      </w:r>
    </w:p>
    <w:p>
      <w:pPr>
        <w:spacing w:after="0" w:line="115" w:lineRule="exact"/>
        <w:rPr>
          <w:sz w:val="20"/>
          <w:szCs w:val="20"/>
          <w:color w:val="auto"/>
        </w:rPr>
      </w:pPr>
    </w:p>
    <w:p>
      <w:pPr>
        <w:ind w:left="268" w:hanging="268"/>
        <w:spacing w:after="0"/>
        <w:tabs>
          <w:tab w:leader="none" w:pos="268" w:val="left"/>
        </w:tabs>
        <w:numPr>
          <w:ilvl w:val="0"/>
          <w:numId w:val="101"/>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Adjustments.</w:t>
      </w:r>
    </w:p>
    <w:p>
      <w:pPr>
        <w:spacing w:after="0" w:line="150" w:lineRule="exact"/>
        <w:rPr>
          <w:rFonts w:ascii="Arial" w:cs="Arial" w:eastAsia="Arial" w:hAnsi="Arial"/>
          <w:sz w:val="12"/>
          <w:szCs w:val="12"/>
          <w:b w:val="1"/>
          <w:bCs w:val="1"/>
          <w:color w:val="010000"/>
        </w:rPr>
      </w:pPr>
    </w:p>
    <w:p>
      <w:pPr>
        <w:ind w:left="8" w:right="60" w:firstLine="424"/>
        <w:spacing w:after="0" w:line="254" w:lineRule="auto"/>
        <w:tabs>
          <w:tab w:leader="none" w:pos="694" w:val="left"/>
        </w:tabs>
        <w:numPr>
          <w:ilvl w:val="1"/>
          <w:numId w:val="101"/>
        </w:numPr>
        <w:rPr>
          <w:rFonts w:ascii="Arial" w:cs="Arial" w:eastAsia="Arial" w:hAnsi="Arial"/>
          <w:sz w:val="12"/>
          <w:szCs w:val="12"/>
          <w:color w:val="010000"/>
        </w:rPr>
      </w:pPr>
      <w:r>
        <w:rPr>
          <w:rFonts w:ascii="Arial" w:cs="Arial" w:eastAsia="Arial" w:hAnsi="Arial"/>
          <w:sz w:val="12"/>
          <w:szCs w:val="12"/>
          <w:color w:val="auto"/>
        </w:rPr>
        <w:t>In the event that any reorganization, recapitalization, stock split, reverse stock split, stock dividend, combination of shares, merger, consolidation, distribution of assets, or any other change in the corporate structure or shares of the Company affects Shares such that an adjustment is appropriate in order to prevent dilution or enlargement of the rights of Participants under the Plan, the Committee shall make such equitable adjustments in any or all of the following in order to prevent such dilution or enlargement of rights: the number and kind of Shares or other property available for issuance under the Plan (including, without limitation, the total number of Shares available for issuance under the Plan pursuant to Section 4), the number and kind of Awards or other property covered by Awards previously made under the Plan, and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130" w:lineRule="exact"/>
        <w:rPr>
          <w:rFonts w:ascii="Arial" w:cs="Arial" w:eastAsia="Arial" w:hAnsi="Arial"/>
          <w:sz w:val="12"/>
          <w:szCs w:val="12"/>
          <w:color w:val="010000"/>
        </w:rPr>
      </w:pPr>
    </w:p>
    <w:p>
      <w:pPr>
        <w:ind w:left="8" w:right="60" w:firstLine="424"/>
        <w:spacing w:after="0" w:line="255" w:lineRule="auto"/>
        <w:tabs>
          <w:tab w:leader="none" w:pos="698" w:val="left"/>
        </w:tabs>
        <w:numPr>
          <w:ilvl w:val="1"/>
          <w:numId w:val="101"/>
        </w:numPr>
        <w:rPr>
          <w:rFonts w:ascii="Arial" w:cs="Arial" w:eastAsia="Arial" w:hAnsi="Arial"/>
          <w:sz w:val="12"/>
          <w:szCs w:val="12"/>
          <w:color w:val="010000"/>
        </w:rPr>
      </w:pPr>
      <w:r>
        <w:rPr>
          <w:rFonts w:ascii="Arial" w:cs="Arial" w:eastAsia="Arial" w:hAnsi="Arial"/>
          <w:sz w:val="12"/>
          <w:szCs w:val="12"/>
          <w:color w:val="auto"/>
        </w:rPr>
        <w:t>Without limitation of the foregoing, in connection with any transaction of the type specified by Section 2(d)(iii) in the definition of a Change in Control,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w:t>
      </w:r>
    </w:p>
    <w:p>
      <w:pPr>
        <w:spacing w:after="0" w:line="129" w:lineRule="exact"/>
        <w:rPr>
          <w:rFonts w:ascii="Arial" w:cs="Arial" w:eastAsia="Arial" w:hAnsi="Arial"/>
          <w:sz w:val="12"/>
          <w:szCs w:val="12"/>
          <w:color w:val="010000"/>
        </w:rPr>
      </w:pPr>
    </w:p>
    <w:p>
      <w:pPr>
        <w:ind w:left="8" w:right="60" w:firstLine="424"/>
        <w:spacing w:after="0" w:line="323" w:lineRule="auto"/>
        <w:tabs>
          <w:tab w:leader="none" w:pos="694" w:val="left"/>
        </w:tabs>
        <w:numPr>
          <w:ilvl w:val="1"/>
          <w:numId w:val="101"/>
        </w:numPr>
        <w:rPr>
          <w:rFonts w:ascii="Arial" w:cs="Arial" w:eastAsia="Arial" w:hAnsi="Arial"/>
          <w:sz w:val="11"/>
          <w:szCs w:val="11"/>
          <w:color w:val="010000"/>
        </w:rPr>
      </w:pPr>
      <w:r>
        <w:rPr>
          <w:rFonts w:ascii="Arial" w:cs="Arial" w:eastAsia="Arial" w:hAnsi="Arial"/>
          <w:sz w:val="11"/>
          <w:szCs w:val="11"/>
          <w:i w:val="1"/>
          <w:iCs w:val="1"/>
          <w:color w:val="auto"/>
        </w:rPr>
        <w:t>Change in Control</w:t>
      </w:r>
      <w:r>
        <w:rPr>
          <w:rFonts w:ascii="Arial" w:cs="Arial" w:eastAsia="Arial" w:hAnsi="Arial"/>
          <w:sz w:val="11"/>
          <w:szCs w:val="11"/>
          <w:color w:val="auto"/>
        </w:rPr>
        <w:t>. Unless otherwise provided in a Participant’s Grant Agreement, if there is a Change in Control of the Company, all of the Participant’s Awards shall become fully vested upon such Change in Control (and,</w:t>
      </w:r>
      <w:r>
        <w:rPr>
          <w:rFonts w:ascii="Arial" w:cs="Arial" w:eastAsia="Arial" w:hAnsi="Arial"/>
          <w:sz w:val="11"/>
          <w:szCs w:val="11"/>
          <w:i w:val="1"/>
          <w:iCs w:val="1"/>
          <w:color w:val="auto"/>
        </w:rPr>
        <w:t xml:space="preserve"> </w:t>
      </w:r>
      <w:r>
        <w:rPr>
          <w:rFonts w:ascii="Arial" w:cs="Arial" w:eastAsia="Arial" w:hAnsi="Arial"/>
          <w:sz w:val="11"/>
          <w:szCs w:val="11"/>
          <w:color w:val="auto"/>
        </w:rPr>
        <w:t>with respect to the Participant’s options, exercisable upon such Change in Control and shall remain so until the expiration date of the options), whether or not the Participant is subsequently terminated.</w:t>
      </w:r>
    </w:p>
    <w:p>
      <w:pPr>
        <w:spacing w:after="0" w:line="91" w:lineRule="exact"/>
        <w:rPr>
          <w:rFonts w:ascii="Arial" w:cs="Arial" w:eastAsia="Arial" w:hAnsi="Arial"/>
          <w:sz w:val="11"/>
          <w:szCs w:val="11"/>
          <w:color w:val="010000"/>
        </w:rPr>
      </w:pPr>
    </w:p>
    <w:p>
      <w:pPr>
        <w:ind w:left="8" w:right="20" w:firstLine="424"/>
        <w:spacing w:after="0" w:line="323" w:lineRule="auto"/>
        <w:tabs>
          <w:tab w:leader="none" w:pos="700" w:val="left"/>
        </w:tabs>
        <w:numPr>
          <w:ilvl w:val="1"/>
          <w:numId w:val="101"/>
        </w:numPr>
        <w:rPr>
          <w:rFonts w:ascii="Arial" w:cs="Arial" w:eastAsia="Arial" w:hAnsi="Arial"/>
          <w:sz w:val="11"/>
          <w:szCs w:val="11"/>
          <w:color w:val="010000"/>
        </w:rPr>
      </w:pPr>
      <w:r>
        <w:rPr>
          <w:rFonts w:ascii="Arial" w:cs="Arial" w:eastAsia="Arial" w:hAnsi="Arial"/>
          <w:sz w:val="11"/>
          <w:szCs w:val="11"/>
          <w:i w:val="1"/>
          <w:iCs w:val="1"/>
          <w:color w:val="auto"/>
        </w:rPr>
        <w:t>Clawback</w:t>
      </w:r>
      <w:r>
        <w:rPr>
          <w:rFonts w:ascii="Arial" w:cs="Arial" w:eastAsia="Arial" w:hAnsi="Arial"/>
          <w:sz w:val="11"/>
          <w:szCs w:val="11"/>
          <w:color w:val="auto"/>
        </w:rPr>
        <w:t>. If the Company is required to prepare an accounting restatement due to the material noncompliance of the Company with any financial reporting requirement under the securities laws, then any Participant who has</w:t>
      </w:r>
      <w:r>
        <w:rPr>
          <w:rFonts w:ascii="Arial" w:cs="Arial" w:eastAsia="Arial" w:hAnsi="Arial"/>
          <w:sz w:val="11"/>
          <w:szCs w:val="11"/>
          <w:i w:val="1"/>
          <w:iCs w:val="1"/>
          <w:color w:val="auto"/>
        </w:rPr>
        <w:t xml:space="preserve"> </w:t>
      </w:r>
      <w:r>
        <w:rPr>
          <w:rFonts w:ascii="Arial" w:cs="Arial" w:eastAsia="Arial" w:hAnsi="Arial"/>
          <w:sz w:val="11"/>
          <w:szCs w:val="11"/>
          <w:color w:val="auto"/>
        </w:rPr>
        <w:t>been paid an Award under this Plan based upon or affected by the restated financial report shall be required, at the discretion of the Board, to reimburse the Company for all or any portion of such Award.</w:t>
      </w:r>
    </w:p>
    <w:p>
      <w:pPr>
        <w:spacing w:after="0" w:line="91" w:lineRule="exact"/>
        <w:rPr>
          <w:rFonts w:ascii="Arial" w:cs="Arial" w:eastAsia="Arial" w:hAnsi="Arial"/>
          <w:sz w:val="11"/>
          <w:szCs w:val="11"/>
          <w:color w:val="010000"/>
        </w:rPr>
      </w:pPr>
    </w:p>
    <w:p>
      <w:pPr>
        <w:ind w:left="268" w:hanging="268"/>
        <w:spacing w:after="0"/>
        <w:tabs>
          <w:tab w:leader="none" w:pos="268" w:val="left"/>
        </w:tabs>
        <w:numPr>
          <w:ilvl w:val="0"/>
          <w:numId w:val="101"/>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Amendment and Termination of the Plan.</w:t>
      </w:r>
    </w:p>
    <w:p>
      <w:pPr>
        <w:spacing w:after="0" w:line="150" w:lineRule="exact"/>
        <w:rPr>
          <w:sz w:val="20"/>
          <w:szCs w:val="20"/>
          <w:color w:val="auto"/>
        </w:rPr>
      </w:pPr>
    </w:p>
    <w:p>
      <w:pPr>
        <w:jc w:val="both"/>
        <w:ind w:left="8" w:right="80" w:firstLine="432"/>
        <w:spacing w:after="0" w:line="340" w:lineRule="auto"/>
        <w:rPr>
          <w:sz w:val="20"/>
          <w:szCs w:val="20"/>
          <w:color w:val="auto"/>
        </w:rPr>
      </w:pPr>
      <w:r>
        <w:rPr>
          <w:rFonts w:ascii="Arial" w:cs="Arial" w:eastAsia="Arial" w:hAnsi="Arial"/>
          <w:sz w:val="10"/>
          <w:szCs w:val="10"/>
          <w:color w:val="auto"/>
        </w:rPr>
        <w:t>The Board or the Committee, without approval of the shareholders, may amend or terminate the Plan at any time, except that no amendment shall become effective without prior approval of the shareholders of the Company if (i) shareholder approval would be required by applicable law or regulations, including if required by any listing requirement of the principal stock exchange or national market on which the Common Stock is then listed, (ii) such amendment would remove from the Plan a provision which, without giving effect to such amendment, is subject to shareholder approval, or (iii) such amendment would directly or indirectly increase the Share limits set forth in Section 4 of the Plan.</w:t>
      </w:r>
    </w:p>
    <w:p>
      <w:pPr>
        <w:spacing w:after="0" w:line="253"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8"/>
          </w:cols>
          <w:pgMar w:left="212" w:top="293" w:right="219" w:bottom="1440" w:gutter="0" w:footer="0" w:header="0"/>
        </w:sectPr>
      </w:pPr>
    </w:p>
    <w:bookmarkStart w:id="164" w:name="page165"/>
    <w:bookmarkEnd w:id="164"/>
    <w:p>
      <w:pPr>
        <w:ind w:left="268" w:hanging="268"/>
        <w:spacing w:after="0"/>
        <w:tabs>
          <w:tab w:leader="none" w:pos="268" w:val="left"/>
        </w:tabs>
        <w:numPr>
          <w:ilvl w:val="0"/>
          <w:numId w:val="102"/>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Amendment or Substitution of Awards under the Plan.</w:t>
      </w:r>
    </w:p>
    <w:p>
      <w:pPr>
        <w:spacing w:after="0" w:line="150" w:lineRule="exact"/>
        <w:rPr>
          <w:sz w:val="20"/>
          <w:szCs w:val="20"/>
          <w:color w:val="auto"/>
        </w:rPr>
      </w:pPr>
    </w:p>
    <w:p>
      <w:pPr>
        <w:ind w:left="8" w:right="20" w:firstLine="432"/>
        <w:spacing w:after="0" w:line="304" w:lineRule="auto"/>
        <w:rPr>
          <w:sz w:val="20"/>
          <w:szCs w:val="20"/>
          <w:color w:val="auto"/>
        </w:rPr>
      </w:pPr>
      <w:r>
        <w:rPr>
          <w:rFonts w:ascii="Arial" w:cs="Arial" w:eastAsia="Arial" w:hAnsi="Arial"/>
          <w:sz w:val="10"/>
          <w:szCs w:val="10"/>
          <w:color w:val="auto"/>
        </w:rPr>
        <w:t>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Section 22,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Section</w:t>
      </w:r>
    </w:p>
    <w:p>
      <w:pPr>
        <w:spacing w:after="0" w:line="1" w:lineRule="exact"/>
        <w:rPr>
          <w:sz w:val="20"/>
          <w:szCs w:val="20"/>
          <w:color w:val="auto"/>
        </w:rPr>
      </w:pPr>
    </w:p>
    <w:p>
      <w:pPr>
        <w:ind w:left="8" w:hanging="8"/>
        <w:spacing w:after="0" w:line="255" w:lineRule="auto"/>
        <w:tabs>
          <w:tab w:leader="none" w:pos="191"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Notwithstanding anything to the contrary in this Plan, in no event shall the Committee amend the distribution terms in any Award or Grant Agreement that has a feature for the deferral of compensation if such amendment would result in taxes, additional interest and/or penalties pursuant to Code Section 409A.</w:t>
      </w:r>
    </w:p>
    <w:p>
      <w:pPr>
        <w:spacing w:after="0" w:line="128" w:lineRule="exact"/>
        <w:rPr>
          <w:sz w:val="20"/>
          <w:szCs w:val="20"/>
          <w:color w:val="auto"/>
        </w:rPr>
      </w:pPr>
    </w:p>
    <w:p>
      <w:pPr>
        <w:ind w:left="268" w:hanging="268"/>
        <w:spacing w:after="0"/>
        <w:tabs>
          <w:tab w:leader="none" w:pos="268" w:val="left"/>
        </w:tabs>
        <w:numPr>
          <w:ilvl w:val="0"/>
          <w:numId w:val="104"/>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Termination Date</w:t>
      </w:r>
    </w:p>
    <w:p>
      <w:pPr>
        <w:spacing w:after="0" w:line="150" w:lineRule="exact"/>
        <w:rPr>
          <w:sz w:val="20"/>
          <w:szCs w:val="20"/>
          <w:color w:val="auto"/>
        </w:rPr>
      </w:pPr>
    </w:p>
    <w:p>
      <w:pPr>
        <w:jc w:val="both"/>
        <w:ind w:left="8" w:right="40" w:firstLine="432"/>
        <w:spacing w:after="0" w:line="263" w:lineRule="auto"/>
        <w:rPr>
          <w:sz w:val="20"/>
          <w:szCs w:val="20"/>
          <w:color w:val="auto"/>
        </w:rPr>
      </w:pPr>
      <w:r>
        <w:rPr>
          <w:rFonts w:ascii="Arial" w:cs="Arial" w:eastAsia="Arial" w:hAnsi="Arial"/>
          <w:sz w:val="12"/>
          <w:szCs w:val="12"/>
          <w:color w:val="auto"/>
        </w:rPr>
        <w:t>The date of commencement of the Plan is May 14, 2015 (the “</w:t>
      </w:r>
      <w:r>
        <w:rPr>
          <w:rFonts w:ascii="Arial" w:cs="Arial" w:eastAsia="Arial" w:hAnsi="Arial"/>
          <w:sz w:val="12"/>
          <w:szCs w:val="12"/>
          <w:i w:val="1"/>
          <w:iCs w:val="1"/>
          <w:color w:val="auto"/>
        </w:rPr>
        <w:t>Effective Date</w:t>
      </w:r>
      <w:r>
        <w:rPr>
          <w:rFonts w:ascii="Arial" w:cs="Arial" w:eastAsia="Arial" w:hAnsi="Arial"/>
          <w:sz w:val="12"/>
          <w:szCs w:val="12"/>
          <w:color w:val="auto"/>
        </w:rPr>
        <w:t>”). Unless previously terminated upon the adoption of a resolution of the Board terminating the Plan, the Plan shall terminate on the tenth anniversary of the earlier of the date that the Plan is adopted or the date of stockholder approval. No termination of the Plan shall materially and adversely affect any of the rights or obligations of any person, without his or her written consent, under any Award or other incentives theretofore granted under the Plan.</w:t>
      </w:r>
    </w:p>
    <w:p>
      <w:pPr>
        <w:spacing w:after="0" w:line="123" w:lineRule="exact"/>
        <w:rPr>
          <w:sz w:val="20"/>
          <w:szCs w:val="20"/>
          <w:color w:val="auto"/>
        </w:rPr>
      </w:pPr>
    </w:p>
    <w:p>
      <w:pPr>
        <w:ind w:left="268" w:hanging="268"/>
        <w:spacing w:after="0"/>
        <w:tabs>
          <w:tab w:leader="none" w:pos="268" w:val="left"/>
        </w:tabs>
        <w:numPr>
          <w:ilvl w:val="0"/>
          <w:numId w:val="105"/>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Severability.</w:t>
      </w:r>
    </w:p>
    <w:p>
      <w:pPr>
        <w:spacing w:after="0" w:line="150" w:lineRule="exact"/>
        <w:rPr>
          <w:sz w:val="20"/>
          <w:szCs w:val="20"/>
          <w:color w:val="auto"/>
        </w:rPr>
      </w:pPr>
    </w:p>
    <w:p>
      <w:pPr>
        <w:ind w:left="8" w:right="120" w:firstLine="432"/>
        <w:spacing w:after="0" w:line="276" w:lineRule="auto"/>
        <w:rPr>
          <w:sz w:val="20"/>
          <w:szCs w:val="20"/>
          <w:color w:val="auto"/>
        </w:rPr>
      </w:pPr>
      <w:r>
        <w:rPr>
          <w:rFonts w:ascii="Arial" w:cs="Arial" w:eastAsia="Arial" w:hAnsi="Arial"/>
          <w:sz w:val="12"/>
          <w:szCs w:val="12"/>
          <w:color w:val="auto"/>
        </w:rPr>
        <w:t>Whenever possible, each provision of the Plan shall be interpreted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w:t>
      </w:r>
    </w:p>
    <w:p>
      <w:pPr>
        <w:spacing w:after="0" w:line="115" w:lineRule="exact"/>
        <w:rPr>
          <w:sz w:val="20"/>
          <w:szCs w:val="20"/>
          <w:color w:val="auto"/>
        </w:rPr>
      </w:pPr>
    </w:p>
    <w:p>
      <w:pPr>
        <w:ind w:left="268" w:hanging="268"/>
        <w:spacing w:after="0"/>
        <w:tabs>
          <w:tab w:leader="none" w:pos="268" w:val="left"/>
        </w:tabs>
        <w:numPr>
          <w:ilvl w:val="0"/>
          <w:numId w:val="106"/>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Jurisdiction; Waiver of a Jury Trial.</w:t>
      </w:r>
    </w:p>
    <w:p>
      <w:pPr>
        <w:spacing w:after="0" w:line="150" w:lineRule="exact"/>
        <w:rPr>
          <w:sz w:val="20"/>
          <w:szCs w:val="20"/>
          <w:color w:val="auto"/>
        </w:rPr>
      </w:pPr>
    </w:p>
    <w:p>
      <w:pPr>
        <w:ind w:left="8" w:right="60" w:firstLine="432"/>
        <w:spacing w:after="0" w:line="279" w:lineRule="auto"/>
        <w:rPr>
          <w:sz w:val="20"/>
          <w:szCs w:val="20"/>
          <w:color w:val="auto"/>
        </w:rPr>
      </w:pPr>
      <w:r>
        <w:rPr>
          <w:rFonts w:ascii="Arial" w:cs="Arial" w:eastAsia="Arial" w:hAnsi="Arial"/>
          <w:sz w:val="11"/>
          <w:szCs w:val="11"/>
          <w:color w:val="auto"/>
        </w:rPr>
        <w:t>Any suit, action or proceeding with respect to this Plan or any Grant Agreement, or any judgment entered by any court of competent jurisdiction in respect of any thereof, shall be resolved only in the courts of the State of Delaware or the United States District Court for the District of Delaware and the appellate courts having jurisdiction of appeals in such courts. In that context, and without limiting the generality of the foregoing, the Company and each Participant shall irrevocably and unconditionally (a) submit in any proceeding relating to this Plan or any Grant Agreement, or for the recognition and enforcement of any judgment in respect thereof (a “</w:t>
      </w:r>
      <w:r>
        <w:rPr>
          <w:rFonts w:ascii="Arial" w:cs="Arial" w:eastAsia="Arial" w:hAnsi="Arial"/>
          <w:sz w:val="11"/>
          <w:szCs w:val="11"/>
          <w:i w:val="1"/>
          <w:iCs w:val="1"/>
          <w:color w:val="auto"/>
        </w:rPr>
        <w:t>Proceeding</w:t>
      </w:r>
      <w:r>
        <w:rPr>
          <w:rFonts w:ascii="Arial" w:cs="Arial" w:eastAsia="Arial" w:hAnsi="Arial"/>
          <w:sz w:val="11"/>
          <w:szCs w:val="11"/>
          <w:color w:val="auto"/>
        </w:rPr>
        <w:t>”),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 (b) 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this Plan or any Grant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 (e) agree that nothing in this</w:t>
      </w:r>
    </w:p>
    <w:p>
      <w:pPr>
        <w:spacing w:after="0" w:line="283"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8"/>
          </w:cols>
          <w:pgMar w:left="212" w:top="293" w:right="219" w:bottom="1440" w:gutter="0" w:footer="0" w:header="0"/>
        </w:sectPr>
      </w:pPr>
    </w:p>
    <w:bookmarkStart w:id="165" w:name="page166"/>
    <w:bookmarkEnd w:id="165"/>
    <w:p>
      <w:pPr>
        <w:ind w:left="8"/>
        <w:spacing w:after="0"/>
        <w:rPr>
          <w:sz w:val="20"/>
          <w:szCs w:val="20"/>
          <w:color w:val="auto"/>
        </w:rPr>
      </w:pPr>
      <w:r>
        <w:rPr>
          <w:rFonts w:ascii="Arial" w:cs="Arial" w:eastAsia="Arial" w:hAnsi="Arial"/>
          <w:sz w:val="12"/>
          <w:szCs w:val="12"/>
          <w:color w:val="auto"/>
        </w:rPr>
        <w:t>Agreement shall affect the right to effect service of process in any other manner permitted by the laws of the State of Delaware.</w:t>
      </w:r>
    </w:p>
    <w:p>
      <w:pPr>
        <w:spacing w:after="0" w:line="150" w:lineRule="exact"/>
        <w:rPr>
          <w:sz w:val="20"/>
          <w:szCs w:val="20"/>
          <w:color w:val="auto"/>
        </w:rPr>
      </w:pPr>
    </w:p>
    <w:p>
      <w:pPr>
        <w:ind w:left="268" w:hanging="268"/>
        <w:spacing w:after="0"/>
        <w:tabs>
          <w:tab w:leader="none" w:pos="268" w:val="left"/>
        </w:tabs>
        <w:numPr>
          <w:ilvl w:val="0"/>
          <w:numId w:val="107"/>
        </w:numPr>
        <w:rPr>
          <w:rFonts w:ascii="Arial" w:cs="Arial" w:eastAsia="Arial" w:hAnsi="Arial"/>
          <w:sz w:val="12"/>
          <w:szCs w:val="12"/>
          <w:b w:val="1"/>
          <w:bCs w:val="1"/>
          <w:color w:val="010000"/>
        </w:rPr>
      </w:pPr>
      <w:r>
        <w:rPr>
          <w:rFonts w:ascii="Arial" w:cs="Arial" w:eastAsia="Arial" w:hAnsi="Arial"/>
          <w:sz w:val="12"/>
          <w:szCs w:val="12"/>
          <w:b w:val="1"/>
          <w:bCs w:val="1"/>
          <w:i w:val="1"/>
          <w:iCs w:val="1"/>
          <w:color w:val="auto"/>
        </w:rPr>
        <w:t>Governing Law.</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The Plan shall be governed by the corporate laws of the State of Delaware, without giving effect to any choice of law provisions that might otherwise refer construction or interpretation of the Plan to the substantive law of another jurisdiction.</w:t>
      </w:r>
    </w:p>
    <w:p>
      <w:pPr>
        <w:spacing w:after="0" w:line="3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(Amended and Restated as of December 6,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8"/>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48"/>
          </w:cols>
          <w:pgMar w:left="212" w:top="293" w:right="2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2"/>
          <w:szCs w:val="12"/>
          <w:b w:val="1"/>
          <w:bCs w:val="1"/>
          <w:color w:val="auto"/>
        </w:rPr>
        <w:t>INDEMNIFICATION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10.10</w:t>
      </w:r>
    </w:p>
    <w:p>
      <w:pPr>
        <w:spacing w:after="0" w:line="150"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dated as of _____, ____ (as supplemented, waived or amended from time to time, this “</w:t>
      </w:r>
      <w:r>
        <w:rPr>
          <w:rFonts w:ascii="Arial" w:cs="Arial" w:eastAsia="Arial" w:hAnsi="Arial"/>
          <w:sz w:val="12"/>
          <w:szCs w:val="12"/>
          <w:b w:val="1"/>
          <w:bCs w:val="1"/>
          <w:u w:val="single" w:color="auto"/>
          <w:color w:val="auto"/>
        </w:rPr>
        <w:t>Agreement</w:t>
      </w:r>
      <w:r>
        <w:rPr>
          <w:rFonts w:ascii="Arial" w:cs="Arial" w:eastAsia="Arial" w:hAnsi="Arial"/>
          <w:sz w:val="12"/>
          <w:szCs w:val="12"/>
          <w:b w:val="1"/>
          <w:bCs w:val="1"/>
          <w:color w:val="auto"/>
        </w:rPr>
        <w: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between Clearway Energy, Inc., a Delaware corporation (the “</w:t>
      </w:r>
      <w:r>
        <w:rPr>
          <w:rFonts w:ascii="Arial" w:cs="Arial" w:eastAsia="Arial" w:hAnsi="Arial"/>
          <w:sz w:val="12"/>
          <w:szCs w:val="12"/>
          <w:b w:val="1"/>
          <w:bCs w:val="1"/>
          <w:u w:val="single" w:color="auto"/>
          <w:color w:val="auto"/>
        </w:rPr>
        <w:t>Company</w:t>
      </w:r>
      <w:r>
        <w:rPr>
          <w:rFonts w:ascii="Arial" w:cs="Arial" w:eastAsia="Arial" w:hAnsi="Arial"/>
          <w:sz w:val="12"/>
          <w:szCs w:val="12"/>
          <w:b w:val="1"/>
          <w:bCs w:val="1"/>
          <w:color w:val="auto"/>
        </w:rPr>
        <w:t>”),</w:t>
      </w:r>
    </w:p>
    <w:p>
      <w:pPr>
        <w:spacing w:after="0" w:line="294"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auto"/>
        </w:rPr>
        <w:t>and __________________</w:t>
      </w:r>
      <w:r>
        <w:rPr>
          <w:rFonts w:ascii="Arial" w:cs="Arial" w:eastAsia="Arial" w:hAnsi="Arial"/>
          <w:sz w:val="12"/>
          <w:szCs w:val="12"/>
          <w:color w:val="auto"/>
        </w:rPr>
        <w:t>_</w:t>
      </w:r>
      <w:r>
        <w:rPr>
          <w:rFonts w:ascii="Arial" w:cs="Arial" w:eastAsia="Arial" w:hAnsi="Arial"/>
          <w:sz w:val="12"/>
          <w:szCs w:val="12"/>
          <w:b w:val="1"/>
          <w:bCs w:val="1"/>
          <w:color w:val="auto"/>
        </w:rPr>
        <w:t>, a natural person (“</w:t>
      </w:r>
      <w:r>
        <w:rPr>
          <w:rFonts w:ascii="Arial" w:cs="Arial" w:eastAsia="Arial" w:hAnsi="Arial"/>
          <w:sz w:val="12"/>
          <w:szCs w:val="12"/>
          <w:b w:val="1"/>
          <w:bCs w:val="1"/>
          <w:u w:val="single" w:color="auto"/>
          <w:color w:val="auto"/>
        </w:rPr>
        <w:t>Indemnitee</w:t>
      </w:r>
      <w:r>
        <w:rPr>
          <w:rFonts w:ascii="Arial" w:cs="Arial" w:eastAsia="Arial" w:hAnsi="Arial"/>
          <w:sz w:val="12"/>
          <w:szCs w:val="12"/>
          <w:b w:val="1"/>
          <w:bCs w:val="1"/>
          <w:color w:val="auto"/>
        </w:rPr>
        <w:t>”).</w:t>
      </w:r>
    </w:p>
    <w:p>
      <w:pPr>
        <w:spacing w:after="0" w:line="294" w:lineRule="exact"/>
        <w:rPr>
          <w:sz w:val="20"/>
          <w:szCs w:val="20"/>
          <w:color w:val="auto"/>
        </w:rPr>
      </w:pPr>
    </w:p>
    <w:p>
      <w:pPr>
        <w:ind w:right="20" w:firstLine="865"/>
        <w:spacing w:after="0" w:line="26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Board of Directors of the Company (the “</w:t>
      </w:r>
      <w:r>
        <w:rPr>
          <w:rFonts w:ascii="Arial" w:cs="Arial" w:eastAsia="Arial" w:hAnsi="Arial"/>
          <w:sz w:val="12"/>
          <w:szCs w:val="12"/>
          <w:u w:val="single" w:color="auto"/>
          <w:color w:val="auto"/>
        </w:rPr>
        <w:t>Board</w:t>
      </w:r>
      <w:r>
        <w:rPr>
          <w:rFonts w:ascii="Arial" w:cs="Arial" w:eastAsia="Arial" w:hAnsi="Arial"/>
          <w:sz w:val="12"/>
          <w:szCs w:val="12"/>
          <w:color w:val="auto"/>
        </w:rPr>
        <w:t>”) is aware that the Company needs to attract and retain qualified persons as directors and officers of the Company, in accordance with the best interests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Company’s stockholders, and that the Company should act to assure such persons that there will be adequate certainty of protection through insurance and indemnification against risks of claims and actions against them arising out of their service to and activities on behalf of the Company; and</w:t>
      </w:r>
    </w:p>
    <w:p>
      <w:pPr>
        <w:spacing w:after="0" w:line="260" w:lineRule="exact"/>
        <w:rPr>
          <w:sz w:val="20"/>
          <w:szCs w:val="20"/>
          <w:color w:val="auto"/>
        </w:rPr>
      </w:pPr>
    </w:p>
    <w:p>
      <w:pPr>
        <w:ind w:right="40" w:firstLine="865"/>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has adopted provisions in its Bylaws providing for indemnification of its officers and directors to the fullest extent permitted by applicable law, and the Company wishes to clarify and enhance</w:t>
      </w:r>
      <w:r>
        <w:rPr>
          <w:rFonts w:ascii="Arial" w:cs="Arial" w:eastAsia="Arial" w:hAnsi="Arial"/>
          <w:sz w:val="12"/>
          <w:szCs w:val="12"/>
          <w:b w:val="1"/>
          <w:bCs w:val="1"/>
          <w:color w:val="auto"/>
        </w:rPr>
        <w:t xml:space="preserve"> </w:t>
      </w:r>
      <w:r>
        <w:rPr>
          <w:rFonts w:ascii="Arial" w:cs="Arial" w:eastAsia="Arial" w:hAnsi="Arial"/>
          <w:sz w:val="12"/>
          <w:szCs w:val="12"/>
          <w:color w:val="auto"/>
        </w:rPr>
        <w:t>the rights and obligations of the Company and Indemnitee with respect to indemnification; and</w:t>
      </w:r>
    </w:p>
    <w:p>
      <w:pPr>
        <w:spacing w:after="0" w:line="251" w:lineRule="exact"/>
        <w:rPr>
          <w:sz w:val="20"/>
          <w:szCs w:val="20"/>
          <w:color w:val="auto"/>
        </w:rPr>
      </w:pPr>
    </w:p>
    <w:p>
      <w:pPr>
        <w:ind w:firstLine="865"/>
        <w:spacing w:after="0" w:line="292"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in order to induce and encourage highly experienced and capable persons such as Indemnitee to serve and continue to serve as directors and officers of the Company and in any other capacity with respect to</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and to otherwise promote the desirable end that such persons will resist what they consider unjustified lawsuits and claims made against them in connection with the good faith performance of their duties to the Company, with the knowledge that certain costs, judgments, penalties, fines, liabilities and expenses incurred by them in their defense of such litigation are to be borne by the Company and they will receive the maximum protection against such risks and liabilities as may be afforded by law, the Board has determined that this Agreement is reasonable and prudent to promote and ensure the best interests of the Company and its stockholders; and</w:t>
      </w:r>
    </w:p>
    <w:p>
      <w:pPr>
        <w:spacing w:after="0" w:line="249" w:lineRule="exact"/>
        <w:rPr>
          <w:sz w:val="20"/>
          <w:szCs w:val="20"/>
          <w:color w:val="auto"/>
        </w:rPr>
      </w:pPr>
    </w:p>
    <w:p>
      <w:pPr>
        <w:ind w:firstLine="865"/>
        <w:spacing w:after="0" w:line="26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desires to have Indemnitee serve as a director or officer of the Company and in such other capacity with respect to the Company as the Company may request, as the case may be, free from</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undue concern for unpredictable, inappropriate or unreasonable legal risks and personal liabilities by reason of Indemnitee acting in good faith in the performance of Indemnitee’s duty to the Company; and Indemnitee desires to so to serve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and on the express condition, that he or she is furnished with the indemnity set forth hereinafter;</w:t>
      </w:r>
    </w:p>
    <w:p>
      <w:pPr>
        <w:spacing w:after="0" w:line="26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Now, therefore, in consideration of Indemnitee’s service as a director or officer of the Company, the parties hereto agree as follows:</w:t>
      </w:r>
    </w:p>
    <w:p>
      <w:pPr>
        <w:spacing w:after="0" w:line="294" w:lineRule="exact"/>
        <w:rPr>
          <w:sz w:val="20"/>
          <w:szCs w:val="20"/>
          <w:color w:val="auto"/>
        </w:rPr>
      </w:pPr>
    </w:p>
    <w:p>
      <w:pPr>
        <w:ind w:right="20" w:firstLine="857"/>
        <w:spacing w:after="0" w:line="323" w:lineRule="auto"/>
        <w:tabs>
          <w:tab w:leader="none" w:pos="1075" w:val="left"/>
        </w:tabs>
        <w:numPr>
          <w:ilvl w:val="0"/>
          <w:numId w:val="108"/>
        </w:numPr>
        <w:rPr>
          <w:rFonts w:ascii="Arial" w:cs="Arial" w:eastAsia="Arial" w:hAnsi="Arial"/>
          <w:sz w:val="11"/>
          <w:szCs w:val="11"/>
          <w:color w:val="auto"/>
        </w:rPr>
      </w:pPr>
      <w:r>
        <w:rPr>
          <w:rFonts w:ascii="Arial" w:cs="Arial" w:eastAsia="Arial" w:hAnsi="Arial"/>
          <w:sz w:val="11"/>
          <w:szCs w:val="11"/>
          <w:u w:val="single" w:color="auto"/>
          <w:color w:val="auto"/>
        </w:rPr>
        <w:t>Service by Indemnitee</w:t>
      </w:r>
      <w:r>
        <w:rPr>
          <w:rFonts w:ascii="Arial" w:cs="Arial" w:eastAsia="Arial" w:hAnsi="Arial"/>
          <w:sz w:val="11"/>
          <w:szCs w:val="11"/>
          <w:color w:val="auto"/>
        </w:rPr>
        <w:t>. Indemnitee will serve and/or continue to serve as a director or officer of the Company faithfully and to the best of Indemnitee’s ability so long as Indemnitee is duly elected or appointed by the Board or a duly designated officer of the Company and until such time as Indemnitee is removed as permitted by law or tenders a resignation, in accordance with the terms of the Company’s Certificate of Incorporation and Bylaws.</w:t>
      </w:r>
    </w:p>
    <w:p>
      <w:pPr>
        <w:spacing w:after="0" w:line="235" w:lineRule="exact"/>
        <w:rPr>
          <w:rFonts w:ascii="Arial" w:cs="Arial" w:eastAsia="Arial" w:hAnsi="Arial"/>
          <w:sz w:val="11"/>
          <w:szCs w:val="11"/>
          <w:color w:val="auto"/>
        </w:rPr>
      </w:pPr>
    </w:p>
    <w:p>
      <w:pPr>
        <w:ind w:firstLine="857"/>
        <w:spacing w:after="0" w:line="259" w:lineRule="auto"/>
        <w:tabs>
          <w:tab w:leader="none" w:pos="1075"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Indemnification</w:t>
      </w:r>
      <w:r>
        <w:rPr>
          <w:rFonts w:ascii="Arial" w:cs="Arial" w:eastAsia="Arial" w:hAnsi="Arial"/>
          <w:sz w:val="12"/>
          <w:szCs w:val="12"/>
          <w:color w:val="auto"/>
        </w:rPr>
        <w:t xml:space="preserve">. The Company shall indemnify Indemnitee to the fullest extent permitted by the DGCL (defined below) in effect on the date hereof or as such law may from time to time be amended (but, in the case of any such amendment, only to the extent that such amendment permits the Company to provide broader indemnification rights than said law permitted the Company to provide prior to such amendment). Without diminishing the scope of the indemnification provided by this </w:t>
      </w:r>
      <w:r>
        <w:rPr>
          <w:rFonts w:ascii="Arial" w:cs="Arial" w:eastAsia="Arial" w:hAnsi="Arial"/>
          <w:sz w:val="12"/>
          <w:szCs w:val="12"/>
          <w:u w:val="single" w:color="auto"/>
          <w:color w:val="auto"/>
        </w:rPr>
        <w:t>Section 2</w:t>
      </w:r>
      <w:r>
        <w:rPr>
          <w:rFonts w:ascii="Arial" w:cs="Arial" w:eastAsia="Arial" w:hAnsi="Arial"/>
          <w:sz w:val="12"/>
          <w:szCs w:val="12"/>
          <w:color w:val="auto"/>
        </w:rPr>
        <w:t>, the rights of indemnification of Indemnitee provided hereunder shall include but shall not be limited to those rights hereinafter set forth, except that no indemnification shall be paid to Indemnitee:</w:t>
      </w:r>
    </w:p>
    <w:p>
      <w:pPr>
        <w:sectPr>
          <w:pgSz w:w="11900" w:h="16838" w:orient="portrait"/>
          <w:cols w:equalWidth="0" w:num="1">
            <w:col w:w="11440"/>
          </w:cols>
          <w:pgMar w:left="220" w:top="604" w:right="239" w:bottom="1440" w:gutter="0" w:footer="0" w:header="0"/>
        </w:sectPr>
      </w:pPr>
    </w:p>
    <w:bookmarkStart w:id="167" w:name="page168"/>
    <w:bookmarkEnd w:id="167"/>
    <w:p>
      <w:pPr>
        <w:ind w:left="680" w:hanging="256"/>
        <w:spacing w:after="0"/>
        <w:tabs>
          <w:tab w:leader="none" w:pos="6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to the extent expressly prohibited by Delaware law or the Company’s Certificate of Incorporation or Bylaws;</w:t>
      </w:r>
    </w:p>
    <w:p>
      <w:pPr>
        <w:spacing w:after="0" w:line="294" w:lineRule="exact"/>
        <w:rPr>
          <w:rFonts w:ascii="Arial" w:cs="Arial" w:eastAsia="Arial" w:hAnsi="Arial"/>
          <w:sz w:val="12"/>
          <w:szCs w:val="12"/>
          <w:color w:val="auto"/>
        </w:rPr>
      </w:pPr>
    </w:p>
    <w:p>
      <w:pPr>
        <w:ind w:left="420" w:right="60" w:firstLine="4"/>
        <w:spacing w:after="0" w:line="323" w:lineRule="auto"/>
        <w:tabs>
          <w:tab w:leader="none" w:pos="68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for which payment is actually made to Indemnitee under a valid and collectible insurance policy or under a valid and enforceable indemnity clause, by-law or agreement of the Company or any other company or organization on whose board or other governing body Indemnitee serves at the request of the Company, except in respect of any indemnity exceeding the payment under such insurance, clause, by-law or agreement;</w:t>
      </w:r>
    </w:p>
    <w:p>
      <w:pPr>
        <w:spacing w:after="0" w:line="235" w:lineRule="exact"/>
        <w:rPr>
          <w:rFonts w:ascii="Arial" w:cs="Arial" w:eastAsia="Arial" w:hAnsi="Arial"/>
          <w:sz w:val="11"/>
          <w:szCs w:val="11"/>
          <w:color w:val="auto"/>
        </w:rPr>
      </w:pPr>
    </w:p>
    <w:p>
      <w:pPr>
        <w:ind w:left="420" w:right="300" w:firstLine="4"/>
        <w:spacing w:after="0" w:line="276" w:lineRule="auto"/>
        <w:tabs>
          <w:tab w:leader="none" w:pos="673"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in connection with any Proceeding (or any part thereof) initiated by Indemnitee against the Company or its directors, officers, employees or other indemnitees, except a Proceeding or arbitration pursuant to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to enforce such Indemnitee’s rights under this Agreement or unless the Proceeding (or part thereof) was authorized by the Board prior to its initiation;</w:t>
      </w:r>
    </w:p>
    <w:p>
      <w:pPr>
        <w:spacing w:after="0" w:line="259" w:lineRule="exact"/>
        <w:rPr>
          <w:rFonts w:ascii="Arial" w:cs="Arial" w:eastAsia="Arial" w:hAnsi="Arial"/>
          <w:sz w:val="12"/>
          <w:szCs w:val="12"/>
          <w:color w:val="auto"/>
        </w:rPr>
      </w:pPr>
    </w:p>
    <w:p>
      <w:pPr>
        <w:ind w:left="680" w:hanging="256"/>
        <w:spacing w:after="0"/>
        <w:tabs>
          <w:tab w:leader="none" w:pos="6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with respect to any action, suit or proceeding brought by or on behalf of the Company against Indemnitee that is authorized by the Board, except as provided in </w:t>
      </w:r>
      <w:r>
        <w:rPr>
          <w:rFonts w:ascii="Arial" w:cs="Arial" w:eastAsia="Arial" w:hAnsi="Arial"/>
          <w:sz w:val="12"/>
          <w:szCs w:val="12"/>
          <w:u w:val="single" w:color="auto"/>
          <w:color w:val="auto"/>
        </w:rPr>
        <w:t>Sections 4</w:t>
      </w:r>
      <w:r>
        <w:rPr>
          <w:rFonts w:ascii="Arial" w:cs="Arial" w:eastAsia="Arial" w:hAnsi="Arial"/>
          <w:sz w:val="12"/>
          <w:szCs w:val="12"/>
          <w:color w:val="auto"/>
        </w:rPr>
        <w:t xml:space="preserve">, </w:t>
      </w:r>
      <w:r>
        <w:rPr>
          <w:rFonts w:ascii="Arial" w:cs="Arial" w:eastAsia="Arial" w:hAnsi="Arial"/>
          <w:sz w:val="12"/>
          <w:szCs w:val="12"/>
          <w:u w:val="single" w:color="auto"/>
          <w:color w:val="auto"/>
        </w:rPr>
        <w:t>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w:t>
      </w:r>
      <w:r>
        <w:rPr>
          <w:rFonts w:ascii="Arial" w:cs="Arial" w:eastAsia="Arial" w:hAnsi="Arial"/>
          <w:sz w:val="12"/>
          <w:szCs w:val="12"/>
          <w:color w:val="auto"/>
        </w:rPr>
        <w:t xml:space="preserve"> below; or</w:t>
      </w:r>
    </w:p>
    <w:p>
      <w:pPr>
        <w:spacing w:after="0" w:line="294" w:lineRule="exact"/>
        <w:rPr>
          <w:rFonts w:ascii="Arial" w:cs="Arial" w:eastAsia="Arial" w:hAnsi="Arial"/>
          <w:sz w:val="12"/>
          <w:szCs w:val="12"/>
          <w:color w:val="auto"/>
        </w:rPr>
      </w:pPr>
    </w:p>
    <w:p>
      <w:pPr>
        <w:ind w:left="420" w:right="100" w:firstLine="4"/>
        <w:spacing w:after="0" w:line="263" w:lineRule="auto"/>
        <w:tabs>
          <w:tab w:leader="none" w:pos="673"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 connection with any claim made against Indemnitee for (i) an accounting of profits made from the purchase and sale (or sale and purchase) by Indemnitee of securities of the Company within the meaning of Section 16(b) of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or similar provisions of state statutory law or common law or (ii) for reimbursement to the Company of any bonus or other incentive-based or equity-based compensation or of any profits realized by Indemnitee from the sale of securities of the Company in each case as required under the Exchange Act.</w:t>
      </w:r>
    </w:p>
    <w:p>
      <w:pPr>
        <w:spacing w:after="0" w:line="266" w:lineRule="exact"/>
        <w:rPr>
          <w:rFonts w:ascii="Arial" w:cs="Arial" w:eastAsia="Arial" w:hAnsi="Arial"/>
          <w:sz w:val="12"/>
          <w:szCs w:val="12"/>
          <w:color w:val="auto"/>
        </w:rPr>
      </w:pPr>
    </w:p>
    <w:p>
      <w:pPr>
        <w:ind w:firstLine="857"/>
        <w:spacing w:after="0" w:line="257" w:lineRule="auto"/>
        <w:tabs>
          <w:tab w:leader="none" w:pos="1075" w:val="left"/>
        </w:tabs>
        <w:numPr>
          <w:ilvl w:val="1"/>
          <w:numId w:val="109"/>
        </w:numPr>
        <w:rPr>
          <w:rFonts w:ascii="Arial" w:cs="Arial" w:eastAsia="Arial" w:hAnsi="Arial"/>
          <w:sz w:val="12"/>
          <w:szCs w:val="12"/>
          <w:color w:val="auto"/>
        </w:rPr>
      </w:pPr>
      <w:r>
        <w:rPr>
          <w:rFonts w:ascii="Arial" w:cs="Arial" w:eastAsia="Arial" w:hAnsi="Arial"/>
          <w:sz w:val="12"/>
          <w:szCs w:val="12"/>
          <w:u w:val="single" w:color="auto"/>
          <w:color w:val="auto"/>
        </w:rPr>
        <w:t>Action or Proceedings Other than an Action by or in the Right of the Company</w:t>
      </w:r>
      <w:r>
        <w:rPr>
          <w:rFonts w:ascii="Arial" w:cs="Arial" w:eastAsia="Arial" w:hAnsi="Arial"/>
          <w:sz w:val="12"/>
          <w:szCs w:val="12"/>
          <w:color w:val="auto"/>
        </w:rPr>
        <w:t xml:space="preserve">. Except as limited by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above, Indemnitee shall be entitled to the indemnification rights provided in this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if by reason of Indemnitee’s Corporate Status (as defined below) or by reason of anything done or not done by Indemnitee in any such capacity, Indemnitee is a party or is threatened to be made a party to any Proceeding (other than an action by or in the name of the Company). Pursuant to this </w:t>
      </w:r>
      <w:r>
        <w:rPr>
          <w:rFonts w:ascii="Arial" w:cs="Arial" w:eastAsia="Arial" w:hAnsi="Arial"/>
          <w:sz w:val="12"/>
          <w:szCs w:val="12"/>
          <w:u w:val="single" w:color="auto"/>
          <w:color w:val="auto"/>
        </w:rPr>
        <w:t>Section 3</w:t>
      </w:r>
      <w:r>
        <w:rPr>
          <w:rFonts w:ascii="Arial" w:cs="Arial" w:eastAsia="Arial" w:hAnsi="Arial"/>
          <w:sz w:val="12"/>
          <w:szCs w:val="12"/>
          <w:color w:val="auto"/>
        </w:rPr>
        <w:t>, Indemnitee shall be indemnified against all Liabilities and Expenses (each as defined below) actually incurred by or on behalf of Indemnitee in connection with such Proceeding, if Indemnitee acted in good faith and in a manner he or she reasonably believed to be in or not opposed to the best interests of the Company, and with respect to any criminal Proceeding, had no reasonable cause to believe his or her conduct was unlawful.</w:t>
      </w:r>
    </w:p>
    <w:p>
      <w:pPr>
        <w:spacing w:after="0" w:line="269" w:lineRule="exact"/>
        <w:rPr>
          <w:rFonts w:ascii="Arial" w:cs="Arial" w:eastAsia="Arial" w:hAnsi="Arial"/>
          <w:sz w:val="12"/>
          <w:szCs w:val="12"/>
          <w:color w:val="auto"/>
        </w:rPr>
      </w:pPr>
    </w:p>
    <w:p>
      <w:pPr>
        <w:ind w:right="40" w:firstLine="857"/>
        <w:spacing w:after="0" w:line="283" w:lineRule="auto"/>
        <w:tabs>
          <w:tab w:leader="none" w:pos="1075" w:val="left"/>
        </w:tabs>
        <w:numPr>
          <w:ilvl w:val="1"/>
          <w:numId w:val="109"/>
        </w:numPr>
        <w:rPr>
          <w:rFonts w:ascii="Arial" w:cs="Arial" w:eastAsia="Arial" w:hAnsi="Arial"/>
          <w:sz w:val="11"/>
          <w:szCs w:val="11"/>
          <w:color w:val="auto"/>
        </w:rPr>
      </w:pPr>
      <w:r>
        <w:rPr>
          <w:rFonts w:ascii="Arial" w:cs="Arial" w:eastAsia="Arial" w:hAnsi="Arial"/>
          <w:sz w:val="11"/>
          <w:szCs w:val="11"/>
          <w:u w:val="single" w:color="auto"/>
          <w:color w:val="auto"/>
        </w:rPr>
        <w:t>Indemnity in Proceedings by or in the Name of the Company</w:t>
      </w:r>
      <w:r>
        <w:rPr>
          <w:rFonts w:ascii="Arial" w:cs="Arial" w:eastAsia="Arial" w:hAnsi="Arial"/>
          <w:sz w:val="11"/>
          <w:szCs w:val="11"/>
          <w:color w:val="auto"/>
        </w:rPr>
        <w:t xml:space="preserve">. Except as limited by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above, Indemnitee shall be entitled to the indemnification rights provided in this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if Indemnitee was or is a party or is threatened to be made a party to any Proceeding brought by or in the name of the Company by reason of Indemnitee’s Corporate Status or by reason of anything done or not done by Indemnitee in any such capacity. Pursuant to this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Indemnitee shall be indemnified against all Liabilities and Expenses actually incurred by or on behalf of Indemnitee in connection with such Proceeding if Indemnitee acted in good faith and in a manner Indemnitee reasonably believed to be in or not opposed to the best interests of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such indemnification shall be made in respect of any claim, issue, or matter in such Proceeding as to which Delaware law expressly prohibits such indemnification by reason of any adjudication of liability of Indemnitee to the Company, unless and only to the extent that the Court of Chancery of the State of Delaware or the court in which such action or suit was brought shall determine that, despite the adjudication of liability, the Company may indemnify Indemnitee for such Liabilities and Expenses.</w:t>
      </w:r>
    </w:p>
    <w:p>
      <w:pPr>
        <w:spacing w:after="0" w:line="258" w:lineRule="exact"/>
        <w:rPr>
          <w:rFonts w:ascii="Arial" w:cs="Arial" w:eastAsia="Arial" w:hAnsi="Arial"/>
          <w:sz w:val="11"/>
          <w:szCs w:val="11"/>
          <w:color w:val="auto"/>
        </w:rPr>
      </w:pPr>
    </w:p>
    <w:p>
      <w:pPr>
        <w:ind w:right="160" w:firstLine="857"/>
        <w:spacing w:after="0" w:line="259" w:lineRule="auto"/>
        <w:tabs>
          <w:tab w:leader="none" w:pos="1075" w:val="left"/>
        </w:tabs>
        <w:numPr>
          <w:ilvl w:val="1"/>
          <w:numId w:val="109"/>
        </w:numPr>
        <w:rPr>
          <w:rFonts w:ascii="Arial" w:cs="Arial" w:eastAsia="Arial" w:hAnsi="Arial"/>
          <w:sz w:val="12"/>
          <w:szCs w:val="12"/>
          <w:color w:val="auto"/>
        </w:rPr>
      </w:pPr>
      <w:r>
        <w:rPr>
          <w:rFonts w:ascii="Arial" w:cs="Arial" w:eastAsia="Arial" w:hAnsi="Arial"/>
          <w:sz w:val="12"/>
          <w:szCs w:val="12"/>
          <w:u w:val="single" w:color="auto"/>
          <w:color w:val="auto"/>
        </w:rPr>
        <w:t>Indemnification for Costs, Charges and Expenses of Successful Party</w:t>
      </w:r>
      <w:r>
        <w:rPr>
          <w:rFonts w:ascii="Arial" w:cs="Arial" w:eastAsia="Arial" w:hAnsi="Arial"/>
          <w:sz w:val="12"/>
          <w:szCs w:val="12"/>
          <w:color w:val="auto"/>
        </w:rPr>
        <w:t xml:space="preserve">. Notwithstanding the limitations of </w:t>
      </w:r>
      <w:r>
        <w:rPr>
          <w:rFonts w:ascii="Arial" w:cs="Arial" w:eastAsia="Arial" w:hAnsi="Arial"/>
          <w:sz w:val="12"/>
          <w:szCs w:val="12"/>
          <w:u w:val="single" w:color="auto"/>
          <w:color w:val="auto"/>
        </w:rPr>
        <w:t>Section 2(d)</w:t>
      </w:r>
      <w:r>
        <w:rPr>
          <w:rFonts w:ascii="Arial" w:cs="Arial" w:eastAsia="Arial" w:hAnsi="Arial"/>
          <w:sz w:val="12"/>
          <w:szCs w:val="12"/>
          <w:color w:val="auto"/>
        </w:rPr>
        <w:t xml:space="preserve">, </w:t>
      </w:r>
      <w:r>
        <w:rPr>
          <w:rFonts w:ascii="Arial" w:cs="Arial" w:eastAsia="Arial" w:hAnsi="Arial"/>
          <w:sz w:val="12"/>
          <w:szCs w:val="12"/>
          <w:u w:val="single" w:color="auto"/>
          <w:color w:val="auto"/>
        </w:rPr>
        <w:t>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w:t>
      </w:r>
      <w:r>
        <w:rPr>
          <w:rFonts w:ascii="Arial" w:cs="Arial" w:eastAsia="Arial" w:hAnsi="Arial"/>
          <w:sz w:val="12"/>
          <w:szCs w:val="12"/>
          <w:color w:val="auto"/>
        </w:rPr>
        <w:t xml:space="preserve"> above, to the extent that Indemnitee has been successful, on the merits or otherwise, in whole or in part, in defense of any Proceeding (including a Proceeding brought by or on behalf of the Company) or in defense of any claim, issue or matter therein, including, without limitation, the dismissal of any action without prejudice, or if it is ultimately determined that Indemnitee is otherwise entitled to be indemnified against Expenses, Indemnitee shall be indemnified to the maximum extent permitted by law, as such may be amended from time to time, against all Expenses actually incurred by or on behalf of Indemnitee in connection with</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80"/>
          </w:cols>
          <w:pgMar w:left="220" w:top="608" w:right="199" w:bottom="1440" w:gutter="0" w:footer="0" w:header="0"/>
        </w:sectPr>
      </w:pPr>
    </w:p>
    <w:bookmarkStart w:id="168" w:name="page169"/>
    <w:bookmarkEnd w:id="168"/>
    <w:p>
      <w:pPr>
        <w:ind w:right="240"/>
        <w:spacing w:after="0" w:line="276" w:lineRule="auto"/>
        <w:rPr>
          <w:sz w:val="20"/>
          <w:szCs w:val="20"/>
          <w:color w:val="auto"/>
        </w:rPr>
      </w:pPr>
      <w:r>
        <w:rPr>
          <w:rFonts w:ascii="Arial" w:cs="Arial" w:eastAsia="Arial" w:hAnsi="Arial"/>
          <w:sz w:val="12"/>
          <w:szCs w:val="12"/>
          <w:color w:val="auto"/>
        </w:rPr>
        <w:t xml:space="preserve">each successfully resolved claim, issue or matter. For purposes of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259" w:lineRule="exact"/>
        <w:rPr>
          <w:sz w:val="20"/>
          <w:szCs w:val="20"/>
          <w:color w:val="auto"/>
        </w:rPr>
      </w:pPr>
    </w:p>
    <w:p>
      <w:pPr>
        <w:ind w:firstLine="857"/>
        <w:spacing w:after="0" w:line="263" w:lineRule="auto"/>
        <w:tabs>
          <w:tab w:leader="none" w:pos="1075"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Partial Indemnification</w:t>
      </w:r>
      <w:r>
        <w:rPr>
          <w:rFonts w:ascii="Arial" w:cs="Arial" w:eastAsia="Arial" w:hAnsi="Arial"/>
          <w:sz w:val="12"/>
          <w:szCs w:val="12"/>
          <w:color w:val="auto"/>
        </w:rPr>
        <w:t>. If Indemnitee is entitled under any provision of this Agreement to indemnification by the Company for some or a portion of the Liabilities or Expenses actually incurred in connection with any Proceeding (including a Proceeding brought by or on behalf of the Company), but not, however, for all of the total amount thereof, the Company shall nevertheless indemnify Indemnitee for the portion of such Liabilities and Expenses actually incurred by or on behalf of Indemnitee to which Indemnitee is entitled.</w:t>
      </w:r>
    </w:p>
    <w:p>
      <w:pPr>
        <w:spacing w:after="0" w:line="266" w:lineRule="exact"/>
        <w:rPr>
          <w:rFonts w:ascii="Arial" w:cs="Arial" w:eastAsia="Arial" w:hAnsi="Arial"/>
          <w:sz w:val="12"/>
          <w:szCs w:val="12"/>
          <w:color w:val="auto"/>
        </w:rPr>
      </w:pPr>
    </w:p>
    <w:p>
      <w:pPr>
        <w:ind w:right="180" w:firstLine="857"/>
        <w:spacing w:after="0" w:line="263" w:lineRule="auto"/>
        <w:tabs>
          <w:tab w:leader="none" w:pos="1075"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Indemnification for Expenses of a Witness</w:t>
      </w:r>
      <w:r>
        <w:rPr>
          <w:rFonts w:ascii="Arial" w:cs="Arial" w:eastAsia="Arial" w:hAnsi="Arial"/>
          <w:sz w:val="12"/>
          <w:szCs w:val="12"/>
          <w:color w:val="auto"/>
        </w:rPr>
        <w:t>. Notwithstanding any other provision of this Agreement, to the maximum extent permitted by applicable law, Indemnitee shall be entitled to indemnification against all Expenses actually incurred by or on behalf of Indemnitee if Indemnitee appears as a witness or otherwise incurs Expenses as a result of or related to Indemnitee’s Corporate Status, in any threatened, pending or completed Proceeding or other matter to which Indemnitee neither is, nor is threatened to be made, a party.</w:t>
      </w:r>
    </w:p>
    <w:p>
      <w:pPr>
        <w:spacing w:after="0" w:line="266" w:lineRule="exact"/>
        <w:rPr>
          <w:rFonts w:ascii="Arial" w:cs="Arial" w:eastAsia="Arial" w:hAnsi="Arial"/>
          <w:sz w:val="12"/>
          <w:szCs w:val="12"/>
          <w:color w:val="auto"/>
        </w:rPr>
      </w:pPr>
    </w:p>
    <w:p>
      <w:pPr>
        <w:ind w:left="1060" w:hanging="203"/>
        <w:spacing w:after="0"/>
        <w:tabs>
          <w:tab w:leader="none" w:pos="1060"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Determination of Entitlement to Indemnification</w:t>
      </w:r>
      <w:r>
        <w:rPr>
          <w:rFonts w:ascii="Arial" w:cs="Arial" w:eastAsia="Arial" w:hAnsi="Arial"/>
          <w:sz w:val="12"/>
          <w:szCs w:val="12"/>
          <w:color w:val="auto"/>
        </w:rPr>
        <w:t>.</w:t>
      </w:r>
    </w:p>
    <w:p>
      <w:pPr>
        <w:spacing w:after="0" w:line="294" w:lineRule="exact"/>
        <w:rPr>
          <w:sz w:val="20"/>
          <w:szCs w:val="20"/>
          <w:color w:val="auto"/>
        </w:rPr>
      </w:pPr>
    </w:p>
    <w:p>
      <w:pPr>
        <w:jc w:val="both"/>
        <w:ind w:right="60" w:firstLine="857"/>
        <w:spacing w:after="0" w:line="286" w:lineRule="auto"/>
        <w:tabs>
          <w:tab w:leader="none" w:pos="1118"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Upon written request by Indemnitee for indemnification pursuant to </w:t>
      </w:r>
      <w:r>
        <w:rPr>
          <w:rFonts w:ascii="Arial" w:cs="Arial" w:eastAsia="Arial" w:hAnsi="Arial"/>
          <w:sz w:val="11"/>
          <w:szCs w:val="11"/>
          <w:u w:val="single" w:color="auto"/>
          <w:color w:val="auto"/>
        </w:rPr>
        <w:t>Sections 3</w:t>
      </w:r>
      <w:r>
        <w:rPr>
          <w:rFonts w:ascii="Arial" w:cs="Arial" w:eastAsia="Arial" w:hAnsi="Arial"/>
          <w:sz w:val="11"/>
          <w:szCs w:val="11"/>
          <w:color w:val="auto"/>
        </w:rPr>
        <w:t xml:space="preserve">, </w:t>
      </w:r>
      <w:r>
        <w:rPr>
          <w:rFonts w:ascii="Arial" w:cs="Arial" w:eastAsia="Arial" w:hAnsi="Arial"/>
          <w:sz w:val="11"/>
          <w:szCs w:val="11"/>
          <w:u w:val="single" w:color="auto"/>
          <w:color w:val="auto"/>
        </w:rPr>
        <w:t>4</w:t>
      </w:r>
      <w:r>
        <w:rPr>
          <w:rFonts w:ascii="Arial" w:cs="Arial" w:eastAsia="Arial" w:hAnsi="Arial"/>
          <w:sz w:val="11"/>
          <w:szCs w:val="11"/>
          <w:color w:val="auto"/>
        </w:rPr>
        <w:t xml:space="preserve">, </w:t>
      </w:r>
      <w:r>
        <w:rPr>
          <w:rFonts w:ascii="Arial" w:cs="Arial" w:eastAsia="Arial" w:hAnsi="Arial"/>
          <w:sz w:val="11"/>
          <w:szCs w:val="11"/>
          <w:u w:val="single" w:color="auto"/>
          <w:color w:val="auto"/>
        </w:rPr>
        <w:t>5</w:t>
      </w:r>
      <w:r>
        <w:rPr>
          <w:rFonts w:ascii="Arial" w:cs="Arial" w:eastAsia="Arial" w:hAnsi="Arial"/>
          <w:sz w:val="11"/>
          <w:szCs w:val="11"/>
          <w:color w:val="auto"/>
        </w:rPr>
        <w:t xml:space="preserve">, </w:t>
      </w:r>
      <w:r>
        <w:rPr>
          <w:rFonts w:ascii="Arial" w:cs="Arial" w:eastAsia="Arial" w:hAnsi="Arial"/>
          <w:sz w:val="11"/>
          <w:szCs w:val="11"/>
          <w:u w:val="single" w:color="auto"/>
          <w:color w:val="auto"/>
        </w:rPr>
        <w:t>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7</w:t>
      </w:r>
      <w:r>
        <w:rPr>
          <w:rFonts w:ascii="Arial" w:cs="Arial" w:eastAsia="Arial" w:hAnsi="Arial"/>
          <w:sz w:val="11"/>
          <w:szCs w:val="11"/>
          <w:color w:val="auto"/>
        </w:rPr>
        <w:t xml:space="preserve"> the entitlement of Indemnitee to indemnification, to the extent not provided pursuant to the terms of this Agreement, shall be determined by the following person or persons who shall be empowered to make such determination: (a) the Board by a majority vote of Disinterested Directors (defined below), whether or not such majority constitutes a quorum; (b) a committee of Disinterested Directors designated by a majority vote of such directors, whether or not such majority constitutes a quorum; (c) if there are no Disinterested Directors, or if the Disinterested Directors so direct, by Independent Counsel (defined below) in a written opinion to the Board, a copy of which shall be delivered to Indemnitee; or (d) if so directed by the Board, by the stockholders of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a Change in Control (defined below) has occurred, the determination with respect to Indemnitee’s entitlement to indemnification shall be made by Independent Counsel.</w:t>
      </w:r>
    </w:p>
    <w:p>
      <w:pPr>
        <w:spacing w:after="0" w:line="255" w:lineRule="exact"/>
        <w:rPr>
          <w:rFonts w:ascii="Arial" w:cs="Arial" w:eastAsia="Arial" w:hAnsi="Arial"/>
          <w:sz w:val="11"/>
          <w:szCs w:val="11"/>
          <w:color w:val="auto"/>
        </w:rPr>
      </w:pPr>
    </w:p>
    <w:p>
      <w:pPr>
        <w:ind w:firstLine="857"/>
        <w:spacing w:after="0" w:line="277" w:lineRule="auto"/>
        <w:tabs>
          <w:tab w:leader="none" w:pos="1155"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In the event the determination of entitlement to indemnification is to be made by Independent Counsel, the Independent Counsel shall be selected as provided in this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If a Change in Control has not occurred, the Independent Counsel shall be selected by the Board (including a vote of a majority of the Disinterested Directors if obtainable), and the Company shall give written notice to the Indemnitee advising Indemnitee of the identity of the Independent Counsel so selected. Indemnitee may, within 10 days after such written notice of selection shall have been given, deliver to the Company a written objection to such selection;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1"/>
          <w:szCs w:val="11"/>
          <w:u w:val="single" w:color="auto"/>
          <w:color w:val="auto"/>
        </w:rPr>
        <w:t>Section 19</w:t>
      </w:r>
      <w:r>
        <w:rPr>
          <w:rFonts w:ascii="Arial" w:cs="Arial" w:eastAsia="Arial" w:hAnsi="Arial"/>
          <w:sz w:val="11"/>
          <w:szCs w:val="11"/>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of competent jurisdiction has determined that such objection is without merit. If a Change in Control has occurred, the Independent Counsel shall be selected by the Indemnitee (unless the Indemnitee shall request that such selection be made by the Board, in which event the preceding sentence shall apply), and approved by the Board within 20 days after notification by Indemnitee. If (i) an Independent Counsel is to make the determination of entitlement pursuant to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and (ii) within 20 days after submission by Indemnitee of a written request for indemnification pursuant to </w:t>
      </w:r>
      <w:r>
        <w:rPr>
          <w:rFonts w:ascii="Arial" w:cs="Arial" w:eastAsia="Arial" w:hAnsi="Arial"/>
          <w:sz w:val="11"/>
          <w:szCs w:val="11"/>
          <w:u w:val="single" w:color="auto"/>
          <w:color w:val="auto"/>
        </w:rPr>
        <w:t>Section 8(a)</w:t>
      </w:r>
      <w:r>
        <w:rPr>
          <w:rFonts w:ascii="Arial" w:cs="Arial" w:eastAsia="Arial" w:hAnsi="Arial"/>
          <w:sz w:val="11"/>
          <w:szCs w:val="11"/>
          <w:color w:val="auto"/>
        </w:rPr>
        <w:t xml:space="preserve"> hereof, no Independent Counsel shall have been selected,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1"/>
          <w:szCs w:val="11"/>
          <w:u w:val="single" w:color="auto"/>
          <w:color w:val="auto"/>
        </w:rPr>
        <w:t>Section 8(a)</w:t>
      </w:r>
      <w:r>
        <w:rPr>
          <w:rFonts w:ascii="Arial" w:cs="Arial" w:eastAsia="Arial" w:hAnsi="Arial"/>
          <w:sz w:val="11"/>
          <w:szCs w:val="11"/>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1"/>
          <w:szCs w:val="11"/>
          <w:u w:val="single" w:color="auto"/>
          <w:color w:val="auto"/>
        </w:rPr>
        <w:t>Section 8(a)</w:t>
      </w:r>
      <w:r>
        <w:rPr>
          <w:rFonts w:ascii="Arial" w:cs="Arial" w:eastAsia="Arial" w:hAnsi="Arial"/>
          <w:sz w:val="11"/>
          <w:szCs w:val="11"/>
          <w:color w:val="auto"/>
        </w:rPr>
        <w:t xml:space="preserve"> hereof, and the Company shall pay all reasonable fees and expenses incident to the procedures of this </w:t>
      </w:r>
      <w:r>
        <w:rPr>
          <w:rFonts w:ascii="Arial" w:cs="Arial" w:eastAsia="Arial" w:hAnsi="Arial"/>
          <w:sz w:val="11"/>
          <w:szCs w:val="11"/>
          <w:u w:val="single" w:color="auto"/>
          <w:color w:val="auto"/>
        </w:rPr>
        <w:t>Section 8(b)</w:t>
      </w:r>
      <w:r>
        <w:rPr>
          <w:rFonts w:ascii="Arial" w:cs="Arial" w:eastAsia="Arial" w:hAnsi="Arial"/>
          <w:sz w:val="11"/>
          <w:szCs w:val="11"/>
          <w:color w:val="auto"/>
        </w:rPr>
        <w:t>, regardless of the manner in which such Independent Counsel was selected or appointed.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608" w:right="219" w:bottom="1440" w:gutter="0" w:footer="0" w:header="0"/>
        </w:sectPr>
      </w:pPr>
    </w:p>
    <w:bookmarkStart w:id="169" w:name="page170"/>
    <w:bookmarkEnd w:id="169"/>
    <w:p>
      <w:pPr>
        <w:ind w:left="8" w:right="20" w:firstLine="857"/>
        <w:spacing w:after="0" w:line="257" w:lineRule="auto"/>
        <w:tabs>
          <w:tab w:leader="none" w:pos="1126" w:val="left"/>
        </w:tabs>
        <w:numPr>
          <w:ilvl w:val="0"/>
          <w:numId w:val="112"/>
        </w:numPr>
        <w:rPr>
          <w:rFonts w:ascii="Arial" w:cs="Arial" w:eastAsia="Arial" w:hAnsi="Arial"/>
          <w:sz w:val="12"/>
          <w:szCs w:val="12"/>
          <w:color w:val="auto"/>
        </w:rPr>
      </w:pPr>
      <w:r>
        <w:rPr>
          <w:rFonts w:ascii="Arial" w:cs="Arial" w:eastAsia="Arial" w:hAnsi="Arial"/>
          <w:sz w:val="12"/>
          <w:szCs w:val="12"/>
          <w:color w:val="auto"/>
        </w:rPr>
        <w:t xml:space="preserve">Such determination of entitlement to indemnification shall be made not later than 45 days (or in the case of an advancement of Expenses in accordance with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20 days;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Indemnitee has, if and to the extent required by the DGCL, delivered the undertaking contemplated in </w:t>
      </w:r>
      <w:r>
        <w:rPr>
          <w:rFonts w:ascii="Arial" w:cs="Arial" w:eastAsia="Arial" w:hAnsi="Arial"/>
          <w:sz w:val="12"/>
          <w:szCs w:val="12"/>
          <w:u w:val="single" w:color="auto"/>
          <w:color w:val="auto"/>
        </w:rPr>
        <w:t>Section 16</w:t>
      </w:r>
      <w:r>
        <w:rPr>
          <w:rFonts w:ascii="Arial" w:cs="Arial" w:eastAsia="Arial" w:hAnsi="Arial"/>
          <w:sz w:val="12"/>
          <w:szCs w:val="12"/>
          <w:color w:val="auto"/>
        </w:rPr>
        <w:t>) after receipt by the Company of a written request for indemnification. Such request shall include documentation or information that is necessary for such determination and which is reasonably available to Indemnitee. Any Expenses incurred by Indemnitee in connection with a request for indemnification or payment of Expenses hereunder, under any other agreement, any provision of the Company’s Certificate of Incorporation or Bylaws or any directors’ and officers’ liability insurance, shall be borne by the Company. The Company hereby indemnifies Indemnitee for any such Expense and agrees to hold Indemnitee harmless therefrom irrespective of the outcome of the determination of Indemnitee’s entitlement to indemnification.</w:t>
      </w:r>
    </w:p>
    <w:p>
      <w:pPr>
        <w:spacing w:after="0" w:line="270" w:lineRule="exact"/>
        <w:rPr>
          <w:sz w:val="20"/>
          <w:szCs w:val="20"/>
          <w:color w:val="auto"/>
        </w:rPr>
      </w:pPr>
    </w:p>
    <w:p>
      <w:pPr>
        <w:ind w:left="8" w:right="20" w:firstLine="857"/>
        <w:spacing w:after="0" w:line="302" w:lineRule="auto"/>
        <w:tabs>
          <w:tab w:leader="none" w:pos="1083" w:val="left"/>
        </w:tabs>
        <w:numPr>
          <w:ilvl w:val="1"/>
          <w:numId w:val="113"/>
        </w:numPr>
        <w:rPr>
          <w:rFonts w:ascii="Arial" w:cs="Arial" w:eastAsia="Arial" w:hAnsi="Arial"/>
          <w:sz w:val="10"/>
          <w:szCs w:val="10"/>
          <w:color w:val="auto"/>
        </w:rPr>
      </w:pPr>
      <w:r>
        <w:rPr>
          <w:rFonts w:ascii="Arial" w:cs="Arial" w:eastAsia="Arial" w:hAnsi="Arial"/>
          <w:sz w:val="10"/>
          <w:szCs w:val="10"/>
          <w:u w:val="single" w:color="auto"/>
          <w:color w:val="auto"/>
        </w:rPr>
        <w:t>Presumptions and Effect of Certain Proceedings</w:t>
      </w:r>
      <w:r>
        <w:rPr>
          <w:rFonts w:ascii="Arial" w:cs="Arial" w:eastAsia="Arial" w:hAnsi="Arial"/>
          <w:sz w:val="10"/>
          <w:szCs w:val="10"/>
          <w:color w:val="auto"/>
        </w:rPr>
        <w:t xml:space="preserve">. The Secretary of the Company shall, promptly upon receipt of Indemnitee’s request for indemnification, advise in writing the Board or such other person or persons empowered to make the determination as provided in </w:t>
      </w:r>
      <w:r>
        <w:rPr>
          <w:rFonts w:ascii="Arial" w:cs="Arial" w:eastAsia="Arial" w:hAnsi="Arial"/>
          <w:sz w:val="10"/>
          <w:szCs w:val="10"/>
          <w:u w:val="single" w:color="auto"/>
          <w:color w:val="auto"/>
        </w:rPr>
        <w:t>Section 8</w:t>
      </w:r>
      <w:r>
        <w:rPr>
          <w:rFonts w:ascii="Arial" w:cs="Arial" w:eastAsia="Arial" w:hAnsi="Arial"/>
          <w:sz w:val="10"/>
          <w:szCs w:val="10"/>
          <w:color w:val="auto"/>
        </w:rPr>
        <w:t xml:space="preserve"> that Indemnitee has made such request for indemnification. Upon making such request for indemnification, Indemnitee shall be presumed to be entitled to indemnification hereunder and the Company shall have the burden of proof in making any determination contrary to such presumption. If the person or persons so empowered to make such determination shall have failed to make the requested determination with respect to indemnification within 45 days (or in the case of an advancement of Expenses in accordance with </w:t>
      </w:r>
      <w:r>
        <w:rPr>
          <w:rFonts w:ascii="Arial" w:cs="Arial" w:eastAsia="Arial" w:hAnsi="Arial"/>
          <w:sz w:val="10"/>
          <w:szCs w:val="10"/>
          <w:u w:val="single" w:color="auto"/>
          <w:color w:val="auto"/>
        </w:rPr>
        <w:t>Section 16</w:t>
      </w:r>
      <w:r>
        <w:rPr>
          <w:rFonts w:ascii="Arial" w:cs="Arial" w:eastAsia="Arial" w:hAnsi="Arial"/>
          <w:sz w:val="10"/>
          <w:szCs w:val="10"/>
          <w:color w:val="auto"/>
        </w:rPr>
        <w:t xml:space="preserve">, 20 days;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Indemnitee has, if and to the extent required by the DGCL, delivered the undertaking contemplated in </w:t>
      </w:r>
      <w:r>
        <w:rPr>
          <w:rFonts w:ascii="Arial" w:cs="Arial" w:eastAsia="Arial" w:hAnsi="Arial"/>
          <w:sz w:val="10"/>
          <w:szCs w:val="10"/>
          <w:u w:val="single" w:color="auto"/>
          <w:color w:val="auto"/>
        </w:rPr>
        <w:t>Section 16</w:t>
      </w:r>
      <w:r>
        <w:rPr>
          <w:rFonts w:ascii="Arial" w:cs="Arial" w:eastAsia="Arial" w:hAnsi="Arial"/>
          <w:sz w:val="10"/>
          <w:szCs w:val="10"/>
          <w:color w:val="auto"/>
        </w:rPr>
        <w:t xml:space="preserve">) after receipt by the Company of such request, a requisite determination of entitlement to indemnification shall be deemed to have been made and Indemnitee shall be absolutely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and such right to indemnification shall be enforceable by Indemnitee in any court of competent jurisdiction;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foregoing provisions of this </w:t>
      </w:r>
      <w:r>
        <w:rPr>
          <w:rFonts w:ascii="Arial" w:cs="Arial" w:eastAsia="Arial" w:hAnsi="Arial"/>
          <w:sz w:val="10"/>
          <w:szCs w:val="10"/>
          <w:u w:val="single" w:color="auto"/>
          <w:color w:val="auto"/>
        </w:rPr>
        <w:t>Section 9</w:t>
      </w:r>
      <w:r>
        <w:rPr>
          <w:rFonts w:ascii="Arial" w:cs="Arial" w:eastAsia="Arial" w:hAnsi="Arial"/>
          <w:sz w:val="10"/>
          <w:szCs w:val="10"/>
          <w:color w:val="auto"/>
        </w:rPr>
        <w:t xml:space="preserve"> shall not apply if the determination of entitlement to indemnification is to be made by the stockholders pursuant to </w:t>
      </w:r>
      <w:r>
        <w:rPr>
          <w:rFonts w:ascii="Arial" w:cs="Arial" w:eastAsia="Arial" w:hAnsi="Arial"/>
          <w:sz w:val="10"/>
          <w:szCs w:val="10"/>
          <w:u w:val="single" w:color="auto"/>
          <w:color w:val="auto"/>
        </w:rPr>
        <w:t>Section 8(a)</w:t>
      </w:r>
      <w:r>
        <w:rPr>
          <w:rFonts w:ascii="Arial" w:cs="Arial" w:eastAsia="Arial" w:hAnsi="Arial"/>
          <w:sz w:val="10"/>
          <w:szCs w:val="10"/>
          <w:color w:val="auto"/>
        </w:rPr>
        <w:t xml:space="preserve"> of this Agreement and if (A) within 15 days after receipt by the Company of the request for such determination, the Board or the Disinterested Directors, if appropriate, resolve to submit such determination to the stockholders for their consideration at an annual meeting thereof to be held within 75 days after such receipt and such determination is made thereat, or</w:t>
      </w:r>
    </w:p>
    <w:p>
      <w:pPr>
        <w:spacing w:after="0" w:line="3" w:lineRule="exact"/>
        <w:rPr>
          <w:rFonts w:ascii="Arial" w:cs="Arial" w:eastAsia="Arial" w:hAnsi="Arial"/>
          <w:sz w:val="10"/>
          <w:szCs w:val="10"/>
          <w:color w:val="auto"/>
        </w:rPr>
      </w:pPr>
    </w:p>
    <w:p>
      <w:pPr>
        <w:ind w:left="8" w:hanging="8"/>
        <w:spacing w:after="0" w:line="284" w:lineRule="auto"/>
        <w:tabs>
          <w:tab w:leader="none" w:pos="19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 xml:space="preserve">a special meeting of stockholders is called 15 days after such receipt for the purpose of making such determination, such meeting is held for such purpose within 60 days after having been so called and such determination is made thereat. The termination of any Proceeding described in </w:t>
      </w:r>
      <w:r>
        <w:rPr>
          <w:rFonts w:ascii="Arial" w:cs="Arial" w:eastAsia="Arial" w:hAnsi="Arial"/>
          <w:sz w:val="11"/>
          <w:szCs w:val="11"/>
          <w:u w:val="single" w:color="auto"/>
          <w:color w:val="auto"/>
        </w:rPr>
        <w:t>Sections 3</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4</w:t>
      </w:r>
      <w:r>
        <w:rPr>
          <w:rFonts w:ascii="Arial" w:cs="Arial" w:eastAsia="Arial" w:hAnsi="Arial"/>
          <w:sz w:val="11"/>
          <w:szCs w:val="11"/>
          <w:color w:val="auto"/>
        </w:rPr>
        <w:t xml:space="preserve"> by judgment, order, settlement or conviction, or upon a plea of </w:t>
      </w:r>
      <w:r>
        <w:rPr>
          <w:rFonts w:ascii="Arial" w:cs="Arial" w:eastAsia="Arial" w:hAnsi="Arial"/>
          <w:sz w:val="11"/>
          <w:szCs w:val="11"/>
          <w:i w:val="1"/>
          <w:iCs w:val="1"/>
          <w:color w:val="auto"/>
        </w:rPr>
        <w:t>nolo contendere</w:t>
      </w:r>
      <w:r>
        <w:rPr>
          <w:rFonts w:ascii="Arial" w:cs="Arial" w:eastAsia="Arial" w:hAnsi="Arial"/>
          <w:sz w:val="11"/>
          <w:szCs w:val="11"/>
          <w:color w:val="auto"/>
        </w:rPr>
        <w:t xml:space="preserve"> or its equivalent, shall not (except as otherwise expressly provided in this Agreement), of itself: (a)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 or (b) otherwise adversely affect the rights of Indemnitee to indemnification except as may be provided herein.</w:t>
      </w:r>
    </w:p>
    <w:p>
      <w:pPr>
        <w:spacing w:after="0" w:line="257" w:lineRule="exact"/>
        <w:rPr>
          <w:rFonts w:ascii="Arial" w:cs="Arial" w:eastAsia="Arial" w:hAnsi="Arial"/>
          <w:sz w:val="11"/>
          <w:szCs w:val="11"/>
          <w:color w:val="auto"/>
        </w:rPr>
      </w:pPr>
    </w:p>
    <w:p>
      <w:pPr>
        <w:ind w:left="8" w:firstLine="857"/>
        <w:spacing w:after="0" w:line="254" w:lineRule="auto"/>
        <w:tabs>
          <w:tab w:leader="none" w:pos="1143" w:val="left"/>
        </w:tabs>
        <w:numPr>
          <w:ilvl w:val="1"/>
          <w:numId w:val="114"/>
        </w:numPr>
        <w:rPr>
          <w:rFonts w:ascii="Arial" w:cs="Arial" w:eastAsia="Arial" w:hAnsi="Arial"/>
          <w:sz w:val="12"/>
          <w:szCs w:val="12"/>
          <w:color w:val="auto"/>
        </w:rPr>
      </w:pPr>
      <w:r>
        <w:rPr>
          <w:rFonts w:ascii="Arial" w:cs="Arial" w:eastAsia="Arial" w:hAnsi="Arial"/>
          <w:sz w:val="12"/>
          <w:szCs w:val="12"/>
          <w:u w:val="single" w:color="auto"/>
          <w:color w:val="auto"/>
        </w:rPr>
        <w:t>Remedies of Indemnitee in Cases of Determination not to Indemnify or to Pay Expenses</w:t>
      </w:r>
      <w:r>
        <w:rPr>
          <w:rFonts w:ascii="Arial" w:cs="Arial" w:eastAsia="Arial" w:hAnsi="Arial"/>
          <w:sz w:val="12"/>
          <w:szCs w:val="12"/>
          <w:color w:val="auto"/>
        </w:rPr>
        <w:t xml:space="preserve">. In the event that (i) a determination is made that Indemnitee is not entitled to indemnification hereunder, (ii) advancement of Expenses is not timely made pursuant to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of this Agreement, (iii) no determination of entitlement to indemnification is made pursuant to </w:t>
      </w:r>
      <w:r>
        <w:rPr>
          <w:rFonts w:ascii="Arial" w:cs="Arial" w:eastAsia="Arial" w:hAnsi="Arial"/>
          <w:sz w:val="12"/>
          <w:szCs w:val="12"/>
          <w:u w:val="single" w:color="auto"/>
          <w:color w:val="auto"/>
        </w:rPr>
        <w:t>Section 8(c)</w:t>
      </w:r>
      <w:r>
        <w:rPr>
          <w:rFonts w:ascii="Arial" w:cs="Arial" w:eastAsia="Arial" w:hAnsi="Arial"/>
          <w:sz w:val="12"/>
          <w:szCs w:val="12"/>
          <w:color w:val="auto"/>
        </w:rPr>
        <w:t xml:space="preserve"> of this Agreement within 45 days (or in the case of an advancement of Expenses in accordance with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20 days;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Indemnitee has, if and to the extent required by the DGCL, delivered the undertaking contemplated in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after receipt by the Company of the request for indemnification, or (iv) payment has not been made within 10 days following a determination of entitlement to indemnification pursuant to </w:t>
      </w:r>
      <w:r>
        <w:rPr>
          <w:rFonts w:ascii="Arial" w:cs="Arial" w:eastAsia="Arial" w:hAnsi="Arial"/>
          <w:sz w:val="12"/>
          <w:szCs w:val="12"/>
          <w:u w:val="single" w:color="auto"/>
          <w:color w:val="auto"/>
        </w:rPr>
        <w:t>Sections 8</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w:t>
      </w:r>
      <w:r>
        <w:rPr>
          <w:rFonts w:ascii="Arial" w:cs="Arial" w:eastAsia="Arial" w:hAnsi="Arial"/>
          <w:sz w:val="12"/>
          <w:szCs w:val="12"/>
          <w:color w:val="auto"/>
        </w:rPr>
        <w:t xml:space="preserve">, Indemnitee shall be entitled to final adjudication in a court of competent jurisdiction of entitlement to such indemnification or payment. Alternatively, Indemnitee at Indemnitee’s option may seek an award in an arbitration to be conducted by a single arbitrator pursuant to the rules of the American Arbitration Association. Indemnitee shall commence such proceeding seeking an adjudication or an award in arbitration within 180 days following the date on which Indemnitee first has the right to commence such proceeding pursuant to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10</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foregoing clause shall not apply in respect of a proceeding brought by Indemnitee to enforce Indemnitee’s rights under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of this Agreement. Except as set forth herein, the provisions of Delaware law (without regard to its conflict-of-law rules) shall apply to any such</w:t>
      </w:r>
    </w:p>
    <w:p>
      <w:pPr>
        <w:spacing w:after="0" w:line="294" w:lineRule="exact"/>
        <w:rPr>
          <w:sz w:val="20"/>
          <w:szCs w:val="20"/>
          <w:color w:val="auto"/>
        </w:rPr>
      </w:pPr>
    </w:p>
    <w:p>
      <w:pPr>
        <w:jc w:val="center"/>
        <w:ind w:right="-47"/>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8"/>
          </w:cols>
          <w:pgMar w:left="212" w:top="608" w:right="239" w:bottom="1440" w:gutter="0" w:footer="0" w:header="0"/>
        </w:sectPr>
      </w:pPr>
    </w:p>
    <w:bookmarkStart w:id="170" w:name="page171"/>
    <w:bookmarkEnd w:id="170"/>
    <w:p>
      <w:pPr>
        <w:ind w:right="40"/>
        <w:spacing w:after="0" w:line="255" w:lineRule="auto"/>
        <w:rPr>
          <w:sz w:val="20"/>
          <w:szCs w:val="20"/>
          <w:color w:val="auto"/>
        </w:rPr>
      </w:pPr>
      <w:r>
        <w:rPr>
          <w:rFonts w:ascii="Arial" w:cs="Arial" w:eastAsia="Arial" w:hAnsi="Arial"/>
          <w:sz w:val="12"/>
          <w:szCs w:val="12"/>
          <w:color w:val="auto"/>
        </w:rPr>
        <w:t xml:space="preserve">arbitration. The Company shall not oppose Indemnitee’s right to seek any such adjudication or award in arbitration. The determination in any such judicial proceeding or arbitration shall be made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and Indemnitee shall not be prejudiced by reason of a determination (if so made) pursuant to </w:t>
      </w:r>
      <w:r>
        <w:rPr>
          <w:rFonts w:ascii="Arial" w:cs="Arial" w:eastAsia="Arial" w:hAnsi="Arial"/>
          <w:sz w:val="12"/>
          <w:szCs w:val="12"/>
          <w:u w:val="single" w:color="auto"/>
          <w:color w:val="auto"/>
        </w:rPr>
        <w:t>Sections 8</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9</w:t>
      </w:r>
      <w:r>
        <w:rPr>
          <w:rFonts w:ascii="Arial" w:cs="Arial" w:eastAsia="Arial" w:hAnsi="Arial"/>
          <w:sz w:val="12"/>
          <w:szCs w:val="12"/>
          <w:color w:val="auto"/>
        </w:rPr>
        <w:t xml:space="preserve"> that Indemnitee is not entitled to indemnification. If a determination is made or deemed to have been made pursuant to the terms of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9</w:t>
      </w:r>
      <w:r>
        <w:rPr>
          <w:rFonts w:ascii="Arial" w:cs="Arial" w:eastAsia="Arial" w:hAnsi="Arial"/>
          <w:sz w:val="12"/>
          <w:szCs w:val="12"/>
          <w:color w:val="auto"/>
        </w:rPr>
        <w:t xml:space="preserve"> that Indemnitee is entitled to indemnification, the Company shall be bound by such determination in any judicial proceeding commenced pursuant to this </w:t>
      </w:r>
      <w:r>
        <w:rPr>
          <w:rFonts w:ascii="Arial" w:cs="Arial" w:eastAsia="Arial" w:hAnsi="Arial"/>
          <w:sz w:val="12"/>
          <w:szCs w:val="12"/>
          <w:u w:val="single" w:color="auto"/>
          <w:color w:val="auto"/>
        </w:rPr>
        <w:t>Section 10</w:t>
      </w:r>
      <w:r>
        <w:rPr>
          <w:rFonts w:ascii="Arial" w:cs="Arial" w:eastAsia="Arial" w:hAnsi="Arial"/>
          <w:sz w:val="12"/>
          <w:szCs w:val="12"/>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 If the court or arbitrator shall determine that Indemnitee is entitled to any indemnification or payment of Expenses hereunder, the Company shall pay all Expenses actually incurred by or on behalf of Indemnitee in connection with such adjudication or award in arbitration (including, but not limited to, any appellate Proceedings).</w:t>
      </w:r>
    </w:p>
    <w:p>
      <w:pPr>
        <w:spacing w:after="0" w:line="273" w:lineRule="exact"/>
        <w:rPr>
          <w:sz w:val="20"/>
          <w:szCs w:val="20"/>
          <w:color w:val="auto"/>
        </w:rPr>
      </w:pPr>
    </w:p>
    <w:p>
      <w:pPr>
        <w:ind w:right="20" w:firstLine="857"/>
        <w:spacing w:after="0" w:line="281" w:lineRule="auto"/>
        <w:tabs>
          <w:tab w:leader="none" w:pos="1130" w:val="left"/>
        </w:tabs>
        <w:numPr>
          <w:ilvl w:val="0"/>
          <w:numId w:val="115"/>
        </w:numPr>
        <w:rPr>
          <w:rFonts w:ascii="Arial" w:cs="Arial" w:eastAsia="Arial" w:hAnsi="Arial"/>
          <w:sz w:val="11"/>
          <w:szCs w:val="11"/>
          <w:color w:val="auto"/>
        </w:rPr>
      </w:pPr>
      <w:r>
        <w:rPr>
          <w:rFonts w:ascii="Arial" w:cs="Arial" w:eastAsia="Arial" w:hAnsi="Arial"/>
          <w:sz w:val="11"/>
          <w:szCs w:val="11"/>
          <w:u w:val="single" w:color="auto"/>
          <w:color w:val="auto"/>
        </w:rPr>
        <w:t>Other Rights to Indemnification</w:t>
      </w:r>
      <w:r>
        <w:rPr>
          <w:rFonts w:ascii="Arial" w:cs="Arial" w:eastAsia="Arial" w:hAnsi="Arial"/>
          <w:sz w:val="11"/>
          <w:szCs w:val="11"/>
          <w:color w:val="auto"/>
        </w:rPr>
        <w:t>. Indemnification and payment of Expenses provided by this Agreement shall not be deemed exclusive of any other rights to which Indemnitee may now or in the future be entitled under any provision of the Company’s Certificate of Incorporation, Bylaws or other organizational documents of the Company, vote of stockholders or Disinterested Directors, resolution of the Board, provision of applicable law, agreement or otherwise. No amendment, alteration or repeal of this Agreement or of any provision hereof shall limit or restrict any right of Indemnitee under this Agreement in respect of any action taken or omitted by Indemnitee in Indemnitee’s Corporate Status prior to such amendment, alteration or repeal. To the extent that a change in the DGCL, whether by statute or judicial decision, permits greater indemnification than would be afforded currently under the Company’s Certificate of Incorporation and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60" w:lineRule="exact"/>
        <w:rPr>
          <w:rFonts w:ascii="Arial" w:cs="Arial" w:eastAsia="Arial" w:hAnsi="Arial"/>
          <w:sz w:val="11"/>
          <w:szCs w:val="11"/>
          <w:color w:val="auto"/>
        </w:rPr>
      </w:pPr>
    </w:p>
    <w:p>
      <w:pPr>
        <w:ind w:firstLine="857"/>
        <w:spacing w:after="0" w:line="263" w:lineRule="auto"/>
        <w:tabs>
          <w:tab w:leader="none" w:pos="1135"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Expenses to Enforce Agreement</w:t>
      </w:r>
      <w:r>
        <w:rPr>
          <w:rFonts w:ascii="Arial" w:cs="Arial" w:eastAsia="Arial" w:hAnsi="Arial"/>
          <w:sz w:val="12"/>
          <w:szCs w:val="12"/>
          <w:color w:val="auto"/>
        </w:rPr>
        <w:t>. In the event that Indemnitee is subject to or intervenes in any Proceeding in which the validity or enforceability of this Agreement is at issue or seeks an adjudication or award in arbitration to enforce Indemnitee’s rights under, or to recover damages for breach of, this Agreement, Indemnitee, if Indemnitee prevails in whole or in part in such action, shall be entitled, to the fullest extent permitted by applicable law, to recover from the Company and shall be indemnified by the Company against any actual Expenses incurred by Indemnitee.</w:t>
      </w:r>
    </w:p>
    <w:p>
      <w:pPr>
        <w:spacing w:after="0" w:line="266" w:lineRule="exact"/>
        <w:rPr>
          <w:rFonts w:ascii="Arial" w:cs="Arial" w:eastAsia="Arial" w:hAnsi="Arial"/>
          <w:sz w:val="12"/>
          <w:szCs w:val="12"/>
          <w:color w:val="auto"/>
        </w:rPr>
      </w:pPr>
    </w:p>
    <w:p>
      <w:pPr>
        <w:ind w:right="20" w:firstLine="857"/>
        <w:spacing w:after="0" w:line="255" w:lineRule="auto"/>
        <w:tabs>
          <w:tab w:leader="none" w:pos="1135"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Continuation of Indemnity</w:t>
      </w:r>
      <w:r>
        <w:rPr>
          <w:rFonts w:ascii="Arial" w:cs="Arial" w:eastAsia="Arial" w:hAnsi="Arial"/>
          <w:sz w:val="12"/>
          <w:szCs w:val="12"/>
          <w:color w:val="auto"/>
        </w:rPr>
        <w:t xml:space="preserve">. All agreements and obligations of the Company contained herein shall continue until and terminate upon the later of (i) 10 years after the date that Indemnitee shall have ceased to serve as a director or officer of the Company or a director, officer, trustee, partner, managing member, fiduciary, employee or agent of any other corporation, partnership, joint venture, trust, employee benefit plan or other enterprise which Indemnitee served at the request of the Company, and (ii) one (1) year after the final termination of any Proceeding (including any rights of appeal thereto) in respect of which Indemnitee is granted rights of indemnification or advancement of Expenses hereunder and of any Proceeding commenced by Indemnitee pursuant to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of this Agreement relating thereto (including any rights of appeal of any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Proceeding). This Agreement shall be binding upon all successors and assigns of the Company (including any transferee of all or substantially all of its assets and any successor by merger or operation of law) and shall inure to the benefit of the heirs, personal representatives and estate of Indemnitee.</w:t>
      </w:r>
    </w:p>
    <w:p>
      <w:pPr>
        <w:spacing w:after="0" w:line="273" w:lineRule="exact"/>
        <w:rPr>
          <w:rFonts w:ascii="Arial" w:cs="Arial" w:eastAsia="Arial" w:hAnsi="Arial"/>
          <w:sz w:val="12"/>
          <w:szCs w:val="12"/>
          <w:color w:val="auto"/>
        </w:rPr>
      </w:pPr>
    </w:p>
    <w:p>
      <w:pPr>
        <w:ind w:right="100" w:firstLine="857"/>
        <w:spacing w:after="0" w:line="290" w:lineRule="auto"/>
        <w:tabs>
          <w:tab w:leader="none" w:pos="1135" w:val="left"/>
        </w:tabs>
        <w:numPr>
          <w:ilvl w:val="0"/>
          <w:numId w:val="115"/>
        </w:numPr>
        <w:rPr>
          <w:rFonts w:ascii="Arial" w:cs="Arial" w:eastAsia="Arial" w:hAnsi="Arial"/>
          <w:sz w:val="11"/>
          <w:szCs w:val="11"/>
          <w:color w:val="auto"/>
        </w:rPr>
      </w:pPr>
      <w:r>
        <w:rPr>
          <w:rFonts w:ascii="Arial" w:cs="Arial" w:eastAsia="Arial" w:hAnsi="Arial"/>
          <w:sz w:val="11"/>
          <w:szCs w:val="11"/>
          <w:u w:val="single" w:color="auto"/>
          <w:color w:val="auto"/>
        </w:rPr>
        <w:t>Continuation of Director and Officer Insurance</w:t>
      </w:r>
      <w:r>
        <w:rPr>
          <w:rFonts w:ascii="Arial" w:cs="Arial" w:eastAsia="Arial" w:hAnsi="Arial"/>
          <w:sz w:val="11"/>
          <w:szCs w:val="11"/>
          <w:color w:val="auto"/>
        </w:rPr>
        <w:t xml:space="preserve">. The Company will as long as commercially available, obtain and maintain in effect during the entire period described in </w:t>
      </w:r>
      <w:r>
        <w:rPr>
          <w:rFonts w:ascii="Arial" w:cs="Arial" w:eastAsia="Arial" w:hAnsi="Arial"/>
          <w:sz w:val="11"/>
          <w:szCs w:val="11"/>
          <w:u w:val="single" w:color="auto"/>
          <w:color w:val="auto"/>
        </w:rPr>
        <w:t>Section 13</w:t>
      </w:r>
      <w:r>
        <w:rPr>
          <w:rFonts w:ascii="Arial" w:cs="Arial" w:eastAsia="Arial" w:hAnsi="Arial"/>
          <w:sz w:val="11"/>
          <w:szCs w:val="11"/>
          <w:color w:val="auto"/>
        </w:rPr>
        <w:t xml:space="preserve"> for which the Company is obligated to indemnify Indemnitee under this Agreement, one or more policies with reputable insurance companies to provide the directors and officers of the Company with coverage for losses from wrongful acts and omissions and to ensure the Company’s performance of its indemnification obligations under this Agreement (“</w:t>
      </w:r>
      <w:r>
        <w:rPr>
          <w:rFonts w:ascii="Arial" w:cs="Arial" w:eastAsia="Arial" w:hAnsi="Arial"/>
          <w:sz w:val="11"/>
          <w:szCs w:val="11"/>
          <w:u w:val="single" w:color="auto"/>
          <w:color w:val="auto"/>
        </w:rPr>
        <w:t>D&amp;O Insurance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connection with a Change in Control that occurs prior to the termination of the period described in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13</w:t>
      </w:r>
      <w:r>
        <w:rPr>
          <w:rFonts w:ascii="Arial" w:cs="Arial" w:eastAsia="Arial" w:hAnsi="Arial"/>
          <w:sz w:val="11"/>
          <w:szCs w:val="11"/>
          <w:color w:val="auto"/>
        </w:rPr>
        <w:t xml:space="preserve"> for which the Company is obligated to indemnify Indemnitee, the Company shall instead purchase a six (6) year pre-paid “tail policy” (a “</w:t>
      </w:r>
      <w:r>
        <w:rPr>
          <w:rFonts w:ascii="Arial" w:cs="Arial" w:eastAsia="Arial" w:hAnsi="Arial"/>
          <w:sz w:val="11"/>
          <w:szCs w:val="11"/>
          <w:u w:val="single" w:color="auto"/>
          <w:color w:val="auto"/>
        </w:rPr>
        <w:t>Tail Policy</w:t>
      </w:r>
      <w:r>
        <w:rPr>
          <w:rFonts w:ascii="Arial" w:cs="Arial" w:eastAsia="Arial" w:hAnsi="Arial"/>
          <w:sz w:val="11"/>
          <w:szCs w:val="11"/>
          <w:color w:val="auto"/>
        </w:rPr>
        <w:t>”) on terms and conditions (in both amount and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80"/>
          </w:cols>
          <w:pgMar w:left="220" w:top="608" w:right="199" w:bottom="1440" w:gutter="0" w:footer="0" w:header="0"/>
        </w:sectPr>
      </w:pPr>
    </w:p>
    <w:bookmarkStart w:id="171" w:name="page172"/>
    <w:bookmarkEnd w:id="171"/>
    <w:p>
      <w:pPr>
        <w:ind w:left="8"/>
        <w:spacing w:after="0"/>
        <w:rPr>
          <w:sz w:val="20"/>
          <w:szCs w:val="20"/>
          <w:color w:val="auto"/>
        </w:rPr>
      </w:pPr>
      <w:r>
        <w:rPr>
          <w:rFonts w:ascii="Arial" w:cs="Arial" w:eastAsia="Arial" w:hAnsi="Arial"/>
          <w:sz w:val="11"/>
          <w:szCs w:val="11"/>
          <w:color w:val="auto"/>
        </w:rPr>
        <w:t>scope) providing substantially equivalent benefits to Indemnitee as the D&amp;O Insurance in effect as of the closing of the Change in Control (the “</w:t>
      </w:r>
      <w:r>
        <w:rPr>
          <w:rFonts w:ascii="Arial" w:cs="Arial" w:eastAsia="Arial" w:hAnsi="Arial"/>
          <w:sz w:val="11"/>
          <w:szCs w:val="11"/>
          <w:u w:val="single" w:color="auto"/>
          <w:color w:val="auto"/>
        </w:rPr>
        <w:t>Change in Control Closing Date</w:t>
      </w:r>
      <w:r>
        <w:rPr>
          <w:rFonts w:ascii="Arial" w:cs="Arial" w:eastAsia="Arial" w:hAnsi="Arial"/>
          <w:sz w:val="11"/>
          <w:szCs w:val="11"/>
          <w:color w:val="auto"/>
        </w:rPr>
        <w:t>”) with respect to matters arising on or prior to the earlier of</w:t>
      </w:r>
    </w:p>
    <w:p>
      <w:pPr>
        <w:spacing w:after="0" w:line="26" w:lineRule="exact"/>
        <w:rPr>
          <w:sz w:val="20"/>
          <w:szCs w:val="20"/>
          <w:color w:val="auto"/>
        </w:rPr>
      </w:pPr>
    </w:p>
    <w:p>
      <w:pPr>
        <w:ind w:left="8" w:right="80" w:hanging="8"/>
        <w:spacing w:after="0" w:line="261" w:lineRule="auto"/>
        <w:tabs>
          <w:tab w:leader="none" w:pos="151"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Change in Control Closing Date and (ii) the date on which Indemnitee ceased serving as a director, officer or fiduciary of the Company, any direct or indirect subsidiary of the Company or of any other corporation, partnership, joint venture, trust or other enterprise at the request of the Company.</w:t>
      </w:r>
    </w:p>
    <w:p>
      <w:pPr>
        <w:spacing w:after="0" w:line="267" w:lineRule="exact"/>
        <w:rPr>
          <w:rFonts w:ascii="Arial" w:cs="Arial" w:eastAsia="Arial" w:hAnsi="Arial"/>
          <w:sz w:val="12"/>
          <w:szCs w:val="12"/>
          <w:color w:val="auto"/>
        </w:rPr>
      </w:pPr>
    </w:p>
    <w:p>
      <w:pPr>
        <w:ind w:left="8" w:right="20" w:firstLine="857"/>
        <w:spacing w:after="0" w:line="259" w:lineRule="auto"/>
        <w:tabs>
          <w:tab w:leader="none" w:pos="1143" w:val="left"/>
        </w:tabs>
        <w:numPr>
          <w:ilvl w:val="2"/>
          <w:numId w:val="116"/>
        </w:numPr>
        <w:rPr>
          <w:rFonts w:ascii="Arial" w:cs="Arial" w:eastAsia="Arial" w:hAnsi="Arial"/>
          <w:sz w:val="12"/>
          <w:szCs w:val="12"/>
          <w:color w:val="auto"/>
        </w:rPr>
      </w:pPr>
      <w:r>
        <w:rPr>
          <w:rFonts w:ascii="Arial" w:cs="Arial" w:eastAsia="Arial" w:hAnsi="Arial"/>
          <w:sz w:val="12"/>
          <w:szCs w:val="12"/>
          <w:u w:val="single" w:color="auto"/>
          <w:color w:val="auto"/>
        </w:rPr>
        <w:t>Notification and Defense of Claim</w:t>
      </w:r>
      <w:r>
        <w:rPr>
          <w:rFonts w:ascii="Arial" w:cs="Arial" w:eastAsia="Arial" w:hAnsi="Arial"/>
          <w:sz w:val="12"/>
          <w:szCs w:val="12"/>
          <w:color w:val="auto"/>
        </w:rPr>
        <w:t>. Promptly after being served with or otherwise receiving any summons, citation, subpoena, complaint, indictment, information or other document related to any Proceeding or matter which may be subject to indemnification hereunder, Indemnitee will promptly notify the Company in writing of the occurrence of such event or the receipt of such document. The failure to so notify the Company shall not relieve the Company of any obligation which it may have to Indemnitee under this Agreement or otherwise unless and only to the extent that such failure or delay materially prejudices the Company. Notwithstanding any other provision of this Agreement, with respect to any such Proceeding of which Indemnitee notifies the Company:</w:t>
      </w:r>
    </w:p>
    <w:p>
      <w:pPr>
        <w:spacing w:after="0" w:line="269" w:lineRule="exact"/>
        <w:rPr>
          <w:rFonts w:ascii="Arial" w:cs="Arial" w:eastAsia="Arial" w:hAnsi="Arial"/>
          <w:sz w:val="12"/>
          <w:szCs w:val="12"/>
          <w:color w:val="auto"/>
        </w:rPr>
      </w:pPr>
    </w:p>
    <w:p>
      <w:pPr>
        <w:ind w:left="688" w:hanging="256"/>
        <w:spacing w:after="0"/>
        <w:tabs>
          <w:tab w:leader="none" w:pos="688"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Company shall be entitled to participate therein at its own expense; and</w:t>
      </w:r>
    </w:p>
    <w:p>
      <w:pPr>
        <w:spacing w:after="0" w:line="294" w:lineRule="exact"/>
        <w:rPr>
          <w:rFonts w:ascii="Arial" w:cs="Arial" w:eastAsia="Arial" w:hAnsi="Arial"/>
          <w:sz w:val="12"/>
          <w:szCs w:val="12"/>
          <w:color w:val="auto"/>
        </w:rPr>
      </w:pPr>
    </w:p>
    <w:p>
      <w:pPr>
        <w:ind w:left="428" w:right="100" w:firstLine="4"/>
        <w:spacing w:after="0" w:line="305" w:lineRule="auto"/>
        <w:tabs>
          <w:tab w:leader="none" w:pos="688" w:val="left"/>
        </w:tabs>
        <w:numPr>
          <w:ilvl w:val="1"/>
          <w:numId w:val="116"/>
        </w:numPr>
        <w:rPr>
          <w:rFonts w:ascii="Arial" w:cs="Arial" w:eastAsia="Arial" w:hAnsi="Arial"/>
          <w:sz w:val="10"/>
          <w:szCs w:val="10"/>
          <w:color w:val="auto"/>
        </w:rPr>
      </w:pPr>
      <w:r>
        <w:rPr>
          <w:rFonts w:ascii="Arial" w:cs="Arial" w:eastAsia="Arial" w:hAnsi="Arial"/>
          <w:sz w:val="10"/>
          <w:szCs w:val="10"/>
          <w:color w:val="auto"/>
        </w:rPr>
        <w:t xml:space="preserve">Except as otherwise provided in this </w:t>
      </w:r>
      <w:r>
        <w:rPr>
          <w:rFonts w:ascii="Arial" w:cs="Arial" w:eastAsia="Arial" w:hAnsi="Arial"/>
          <w:sz w:val="10"/>
          <w:szCs w:val="10"/>
          <w:u w:val="single" w:color="auto"/>
          <w:color w:val="auto"/>
        </w:rPr>
        <w:t>Section 15(b)</w:t>
      </w:r>
      <w:r>
        <w:rPr>
          <w:rFonts w:ascii="Arial" w:cs="Arial" w:eastAsia="Arial" w:hAnsi="Arial"/>
          <w:sz w:val="10"/>
          <w:szCs w:val="10"/>
          <w:color w:val="auto"/>
        </w:rPr>
        <w:t>, to the extent that it may wish, the Company, jointly with any other indemnifying party similarly notified, shall be entitled to assume the defense thereof, with counsel satisfactory to Indemnitee. After notice from the Company to Indemnitee of its election so to assume the defense thereof, the Company shall not be liable to Indemnitee under this Agreement for any expenses of counsel subsequently incurred by Indemnitee in connection with the defense thereof except as otherwise provided below. Indemnitee shall have the right to employ Indemnitee’s own counsel in such Proceeding, but the fees and expenses of such counsel incurred after notice from the Company of its assumption of the defense thereof shall be at the expense of Indemnitee unless (i) the employment of counsel by Indemnitee has been authorized by the Company,</w:t>
      </w:r>
    </w:p>
    <w:p>
      <w:pPr>
        <w:ind w:left="428" w:firstLine="4"/>
        <w:spacing w:after="0" w:line="290" w:lineRule="auto"/>
        <w:tabs>
          <w:tab w:leader="none" w:pos="605" w:val="left"/>
        </w:tabs>
        <w:numPr>
          <w:ilvl w:val="1"/>
          <w:numId w:val="117"/>
        </w:numPr>
        <w:rPr>
          <w:rFonts w:ascii="Arial" w:cs="Arial" w:eastAsia="Arial" w:hAnsi="Arial"/>
          <w:sz w:val="11"/>
          <w:szCs w:val="11"/>
          <w:color w:val="auto"/>
        </w:rPr>
      </w:pPr>
      <w:r>
        <w:rPr>
          <w:rFonts w:ascii="Arial" w:cs="Arial" w:eastAsia="Arial" w:hAnsi="Arial"/>
          <w:sz w:val="11"/>
          <w:szCs w:val="11"/>
          <w:color w:val="auto"/>
        </w:rPr>
        <w:t>Indemnitee shall have reasonably concluded that there may be a conflict of interest between the Company and Indemnitee in the conduct of the defense of such action or (iii) the Company shall not within 60 days of receipt of notice from Indemnitee in fact have employed counsel to assume the defense of the action, in each of which cases the Expenses of Indemnitee’s counsel shall be at the expense of the Company. The Company shall not be entitled to assume the defense of any Proceeding brought by or on behalf of the Company or as to which Indemnitee shall have made the conclusion provided for in (ii) above; and</w:t>
      </w:r>
    </w:p>
    <w:p>
      <w:pPr>
        <w:spacing w:after="0" w:line="253" w:lineRule="exact"/>
        <w:rPr>
          <w:rFonts w:ascii="Arial" w:cs="Arial" w:eastAsia="Arial" w:hAnsi="Arial"/>
          <w:sz w:val="11"/>
          <w:szCs w:val="11"/>
          <w:color w:val="auto"/>
        </w:rPr>
      </w:pPr>
    </w:p>
    <w:p>
      <w:pPr>
        <w:ind w:left="428" w:right="20" w:firstLine="4"/>
        <w:spacing w:after="0" w:line="263" w:lineRule="auto"/>
        <w:tabs>
          <w:tab w:leader="none" w:pos="681" w:val="left"/>
        </w:tabs>
        <w:numPr>
          <w:ilvl w:val="1"/>
          <w:numId w:val="118"/>
        </w:numPr>
        <w:rPr>
          <w:rFonts w:ascii="Arial" w:cs="Arial" w:eastAsia="Arial" w:hAnsi="Arial"/>
          <w:sz w:val="12"/>
          <w:szCs w:val="12"/>
          <w:color w:val="auto"/>
        </w:rPr>
      </w:pPr>
      <w:r>
        <w:rPr>
          <w:rFonts w:ascii="Arial" w:cs="Arial" w:eastAsia="Arial" w:hAnsi="Arial"/>
          <w:sz w:val="12"/>
          <w:szCs w:val="12"/>
          <w:color w:val="auto"/>
        </w:rPr>
        <w:t>If the Company has assumed the defense of a Proceeding, the Company shall not be liable to indemnify Indemnitee under this Agreement for any amounts paid in settlement of any Proceeding effected without the Company’s written consent. The Company shall not settle any Proceeding in any manner that would impose any penalty or limitation on or disclosure obligation with respect to Indemnitee without Indemnitee’s written consent. Neither the Company nor Indemnitee will unreasonably withhold its consent to any proposed settlement.</w:t>
      </w:r>
    </w:p>
    <w:p>
      <w:pPr>
        <w:spacing w:after="0" w:line="266" w:lineRule="exact"/>
        <w:rPr>
          <w:rFonts w:ascii="Arial" w:cs="Arial" w:eastAsia="Arial" w:hAnsi="Arial"/>
          <w:sz w:val="12"/>
          <w:szCs w:val="12"/>
          <w:color w:val="auto"/>
        </w:rPr>
      </w:pPr>
    </w:p>
    <w:p>
      <w:pPr>
        <w:ind w:left="8" w:right="40" w:firstLine="857"/>
        <w:spacing w:after="0" w:line="255" w:lineRule="auto"/>
        <w:tabs>
          <w:tab w:leader="none" w:pos="1143" w:val="left"/>
        </w:tabs>
        <w:numPr>
          <w:ilvl w:val="2"/>
          <w:numId w:val="118"/>
        </w:numPr>
        <w:rPr>
          <w:rFonts w:ascii="Arial" w:cs="Arial" w:eastAsia="Arial" w:hAnsi="Arial"/>
          <w:sz w:val="12"/>
          <w:szCs w:val="12"/>
          <w:color w:val="auto"/>
        </w:rPr>
      </w:pPr>
      <w:r>
        <w:rPr>
          <w:rFonts w:ascii="Arial" w:cs="Arial" w:eastAsia="Arial" w:hAnsi="Arial"/>
          <w:sz w:val="12"/>
          <w:szCs w:val="12"/>
          <w:u w:val="single" w:color="auto"/>
          <w:color w:val="auto"/>
        </w:rPr>
        <w:t>Payment of Expenses</w:t>
      </w:r>
      <w:r>
        <w:rPr>
          <w:rFonts w:ascii="Arial" w:cs="Arial" w:eastAsia="Arial" w:hAnsi="Arial"/>
          <w:sz w:val="12"/>
          <w:szCs w:val="12"/>
          <w:color w:val="auto"/>
        </w:rPr>
        <w:t xml:space="preserve">. All Expenses incurred by Indemnitee in advance of the final disposition of any Proceeding shall, to the extent not prohibited by law, be paid by the Company at the request of Indemnitee, each such payment to be made within 20 days after the receipt by the Company of a statement or statements from Indemnitee requesting such payment or payments from time to time. Indemnitee’s entitlement to such Expenses shall include those incurred in connection with any Proceeding by Indemnitee seeking a judgment in court or an adjudication or award in arbitration pursuant to this Agreement (including the enforcement of this provision). Such statement or statements shall reasonably evidence the expenses and costs incurred by Indemnitee in connection therewith and shall include or be accompanied by an undertaking, in substantially the form attached as </w:t>
      </w:r>
      <w:r>
        <w:rPr>
          <w:rFonts w:ascii="Arial" w:cs="Arial" w:eastAsia="Arial" w:hAnsi="Arial"/>
          <w:sz w:val="12"/>
          <w:szCs w:val="12"/>
          <w:u w:val="single" w:color="auto"/>
          <w:color w:val="auto"/>
        </w:rPr>
        <w:t>Exhibit 1</w:t>
      </w:r>
      <w:r>
        <w:rPr>
          <w:rFonts w:ascii="Arial" w:cs="Arial" w:eastAsia="Arial" w:hAnsi="Arial"/>
          <w:sz w:val="12"/>
          <w:szCs w:val="12"/>
          <w:color w:val="auto"/>
        </w:rPr>
        <w:t xml:space="preserve">, by or on behalf of Indemnitee to reimburse such amount if it is ultimately determined that Indemnitee is not entitled to be indemnified against such Expenses by the Company as provided by this Agreement or otherwise. Any advances and undertakings to repay pursuant to this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shall be unsecured and interest free.</w:t>
      </w:r>
    </w:p>
    <w:p>
      <w:pPr>
        <w:spacing w:after="0" w:line="273" w:lineRule="exact"/>
        <w:rPr>
          <w:rFonts w:ascii="Arial" w:cs="Arial" w:eastAsia="Arial" w:hAnsi="Arial"/>
          <w:sz w:val="12"/>
          <w:szCs w:val="12"/>
          <w:color w:val="auto"/>
        </w:rPr>
      </w:pPr>
    </w:p>
    <w:p>
      <w:pPr>
        <w:ind w:left="1128" w:hanging="263"/>
        <w:spacing w:after="0"/>
        <w:tabs>
          <w:tab w:leader="none" w:pos="1128" w:val="left"/>
        </w:tabs>
        <w:numPr>
          <w:ilvl w:val="2"/>
          <w:numId w:val="118"/>
        </w:numPr>
        <w:rPr>
          <w:rFonts w:ascii="Arial" w:cs="Arial" w:eastAsia="Arial" w:hAnsi="Arial"/>
          <w:sz w:val="11"/>
          <w:szCs w:val="11"/>
          <w:color w:val="auto"/>
        </w:rPr>
      </w:pPr>
      <w:r>
        <w:rPr>
          <w:rFonts w:ascii="Arial" w:cs="Arial" w:eastAsia="Arial" w:hAnsi="Arial"/>
          <w:sz w:val="11"/>
          <w:szCs w:val="11"/>
          <w:u w:val="single" w:color="auto"/>
          <w:color w:val="auto"/>
        </w:rPr>
        <w:t>Separability; Prior Indemnification Agreements</w:t>
      </w:r>
      <w:r>
        <w:rPr>
          <w:rFonts w:ascii="Arial" w:cs="Arial" w:eastAsia="Arial" w:hAnsi="Arial"/>
          <w:sz w:val="11"/>
          <w:szCs w:val="11"/>
          <w:color w:val="auto"/>
        </w:rPr>
        <w:t>. If any provision or provisions of this Agreement shall be held to be invalid, illegal or unenforceable for any reason whatsoever (a) the validity, legality</w:t>
      </w: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88"/>
          </w:cols>
          <w:pgMar w:left="212" w:top="608" w:right="199" w:bottom="1440" w:gutter="0" w:footer="0" w:header="0"/>
        </w:sectPr>
      </w:pPr>
    </w:p>
    <w:bookmarkStart w:id="172" w:name="page173"/>
    <w:bookmarkEnd w:id="172"/>
    <w:p>
      <w:pPr>
        <w:spacing w:after="0" w:line="257" w:lineRule="auto"/>
        <w:rPr>
          <w:sz w:val="20"/>
          <w:szCs w:val="20"/>
          <w:color w:val="auto"/>
        </w:rPr>
      </w:pPr>
      <w:r>
        <w:rPr>
          <w:rFonts w:ascii="Arial" w:cs="Arial" w:eastAsia="Arial" w:hAnsi="Arial"/>
          <w:sz w:val="12"/>
          <w:szCs w:val="12"/>
          <w:color w:val="auto"/>
        </w:rPr>
        <w:t>and enforceability of the remaining provisions of this Agreement (including without limitation, all portions of any paragraphs of this Agreement containing any such provision held to be invalid, illegal or unenforceable, that are not by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of the parties that the Company provide protection to Indemnitee to the fullest enforceable extent. This Agreement shall supersede and replace any prior indemnification agreements entered into by and between the Company and Indemnitee and any such prior agreements shall be terminated upon execution of this Agreement.</w:t>
      </w:r>
    </w:p>
    <w:p>
      <w:pPr>
        <w:spacing w:after="0" w:line="270" w:lineRule="exact"/>
        <w:rPr>
          <w:sz w:val="20"/>
          <w:szCs w:val="20"/>
          <w:color w:val="auto"/>
        </w:rPr>
      </w:pPr>
    </w:p>
    <w:p>
      <w:pPr>
        <w:ind w:right="140" w:firstLine="857"/>
        <w:spacing w:after="0" w:line="323" w:lineRule="auto"/>
        <w:tabs>
          <w:tab w:leader="none" w:pos="1135" w:val="left"/>
        </w:tabs>
        <w:numPr>
          <w:ilvl w:val="1"/>
          <w:numId w:val="119"/>
        </w:numPr>
        <w:rPr>
          <w:rFonts w:ascii="Arial" w:cs="Arial" w:eastAsia="Arial" w:hAnsi="Arial"/>
          <w:sz w:val="11"/>
          <w:szCs w:val="11"/>
          <w:color w:val="auto"/>
        </w:rPr>
      </w:pPr>
      <w:r>
        <w:rPr>
          <w:rFonts w:ascii="Arial" w:cs="Arial" w:eastAsia="Arial" w:hAnsi="Arial"/>
          <w:sz w:val="11"/>
          <w:szCs w:val="11"/>
          <w:u w:val="single" w:color="auto"/>
          <w:color w:val="auto"/>
        </w:rPr>
        <w:t>Headings; References; Pronouns</w:t>
      </w:r>
      <w:r>
        <w:rPr>
          <w:rFonts w:ascii="Arial" w:cs="Arial" w:eastAsia="Arial" w:hAnsi="Arial"/>
          <w:sz w:val="11"/>
          <w:szCs w:val="11"/>
          <w:color w:val="auto"/>
        </w:rPr>
        <w:t>. The headings of the sections of this Agreement are inserted for convenience only and shall not be deemed to constitute part of this Agreement or to affect the construction thereof. References herein to section numbers are to sections of this Agreement. All pronouns and any variations thereof shall be deemed to refer to the masculine, feminine, neuter, singular or plural as appropriate.</w:t>
      </w:r>
    </w:p>
    <w:p>
      <w:pPr>
        <w:spacing w:after="0" w:line="235" w:lineRule="exact"/>
        <w:rPr>
          <w:rFonts w:ascii="Arial" w:cs="Arial" w:eastAsia="Arial" w:hAnsi="Arial"/>
          <w:sz w:val="11"/>
          <w:szCs w:val="11"/>
          <w:color w:val="auto"/>
        </w:rPr>
      </w:pPr>
    </w:p>
    <w:p>
      <w:pPr>
        <w:ind w:left="1120" w:hanging="263"/>
        <w:spacing w:after="0"/>
        <w:tabs>
          <w:tab w:leader="none" w:pos="1120" w:val="left"/>
        </w:tabs>
        <w:numPr>
          <w:ilvl w:val="1"/>
          <w:numId w:val="119"/>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For purposes of this Agreement:</w:t>
      </w:r>
    </w:p>
    <w:p>
      <w:pPr>
        <w:spacing w:after="0" w:line="294" w:lineRule="exact"/>
        <w:rPr>
          <w:rFonts w:ascii="Arial" w:cs="Arial" w:eastAsia="Arial" w:hAnsi="Arial"/>
          <w:sz w:val="12"/>
          <w:szCs w:val="12"/>
          <w:color w:val="auto"/>
        </w:rPr>
      </w:pPr>
    </w:p>
    <w:p>
      <w:pPr>
        <w:ind w:left="680" w:hanging="256"/>
        <w:spacing w:after="0"/>
        <w:tabs>
          <w:tab w:leader="none" w:pos="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Control</w:t>
      </w:r>
      <w:r>
        <w:rPr>
          <w:rFonts w:ascii="Arial" w:cs="Arial" w:eastAsia="Arial" w:hAnsi="Arial"/>
          <w:sz w:val="12"/>
          <w:szCs w:val="12"/>
          <w:color w:val="auto"/>
        </w:rPr>
        <w:t>” shall be deemed to occur upon the earliest to occur after the date of this Agreement of any of the following events:</w:t>
      </w:r>
    </w:p>
    <w:p>
      <w:pPr>
        <w:spacing w:after="0" w:line="294" w:lineRule="exact"/>
        <w:rPr>
          <w:sz w:val="20"/>
          <w:szCs w:val="20"/>
          <w:color w:val="auto"/>
        </w:rPr>
      </w:pPr>
    </w:p>
    <w:p>
      <w:pPr>
        <w:ind w:left="420" w:firstLine="437"/>
        <w:spacing w:after="0" w:line="257" w:lineRule="auto"/>
        <w:tabs>
          <w:tab w:leader="none" w:pos="1086" w:val="left"/>
        </w:tabs>
        <w:numPr>
          <w:ilvl w:val="0"/>
          <w:numId w:val="121"/>
        </w:numPr>
        <w:rPr>
          <w:rFonts w:ascii="Arial" w:cs="Arial" w:eastAsia="Arial" w:hAnsi="Arial"/>
          <w:sz w:val="12"/>
          <w:szCs w:val="12"/>
          <w:color w:val="auto"/>
        </w:rPr>
      </w:pPr>
      <w:r>
        <w:rPr>
          <w:rFonts w:ascii="Arial" w:cs="Arial" w:eastAsia="Arial" w:hAnsi="Arial"/>
          <w:sz w:val="12"/>
          <w:szCs w:val="12"/>
          <w:i w:val="1"/>
          <w:iCs w:val="1"/>
          <w:color w:val="auto"/>
        </w:rPr>
        <w:t>Acquisition of Stock by Third Party</w:t>
      </w:r>
      <w:r>
        <w:rPr>
          <w:rFonts w:ascii="Arial" w:cs="Arial" w:eastAsia="Arial" w:hAnsi="Arial"/>
          <w:sz w:val="12"/>
          <w:szCs w:val="12"/>
          <w:color w:val="auto"/>
        </w:rPr>
        <w:t>. Any person, other than Global Infrastructure Partners III (“</w:t>
      </w:r>
      <w:r>
        <w:rPr>
          <w:rFonts w:ascii="Arial" w:cs="Arial" w:eastAsia="Arial" w:hAnsi="Arial"/>
          <w:sz w:val="12"/>
          <w:szCs w:val="12"/>
          <w:u w:val="single" w:color="auto"/>
          <w:color w:val="auto"/>
        </w:rPr>
        <w:t>GIP</w:t>
      </w:r>
      <w:r>
        <w:rPr>
          <w:rFonts w:ascii="Arial" w:cs="Arial" w:eastAsia="Arial" w:hAnsi="Arial"/>
          <w:sz w:val="12"/>
          <w:szCs w:val="12"/>
          <w:color w:val="auto"/>
        </w:rPr>
        <w:t>”) or any of its affiliates and other than a trustee or other fiduciary holding securities under an employee benefit plan</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more than 50% of the combined voting power of the Company’s then outstanding securities, unless the change in relative “beneficial ownership” (as defined in Rule 13d-3 under the Exchange Act) of the Company’s securities by any person results solely from a reduction in the aggregate number of outstanding securities entitled to vote generally in the election of directors;</w:t>
      </w:r>
    </w:p>
    <w:p>
      <w:pPr>
        <w:spacing w:after="0" w:line="269" w:lineRule="exact"/>
        <w:rPr>
          <w:rFonts w:ascii="Arial" w:cs="Arial" w:eastAsia="Arial" w:hAnsi="Arial"/>
          <w:sz w:val="12"/>
          <w:szCs w:val="12"/>
          <w:color w:val="auto"/>
        </w:rPr>
      </w:pPr>
    </w:p>
    <w:p>
      <w:pPr>
        <w:ind w:left="420" w:right="100" w:firstLine="437"/>
        <w:spacing w:after="0" w:line="290" w:lineRule="auto"/>
        <w:tabs>
          <w:tab w:leader="none" w:pos="1119" w:val="left"/>
        </w:tabs>
        <w:numPr>
          <w:ilvl w:val="0"/>
          <w:numId w:val="121"/>
        </w:numPr>
        <w:rPr>
          <w:rFonts w:ascii="Arial" w:cs="Arial" w:eastAsia="Arial" w:hAnsi="Arial"/>
          <w:sz w:val="11"/>
          <w:szCs w:val="11"/>
          <w:color w:val="auto"/>
        </w:rPr>
      </w:pPr>
      <w:r>
        <w:rPr>
          <w:rFonts w:ascii="Arial" w:cs="Arial" w:eastAsia="Arial" w:hAnsi="Arial"/>
          <w:sz w:val="11"/>
          <w:szCs w:val="11"/>
          <w:i w:val="1"/>
          <w:iCs w:val="1"/>
          <w:color w:val="auto"/>
        </w:rPr>
        <w:t>Change in the Board</w:t>
      </w:r>
      <w:r>
        <w:rPr>
          <w:rFonts w:ascii="Arial" w:cs="Arial" w:eastAsia="Arial" w:hAnsi="Arial"/>
          <w:sz w:val="11"/>
          <w:szCs w:val="11"/>
          <w:color w:val="auto"/>
        </w:rPr>
        <w:t>. During any period of two (2) consecutive years (not including any period prior to the execution of this Agreement), individuals who at the beginning of such period constitute the Board, and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any new director (other than a director designated by a person who has entered into an agreement with the Company to effect a transaction described in </w:t>
      </w:r>
      <w:r>
        <w:rPr>
          <w:rFonts w:ascii="Arial" w:cs="Arial" w:eastAsia="Arial" w:hAnsi="Arial"/>
          <w:sz w:val="11"/>
          <w:szCs w:val="11"/>
          <w:u w:val="single" w:color="auto"/>
          <w:color w:val="auto"/>
        </w:rPr>
        <w:t>Section 19(a)(i)</w:t>
      </w:r>
      <w:r>
        <w:rPr>
          <w:rFonts w:ascii="Arial" w:cs="Arial" w:eastAsia="Arial" w:hAnsi="Arial"/>
          <w:sz w:val="11"/>
          <w:szCs w:val="11"/>
          <w:color w:val="auto"/>
        </w:rPr>
        <w:t xml:space="preserve">, </w:t>
      </w:r>
      <w:r>
        <w:rPr>
          <w:rFonts w:ascii="Arial" w:cs="Arial" w:eastAsia="Arial" w:hAnsi="Arial"/>
          <w:sz w:val="11"/>
          <w:szCs w:val="11"/>
          <w:u w:val="single" w:color="auto"/>
          <w:color w:val="auto"/>
        </w:rPr>
        <w:t>19(a)(iii)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19(a)(iv)</w:t>
      </w:r>
      <w:r>
        <w:rPr>
          <w:rFonts w:ascii="Arial" w:cs="Arial" w:eastAsia="Arial" w:hAnsi="Arial"/>
          <w:sz w:val="11"/>
          <w:szCs w:val="11"/>
          <w:color w:val="auto"/>
        </w:rPr>
        <w:t>) whose election by the Board or nomination for election by the Company’s stockholders was approved by a vote of at least a majority of the directors then still in office who either were directors at the beginning of the period or whose election or nomination for election was previously so approved or who was otherwise nominated by GIP or any of its affiliates, cease for any reason to constitute at least a majority of the members of the Board;</w:t>
      </w:r>
    </w:p>
    <w:p>
      <w:pPr>
        <w:spacing w:after="0" w:line="253" w:lineRule="exact"/>
        <w:rPr>
          <w:rFonts w:ascii="Arial" w:cs="Arial" w:eastAsia="Arial" w:hAnsi="Arial"/>
          <w:sz w:val="11"/>
          <w:szCs w:val="11"/>
          <w:color w:val="auto"/>
        </w:rPr>
      </w:pPr>
    </w:p>
    <w:p>
      <w:pPr>
        <w:ind w:left="420" w:right="140" w:firstLine="437"/>
        <w:spacing w:after="0" w:line="259" w:lineRule="auto"/>
        <w:tabs>
          <w:tab w:leader="none" w:pos="1152" w:val="left"/>
        </w:tabs>
        <w:numPr>
          <w:ilvl w:val="0"/>
          <w:numId w:val="121"/>
        </w:numPr>
        <w:rPr>
          <w:rFonts w:ascii="Arial" w:cs="Arial" w:eastAsia="Arial" w:hAnsi="Arial"/>
          <w:sz w:val="12"/>
          <w:szCs w:val="12"/>
          <w:color w:val="auto"/>
        </w:rPr>
      </w:pPr>
      <w:r>
        <w:rPr>
          <w:rFonts w:ascii="Arial" w:cs="Arial" w:eastAsia="Arial" w:hAnsi="Arial"/>
          <w:sz w:val="12"/>
          <w:szCs w:val="12"/>
          <w:i w:val="1"/>
          <w:iCs w:val="1"/>
          <w:color w:val="auto"/>
        </w:rPr>
        <w:t>Corporate Transactions</w:t>
      </w:r>
      <w:r>
        <w:rPr>
          <w:rFonts w:ascii="Arial" w:cs="Arial" w:eastAsia="Arial" w:hAnsi="Arial"/>
          <w:sz w:val="12"/>
          <w:szCs w:val="12"/>
          <w:color w:val="auto"/>
        </w:rPr>
        <w:t>. The effective date of a merger or consolidation of the Company with any other entity, other than a merger or consolidation which would result in the voting securities of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spacing w:after="0" w:line="269" w:lineRule="exact"/>
        <w:rPr>
          <w:rFonts w:ascii="Arial" w:cs="Arial" w:eastAsia="Arial" w:hAnsi="Arial"/>
          <w:sz w:val="12"/>
          <w:szCs w:val="12"/>
          <w:color w:val="auto"/>
        </w:rPr>
      </w:pPr>
    </w:p>
    <w:p>
      <w:pPr>
        <w:ind w:left="420" w:right="40" w:firstLine="437"/>
        <w:spacing w:after="0" w:line="323" w:lineRule="auto"/>
        <w:tabs>
          <w:tab w:leader="none" w:pos="1146" w:val="left"/>
        </w:tabs>
        <w:numPr>
          <w:ilvl w:val="0"/>
          <w:numId w:val="121"/>
        </w:numPr>
        <w:rPr>
          <w:rFonts w:ascii="Arial" w:cs="Arial" w:eastAsia="Arial" w:hAnsi="Arial"/>
          <w:sz w:val="11"/>
          <w:szCs w:val="11"/>
          <w:color w:val="auto"/>
        </w:rPr>
      </w:pPr>
      <w:r>
        <w:rPr>
          <w:rFonts w:ascii="Arial" w:cs="Arial" w:eastAsia="Arial" w:hAnsi="Arial"/>
          <w:sz w:val="11"/>
          <w:szCs w:val="11"/>
          <w:i w:val="1"/>
          <w:iCs w:val="1"/>
          <w:color w:val="auto"/>
        </w:rPr>
        <w:t>Liquidation</w:t>
      </w:r>
      <w:r>
        <w:rPr>
          <w:rFonts w:ascii="Arial" w:cs="Arial" w:eastAsia="Arial" w:hAnsi="Arial"/>
          <w:sz w:val="11"/>
          <w:szCs w:val="11"/>
          <w:color w:val="auto"/>
        </w:rPr>
        <w:t>. The approval by the stockholders of the Company of a complete liquidation of the Company or an agreement or series of agreements for the sale or disposition by the Company of all or substantially all</w:t>
      </w:r>
      <w:r>
        <w:rPr>
          <w:rFonts w:ascii="Arial" w:cs="Arial" w:eastAsia="Arial" w:hAnsi="Arial"/>
          <w:sz w:val="11"/>
          <w:szCs w:val="11"/>
          <w:i w:val="1"/>
          <w:iCs w:val="1"/>
          <w:color w:val="auto"/>
        </w:rPr>
        <w:t xml:space="preserve"> </w:t>
      </w:r>
      <w:r>
        <w:rPr>
          <w:rFonts w:ascii="Arial" w:cs="Arial" w:eastAsia="Arial" w:hAnsi="Arial"/>
          <w:sz w:val="11"/>
          <w:szCs w:val="11"/>
          <w:color w:val="auto"/>
        </w:rPr>
        <w:t>of the Company’s assets, or, if such approval is not required, the decision by the Board to proceed with such a liquidation, sale, or disposition in one transaction or a series of related transactions.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608" w:right="219" w:bottom="1440" w:gutter="0" w:footer="0" w:header="0"/>
        </w:sectPr>
      </w:pPr>
    </w:p>
    <w:bookmarkStart w:id="173" w:name="page174"/>
    <w:bookmarkEnd w:id="173"/>
    <w:p>
      <w:pPr>
        <w:ind w:left="380" w:firstLine="4"/>
        <w:spacing w:after="0" w:line="259" w:lineRule="auto"/>
        <w:tabs>
          <w:tab w:leader="none" w:pos="55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Corporate Status</w:t>
      </w:r>
      <w:r>
        <w:rPr>
          <w:rFonts w:ascii="Arial" w:cs="Arial" w:eastAsia="Arial" w:hAnsi="Arial"/>
          <w:sz w:val="12"/>
          <w:szCs w:val="12"/>
          <w:color w:val="auto"/>
        </w:rPr>
        <w:t xml:space="preserve">” describes the status of a person who is or was a director, officer, employee or agent of the Company, any direct or indirect subsidiary of the Company or is or was serving at the request of the Company as a director, officer, employee or agent or fiduciary of any other entity (including, but not limited to, another corporation, partnership, joint venture, trust or other enterprise), including service with respect to an employee benefit plan; </w:t>
      </w:r>
      <w:r>
        <w:rPr>
          <w:rFonts w:ascii="Arial" w:cs="Arial" w:eastAsia="Arial" w:hAnsi="Arial"/>
          <w:sz w:val="12"/>
          <w:szCs w:val="12"/>
          <w:u w:val="single" w:color="auto"/>
          <w:color w:val="auto"/>
        </w:rPr>
        <w:t>provided</w:t>
      </w:r>
      <w:r>
        <w:rPr>
          <w:rFonts w:ascii="Arial" w:cs="Arial" w:eastAsia="Arial" w:hAnsi="Arial"/>
          <w:sz w:val="12"/>
          <w:szCs w:val="12"/>
          <w:color w:val="auto"/>
        </w:rPr>
        <w:t>, that any person that serves as a director, officer, employee, agent or fiduciary of another corporation, partnership, joint venture, trust or other enterprise, of at least 50% of whose equity interests are owned by the Company, shall be conclusively presumed to be serving in such capacity at the request of the Company.</w:t>
      </w:r>
    </w:p>
    <w:p>
      <w:pPr>
        <w:spacing w:after="0" w:line="269" w:lineRule="exact"/>
        <w:rPr>
          <w:rFonts w:ascii="Arial" w:cs="Arial" w:eastAsia="Arial" w:hAnsi="Arial"/>
          <w:sz w:val="12"/>
          <w:szCs w:val="12"/>
          <w:color w:val="auto"/>
        </w:rPr>
      </w:pPr>
    </w:p>
    <w:p>
      <w:pPr>
        <w:ind w:left="640" w:hanging="256"/>
        <w:spacing w:after="0"/>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DGCL</w:t>
      </w:r>
      <w:r>
        <w:rPr>
          <w:rFonts w:ascii="Arial" w:cs="Arial" w:eastAsia="Arial" w:hAnsi="Arial"/>
          <w:sz w:val="12"/>
          <w:szCs w:val="12"/>
          <w:color w:val="auto"/>
        </w:rPr>
        <w:t>” means the General Corporate Law of the State of Delaware.</w:t>
      </w:r>
    </w:p>
    <w:p>
      <w:pPr>
        <w:spacing w:after="0" w:line="294" w:lineRule="exact"/>
        <w:rPr>
          <w:rFonts w:ascii="Arial" w:cs="Arial" w:eastAsia="Arial" w:hAnsi="Arial"/>
          <w:sz w:val="12"/>
          <w:szCs w:val="12"/>
          <w:color w:val="auto"/>
        </w:rPr>
      </w:pPr>
    </w:p>
    <w:p>
      <w:pPr>
        <w:ind w:left="640" w:hanging="256"/>
        <w:spacing w:after="0"/>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Disinterested Director</w:t>
      </w:r>
      <w:r>
        <w:rPr>
          <w:rFonts w:ascii="Arial" w:cs="Arial" w:eastAsia="Arial" w:hAnsi="Arial"/>
          <w:sz w:val="12"/>
          <w:szCs w:val="12"/>
          <w:color w:val="auto"/>
        </w:rPr>
        <w:t>” means a director of the Company who is not or was not a party to the Proceeding in respect of which indemnification is being sought by Indemnitee.</w:t>
      </w:r>
    </w:p>
    <w:p>
      <w:pPr>
        <w:spacing w:after="0" w:line="294" w:lineRule="exact"/>
        <w:rPr>
          <w:rFonts w:ascii="Arial" w:cs="Arial" w:eastAsia="Arial" w:hAnsi="Arial"/>
          <w:sz w:val="12"/>
          <w:szCs w:val="12"/>
          <w:color w:val="auto"/>
        </w:rPr>
      </w:pPr>
    </w:p>
    <w:p>
      <w:pPr>
        <w:ind w:left="380" w:right="40" w:firstLine="4"/>
        <w:spacing w:after="0" w:line="259" w:lineRule="auto"/>
        <w:tabs>
          <w:tab w:leader="none" w:pos="633" w:val="left"/>
        </w:tabs>
        <w:numPr>
          <w:ilvl w:val="0"/>
          <w:numId w:val="1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includes, without limitation, expenses incurred in connection with the defense or settlement of any and all investigations, judicial or administrative proceedings or appeals, attorneys’ fees, witness fees and expenses, fees and expenses of accountants and other advisors, retainers and disbursements and advances thereon, the premium, security for, and other costs relating to any bond (including cost bonds, appraisal bonds or their equivalents), and any expenses of establishing a right to indemnification under </w:t>
      </w:r>
      <w:r>
        <w:rPr>
          <w:rFonts w:ascii="Arial" w:cs="Arial" w:eastAsia="Arial" w:hAnsi="Arial"/>
          <w:sz w:val="12"/>
          <w:szCs w:val="12"/>
          <w:u w:val="single" w:color="auto"/>
          <w:color w:val="auto"/>
        </w:rPr>
        <w:t>Sections 8</w:t>
      </w:r>
      <w:r>
        <w:rPr>
          <w:rFonts w:ascii="Arial" w:cs="Arial" w:eastAsia="Arial" w:hAnsi="Arial"/>
          <w:sz w:val="12"/>
          <w:szCs w:val="12"/>
          <w:color w:val="auto"/>
        </w:rPr>
        <w:t xml:space="preserve">, </w:t>
      </w:r>
      <w:r>
        <w:rPr>
          <w:rFonts w:ascii="Arial" w:cs="Arial" w:eastAsia="Arial" w:hAnsi="Arial"/>
          <w:sz w:val="12"/>
          <w:szCs w:val="12"/>
          <w:u w:val="single" w:color="auto"/>
          <w:color w:val="auto"/>
        </w:rPr>
        <w:t>10</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12</w:t>
      </w:r>
      <w:r>
        <w:rPr>
          <w:rFonts w:ascii="Arial" w:cs="Arial" w:eastAsia="Arial" w:hAnsi="Arial"/>
          <w:sz w:val="12"/>
          <w:szCs w:val="12"/>
          <w:color w:val="auto"/>
        </w:rPr>
        <w:t xml:space="preserve"> above but shall not include the amount of judgments, fines or penalties actually levied against Indemnitee. Expenses, however, shall not include any Liabilities.</w:t>
      </w:r>
    </w:p>
    <w:p>
      <w:pPr>
        <w:spacing w:after="0" w:line="269" w:lineRule="exact"/>
        <w:rPr>
          <w:rFonts w:ascii="Arial" w:cs="Arial" w:eastAsia="Arial" w:hAnsi="Arial"/>
          <w:sz w:val="12"/>
          <w:szCs w:val="12"/>
          <w:color w:val="auto"/>
        </w:rPr>
      </w:pPr>
    </w:p>
    <w:p>
      <w:pPr>
        <w:ind w:left="380" w:right="180" w:firstLine="4"/>
        <w:spacing w:after="0" w:line="290" w:lineRule="auto"/>
        <w:tabs>
          <w:tab w:leader="none" w:pos="62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Independent Counsel</w:t>
      </w:r>
      <w:r>
        <w:rPr>
          <w:rFonts w:ascii="Arial" w:cs="Arial" w:eastAsia="Arial" w:hAnsi="Arial"/>
          <w:sz w:val="11"/>
          <w:szCs w:val="11"/>
          <w:color w:val="auto"/>
        </w:rPr>
        <w:t>” means a law firm or a member of a law firm that neither is presently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 to indemnification under this Agreement.</w:t>
      </w:r>
    </w:p>
    <w:p>
      <w:pPr>
        <w:spacing w:after="0" w:line="253" w:lineRule="exact"/>
        <w:rPr>
          <w:rFonts w:ascii="Arial" w:cs="Arial" w:eastAsia="Arial" w:hAnsi="Arial"/>
          <w:sz w:val="11"/>
          <w:szCs w:val="11"/>
          <w:color w:val="auto"/>
        </w:rPr>
      </w:pPr>
    </w:p>
    <w:p>
      <w:pPr>
        <w:ind w:left="380" w:right="40" w:firstLine="4"/>
        <w:spacing w:after="0" w:line="323" w:lineRule="auto"/>
        <w:tabs>
          <w:tab w:leader="none" w:pos="64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Liabilities</w:t>
      </w:r>
      <w:r>
        <w:rPr>
          <w:rFonts w:ascii="Arial" w:cs="Arial" w:eastAsia="Arial" w:hAnsi="Arial"/>
          <w:sz w:val="11"/>
          <w:szCs w:val="11"/>
          <w:color w:val="auto"/>
        </w:rPr>
        <w:t>” means all damages, losses and liabilities of any type whatsoever, including, but not limited to, any judgments, fines, Employee Retirement Income Security Act excise taxes and penalties, penalties and amounts paid in settlement (including all interest assessments and other charges paid or payable in connection with or in respect of such judgments, fines, penalties or amounts paid in settlement) of any Proceeding.</w:t>
      </w:r>
    </w:p>
    <w:p>
      <w:pPr>
        <w:spacing w:after="0" w:line="235" w:lineRule="exact"/>
        <w:rPr>
          <w:rFonts w:ascii="Arial" w:cs="Arial" w:eastAsia="Arial" w:hAnsi="Arial"/>
          <w:sz w:val="11"/>
          <w:szCs w:val="11"/>
          <w:color w:val="auto"/>
        </w:rPr>
      </w:pPr>
    </w:p>
    <w:p>
      <w:pPr>
        <w:jc w:val="both"/>
        <w:ind w:left="380" w:right="160" w:firstLine="4"/>
        <w:spacing w:after="0" w:line="290" w:lineRule="auto"/>
        <w:tabs>
          <w:tab w:leader="none" w:pos="64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Proceeding</w:t>
      </w:r>
      <w:r>
        <w:rPr>
          <w:rFonts w:ascii="Arial" w:cs="Arial" w:eastAsia="Arial" w:hAnsi="Arial"/>
          <w:sz w:val="11"/>
          <w:szCs w:val="11"/>
          <w:color w:val="auto"/>
        </w:rPr>
        <w:t xml:space="preserve">” includes any threatened, pending or completed investigation, action, suit or other proceeding, whether brought in the name of the Company or otherwise, against Indemnitee, for which indemnification is not prohibited under </w:t>
      </w:r>
      <w:r>
        <w:rPr>
          <w:rFonts w:ascii="Arial" w:cs="Arial" w:eastAsia="Arial" w:hAnsi="Arial"/>
          <w:sz w:val="11"/>
          <w:szCs w:val="11"/>
          <w:u w:val="single" w:color="auto"/>
          <w:color w:val="auto"/>
        </w:rPr>
        <w:t>Sections 2</w:t>
      </w:r>
      <w:r>
        <w:rPr>
          <w:rFonts w:ascii="Arial" w:cs="Arial" w:eastAsia="Arial" w:hAnsi="Arial"/>
          <w:sz w:val="11"/>
          <w:szCs w:val="11"/>
          <w:color w:val="auto"/>
        </w:rPr>
        <w:t xml:space="preserve"> above and whether of a civil, criminal, administrative or investigative nature, including, but not limited to, actions, suits or proceedings in which Indemnitee may be or may have been involved as a party or otherwise, by reason of Indemnitee’s Corporate Status or by reason of anything done or not done by Indemnitee in any such capacity, whether or not Indemnitee is serving in such capacity at the time any Liability or Expense is incurred for which indemnification or reimbursement can be provided under this Agreement, including one pending on this date of this Agreement.</w:t>
      </w:r>
    </w:p>
    <w:p>
      <w:pPr>
        <w:spacing w:after="0" w:line="253" w:lineRule="exact"/>
        <w:rPr>
          <w:rFonts w:ascii="Arial" w:cs="Arial" w:eastAsia="Arial" w:hAnsi="Arial"/>
          <w:sz w:val="11"/>
          <w:szCs w:val="11"/>
          <w:color w:val="auto"/>
        </w:rPr>
      </w:pPr>
    </w:p>
    <w:p>
      <w:pPr>
        <w:ind w:left="-40" w:right="20" w:firstLine="857"/>
        <w:spacing w:after="0" w:line="298" w:lineRule="auto"/>
        <w:tabs>
          <w:tab w:leader="none" w:pos="1095" w:val="left"/>
        </w:tabs>
        <w:numPr>
          <w:ilvl w:val="1"/>
          <w:numId w:val="122"/>
        </w:numPr>
        <w:rPr>
          <w:rFonts w:ascii="Arial" w:cs="Arial" w:eastAsia="Arial" w:hAnsi="Arial"/>
          <w:sz w:val="11"/>
          <w:szCs w:val="11"/>
          <w:color w:val="auto"/>
        </w:rPr>
      </w:pPr>
      <w:r>
        <w:rPr>
          <w:rFonts w:ascii="Arial" w:cs="Arial" w:eastAsia="Arial" w:hAnsi="Arial"/>
          <w:sz w:val="11"/>
          <w:szCs w:val="11"/>
          <w:u w:val="single" w:color="auto"/>
          <w:color w:val="auto"/>
        </w:rPr>
        <w:t>Notice</w:t>
      </w:r>
      <w:r>
        <w:rPr>
          <w:rFonts w:ascii="Arial" w:cs="Arial" w:eastAsia="Arial" w:hAnsi="Arial"/>
          <w:sz w:val="11"/>
          <w:szCs w:val="11"/>
          <w:color w:val="auto"/>
        </w:rPr>
        <w:t>. All notices and other communications given or made pursuant to this Agreement shall be in writing and shall be deemed effectively given: (i) upon personal delivery to the party to be notified, (ii) when sent by confirmed electronic mail or facsimile if sent during normal business hours of the recipient, and if not so confirmed,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w:t>
      </w:r>
    </w:p>
    <w:p>
      <w:pPr>
        <w:spacing w:after="0" w:line="249" w:lineRule="exact"/>
        <w:rPr>
          <w:sz w:val="20"/>
          <w:szCs w:val="20"/>
          <w:color w:val="auto"/>
        </w:rPr>
      </w:pPr>
    </w:p>
    <w:p>
      <w:pPr>
        <w:ind w:left="820"/>
        <w:spacing w:after="0"/>
        <w:tabs>
          <w:tab w:leader="none" w:pos="104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To Indemnitee at the address set forth below Indemnitee’s signature hereto.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60" w:top="608" w:right="259" w:bottom="1440" w:gutter="0" w:footer="0" w:header="0"/>
        </w:sectPr>
      </w:pPr>
    </w:p>
    <w:bookmarkStart w:id="174" w:name="page175"/>
    <w:bookmarkEnd w:id="174"/>
    <w:p>
      <w:pPr>
        <w:ind w:left="440"/>
        <w:spacing w:after="0"/>
        <w:tabs>
          <w:tab w:leader="none" w:pos="68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To the Company at: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Clearway Energy, Inc.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300 Carnegie Center, Suite 300</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Princeton, New Jersey 08540</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Attention: General Counsel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Email: ogc@clearwayenergy.com</w:t>
      </w:r>
    </w:p>
    <w:p>
      <w:pPr>
        <w:spacing w:after="0" w:line="141" w:lineRule="exact"/>
        <w:rPr>
          <w:sz w:val="20"/>
          <w:szCs w:val="20"/>
          <w:color w:val="auto"/>
        </w:rPr>
      </w:pPr>
    </w:p>
    <w:p>
      <w:pPr>
        <w:ind w:left="700" w:hanging="263"/>
        <w:spacing w:after="0"/>
        <w:tabs>
          <w:tab w:leader="none" w:pos="700" w:val="left"/>
        </w:tabs>
        <w:numPr>
          <w:ilvl w:val="1"/>
          <w:numId w:val="123"/>
        </w:numPr>
        <w:rPr>
          <w:rFonts w:ascii="Arial" w:cs="Arial" w:eastAsia="Arial" w:hAnsi="Arial"/>
          <w:sz w:val="12"/>
          <w:szCs w:val="12"/>
          <w:color w:val="auto"/>
        </w:rPr>
      </w:pPr>
      <w:r>
        <w:rPr>
          <w:rFonts w:ascii="Arial" w:cs="Arial" w:eastAsia="Arial" w:hAnsi="Arial"/>
          <w:sz w:val="12"/>
          <w:szCs w:val="12"/>
          <w:u w:val="single" w:color="auto"/>
          <w:color w:val="auto"/>
        </w:rPr>
        <w:t>Other Provisions</w:t>
      </w:r>
      <w:r>
        <w:rPr>
          <w:rFonts w:ascii="Arial" w:cs="Arial" w:eastAsia="Arial" w:hAnsi="Arial"/>
          <w:sz w:val="12"/>
          <w:szCs w:val="12"/>
          <w:color w:val="auto"/>
        </w:rPr>
        <w:t>.</w:t>
      </w:r>
    </w:p>
    <w:p>
      <w:pPr>
        <w:spacing w:after="0" w:line="294" w:lineRule="exact"/>
        <w:rPr>
          <w:rFonts w:ascii="Arial" w:cs="Arial" w:eastAsia="Arial" w:hAnsi="Arial"/>
          <w:sz w:val="12"/>
          <w:szCs w:val="12"/>
          <w:color w:val="auto"/>
        </w:rPr>
      </w:pPr>
    </w:p>
    <w:p>
      <w:pPr>
        <w:ind w:right="20" w:firstLine="4"/>
        <w:spacing w:after="0" w:line="281" w:lineRule="auto"/>
        <w:tabs>
          <w:tab w:leader="none" w:pos="251" w:val="left"/>
        </w:tabs>
        <w:numPr>
          <w:ilvl w:val="0"/>
          <w:numId w:val="124"/>
        </w:numPr>
        <w:rPr>
          <w:rFonts w:ascii="Arial" w:cs="Arial" w:eastAsia="Arial" w:hAnsi="Arial"/>
          <w:sz w:val="11"/>
          <w:szCs w:val="11"/>
          <w:color w:val="auto"/>
        </w:rPr>
      </w:pPr>
      <w:r>
        <w:rPr>
          <w:rFonts w:ascii="Arial" w:cs="Arial" w:eastAsia="Arial" w:hAnsi="Arial"/>
          <w:sz w:val="11"/>
          <w:szCs w:val="11"/>
          <w:color w:val="auto"/>
        </w:rPr>
        <w:t xml:space="preserve">This Agreement shall be interpreted and enforced in accordance with the laws of Delaware, without regard to its conflict of laws rules. Except with respect to any arbitration commenced by Indemnitee pursuant to </w:t>
      </w:r>
      <w:r>
        <w:rPr>
          <w:rFonts w:ascii="Arial" w:cs="Arial" w:eastAsia="Arial" w:hAnsi="Arial"/>
          <w:sz w:val="11"/>
          <w:szCs w:val="11"/>
          <w:u w:val="single" w:color="auto"/>
          <w:color w:val="auto"/>
        </w:rPr>
        <w:t>Section 10</w:t>
      </w:r>
      <w:r>
        <w:rPr>
          <w:rFonts w:ascii="Arial" w:cs="Arial" w:eastAsia="Arial" w:hAnsi="Arial"/>
          <w:sz w:val="11"/>
          <w:szCs w:val="11"/>
          <w:color w:val="auto"/>
        </w:rPr>
        <w:t xml:space="preserve"> of this Agreement,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1"/>
          <w:szCs w:val="11"/>
          <w:u w:val="single" w:color="auto"/>
          <w:color w:val="auto"/>
        </w:rPr>
        <w:t>Delaware Court</w:t>
      </w:r>
      <w:r>
        <w:rPr>
          <w:rFonts w:ascii="Arial" w:cs="Arial" w:eastAsia="Arial" w:hAnsi="Arial"/>
          <w:sz w:val="11"/>
          <w:szCs w:val="11"/>
          <w:color w:val="auto"/>
        </w:rPr>
        <w:t xml:space="preserve">”),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that service of process in any such action or proceeding may be effected by notice given pursuant to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of this Agreement, (iv) waive any objection to the laying of venue of any such action or proceeding in the Delaware Court, and (v) waive, and agree not to plead or to make, any claim that any such action or proceeding brought in the Delaware Court has been brought in an improper or inconvenient forum. The foregoing consent to jurisdiction shall not constitute general consent to service of process in the state for any purpose except as provided above, and shall not be deemed to confer rights on any person other than the parties to this Agreement.</w:t>
      </w:r>
    </w:p>
    <w:p>
      <w:pPr>
        <w:spacing w:after="0" w:line="260" w:lineRule="exact"/>
        <w:rPr>
          <w:rFonts w:ascii="Arial" w:cs="Arial" w:eastAsia="Arial" w:hAnsi="Arial"/>
          <w:sz w:val="11"/>
          <w:szCs w:val="11"/>
          <w:color w:val="auto"/>
        </w:rPr>
      </w:pPr>
    </w:p>
    <w:p>
      <w:pPr>
        <w:ind w:right="500" w:firstLine="4"/>
        <w:spacing w:after="0" w:line="276" w:lineRule="auto"/>
        <w:tabs>
          <w:tab w:leader="none" w:pos="258"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as evidence of the existence of this Agreement.</w:t>
      </w:r>
    </w:p>
    <w:p>
      <w:pPr>
        <w:spacing w:after="0" w:line="259" w:lineRule="exact"/>
        <w:rPr>
          <w:rFonts w:ascii="Arial" w:cs="Arial" w:eastAsia="Arial" w:hAnsi="Arial"/>
          <w:sz w:val="12"/>
          <w:szCs w:val="12"/>
          <w:color w:val="auto"/>
        </w:rPr>
      </w:pPr>
    </w:p>
    <w:p>
      <w:pPr>
        <w:ind w:left="260" w:hanging="256"/>
        <w:spacing w:after="0"/>
        <w:tabs>
          <w:tab w:leader="none" w:pos="26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This agreement shall not be deemed an employment contract between the Company and any Indemnitee who is an officer of the Company, and, if Indemnitee is an officer of the Company, Indemnitee specifically</w:t>
      </w:r>
    </w:p>
    <w:p>
      <w:pPr>
        <w:spacing w:after="0" w:line="26" w:lineRule="exact"/>
        <w:rPr>
          <w:rFonts w:ascii="Arial" w:cs="Arial" w:eastAsia="Arial" w:hAnsi="Arial"/>
          <w:sz w:val="11"/>
          <w:szCs w:val="11"/>
          <w:color w:val="auto"/>
        </w:rPr>
      </w:pPr>
    </w:p>
    <w:p>
      <w:pPr>
        <w:ind w:right="340"/>
        <w:spacing w:after="0" w:line="261" w:lineRule="auto"/>
        <w:rPr>
          <w:rFonts w:ascii="Arial" w:cs="Arial" w:eastAsia="Arial" w:hAnsi="Arial"/>
          <w:sz w:val="11"/>
          <w:szCs w:val="11"/>
          <w:color w:val="auto"/>
        </w:rPr>
      </w:pPr>
      <w:r>
        <w:rPr>
          <w:rFonts w:ascii="Arial" w:cs="Arial" w:eastAsia="Arial" w:hAnsi="Arial"/>
          <w:sz w:val="12"/>
          <w:szCs w:val="12"/>
          <w:color w:val="auto"/>
        </w:rPr>
        <w:t>acknowledges that Indemnitee may be discharged at any time for any reason, with or without cause, and with or without severance compensation, except as may be otherwise provided in a separate written contract between Indemnitee and the Company.</w:t>
      </w:r>
    </w:p>
    <w:p>
      <w:pPr>
        <w:spacing w:after="0" w:line="267" w:lineRule="exact"/>
        <w:rPr>
          <w:rFonts w:ascii="Arial" w:cs="Arial" w:eastAsia="Arial" w:hAnsi="Arial"/>
          <w:sz w:val="11"/>
          <w:szCs w:val="11"/>
          <w:color w:val="auto"/>
        </w:rPr>
      </w:pPr>
    </w:p>
    <w:p>
      <w:pPr>
        <w:ind w:firstLine="4"/>
        <w:spacing w:after="0" w:line="263" w:lineRule="auto"/>
        <w:tabs>
          <w:tab w:leader="none" w:pos="26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Upon a payment to Indemnitee under this Agreement, the Company shall be subrogated to the extent of such payment to all of the rights of Indemnitee to recover against any person for such liability, and Indemnitee shall execute all documents and instruments required and shall take such other actions as may be necessary to secure such rights, including the execution of such documents as may be necessary for the Company to bring suit to enforce such rights.</w:t>
      </w:r>
    </w:p>
    <w:p>
      <w:pPr>
        <w:spacing w:after="0" w:line="266" w:lineRule="exact"/>
        <w:rPr>
          <w:rFonts w:ascii="Arial" w:cs="Arial" w:eastAsia="Arial" w:hAnsi="Arial"/>
          <w:sz w:val="12"/>
          <w:szCs w:val="12"/>
          <w:color w:val="auto"/>
        </w:rPr>
      </w:pPr>
    </w:p>
    <w:p>
      <w:pPr>
        <w:ind w:right="160" w:firstLine="4"/>
        <w:spacing w:after="0" w:line="276" w:lineRule="auto"/>
        <w:tabs>
          <w:tab w:leader="none" w:pos="253" w:val="left"/>
        </w:tabs>
        <w:numPr>
          <w:ilvl w:val="0"/>
          <w:numId w:val="124"/>
        </w:numPr>
        <w:rPr>
          <w:rFonts w:ascii="Arial" w:cs="Arial" w:eastAsia="Arial" w:hAnsi="Arial"/>
          <w:sz w:val="12"/>
          <w:szCs w:val="12"/>
          <w:color w:val="auto"/>
        </w:rPr>
      </w:pPr>
      <w:r>
        <w:rPr>
          <w:rFonts w:ascii="Arial" w:cs="Arial" w:eastAsia="Arial" w:hAnsi="Arial"/>
          <w:sz w:val="12"/>
          <w:szCs w:val="12"/>
          <w:color w:val="auto"/>
        </w:rPr>
        <w:t>No supplement, modification or amendment of this Agreement shall be binding unless executed in writing by both parties hereto. No waiver of any of the provisions of this Agreement shall be deemed or shall constitute a waiver of any other provisions hereof (whether or not similar) nor shall such waiver constitute a continuing waiver.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00"/>
          </w:cols>
          <w:pgMar w:left="640" w:top="608" w:right="259" w:bottom="1440" w:gutter="0" w:footer="0" w:header="0"/>
        </w:sectPr>
      </w:pPr>
    </w:p>
    <w:bookmarkStart w:id="175" w:name="page176"/>
    <w:bookmarkEnd w:id="175"/>
    <w:p>
      <w:pPr>
        <w:spacing w:after="0"/>
        <w:rPr>
          <w:sz w:val="20"/>
          <w:szCs w:val="20"/>
          <w:color w:val="auto"/>
        </w:rPr>
      </w:pPr>
      <w:r>
        <w:rPr>
          <w:rFonts w:ascii="Arial" w:cs="Arial" w:eastAsia="Arial" w:hAnsi="Arial"/>
          <w:sz w:val="11"/>
          <w:szCs w:val="11"/>
          <w:color w:val="auto"/>
        </w:rPr>
        <w:t>IN WITNESS WHEREOF, the parties hereto have executed this Agreement on and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-6985</wp:posOffset>
            </wp:positionV>
            <wp:extent cx="13722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7">
                      <a:extLst>
                        <a:ext uri="{28A0092B-C50C-407E-A947-70E740481C1C}"/>
                      </a:extLst>
                    </a:blip>
                    <a:srcRect/>
                    <a:stretch>
                      <a:fillRect/>
                    </a:stretch>
                  </pic:blipFill>
                  <pic:spPr bwMode="auto">
                    <a:xfrm>
                      <a:off x="0" y="0"/>
                      <a:ext cx="1372235" cy="5715"/>
                    </a:xfrm>
                    <a:prstGeom prst="rect">
                      <a:avLst/>
                    </a:prstGeom>
                    <a:noFill/>
                  </pic:spPr>
                </pic:pic>
              </a:graphicData>
            </a:graphic>
          </wp:anchor>
        </w:drawing>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Name:</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544195</wp:posOffset>
            </wp:positionV>
            <wp:extent cx="146748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8">
                      <a:extLst>
                        <a:ext uri="{28A0092B-C50C-407E-A947-70E740481C1C}"/>
                      </a:extLst>
                    </a:blip>
                    <a:srcRect/>
                    <a:stretch>
                      <a:fillRect/>
                    </a:stretch>
                  </pic:blipFill>
                  <pic:spPr bwMode="auto">
                    <a:xfrm>
                      <a:off x="0" y="0"/>
                      <a:ext cx="14674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175260</wp:posOffset>
            </wp:positionV>
            <wp:extent cx="146748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9">
                      <a:extLst>
                        <a:ext uri="{28A0092B-C50C-407E-A947-70E740481C1C}"/>
                      </a:extLst>
                    </a:blip>
                    <a:srcRect/>
                    <a:stretch>
                      <a:fillRect/>
                    </a:stretch>
                  </pic:blipFill>
                  <pic:spPr bwMode="auto">
                    <a:xfrm>
                      <a:off x="0" y="0"/>
                      <a:ext cx="1467485" cy="571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358140</wp:posOffset>
            </wp:positionV>
            <wp:extent cx="146748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0">
                      <a:extLst>
                        <a:ext uri="{28A0092B-C50C-407E-A947-70E740481C1C}"/>
                      </a:extLst>
                    </a:blip>
                    <a:srcRect/>
                    <a:stretch>
                      <a:fillRect/>
                    </a:stretch>
                  </pic:blipFill>
                  <pic:spPr bwMode="auto">
                    <a:xfrm>
                      <a:off x="0" y="0"/>
                      <a:ext cx="1467485" cy="571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541655</wp:posOffset>
            </wp:positionV>
            <wp:extent cx="146748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1">
                      <a:extLst>
                        <a:ext uri="{28A0092B-C50C-407E-A947-70E740481C1C}"/>
                      </a:extLst>
                    </a:blip>
                    <a:srcRect/>
                    <a:stretch>
                      <a:fillRect/>
                    </a:stretch>
                  </pic:blipFill>
                  <pic:spPr bwMode="auto">
                    <a:xfrm>
                      <a:off x="0" y="0"/>
                      <a:ext cx="14674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3139"/>
        <w:spacing w:after="0"/>
        <w:rPr>
          <w:sz w:val="20"/>
          <w:szCs w:val="20"/>
          <w:color w:val="auto"/>
        </w:rPr>
      </w:pPr>
      <w:r>
        <w:rPr>
          <w:rFonts w:ascii="Arial" w:cs="Arial" w:eastAsia="Arial" w:hAnsi="Arial"/>
          <w:sz w:val="14"/>
          <w:szCs w:val="14"/>
          <w:i w:val="1"/>
          <w:iCs w:val="1"/>
          <w:color w:val="auto"/>
        </w:rPr>
        <w:t>[Signature Page to Indemnification Agreement]</w:t>
      </w:r>
    </w:p>
    <w:p>
      <w:pPr>
        <w:sectPr>
          <w:pgSz w:w="11900" w:h="16838" w:orient="portrait"/>
          <w:cols w:equalWidth="0" w:num="1">
            <w:col w:w="9379"/>
          </w:cols>
          <w:pgMar w:left="1080" w:top="1040"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2"/>
          <w:szCs w:val="12"/>
          <w:b w:val="1"/>
          <w:bCs w:val="1"/>
          <w:color w:val="auto"/>
        </w:rPr>
        <w:t>EXHIBIT 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UNDERTAKING TO REPAY INDEMNIFICATION EXPENSES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I ___________________________________________________, agree to reimburse the Company for all expenses paid to me by the Company for my defense in any civil or criminal action, suit, or proceeding, in the event, and to</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the extent that it shall ultimately be determined that I am not entitled to be indemnified by the Company for such expenses, in accordance with Section 16 of that Indemnification Agreement, dated as of [________], 2018, by and between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myself, as Indemnitee, and Clearway Energy, Inc., as the Company.</w:t>
      </w:r>
    </w:p>
    <w:p>
      <w:pPr>
        <w:spacing w:after="0" w:line="141"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xml:space="preserve">Signature </w:t>
      </w:r>
      <w:r>
        <w:rPr>
          <w:rFonts w:ascii="Arial" w:cs="Arial" w:eastAsia="Arial" w:hAnsi="Arial"/>
          <w:sz w:val="12"/>
          <w:szCs w:val="12"/>
          <w:u w:val="single" w:color="auto"/>
          <w:color w:val="auto"/>
        </w:rPr>
        <w:t>_____________________________</w:t>
      </w:r>
    </w:p>
    <w:p>
      <w:pPr>
        <w:spacing w:after="0" w:line="150"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xml:space="preserve">Typed Name </w:t>
      </w:r>
      <w:r>
        <w:rPr>
          <w:rFonts w:ascii="Arial" w:cs="Arial" w:eastAsia="Arial" w:hAnsi="Arial"/>
          <w:sz w:val="12"/>
          <w:szCs w:val="12"/>
          <w:u w:val="single" w:color="auto"/>
          <w:color w:val="auto"/>
        </w:rPr>
        <w:t>__________________________</w:t>
      </w:r>
    </w:p>
    <w:p>
      <w:pPr>
        <w:spacing w:after="0" w:line="150"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xml:space="preserve">Office </w:t>
      </w:r>
      <w:r>
        <w:rPr>
          <w:rFonts w:ascii="Arial" w:cs="Arial" w:eastAsia="Arial" w:hAnsi="Arial"/>
          <w:sz w:val="12"/>
          <w:szCs w:val="12"/>
          <w:u w:val="single" w:color="auto"/>
          <w:color w:val="auto"/>
        </w:rPr>
        <w:t>_______________________________</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__________________ ) ss: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Before me </w:t>
      </w:r>
      <w:r>
        <w:rPr>
          <w:rFonts w:ascii="Arial" w:cs="Arial" w:eastAsia="Arial" w:hAnsi="Arial"/>
          <w:sz w:val="10"/>
          <w:szCs w:val="10"/>
          <w:u w:val="single" w:color="auto"/>
          <w:color w:val="auto"/>
        </w:rPr>
        <w:t>______________________</w:t>
      </w:r>
      <w:r>
        <w:rPr>
          <w:rFonts w:ascii="Arial" w:cs="Arial" w:eastAsia="Arial" w:hAnsi="Arial"/>
          <w:sz w:val="10"/>
          <w:szCs w:val="10"/>
          <w:color w:val="auto"/>
        </w:rPr>
        <w:t xml:space="preserve">, on this day personally appeared </w:t>
      </w:r>
      <w:r>
        <w:rPr>
          <w:rFonts w:ascii="Arial" w:cs="Arial" w:eastAsia="Arial" w:hAnsi="Arial"/>
          <w:sz w:val="10"/>
          <w:szCs w:val="10"/>
          <w:u w:val="single" w:color="auto"/>
          <w:color w:val="auto"/>
        </w:rPr>
        <w:t>___________________</w:t>
      </w:r>
      <w:r>
        <w:rPr>
          <w:rFonts w:ascii="Arial" w:cs="Arial" w:eastAsia="Arial" w:hAnsi="Arial"/>
          <w:sz w:val="10"/>
          <w:szCs w:val="10"/>
          <w:color w:val="auto"/>
        </w:rPr>
        <w:t>, known to me to be the person whose name is subscribed to the foregoing instrument, and who, after being duly sworn, stated that the contents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of said instrument is to the best of his/her knowledge and belief true and correct and who acknowledged that he/she executed the same for the purpose and consideration therein expressed.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GIVEN under my hand and official seal at ________, this </w:t>
      </w:r>
      <w:r>
        <w:rPr>
          <w:rFonts w:ascii="Arial" w:cs="Arial" w:eastAsia="Arial" w:hAnsi="Arial"/>
          <w:sz w:val="12"/>
          <w:szCs w:val="12"/>
          <w:u w:val="single" w:color="auto"/>
          <w:color w:val="auto"/>
        </w:rPr>
        <w:t>_______</w:t>
      </w:r>
      <w:r>
        <w:rPr>
          <w:rFonts w:ascii="Arial" w:cs="Arial" w:eastAsia="Arial" w:hAnsi="Arial"/>
          <w:sz w:val="12"/>
          <w:szCs w:val="12"/>
          <w:color w:val="auto"/>
        </w:rPr>
        <w:t xml:space="preserve"> day of </w:t>
      </w:r>
      <w:r>
        <w:rPr>
          <w:rFonts w:ascii="Arial" w:cs="Arial" w:eastAsia="Arial" w:hAnsi="Arial"/>
          <w:sz w:val="12"/>
          <w:szCs w:val="12"/>
          <w:u w:val="single" w:color="auto"/>
          <w:color w:val="auto"/>
        </w:rPr>
        <w:t>___________</w:t>
      </w:r>
      <w:r>
        <w:rPr>
          <w:rFonts w:ascii="Arial" w:cs="Arial" w:eastAsia="Arial" w:hAnsi="Arial"/>
          <w:sz w:val="12"/>
          <w:szCs w:val="12"/>
          <w:color w:val="auto"/>
        </w:rPr>
        <w:t>, 20__.</w:t>
      </w:r>
    </w:p>
    <w:p>
      <w:pPr>
        <w:spacing w:after="0" w:line="150" w:lineRule="exact"/>
        <w:rPr>
          <w:sz w:val="20"/>
          <w:szCs w:val="20"/>
          <w:color w:val="auto"/>
        </w:rPr>
      </w:pPr>
    </w:p>
    <w:p>
      <w:pPr>
        <w:ind w:left="3020"/>
        <w:spacing w:after="0"/>
        <w:rPr>
          <w:sz w:val="20"/>
          <w:szCs w:val="20"/>
          <w:color w:val="auto"/>
        </w:rPr>
      </w:pPr>
      <w:r>
        <w:rPr>
          <w:rFonts w:ascii="Arial" w:cs="Arial" w:eastAsia="Arial" w:hAnsi="Arial"/>
          <w:sz w:val="12"/>
          <w:szCs w:val="12"/>
          <w:u w:val="single" w:color="auto"/>
          <w:color w:val="auto"/>
        </w:rPr>
        <w:t>________________________________</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Notary Public</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My commission expires:</w:t>
      </w:r>
    </w:p>
    <w:p>
      <w:pPr>
        <w:sectPr>
          <w:pgSz w:w="11900" w:h="16838" w:orient="portrait"/>
          <w:cols w:equalWidth="0" w:num="1">
            <w:col w:w="11480"/>
          </w:cols>
          <w:pgMar w:left="220" w:top="604"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2"/>
          <w:szCs w:val="12"/>
          <w:b w:val="1"/>
          <w:bCs w:val="1"/>
          <w:color w:val="auto"/>
        </w:rPr>
        <w:t>Exhibit 10.22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2"/>
          <w:szCs w:val="12"/>
          <w:b w:val="1"/>
          <w:bCs w:val="1"/>
          <w:color w:val="auto"/>
        </w:rPr>
        <w:t>NOTICE OF RESTRICTED STOCK UNIT GRANT _______________________________________________________________________</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[PARTICIPANT]</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Congratulations on your selection as a Participant under the Clearway Energy, Inc. Amended and Restated 2013 Equity Incentive Plan (the “</w:t>
      </w:r>
      <w:r>
        <w:rPr>
          <w:rFonts w:ascii="Arial" w:cs="Arial" w:eastAsia="Arial" w:hAnsi="Arial"/>
          <w:sz w:val="11"/>
          <w:szCs w:val="11"/>
          <w:u w:val="single" w:color="auto"/>
          <w:color w:val="auto"/>
        </w:rPr>
        <w:t>Plan</w:t>
      </w:r>
      <w:r>
        <w:rPr>
          <w:rFonts w:ascii="Arial" w:cs="Arial" w:eastAsia="Arial" w:hAnsi="Arial"/>
          <w:sz w:val="11"/>
          <w:szCs w:val="11"/>
          <w:color w:val="auto"/>
        </w:rPr>
        <w:t>”). You have been chosen to receive Restricted Stock Units (“</w:t>
      </w:r>
      <w:r>
        <w:rPr>
          <w:rFonts w:ascii="Arial" w:cs="Arial" w:eastAsia="Arial" w:hAnsi="Arial"/>
          <w:sz w:val="11"/>
          <w:szCs w:val="11"/>
          <w:u w:val="single" w:color="auto"/>
          <w:color w:val="auto"/>
        </w:rPr>
        <w:t>RSUs</w:t>
      </w:r>
      <w:r>
        <w:rPr>
          <w:rFonts w:ascii="Arial" w:cs="Arial" w:eastAsia="Arial" w:hAnsi="Arial"/>
          <w:sz w:val="11"/>
          <w:szCs w:val="11"/>
          <w:color w:val="auto"/>
        </w:rPr>
        <w:t>”) under the Plan. This Notice of Restricted Stock Unit Grant (the “</w:t>
      </w:r>
      <w:r>
        <w:rPr>
          <w:rFonts w:ascii="Arial" w:cs="Arial" w:eastAsia="Arial" w:hAnsi="Arial"/>
          <w:sz w:val="11"/>
          <w:szCs w:val="11"/>
          <w:u w:val="single" w:color="auto"/>
          <w:color w:val="auto"/>
        </w:rPr>
        <w:t>Grant Notice</w:t>
      </w:r>
      <w:r>
        <w:rPr>
          <w:rFonts w:ascii="Arial" w:cs="Arial" w:eastAsia="Arial" w:hAnsi="Arial"/>
          <w:sz w:val="11"/>
          <w:szCs w:val="11"/>
          <w:color w:val="auto"/>
        </w:rPr>
        <w:t>”) and the attached Restricted Stock Unit Agreement (collectively referred to as the “</w:t>
      </w:r>
      <w:r>
        <w:rPr>
          <w:rFonts w:ascii="Arial" w:cs="Arial" w:eastAsia="Arial" w:hAnsi="Arial"/>
          <w:sz w:val="11"/>
          <w:szCs w:val="11"/>
          <w:u w:val="single" w:color="auto"/>
          <w:color w:val="auto"/>
        </w:rPr>
        <w:t>Agreement</w:t>
      </w:r>
      <w:r>
        <w:rPr>
          <w:rFonts w:ascii="Arial" w:cs="Arial" w:eastAsia="Arial" w:hAnsi="Arial"/>
          <w:sz w:val="11"/>
          <w:szCs w:val="11"/>
          <w:color w:val="auto"/>
        </w:rPr>
        <w:t>”) constitute an agreement between you and Clearway Energy, Inc. (the “</w:t>
      </w:r>
      <w:r>
        <w:rPr>
          <w:rFonts w:ascii="Arial" w:cs="Arial" w:eastAsia="Arial" w:hAnsi="Arial"/>
          <w:sz w:val="11"/>
          <w:szCs w:val="11"/>
          <w:u w:val="single" w:color="auto"/>
          <w:color w:val="auto"/>
        </w:rPr>
        <w:t>Company</w:t>
      </w:r>
      <w:r>
        <w:rPr>
          <w:rFonts w:ascii="Arial" w:cs="Arial" w:eastAsia="Arial" w:hAnsi="Arial"/>
          <w:sz w:val="11"/>
          <w:szCs w:val="11"/>
          <w:color w:val="auto"/>
        </w:rPr>
        <w:t xml:space="preserve">”) pursuant to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Arial" w:cs="Arial" w:eastAsia="Arial" w:hAnsi="Arial"/>
          <w:sz w:val="11"/>
          <w:szCs w:val="11"/>
          <w:u w:val="single" w:color="auto"/>
          <w:color w:val="auto"/>
        </w:rPr>
        <w:t>Participant</w:t>
      </w:r>
      <w:r>
        <w:rPr>
          <w:rFonts w:ascii="Arial" w:cs="Arial" w:eastAsia="Arial" w:hAnsi="Arial"/>
          <w:sz w:val="11"/>
          <w:szCs w:val="11"/>
          <w:color w:val="auto"/>
        </w:rPr>
        <w:t>” in this Agreement.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is hereby granted RSUs as follows:</w:t>
      </w: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57"/>
        </w:trPr>
        <w:tc>
          <w:tcPr>
            <w:tcW w:w="3260" w:type="dxa"/>
            <w:vAlign w:val="bottom"/>
          </w:tcPr>
          <w:p>
            <w:pPr>
              <w:spacing w:after="0"/>
              <w:rPr>
                <w:sz w:val="20"/>
                <w:szCs w:val="20"/>
                <w:color w:val="auto"/>
              </w:rPr>
            </w:pPr>
            <w:r>
              <w:rPr>
                <w:rFonts w:ascii="Arial" w:cs="Arial" w:eastAsia="Arial" w:hAnsi="Arial"/>
                <w:sz w:val="12"/>
                <w:szCs w:val="12"/>
                <w:color w:val="auto"/>
              </w:rPr>
              <w:t>Date of Grant:</w:t>
            </w:r>
          </w:p>
        </w:tc>
        <w:tc>
          <w:tcPr>
            <w:tcW w:w="3860" w:type="dxa"/>
            <w:vAlign w:val="bottom"/>
            <w:gridSpan w:val="3"/>
          </w:tcPr>
          <w:p>
            <w:pPr>
              <w:ind w:left="1800"/>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Arial" w:cs="Arial" w:eastAsia="Arial" w:hAnsi="Arial"/>
                <w:sz w:val="12"/>
                <w:szCs w:val="12"/>
                <w:color w:val="auto"/>
              </w:rPr>
              <w:t>Vesting Commencement Date:</w:t>
            </w:r>
          </w:p>
        </w:tc>
        <w:tc>
          <w:tcPr>
            <w:tcW w:w="3860" w:type="dxa"/>
            <w:vAlign w:val="bottom"/>
            <w:gridSpan w:val="3"/>
          </w:tcPr>
          <w:p>
            <w:pPr>
              <w:ind w:left="1800"/>
              <w:spacing w:after="0"/>
              <w:rPr>
                <w:sz w:val="20"/>
                <w:szCs w:val="20"/>
                <w:color w:val="auto"/>
              </w:rPr>
            </w:pPr>
            <w:r>
              <w:rPr>
                <w:rFonts w:ascii="Arial" w:cs="Arial" w:eastAsia="Arial" w:hAnsi="Arial"/>
                <w:sz w:val="12"/>
                <w:szCs w:val="12"/>
                <w:color w:val="auto"/>
              </w:rPr>
              <w:t>Date of Grant</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12"/>
                <w:szCs w:val="12"/>
                <w:color w:val="auto"/>
              </w:rPr>
              <w:t>Vesting Period:</w:t>
            </w:r>
          </w:p>
        </w:tc>
        <w:tc>
          <w:tcPr>
            <w:tcW w:w="3860" w:type="dxa"/>
            <w:vAlign w:val="bottom"/>
            <w:gridSpan w:val="3"/>
          </w:tcPr>
          <w:p>
            <w:pPr>
              <w:ind w:left="1800"/>
              <w:spacing w:after="0"/>
              <w:rPr>
                <w:sz w:val="20"/>
                <w:szCs w:val="20"/>
                <w:color w:val="auto"/>
              </w:rPr>
            </w:pPr>
            <w:r>
              <w:rPr>
                <w:rFonts w:ascii="Arial" w:cs="Arial" w:eastAsia="Arial" w:hAnsi="Arial"/>
                <w:sz w:val="12"/>
                <w:szCs w:val="12"/>
                <w:color w:val="auto"/>
                <w:w w:val="89"/>
              </w:rPr>
              <w:t>Please refer to Section 2 of this Agreement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260" w:type="dxa"/>
            <w:vAlign w:val="bottom"/>
            <w:vMerge w:val="restart"/>
          </w:tcPr>
          <w:p>
            <w:pPr>
              <w:spacing w:after="0"/>
              <w:rPr>
                <w:sz w:val="20"/>
                <w:szCs w:val="20"/>
                <w:color w:val="auto"/>
              </w:rPr>
            </w:pPr>
            <w:r>
              <w:rPr>
                <w:rFonts w:ascii="Arial" w:cs="Arial" w:eastAsia="Arial" w:hAnsi="Arial"/>
                <w:sz w:val="12"/>
                <w:szCs w:val="12"/>
                <w:color w:val="auto"/>
              </w:rPr>
              <w:t>Total Number of RSUs:</w:t>
            </w:r>
          </w:p>
        </w:tc>
        <w:tc>
          <w:tcPr>
            <w:tcW w:w="3860" w:type="dxa"/>
            <w:vAlign w:val="bottom"/>
            <w:gridSpan w:val="3"/>
          </w:tcPr>
          <w:p>
            <w:pPr>
              <w:ind w:left="1800"/>
              <w:spacing w:after="0"/>
              <w:rPr>
                <w:sz w:val="20"/>
                <w:szCs w:val="20"/>
                <w:color w:val="auto"/>
              </w:rPr>
            </w:pPr>
            <w:r>
              <w:rPr>
                <w:rFonts w:ascii="Arial" w:cs="Arial" w:eastAsia="Arial" w:hAnsi="Arial"/>
                <w:sz w:val="12"/>
                <w:szCs w:val="12"/>
                <w:b w:val="1"/>
                <w:bCs w:val="1"/>
                <w:color w:val="auto"/>
              </w:rPr>
              <w:t>[UNITS GRANTED]</w:t>
            </w:r>
          </w:p>
        </w:tc>
        <w:tc>
          <w:tcPr>
            <w:tcW w:w="0" w:type="dxa"/>
            <w:vAlign w:val="bottom"/>
          </w:tcPr>
          <w:p>
            <w:pPr>
              <w:spacing w:after="0"/>
              <w:rPr>
                <w:sz w:val="1"/>
                <w:szCs w:val="1"/>
                <w:color w:val="auto"/>
              </w:rPr>
            </w:pPr>
          </w:p>
        </w:tc>
      </w:tr>
      <w:tr>
        <w:trPr>
          <w:trHeight w:val="72"/>
        </w:trPr>
        <w:tc>
          <w:tcPr>
            <w:tcW w:w="326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if you do not remain an employee of the Company at all times during the Vesting Period, this Award shall terminate, and you will not be entitled to any Class C Common Stock underlying the RSUs or any dividend equivalents that may have accrued with respect thereto.</w:t>
      </w:r>
    </w:p>
    <w:p>
      <w:pPr>
        <w:spacing w:after="0" w:line="111"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b w:val="1"/>
          <w:bCs w:val="1"/>
          <w:color w:val="auto"/>
        </w:rPr>
        <w:t>If you disagree with any of the terms of this Award or choose not to accept this Award, please contact [CONTACT] within 45 days of the Date of Grant. Otherwise, you will be deemed to have accepted this Award under the terms and conditions set forth in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80"/>
          </w:cols>
          <w:pgMar w:left="220" w:top="631" w:right="19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2"/>
          <w:szCs w:val="12"/>
          <w:b w:val="1"/>
          <w:bCs w:val="1"/>
          <w:color w:val="auto"/>
        </w:rPr>
        <w:t>RESTRICTED STOCK UNIT AGREEMENT ________________________________________________________________</w:t>
      </w:r>
    </w:p>
    <w:p>
      <w:pPr>
        <w:spacing w:after="0" w:line="6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This Restricted Stock Unit Agreement, dated as of the Date of Grant set forth in the Notice of Restricted Stock Unit Grant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together with this Restricted Stock Unit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to which this Agreement is attached, is made between Clearway Energy, Inc. (the “</w:t>
      </w:r>
      <w:r>
        <w:rPr>
          <w:rFonts w:ascii="Arial" w:cs="Arial" w:eastAsia="Arial" w:hAnsi="Arial"/>
          <w:sz w:val="12"/>
          <w:szCs w:val="12"/>
          <w:u w:val="single" w:color="auto"/>
          <w:color w:val="auto"/>
        </w:rPr>
        <w:t>Company</w:t>
      </w:r>
      <w:r>
        <w:rPr>
          <w:rFonts w:ascii="Arial" w:cs="Arial" w:eastAsia="Arial" w:hAnsi="Arial"/>
          <w:sz w:val="12"/>
          <w:szCs w:val="12"/>
          <w:color w:val="auto"/>
        </w:rPr>
        <w:t>”) and the Participant, as set forth in the Grant Notice. The Grant Notice is included in, and made part of, this Agreement.</w:t>
      </w:r>
    </w:p>
    <w:p>
      <w:pPr>
        <w:spacing w:after="0" w:line="111" w:lineRule="exact"/>
        <w:rPr>
          <w:sz w:val="20"/>
          <w:szCs w:val="20"/>
          <w:color w:val="auto"/>
        </w:rPr>
      </w:pPr>
    </w:p>
    <w:p>
      <w:pPr>
        <w:ind w:left="360" w:hanging="206"/>
        <w:spacing w:after="0"/>
        <w:tabs>
          <w:tab w:leader="none" w:pos="360" w:val="left"/>
        </w:tabs>
        <w:numPr>
          <w:ilvl w:val="0"/>
          <w:numId w:val="125"/>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Grant of RSUs</w:t>
      </w:r>
    </w:p>
    <w:p>
      <w:pPr>
        <w:spacing w:after="0" w:line="154" w:lineRule="exact"/>
        <w:rPr>
          <w:sz w:val="20"/>
          <w:szCs w:val="20"/>
          <w:color w:val="auto"/>
        </w:rPr>
      </w:pPr>
    </w:p>
    <w:p>
      <w:pPr>
        <w:ind w:left="200" w:right="20"/>
        <w:spacing w:after="0" w:line="276" w:lineRule="auto"/>
        <w:rPr>
          <w:sz w:val="20"/>
          <w:szCs w:val="20"/>
          <w:color w:val="auto"/>
        </w:rPr>
      </w:pPr>
      <w:r>
        <w:rPr>
          <w:rFonts w:ascii="Arial" w:cs="Arial" w:eastAsia="Arial" w:hAnsi="Arial"/>
          <w:sz w:val="12"/>
          <w:szCs w:val="12"/>
          <w:color w:val="auto"/>
        </w:rPr>
        <w:t>Subject to the provisions of this Agreement and the provisions of the Clearway Energy, Inc. Amended and Restated 2013 Equity Incentive Plan (the “Plan”), the Company hereby grants to the Participant the number of Restricted Stock Units (“RSUs”) set forth in the Grant Notice.</w:t>
      </w:r>
    </w:p>
    <w:p>
      <w:pPr>
        <w:spacing w:after="0" w:line="111" w:lineRule="exact"/>
        <w:rPr>
          <w:sz w:val="20"/>
          <w:szCs w:val="20"/>
          <w:color w:val="auto"/>
        </w:rPr>
      </w:pPr>
    </w:p>
    <w:p>
      <w:pPr>
        <w:ind w:left="360" w:hanging="206"/>
        <w:spacing w:after="0"/>
        <w:tabs>
          <w:tab w:leader="none" w:pos="360" w:val="left"/>
        </w:tabs>
        <w:numPr>
          <w:ilvl w:val="0"/>
          <w:numId w:val="126"/>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Vesting Schedule</w:t>
      </w:r>
    </w:p>
    <w:p>
      <w:pPr>
        <w:spacing w:after="0" w:line="154" w:lineRule="exact"/>
        <w:rPr>
          <w:sz w:val="20"/>
          <w:szCs w:val="20"/>
          <w:color w:val="auto"/>
        </w:rPr>
      </w:pPr>
    </w:p>
    <w:p>
      <w:pPr>
        <w:ind w:left="200"/>
        <w:spacing w:after="0" w:line="276" w:lineRule="auto"/>
        <w:rPr>
          <w:sz w:val="20"/>
          <w:szCs w:val="20"/>
          <w:color w:val="auto"/>
        </w:rPr>
      </w:pPr>
      <w:r>
        <w:rPr>
          <w:rFonts w:ascii="Arial" w:cs="Arial" w:eastAsia="Arial" w:hAnsi="Arial"/>
          <w:sz w:val="12"/>
          <w:szCs w:val="12"/>
          <w:color w:val="auto"/>
        </w:rPr>
        <w:t>Provided that you have been continuously employed by the Company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11" w:lineRule="exact"/>
        <w:rPr>
          <w:sz w:val="20"/>
          <w:szCs w:val="20"/>
          <w:color w:val="auto"/>
        </w:rPr>
      </w:pPr>
    </w:p>
    <w:p>
      <w:pPr>
        <w:ind w:left="360" w:hanging="206"/>
        <w:spacing w:after="0"/>
        <w:tabs>
          <w:tab w:leader="none" w:pos="360" w:val="left"/>
        </w:tabs>
        <w:numPr>
          <w:ilvl w:val="0"/>
          <w:numId w:val="127"/>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Conversion of RSUs and Issuance of Shares</w:t>
      </w:r>
    </w:p>
    <w:p>
      <w:pPr>
        <w:spacing w:after="0" w:line="154" w:lineRule="exact"/>
        <w:rPr>
          <w:sz w:val="20"/>
          <w:szCs w:val="20"/>
          <w:color w:val="auto"/>
        </w:rPr>
      </w:pPr>
    </w:p>
    <w:p>
      <w:pPr>
        <w:jc w:val="both"/>
        <w:ind w:left="200"/>
        <w:spacing w:after="0" w:line="340" w:lineRule="auto"/>
        <w:rPr>
          <w:sz w:val="20"/>
          <w:szCs w:val="20"/>
          <w:color w:val="auto"/>
        </w:rPr>
      </w:pPr>
      <w:r>
        <w:rPr>
          <w:rFonts w:ascii="Arial" w:cs="Arial" w:eastAsia="Arial" w:hAnsi="Arial"/>
          <w:sz w:val="10"/>
          <w:szCs w:val="10"/>
          <w:color w:val="auto"/>
        </w:rPr>
        <w:t>As soon as reasonably practicable following vesting of the RSUs, subject to satisfaction of applicable tax withholding obligations in accordance with Section 12(g), the Company shall cause to be paid to the Participant one (1) share of Clearway Energy, Inc. Class C Common Stock for each RSU that vests on such vesting date, provided, however, that if the Participant incurs a Termination of Service as described in Section 8, then such payment shall be made within sixty (60) days after the vesting date described in the applicable subsection of Section 8, and, in accordance with Section 12(g), the Fair Market Value of the RSUs shall be determined as of such vesting date, less applicable taxes.</w:t>
      </w:r>
    </w:p>
    <w:p>
      <w:pPr>
        <w:spacing w:after="0" w:line="88" w:lineRule="exact"/>
        <w:rPr>
          <w:sz w:val="20"/>
          <w:szCs w:val="20"/>
          <w:color w:val="auto"/>
        </w:rPr>
      </w:pPr>
    </w:p>
    <w:p>
      <w:pPr>
        <w:jc w:val="both"/>
        <w:ind w:left="200"/>
        <w:spacing w:after="0" w:line="298" w:lineRule="auto"/>
        <w:rPr>
          <w:sz w:val="20"/>
          <w:szCs w:val="20"/>
          <w:color w:val="auto"/>
        </w:rPr>
      </w:pPr>
      <w:r>
        <w:rPr>
          <w:rFonts w:ascii="Arial" w:cs="Arial" w:eastAsia="Arial" w:hAnsi="Arial"/>
          <w:sz w:val="11"/>
          <w:szCs w:val="11"/>
          <w:color w:val="auto"/>
        </w:rPr>
        <w:t>Notwithstanding the foregoing provisions of this Section 3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thirty-day period commencing six (6) months and one (1) day following such separation from service and (b) the date of the Participant’s death.</w:t>
      </w:r>
    </w:p>
    <w:p>
      <w:pPr>
        <w:spacing w:after="0" w:line="101" w:lineRule="exact"/>
        <w:rPr>
          <w:sz w:val="20"/>
          <w:szCs w:val="20"/>
          <w:color w:val="auto"/>
        </w:rPr>
      </w:pPr>
    </w:p>
    <w:p>
      <w:pPr>
        <w:ind w:left="360" w:hanging="206"/>
        <w:spacing w:after="0"/>
        <w:tabs>
          <w:tab w:leader="none" w:pos="360"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Dividend Equivalent Rights</w:t>
      </w:r>
    </w:p>
    <w:p>
      <w:pPr>
        <w:spacing w:after="0" w:line="154" w:lineRule="exact"/>
        <w:rPr>
          <w:sz w:val="20"/>
          <w:szCs w:val="20"/>
          <w:color w:val="auto"/>
        </w:rPr>
      </w:pPr>
    </w:p>
    <w:p>
      <w:pPr>
        <w:jc w:val="both"/>
        <w:ind w:left="200"/>
        <w:spacing w:after="0" w:line="254" w:lineRule="auto"/>
        <w:rPr>
          <w:sz w:val="20"/>
          <w:szCs w:val="20"/>
          <w:color w:val="auto"/>
        </w:rPr>
      </w:pPr>
      <w:r>
        <w:rPr>
          <w:rFonts w:ascii="Arial" w:cs="Arial" w:eastAsia="Arial" w:hAnsi="Arial"/>
          <w:sz w:val="12"/>
          <w:szCs w:val="12"/>
          <w:color w:val="auto"/>
        </w:rPr>
        <w:t>Cash dividends on shares of Class C Common Stock issuable hereunder shall be credited to a dividend book entry account on behalf of the Participant with respect to each RSU granted to the Participant; provided that such cash dividends shall be deemed to be reinvested in shares of Class C Common Stock immediately following the time declared at the then Fair Market Value of the Class C Common Stock and shall vest and be paid at the same time that the shares of Class C Common Stock underlying the RSUs vest and are delivered to the Participant in accordance with the provisions hereof. Stock dividends on shares of Class C Common Stock issuable hereunder shall be credited to a dividend book entry account on behalf of the Participant with respect to each RSU granted to the Participant; provided that such stock dividends shall vest and be paid at the same time that the shares of Class C Common Stock underlying the RSUs vest and are delivered to the Participant in accordance with the provisions hereof. Notwithstanding the foregoing, in the event that there are insufficient shares of Class C Common Stock available in the Plan to settle the accrued dividends in shares of Class C Common Stock, such shares of Class C Common Stock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any RSU unless and until the Participant has become the holder of record of such shares.</w:t>
      </w:r>
    </w:p>
    <w:p>
      <w:pPr>
        <w:spacing w:after="0" w:line="125" w:lineRule="exact"/>
        <w:rPr>
          <w:sz w:val="20"/>
          <w:szCs w:val="20"/>
          <w:color w:val="auto"/>
        </w:rPr>
      </w:pPr>
    </w:p>
    <w:p>
      <w:pPr>
        <w:ind w:left="360" w:hanging="206"/>
        <w:spacing w:after="0"/>
        <w:tabs>
          <w:tab w:leader="none" w:pos="360" w:val="left"/>
        </w:tabs>
        <w:numPr>
          <w:ilvl w:val="0"/>
          <w:numId w:val="129"/>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Transfer of RSUs</w:t>
      </w:r>
    </w:p>
    <w:p>
      <w:pPr>
        <w:spacing w:after="0" w:line="154" w:lineRule="exact"/>
        <w:rPr>
          <w:sz w:val="20"/>
          <w:szCs w:val="20"/>
          <w:color w:val="auto"/>
        </w:rPr>
      </w:pPr>
    </w:p>
    <w:p>
      <w:pPr>
        <w:ind w:left="200"/>
        <w:spacing w:after="0" w:line="276" w:lineRule="auto"/>
        <w:rPr>
          <w:sz w:val="20"/>
          <w:szCs w:val="20"/>
          <w:color w:val="auto"/>
        </w:rPr>
      </w:pPr>
      <w:r>
        <w:rPr>
          <w:rFonts w:ascii="Arial" w:cs="Arial" w:eastAsia="Arial" w:hAnsi="Arial"/>
          <w:sz w:val="12"/>
          <w:szCs w:val="12"/>
          <w:color w:val="auto"/>
        </w:rPr>
        <w:t>Unless otherwise permitted by the Committee or Section 16 of the Plan, the RSUs may not be sold, transferred, pledged, assigned or otherwise alienated or hypothecated, other than pursuant to a will or the laws of descent and distribution. Any attempted disposition in violation of this Section 5 and Section 16 of the Plan shall be void.</w:t>
      </w:r>
    </w:p>
    <w:p>
      <w:pPr>
        <w:spacing w:after="0" w:line="111" w:lineRule="exact"/>
        <w:rPr>
          <w:sz w:val="20"/>
          <w:szCs w:val="20"/>
          <w:color w:val="auto"/>
        </w:rPr>
      </w:pPr>
    </w:p>
    <w:p>
      <w:pPr>
        <w:ind w:left="360" w:hanging="206"/>
        <w:spacing w:after="0"/>
        <w:tabs>
          <w:tab w:leader="none" w:pos="360"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Status of Participant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80"/>
          </w:cols>
          <w:pgMar w:left="220" w:top="460" w:right="199" w:bottom="1440" w:gutter="0" w:footer="0" w:header="0"/>
        </w:sectPr>
      </w:pPr>
    </w:p>
    <w:bookmarkStart w:id="179" w:name="page180"/>
    <w:bookmarkEnd w:id="179"/>
    <w:p>
      <w:pPr>
        <w:jc w:val="both"/>
        <w:ind w:left="46"/>
        <w:spacing w:after="0" w:line="298" w:lineRule="auto"/>
        <w:rPr>
          <w:sz w:val="20"/>
          <w:szCs w:val="20"/>
          <w:color w:val="auto"/>
        </w:rPr>
      </w:pPr>
      <w:r>
        <w:rPr>
          <w:rFonts w:ascii="Arial" w:cs="Arial" w:eastAsia="Arial" w:hAnsi="Arial"/>
          <w:sz w:val="11"/>
          <w:szCs w:val="11"/>
          <w:color w:val="auto"/>
        </w:rPr>
        <w:t>The Participant shall not be, and, except as otherwise provided herein, shall not have rights as, a stockholder of the Company with respect to any of the shares of Class C Common Stock subject to this Award, unless the Award has vested and shares of Class C Common Stock underlying the RSUs have been issued and delivered to the Participant. The Company shall not be required to issue or transfer any certificates for shares of Class C Common Stock upon vesting of the Award until all applicable requirements of law have been complied with and such shares have been duly listed on any securities exchange on which the Class C Common Stock may then be listed.</w:t>
      </w:r>
    </w:p>
    <w:p>
      <w:pPr>
        <w:spacing w:after="0" w:line="101" w:lineRule="exact"/>
        <w:rPr>
          <w:sz w:val="20"/>
          <w:szCs w:val="20"/>
          <w:color w:val="auto"/>
        </w:rPr>
      </w:pPr>
    </w:p>
    <w:p>
      <w:pPr>
        <w:ind w:left="206" w:hanging="206"/>
        <w:spacing w:after="0"/>
        <w:tabs>
          <w:tab w:leader="none" w:pos="206" w:val="left"/>
        </w:tabs>
        <w:numPr>
          <w:ilvl w:val="0"/>
          <w:numId w:val="131"/>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No Effect on Capital Structure</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11" w:lineRule="exact"/>
        <w:rPr>
          <w:sz w:val="20"/>
          <w:szCs w:val="20"/>
          <w:color w:val="auto"/>
        </w:rPr>
      </w:pPr>
    </w:p>
    <w:p>
      <w:pPr>
        <w:ind w:left="206" w:hanging="206"/>
        <w:spacing w:after="0"/>
        <w:tabs>
          <w:tab w:leader="none" w:pos="206" w:val="left"/>
        </w:tabs>
        <w:numPr>
          <w:ilvl w:val="0"/>
          <w:numId w:val="132"/>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Expiration and Forfeiture of Award</w:t>
      </w:r>
    </w:p>
    <w:p>
      <w:pPr>
        <w:spacing w:after="0" w:line="226"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This Award shall vest and/or expire in the circumstances described in this Section 8. As used herein, “Termination of Service” means termination of a Participant’s employment by, or service to, the Company, including any of its Affiliates.</w:t>
      </w:r>
    </w:p>
    <w:p>
      <w:pPr>
        <w:spacing w:after="0" w:line="115" w:lineRule="exact"/>
        <w:rPr>
          <w:sz w:val="20"/>
          <w:szCs w:val="20"/>
          <w:color w:val="auto"/>
        </w:rPr>
      </w:pPr>
    </w:p>
    <w:p>
      <w:pPr>
        <w:ind w:left="306" w:hanging="252"/>
        <w:spacing w:after="0"/>
        <w:tabs>
          <w:tab w:leader="none" w:pos="306"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Death</w:t>
      </w:r>
    </w:p>
    <w:p>
      <w:pPr>
        <w:spacing w:after="0" w:line="150" w:lineRule="exact"/>
        <w:rPr>
          <w:rFonts w:ascii="Arial" w:cs="Arial" w:eastAsia="Arial" w:hAnsi="Arial"/>
          <w:sz w:val="12"/>
          <w:szCs w:val="12"/>
          <w:b w:val="1"/>
          <w:bCs w:val="1"/>
          <w:i w:val="1"/>
          <w:iCs w:val="1"/>
          <w:color w:val="auto"/>
        </w:rPr>
      </w:pPr>
    </w:p>
    <w:p>
      <w:pPr>
        <w:ind w:left="326"/>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by reason of death, the Award shall vest in full and the Class C Common Stock underlying the RSUs shall be issued and delivered to the Participant's legal representatives, heirs, legatees, or distributees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Retirement</w:t>
      </w:r>
    </w:p>
    <w:p>
      <w:pPr>
        <w:spacing w:after="0" w:line="150" w:lineRule="exact"/>
        <w:rPr>
          <w:rFonts w:ascii="Arial" w:cs="Arial" w:eastAsia="Arial" w:hAnsi="Arial"/>
          <w:sz w:val="12"/>
          <w:szCs w:val="12"/>
          <w:b w:val="1"/>
          <w:bCs w:val="1"/>
          <w:i w:val="1"/>
          <w:iCs w:val="1"/>
          <w:color w:val="auto"/>
        </w:rPr>
      </w:pPr>
    </w:p>
    <w:p>
      <w:pPr>
        <w:ind w:left="326"/>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in the event of Retirement, the Award shall continue to vest according to the vesting schedule;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Retirement occurs more than twelve (12) months following the Date of Grant.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Disability</w:t>
      </w:r>
    </w:p>
    <w:p>
      <w:pPr>
        <w:spacing w:after="0" w:line="150" w:lineRule="exact"/>
        <w:rPr>
          <w:rFonts w:ascii="Arial" w:cs="Arial" w:eastAsia="Arial" w:hAnsi="Arial"/>
          <w:sz w:val="12"/>
          <w:szCs w:val="12"/>
          <w:b w:val="1"/>
          <w:bCs w:val="1"/>
          <w:i w:val="1"/>
          <w:iCs w:val="1"/>
          <w:color w:val="auto"/>
        </w:rPr>
      </w:pPr>
    </w:p>
    <w:p>
      <w:pPr>
        <w:ind w:left="326"/>
        <w:spacing w:after="0"/>
        <w:rPr>
          <w:rFonts w:ascii="Arial" w:cs="Arial" w:eastAsia="Arial" w:hAnsi="Arial"/>
          <w:sz w:val="12"/>
          <w:szCs w:val="12"/>
          <w:b w:val="1"/>
          <w:bCs w:val="1"/>
          <w:i w:val="1"/>
          <w:iCs w:val="1"/>
          <w:color w:val="auto"/>
        </w:rPr>
      </w:pPr>
      <w:r>
        <w:rPr>
          <w:rFonts w:ascii="Arial" w:cs="Arial" w:eastAsia="Arial" w:hAnsi="Arial"/>
          <w:sz w:val="11"/>
          <w:szCs w:val="11"/>
          <w:color w:val="auto"/>
        </w:rPr>
        <w:t xml:space="preserve">Upon a Termination of Service as a result of Disability, the Award shall vest in full, and the Class C Common Stock underlying the RSUs shall be issued and delivered to the Participant in accordance with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61"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Change in Control</w:t>
      </w:r>
    </w:p>
    <w:p>
      <w:pPr>
        <w:spacing w:after="0" w:line="150" w:lineRule="exact"/>
        <w:rPr>
          <w:rFonts w:ascii="Arial" w:cs="Arial" w:eastAsia="Arial" w:hAnsi="Arial"/>
          <w:sz w:val="12"/>
          <w:szCs w:val="12"/>
          <w:b w:val="1"/>
          <w:bCs w:val="1"/>
          <w:i w:val="1"/>
          <w:iCs w:val="1"/>
          <w:color w:val="auto"/>
        </w:rPr>
      </w:pPr>
    </w:p>
    <w:p>
      <w:pPr>
        <w:jc w:val="both"/>
        <w:ind w:left="326"/>
        <w:spacing w:after="0" w:line="259"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Notwithstanding anything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to the contrary, if the Company terminates the Participant’s employment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 The Company’s termination of the Participant’s employment may be treated as being in connection with a Change in Control only if such termination occurs during the period beginning six (6) months prior to the Change in Control and ending twelve (12) months following the Change in Control.</w:t>
      </w:r>
    </w:p>
    <w:p>
      <w:pPr>
        <w:spacing w:after="0" w:line="12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Termination of Service other than as a result of Death, Retirement, Disability or Change in Control</w:t>
      </w:r>
    </w:p>
    <w:p>
      <w:pPr>
        <w:spacing w:after="0" w:line="150" w:lineRule="exact"/>
        <w:rPr>
          <w:rFonts w:ascii="Arial" w:cs="Arial" w:eastAsia="Arial" w:hAnsi="Arial"/>
          <w:sz w:val="12"/>
          <w:szCs w:val="12"/>
          <w:b w:val="1"/>
          <w:bCs w:val="1"/>
          <w:i w:val="1"/>
          <w:iCs w:val="1"/>
          <w:color w:val="auto"/>
        </w:rPr>
      </w:pPr>
    </w:p>
    <w:p>
      <w:pPr>
        <w:ind w:left="326" w:right="20"/>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Upon a Termination of Service by any reason other than death, Retirement, Disability or in connection with a Change in Control, including, without limitation, as a result of retirement or disability that does not meet the requirements set forth in the definitions of such terms in the Plan, voluntary resignation or termination for Cause, any unvested portion of this Award shall expire and be forfeited to the Company.</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Clawback as a result of misconduct</w:t>
      </w:r>
    </w:p>
    <w:p>
      <w:pPr>
        <w:spacing w:after="0" w:line="150" w:lineRule="exact"/>
        <w:rPr>
          <w:rFonts w:ascii="Arial" w:cs="Arial" w:eastAsia="Arial" w:hAnsi="Arial"/>
          <w:sz w:val="12"/>
          <w:szCs w:val="12"/>
          <w:b w:val="1"/>
          <w:bCs w:val="1"/>
          <w:i w:val="1"/>
          <w:iCs w:val="1"/>
          <w:color w:val="auto"/>
        </w:rPr>
      </w:pPr>
    </w:p>
    <w:p>
      <w:pPr>
        <w:jc w:val="both"/>
        <w:ind w:left="326"/>
        <w:spacing w:after="0" w:line="257" w:lineRule="auto"/>
        <w:rPr>
          <w:rFonts w:ascii="Arial" w:cs="Arial" w:eastAsia="Arial" w:hAnsi="Arial"/>
          <w:sz w:val="12"/>
          <w:szCs w:val="12"/>
          <w:b w:val="1"/>
          <w:bCs w:val="1"/>
          <w:i w:val="1"/>
          <w:iCs w:val="1"/>
          <w:color w:val="auto"/>
        </w:rPr>
      </w:pPr>
      <w:r>
        <w:rPr>
          <w:rFonts w:ascii="Arial" w:cs="Arial" w:eastAsia="Arial" w:hAnsi="Arial"/>
          <w:sz w:val="12"/>
          <w:szCs w:val="12"/>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this Award, and/or to forfeit the proceeds of any sale (including any sales to the Company) of any Company securities acquired by or on behalf of the Participant (or the Participant’s beneficiary) pursuant to the Award granted under this</w:t>
      </w:r>
    </w:p>
    <w:p>
      <w:pPr>
        <w:spacing w:after="0" w:line="292" w:lineRule="exact"/>
        <w:rPr>
          <w:sz w:val="20"/>
          <w:szCs w:val="20"/>
          <w:color w:val="auto"/>
        </w:rPr>
      </w:pPr>
    </w:p>
    <w:p>
      <w:pPr>
        <w:jc w:val="center"/>
        <w:ind w:right="154"/>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26"/>
          </w:cols>
          <w:pgMar w:left="374" w:top="464" w:right="199" w:bottom="1440" w:gutter="0" w:footer="0" w:header="0"/>
        </w:sectPr>
      </w:pPr>
    </w:p>
    <w:bookmarkStart w:id="180" w:name="page181"/>
    <w:bookmarkEnd w:id="180"/>
    <w:p>
      <w:pPr>
        <w:ind w:left="326"/>
        <w:spacing w:after="0"/>
        <w:rPr>
          <w:sz w:val="20"/>
          <w:szCs w:val="20"/>
          <w:color w:val="auto"/>
        </w:rPr>
      </w:pPr>
      <w:r>
        <w:rPr>
          <w:rFonts w:ascii="Arial" w:cs="Arial" w:eastAsia="Arial" w:hAnsi="Arial"/>
          <w:sz w:val="12"/>
          <w:szCs w:val="12"/>
          <w:color w:val="auto"/>
        </w:rPr>
        <w:t>Agreement during the 12-month period following the first public filing of the financial document requiring restatement or during the 12-month period following the date of the Participant’s misconduct.</w:t>
      </w:r>
    </w:p>
    <w:p>
      <w:pPr>
        <w:spacing w:after="0" w:line="146" w:lineRule="exact"/>
        <w:rPr>
          <w:sz w:val="20"/>
          <w:szCs w:val="20"/>
          <w:color w:val="auto"/>
        </w:rPr>
      </w:pPr>
    </w:p>
    <w:p>
      <w:pPr>
        <w:ind w:left="206" w:hanging="206"/>
        <w:spacing w:after="0"/>
        <w:tabs>
          <w:tab w:leader="none" w:pos="206" w:val="left"/>
        </w:tabs>
        <w:numPr>
          <w:ilvl w:val="0"/>
          <w:numId w:val="134"/>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Committee Authority</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11" w:lineRule="exact"/>
        <w:rPr>
          <w:sz w:val="20"/>
          <w:szCs w:val="20"/>
          <w:color w:val="auto"/>
        </w:rPr>
      </w:pPr>
    </w:p>
    <w:p>
      <w:pPr>
        <w:ind w:left="206" w:hanging="206"/>
        <w:spacing w:after="0"/>
        <w:tabs>
          <w:tab w:leader="none" w:pos="206"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Plan Controls</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spacing w:after="0" w:line="111" w:lineRule="exact"/>
        <w:rPr>
          <w:sz w:val="20"/>
          <w:szCs w:val="20"/>
          <w:color w:val="auto"/>
        </w:rPr>
      </w:pPr>
    </w:p>
    <w:p>
      <w:pPr>
        <w:ind w:left="206" w:hanging="206"/>
        <w:spacing w:after="0"/>
        <w:tabs>
          <w:tab w:leader="none" w:pos="206" w:val="left"/>
        </w:tabs>
        <w:numPr>
          <w:ilvl w:val="0"/>
          <w:numId w:val="136"/>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Limitation on Rights; No Right to Future Grants</w:t>
      </w:r>
    </w:p>
    <w:p>
      <w:pPr>
        <w:spacing w:after="0" w:line="154" w:lineRule="exact"/>
        <w:rPr>
          <w:sz w:val="20"/>
          <w:szCs w:val="20"/>
          <w:color w:val="auto"/>
        </w:rPr>
      </w:pPr>
    </w:p>
    <w:p>
      <w:pPr>
        <w:jc w:val="both"/>
        <w:ind w:left="46"/>
        <w:spacing w:after="0" w:line="278" w:lineRule="auto"/>
        <w:rPr>
          <w:sz w:val="20"/>
          <w:szCs w:val="20"/>
          <w:color w:val="auto"/>
        </w:rPr>
      </w:pPr>
      <w:r>
        <w:rPr>
          <w:rFonts w:ascii="Arial" w:cs="Arial" w:eastAsia="Arial" w:hAnsi="Arial"/>
          <w:sz w:val="11"/>
          <w:szCs w:val="11"/>
          <w:color w:val="auto"/>
        </w:rPr>
        <w:t>By entering into this Agreement and accepting this Award, the Participant acknowledges that: (a) the Plan is discretionary and may be modified, suspended or terminated by the Company at any time, as provided in the Plan; provided that, except as provided in Section 24 of the Plan, no amendment to this Agreement shall adversely affect in a material manner the Participant’s rights under this Agreement without his or her written consent; (b) the grant of this Award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Section 8; (g) the future value of the Class C Common Stock subject to this Award is unknown and cannot be predicted with certainty, (h) neither the Plan, this Award nor the issuance of the shares of Class C Common Stock underlying this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with the Company or any Subsidiary; and furthermore, the grant of this Award will not be interpreted to form an employment contract with the Company or any Subsidiary.</w:t>
      </w:r>
    </w:p>
    <w:p>
      <w:pPr>
        <w:spacing w:after="0" w:line="114" w:lineRule="exact"/>
        <w:rPr>
          <w:sz w:val="20"/>
          <w:szCs w:val="20"/>
          <w:color w:val="auto"/>
        </w:rPr>
      </w:pPr>
    </w:p>
    <w:p>
      <w:pPr>
        <w:ind w:left="206" w:hanging="206"/>
        <w:spacing w:after="0"/>
        <w:tabs>
          <w:tab w:leader="none" w:pos="206" w:val="left"/>
        </w:tabs>
        <w:numPr>
          <w:ilvl w:val="0"/>
          <w:numId w:val="137"/>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General Provisions</w:t>
      </w:r>
    </w:p>
    <w:p>
      <w:pPr>
        <w:spacing w:after="0" w:line="15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1"/>
          <w:numId w:val="13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Notice</w:t>
      </w:r>
    </w:p>
    <w:p>
      <w:pPr>
        <w:spacing w:after="0" w:line="150" w:lineRule="exact"/>
        <w:rPr>
          <w:rFonts w:ascii="Arial" w:cs="Arial" w:eastAsia="Arial" w:hAnsi="Arial"/>
          <w:sz w:val="12"/>
          <w:szCs w:val="12"/>
          <w:b w:val="1"/>
          <w:bCs w:val="1"/>
          <w:i w:val="1"/>
          <w:iCs w:val="1"/>
          <w:color w:val="auto"/>
        </w:rPr>
      </w:pPr>
    </w:p>
    <w:p>
      <w:pPr>
        <w:jc w:val="both"/>
        <w:ind w:left="326"/>
        <w:spacing w:after="0" w:line="327" w:lineRule="auto"/>
        <w:rPr>
          <w:rFonts w:ascii="Arial" w:cs="Arial" w:eastAsia="Arial" w:hAnsi="Arial"/>
          <w:sz w:val="12"/>
          <w:szCs w:val="12"/>
          <w:b w:val="1"/>
          <w:bCs w:val="1"/>
          <w:i w:val="1"/>
          <w:iCs w:val="1"/>
          <w:color w:val="auto"/>
        </w:rPr>
      </w:pPr>
      <w:r>
        <w:rPr>
          <w:rFonts w:ascii="Arial" w:cs="Arial" w:eastAsia="Arial" w:hAnsi="Arial"/>
          <w:sz w:val="10"/>
          <w:szCs w:val="10"/>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pacing w:after="0" w:line="166" w:lineRule="exact"/>
        <w:rPr>
          <w:sz w:val="20"/>
          <w:szCs w:val="20"/>
          <w:color w:val="auto"/>
        </w:rPr>
      </w:pPr>
    </w:p>
    <w:p>
      <w:pPr>
        <w:ind w:left="1566"/>
        <w:spacing w:after="0"/>
        <w:tabs>
          <w:tab w:leader="none" w:pos="2165" w:val="left"/>
        </w:tabs>
        <w:rPr>
          <w:sz w:val="20"/>
          <w:szCs w:val="20"/>
          <w:color w:val="auto"/>
        </w:rPr>
      </w:pPr>
      <w:r>
        <w:rPr>
          <w:rFonts w:ascii="Arial" w:cs="Arial" w:eastAsia="Arial" w:hAnsi="Arial"/>
          <w:sz w:val="12"/>
          <w:szCs w:val="12"/>
          <w:color w:val="auto"/>
        </w:rPr>
        <w:t>Company:</w:t>
      </w:r>
      <w:r>
        <w:rPr>
          <w:sz w:val="20"/>
          <w:szCs w:val="20"/>
          <w:color w:val="auto"/>
        </w:rPr>
        <w:tab/>
      </w:r>
      <w:r>
        <w:rPr>
          <w:rFonts w:ascii="Arial" w:cs="Arial" w:eastAsia="Arial" w:hAnsi="Arial"/>
          <w:sz w:val="11"/>
          <w:szCs w:val="11"/>
          <w:color w:val="auto"/>
        </w:rPr>
        <w:t>Clearway Energy, Inc.</w:t>
      </w:r>
    </w:p>
    <w:p>
      <w:pPr>
        <w:spacing w:after="0" w:line="15" w:lineRule="exact"/>
        <w:rPr>
          <w:sz w:val="20"/>
          <w:szCs w:val="20"/>
          <w:color w:val="auto"/>
        </w:rPr>
      </w:pPr>
    </w:p>
    <w:p>
      <w:pPr>
        <w:ind w:left="2426"/>
        <w:spacing w:after="0"/>
        <w:rPr>
          <w:sz w:val="20"/>
          <w:szCs w:val="20"/>
          <w:color w:val="auto"/>
        </w:rPr>
      </w:pPr>
      <w:r>
        <w:rPr>
          <w:rFonts w:ascii="Arial" w:cs="Arial" w:eastAsia="Arial" w:hAnsi="Arial"/>
          <w:sz w:val="12"/>
          <w:szCs w:val="12"/>
          <w:color w:val="auto"/>
        </w:rPr>
        <w:t>Attn: SVP, General Counsel &amp; Corporate Secretary</w:t>
      </w:r>
    </w:p>
    <w:p>
      <w:pPr>
        <w:spacing w:after="0" w:line="6" w:lineRule="exact"/>
        <w:rPr>
          <w:sz w:val="20"/>
          <w:szCs w:val="20"/>
          <w:color w:val="auto"/>
        </w:rPr>
      </w:pPr>
    </w:p>
    <w:p>
      <w:pPr>
        <w:ind w:left="2646"/>
        <w:spacing w:after="0"/>
        <w:rPr>
          <w:sz w:val="20"/>
          <w:szCs w:val="20"/>
          <w:color w:val="auto"/>
        </w:rPr>
      </w:pPr>
      <w:r>
        <w:rPr>
          <w:rFonts w:ascii="Arial" w:cs="Arial" w:eastAsia="Arial" w:hAnsi="Arial"/>
          <w:sz w:val="12"/>
          <w:szCs w:val="12"/>
          <w:color w:val="auto"/>
        </w:rPr>
        <w:t>300 Carnegie Center, Suite 300</w:t>
      </w:r>
    </w:p>
    <w:p>
      <w:pPr>
        <w:spacing w:after="0" w:line="6" w:lineRule="exact"/>
        <w:rPr>
          <w:sz w:val="20"/>
          <w:szCs w:val="20"/>
          <w:color w:val="auto"/>
        </w:rPr>
      </w:pPr>
    </w:p>
    <w:p>
      <w:pPr>
        <w:ind w:left="606"/>
        <w:spacing w:after="0"/>
        <w:rPr>
          <w:sz w:val="20"/>
          <w:szCs w:val="20"/>
          <w:color w:val="auto"/>
        </w:rPr>
      </w:pPr>
      <w:r>
        <w:rPr>
          <w:rFonts w:ascii="Arial" w:cs="Arial" w:eastAsia="Arial" w:hAnsi="Arial"/>
          <w:sz w:val="12"/>
          <w:szCs w:val="12"/>
          <w:color w:val="auto"/>
        </w:rPr>
        <w:t>Princeton, NJ 08450</w:t>
      </w:r>
    </w:p>
    <w:p>
      <w:pPr>
        <w:spacing w:after="0" w:line="141" w:lineRule="exact"/>
        <w:rPr>
          <w:sz w:val="20"/>
          <w:szCs w:val="20"/>
          <w:color w:val="auto"/>
        </w:rPr>
      </w:pPr>
    </w:p>
    <w:p>
      <w:pPr>
        <w:ind w:left="326"/>
        <w:spacing w:after="0"/>
        <w:rPr>
          <w:sz w:val="20"/>
          <w:szCs w:val="20"/>
          <w:color w:val="auto"/>
        </w:rPr>
      </w:pPr>
      <w:r>
        <w:rPr>
          <w:rFonts w:ascii="Arial" w:cs="Arial" w:eastAsia="Arial" w:hAnsi="Arial"/>
          <w:sz w:val="12"/>
          <w:szCs w:val="12"/>
          <w:color w:val="auto"/>
        </w:rPr>
        <w:t>The Company or the Participant may change, by written notice to the other, the address previously specified for receiving notices.</w:t>
      </w:r>
    </w:p>
    <w:p>
      <w:pPr>
        <w:spacing w:after="0" w:line="150" w:lineRule="exact"/>
        <w:rPr>
          <w:sz w:val="20"/>
          <w:szCs w:val="20"/>
          <w:color w:val="auto"/>
        </w:rPr>
      </w:pPr>
    </w:p>
    <w:p>
      <w:pPr>
        <w:ind w:left="306" w:hanging="252"/>
        <w:spacing w:after="0"/>
        <w:tabs>
          <w:tab w:leader="none" w:pos="306" w:val="left"/>
        </w:tabs>
        <w:numPr>
          <w:ilvl w:val="0"/>
          <w:numId w:val="13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 Waiver</w:t>
      </w:r>
    </w:p>
    <w:p>
      <w:pPr>
        <w:spacing w:after="0" w:line="316" w:lineRule="exact"/>
        <w:rPr>
          <w:sz w:val="20"/>
          <w:szCs w:val="20"/>
          <w:color w:val="auto"/>
        </w:rPr>
      </w:pPr>
    </w:p>
    <w:p>
      <w:pPr>
        <w:jc w:val="center"/>
        <w:ind w:right="154"/>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26"/>
          </w:cols>
          <w:pgMar w:left="374" w:top="464" w:right="199" w:bottom="1440" w:gutter="0" w:footer="0" w:header="0"/>
        </w:sectPr>
      </w:pPr>
    </w:p>
    <w:bookmarkStart w:id="181" w:name="page182"/>
    <w:bookmarkEnd w:id="181"/>
    <w:p>
      <w:pPr>
        <w:ind w:left="280"/>
        <w:spacing w:after="0" w:line="276" w:lineRule="auto"/>
        <w:rPr>
          <w:sz w:val="20"/>
          <w:szCs w:val="20"/>
          <w:color w:val="auto"/>
        </w:rPr>
      </w:pPr>
      <w:r>
        <w:rPr>
          <w:rFonts w:ascii="Arial" w:cs="Arial" w:eastAsia="Arial" w:hAnsi="Arial"/>
          <w:sz w:val="12"/>
          <w:szCs w:val="12"/>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15" w:lineRule="exact"/>
        <w:rPr>
          <w:sz w:val="20"/>
          <w:szCs w:val="20"/>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Undertaking</w:t>
      </w:r>
    </w:p>
    <w:p>
      <w:pPr>
        <w:spacing w:after="0" w:line="150" w:lineRule="exact"/>
        <w:rPr>
          <w:rFonts w:ascii="Arial" w:cs="Arial" w:eastAsia="Arial" w:hAnsi="Arial"/>
          <w:sz w:val="12"/>
          <w:szCs w:val="12"/>
          <w:b w:val="1"/>
          <w:bCs w:val="1"/>
          <w:i w:val="1"/>
          <w:iCs w:val="1"/>
          <w:color w:val="auto"/>
        </w:rPr>
      </w:pPr>
    </w:p>
    <w:p>
      <w:pPr>
        <w:ind w:left="280"/>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14" w:lineRule="exact"/>
        <w:rPr>
          <w:rFonts w:ascii="Arial" w:cs="Arial" w:eastAsia="Arial" w:hAnsi="Arial"/>
          <w:sz w:val="12"/>
          <w:szCs w:val="12"/>
          <w:b w:val="1"/>
          <w:bCs w:val="1"/>
          <w:i w:val="1"/>
          <w:iCs w:val="1"/>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Entire Contract</w:t>
      </w:r>
    </w:p>
    <w:p>
      <w:pPr>
        <w:spacing w:after="0" w:line="150" w:lineRule="exact"/>
        <w:rPr>
          <w:rFonts w:ascii="Arial" w:cs="Arial" w:eastAsia="Arial" w:hAnsi="Arial"/>
          <w:sz w:val="12"/>
          <w:szCs w:val="12"/>
          <w:b w:val="1"/>
          <w:bCs w:val="1"/>
          <w:i w:val="1"/>
          <w:iCs w:val="1"/>
          <w:color w:val="auto"/>
        </w:rPr>
      </w:pPr>
    </w:p>
    <w:p>
      <w:pPr>
        <w:ind w:left="280"/>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14" w:lineRule="exact"/>
        <w:rPr>
          <w:rFonts w:ascii="Arial" w:cs="Arial" w:eastAsia="Arial" w:hAnsi="Arial"/>
          <w:sz w:val="12"/>
          <w:szCs w:val="12"/>
          <w:b w:val="1"/>
          <w:bCs w:val="1"/>
          <w:i w:val="1"/>
          <w:iCs w:val="1"/>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Successors and Assigns</w:t>
      </w:r>
    </w:p>
    <w:p>
      <w:pPr>
        <w:spacing w:after="0" w:line="150" w:lineRule="exact"/>
        <w:rPr>
          <w:rFonts w:ascii="Arial" w:cs="Arial" w:eastAsia="Arial" w:hAnsi="Arial"/>
          <w:sz w:val="12"/>
          <w:szCs w:val="12"/>
          <w:b w:val="1"/>
          <w:bCs w:val="1"/>
          <w:i w:val="1"/>
          <w:iCs w:val="1"/>
          <w:color w:val="auto"/>
        </w:rPr>
      </w:pPr>
    </w:p>
    <w:p>
      <w:pPr>
        <w:ind w:left="280"/>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14" w:lineRule="exact"/>
        <w:rPr>
          <w:rFonts w:ascii="Arial" w:cs="Arial" w:eastAsia="Arial" w:hAnsi="Arial"/>
          <w:sz w:val="12"/>
          <w:szCs w:val="12"/>
          <w:b w:val="1"/>
          <w:bCs w:val="1"/>
          <w:i w:val="1"/>
          <w:iCs w:val="1"/>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Securities Law Compliance</w:t>
      </w:r>
    </w:p>
    <w:p>
      <w:pPr>
        <w:spacing w:after="0" w:line="150" w:lineRule="exact"/>
        <w:rPr>
          <w:rFonts w:ascii="Arial" w:cs="Arial" w:eastAsia="Arial" w:hAnsi="Arial"/>
          <w:sz w:val="12"/>
          <w:szCs w:val="12"/>
          <w:b w:val="1"/>
          <w:bCs w:val="1"/>
          <w:i w:val="1"/>
          <w:iCs w:val="1"/>
          <w:color w:val="auto"/>
        </w:rPr>
      </w:pPr>
    </w:p>
    <w:p>
      <w:pPr>
        <w:jc w:val="both"/>
        <w:ind w:left="280"/>
        <w:spacing w:after="0" w:line="283" w:lineRule="auto"/>
        <w:rPr>
          <w:rFonts w:ascii="Arial" w:cs="Arial" w:eastAsia="Arial" w:hAnsi="Arial"/>
          <w:sz w:val="12"/>
          <w:szCs w:val="12"/>
          <w:b w:val="1"/>
          <w:bCs w:val="1"/>
          <w:i w:val="1"/>
          <w:iCs w:val="1"/>
          <w:color w:val="auto"/>
        </w:rPr>
      </w:pPr>
      <w:r>
        <w:rPr>
          <w:rFonts w:ascii="Arial" w:cs="Arial" w:eastAsia="Arial" w:hAnsi="Arial"/>
          <w:sz w:val="11"/>
          <w:szCs w:val="11"/>
          <w:color w:val="auto"/>
        </w:rPr>
        <w:t>The Company currently has an effective registration statement on file with the Securities and Exchange Commission with respect to the shares of Class C Common Stock underlying this Award. The Company intends to maintain this registration statement but has no obligation to the Participant to do so. If the registration statement ceases to be effective, the Participant will not be able to transfer or sell shares of Class C Common Stock issued pursuant to this Award, unless exemptions from registration under applicable securities laws are available. Such exemptions from registration are very limited and might be unavailable. Participant agrees that any resale of the shares of Class C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13" w:lineRule="exact"/>
        <w:rPr>
          <w:rFonts w:ascii="Arial" w:cs="Arial" w:eastAsia="Arial" w:hAnsi="Arial"/>
          <w:sz w:val="12"/>
          <w:szCs w:val="12"/>
          <w:b w:val="1"/>
          <w:bCs w:val="1"/>
          <w:i w:val="1"/>
          <w:iCs w:val="1"/>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Taxes</w:t>
      </w:r>
    </w:p>
    <w:p>
      <w:pPr>
        <w:spacing w:after="0" w:line="150" w:lineRule="exact"/>
        <w:rPr>
          <w:rFonts w:ascii="Arial" w:cs="Arial" w:eastAsia="Arial" w:hAnsi="Arial"/>
          <w:sz w:val="12"/>
          <w:szCs w:val="12"/>
          <w:b w:val="1"/>
          <w:bCs w:val="1"/>
          <w:i w:val="1"/>
          <w:iCs w:val="1"/>
          <w:color w:val="auto"/>
        </w:rPr>
      </w:pPr>
    </w:p>
    <w:p>
      <w:pPr>
        <w:jc w:val="both"/>
        <w:ind w:left="280"/>
        <w:spacing w:after="0" w:line="257"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acknowledges that the removal of restrictions with respect to RSUs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25" w:lineRule="exact"/>
        <w:rPr>
          <w:rFonts w:ascii="Arial" w:cs="Arial" w:eastAsia="Arial" w:hAnsi="Arial"/>
          <w:sz w:val="12"/>
          <w:szCs w:val="12"/>
          <w:b w:val="1"/>
          <w:bCs w:val="1"/>
          <w:i w:val="1"/>
          <w:iCs w:val="1"/>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Confidentiality</w:t>
      </w:r>
    </w:p>
    <w:p>
      <w:pPr>
        <w:spacing w:after="0" w:line="150" w:lineRule="exact"/>
        <w:rPr>
          <w:rFonts w:ascii="Arial" w:cs="Arial" w:eastAsia="Arial" w:hAnsi="Arial"/>
          <w:sz w:val="12"/>
          <w:szCs w:val="12"/>
          <w:b w:val="1"/>
          <w:bCs w:val="1"/>
          <w:i w:val="1"/>
          <w:iCs w:val="1"/>
          <w:color w:val="auto"/>
        </w:rPr>
      </w:pPr>
    </w:p>
    <w:p>
      <w:pPr>
        <w:jc w:val="both"/>
        <w:ind w:left="280"/>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secure a loan.</w:t>
      </w:r>
    </w:p>
    <w:p>
      <w:pPr>
        <w:spacing w:after="0" w:line="122" w:lineRule="exact"/>
        <w:rPr>
          <w:rFonts w:ascii="Arial" w:cs="Arial" w:eastAsia="Arial" w:hAnsi="Arial"/>
          <w:sz w:val="12"/>
          <w:szCs w:val="12"/>
          <w:b w:val="1"/>
          <w:bCs w:val="1"/>
          <w:i w:val="1"/>
          <w:iCs w:val="1"/>
          <w:color w:val="auto"/>
        </w:rPr>
      </w:pPr>
    </w:p>
    <w:p>
      <w:pPr>
        <w:ind w:left="260" w:hanging="252"/>
        <w:spacing w:after="0"/>
        <w:tabs>
          <w:tab w:leader="none" w:pos="260" w:val="left"/>
        </w:tabs>
        <w:numPr>
          <w:ilvl w:val="0"/>
          <w:numId w:val="1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Governing Law</w:t>
      </w:r>
    </w:p>
    <w:p>
      <w:pPr>
        <w:spacing w:after="0" w:line="150" w:lineRule="exact"/>
        <w:rPr>
          <w:rFonts w:ascii="Arial" w:cs="Arial" w:eastAsia="Arial" w:hAnsi="Arial"/>
          <w:sz w:val="12"/>
          <w:szCs w:val="12"/>
          <w:b w:val="1"/>
          <w:bCs w:val="1"/>
          <w:i w:val="1"/>
          <w:iCs w:val="1"/>
          <w:color w:val="auto"/>
        </w:rPr>
      </w:pPr>
    </w:p>
    <w:p>
      <w:pPr>
        <w:ind w:left="280"/>
        <w:spacing w:after="0"/>
        <w:rPr>
          <w:rFonts w:ascii="Arial" w:cs="Arial" w:eastAsia="Arial" w:hAnsi="Arial"/>
          <w:sz w:val="12"/>
          <w:szCs w:val="12"/>
          <w:b w:val="1"/>
          <w:bCs w:val="1"/>
          <w:i w:val="1"/>
          <w:iCs w:val="1"/>
          <w:color w:val="auto"/>
        </w:rPr>
      </w:pPr>
      <w:r>
        <w:rPr>
          <w:rFonts w:ascii="Arial" w:cs="Arial" w:eastAsia="Arial" w:hAnsi="Arial"/>
          <w:sz w:val="12"/>
          <w:szCs w:val="12"/>
          <w:color w:val="auto"/>
        </w:rPr>
        <w:t>Except as may otherwise be provided in the Plan, the provisions of this Agreement shall be governed by the laws of the State of Delaware without giving effect to principles of conflicts of law.</w:t>
      </w: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420" w:top="464" w:right="199" w:bottom="1440" w:gutter="0" w:footer="0" w:header="0"/>
        </w:sectPr>
      </w:pPr>
    </w:p>
    <w:bookmarkStart w:id="182" w:name="page183"/>
    <w:bookmarkEnd w:id="182"/>
    <w:p>
      <w:pPr>
        <w:ind w:left="260" w:hanging="252"/>
        <w:spacing w:after="0"/>
        <w:tabs>
          <w:tab w:leader="none" w:pos="260" w:val="left"/>
        </w:tabs>
        <w:numPr>
          <w:ilvl w:val="0"/>
          <w:numId w:val="14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Code Section 409A Compliance</w:t>
      </w:r>
    </w:p>
    <w:p>
      <w:pPr>
        <w:spacing w:after="0" w:line="150" w:lineRule="exact"/>
        <w:rPr>
          <w:rFonts w:ascii="Arial" w:cs="Arial" w:eastAsia="Arial" w:hAnsi="Arial"/>
          <w:sz w:val="12"/>
          <w:szCs w:val="12"/>
          <w:b w:val="1"/>
          <w:bCs w:val="1"/>
          <w:i w:val="1"/>
          <w:iCs w:val="1"/>
          <w:color w:val="auto"/>
        </w:rPr>
      </w:pPr>
    </w:p>
    <w:p>
      <w:pPr>
        <w:jc w:val="both"/>
        <w:ind w:left="280"/>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200" w:lineRule="exact"/>
        <w:rPr>
          <w:sz w:val="20"/>
          <w:szCs w:val="20"/>
          <w:color w:val="auto"/>
        </w:rPr>
      </w:pPr>
    </w:p>
    <w:p>
      <w:pPr>
        <w:spacing w:after="0" w:line="211"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420" w:top="464" w:right="199" w:bottom="1440" w:gutter="0" w:footer="0" w:header="0"/>
        </w:sectPr>
      </w:pPr>
    </w:p>
    <w:bookmarkStart w:id="183" w:name="page184"/>
    <w:bookmarkEnd w:id="183"/>
    <w:p>
      <w:pPr>
        <w:spacing w:after="0"/>
        <w:rPr>
          <w:sz w:val="20"/>
          <w:szCs w:val="20"/>
          <w:color w:val="auto"/>
        </w:rPr>
      </w:pPr>
      <w:r>
        <w:rPr>
          <w:rFonts w:ascii="Arial" w:cs="Arial" w:eastAsia="Arial" w:hAnsi="Arial"/>
          <w:sz w:val="12"/>
          <w:szCs w:val="12"/>
          <w:color w:val="auto"/>
        </w:rPr>
        <w:t>IN WITNESS WHEREOF, this Agreement has been executed as of the Date of Grant.</w:t>
      </w: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Arial" w:cs="Arial" w:eastAsia="Arial" w:hAnsi="Arial"/>
          <w:sz w:val="12"/>
          <w:szCs w:val="1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2"/>
                <w:szCs w:val="12"/>
                <w:color w:val="auto"/>
              </w:rPr>
              <w:t>Name:</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Christopher Sotos</w:t>
            </w:r>
          </w:p>
        </w:tc>
      </w:tr>
      <w:tr>
        <w:trPr>
          <w:trHeight w:val="169"/>
        </w:trPr>
        <w:tc>
          <w:tcPr>
            <w:tcW w:w="800" w:type="dxa"/>
            <w:vAlign w:val="bottom"/>
          </w:tcPr>
          <w:p>
            <w:pPr>
              <w:spacing w:after="0"/>
              <w:rPr>
                <w:sz w:val="20"/>
                <w:szCs w:val="20"/>
                <w:color w:val="auto"/>
              </w:rPr>
            </w:pPr>
            <w:r>
              <w:rPr>
                <w:rFonts w:ascii="Arial" w:cs="Arial" w:eastAsia="Arial" w:hAnsi="Arial"/>
                <w:sz w:val="12"/>
                <w:szCs w:val="12"/>
                <w:color w:val="auto"/>
              </w:rPr>
              <w:t>Title:</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39"/>
          </w:cols>
          <w:pgMar w:left="220" w:top="464"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2"/>
          <w:szCs w:val="12"/>
          <w:b w:val="1"/>
          <w:bCs w:val="1"/>
          <w:color w:val="auto"/>
        </w:rPr>
        <w:t>Exhibit 10.23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2"/>
          <w:szCs w:val="12"/>
          <w:b w:val="1"/>
          <w:bCs w:val="1"/>
          <w:color w:val="auto"/>
        </w:rPr>
        <w:t>NOTICE OF RESTRICTED STOCK UNIT GRANT _______________________________________________________________________</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[PARTICPIANT]</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Congratulations on your selection as a Participant under the Clearway Energy, Inc. Amended and Restated 2013 Equity Incentive Plan (the “</w:t>
      </w:r>
      <w:r>
        <w:rPr>
          <w:rFonts w:ascii="Arial" w:cs="Arial" w:eastAsia="Arial" w:hAnsi="Arial"/>
          <w:sz w:val="11"/>
          <w:szCs w:val="11"/>
          <w:u w:val="single" w:color="auto"/>
          <w:color w:val="auto"/>
        </w:rPr>
        <w:t>Plan</w:t>
      </w:r>
      <w:r>
        <w:rPr>
          <w:rFonts w:ascii="Arial" w:cs="Arial" w:eastAsia="Arial" w:hAnsi="Arial"/>
          <w:sz w:val="11"/>
          <w:szCs w:val="11"/>
          <w:color w:val="auto"/>
        </w:rPr>
        <w:t>”). You have been chosen to receive Restricted Stock Units (“</w:t>
      </w:r>
      <w:r>
        <w:rPr>
          <w:rFonts w:ascii="Arial" w:cs="Arial" w:eastAsia="Arial" w:hAnsi="Arial"/>
          <w:sz w:val="11"/>
          <w:szCs w:val="11"/>
          <w:u w:val="single" w:color="auto"/>
          <w:color w:val="auto"/>
        </w:rPr>
        <w:t>RSUs</w:t>
      </w:r>
      <w:r>
        <w:rPr>
          <w:rFonts w:ascii="Arial" w:cs="Arial" w:eastAsia="Arial" w:hAnsi="Arial"/>
          <w:sz w:val="11"/>
          <w:szCs w:val="11"/>
          <w:color w:val="auto"/>
        </w:rPr>
        <w:t>”) under the Plan. This Notice of Restricted Stock Unit Grant (the “</w:t>
      </w:r>
      <w:r>
        <w:rPr>
          <w:rFonts w:ascii="Arial" w:cs="Arial" w:eastAsia="Arial" w:hAnsi="Arial"/>
          <w:sz w:val="11"/>
          <w:szCs w:val="11"/>
          <w:u w:val="single" w:color="auto"/>
          <w:color w:val="auto"/>
        </w:rPr>
        <w:t>Grant Notice</w:t>
      </w:r>
      <w:r>
        <w:rPr>
          <w:rFonts w:ascii="Arial" w:cs="Arial" w:eastAsia="Arial" w:hAnsi="Arial"/>
          <w:sz w:val="11"/>
          <w:szCs w:val="11"/>
          <w:color w:val="auto"/>
        </w:rPr>
        <w:t>”) and the attached Restricted Stock Unit Agreement (collectively referred to as the “</w:t>
      </w:r>
      <w:r>
        <w:rPr>
          <w:rFonts w:ascii="Arial" w:cs="Arial" w:eastAsia="Arial" w:hAnsi="Arial"/>
          <w:sz w:val="11"/>
          <w:szCs w:val="11"/>
          <w:u w:val="single" w:color="auto"/>
          <w:color w:val="auto"/>
        </w:rPr>
        <w:t>Agreement</w:t>
      </w:r>
      <w:r>
        <w:rPr>
          <w:rFonts w:ascii="Arial" w:cs="Arial" w:eastAsia="Arial" w:hAnsi="Arial"/>
          <w:sz w:val="11"/>
          <w:szCs w:val="11"/>
          <w:color w:val="auto"/>
        </w:rPr>
        <w:t>”) constitute an agreement between you and Clearway Energy, Inc. (the “</w:t>
      </w:r>
      <w:r>
        <w:rPr>
          <w:rFonts w:ascii="Arial" w:cs="Arial" w:eastAsia="Arial" w:hAnsi="Arial"/>
          <w:sz w:val="11"/>
          <w:szCs w:val="11"/>
          <w:u w:val="single" w:color="auto"/>
          <w:color w:val="auto"/>
        </w:rPr>
        <w:t>Company</w:t>
      </w:r>
      <w:r>
        <w:rPr>
          <w:rFonts w:ascii="Arial" w:cs="Arial" w:eastAsia="Arial" w:hAnsi="Arial"/>
          <w:sz w:val="11"/>
          <w:szCs w:val="11"/>
          <w:color w:val="auto"/>
        </w:rPr>
        <w:t xml:space="preserve">”) pursuant to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Arial" w:cs="Arial" w:eastAsia="Arial" w:hAnsi="Arial"/>
          <w:sz w:val="11"/>
          <w:szCs w:val="11"/>
          <w:u w:val="single" w:color="auto"/>
          <w:color w:val="auto"/>
        </w:rPr>
        <w:t>Participant</w:t>
      </w:r>
      <w:r>
        <w:rPr>
          <w:rFonts w:ascii="Arial" w:cs="Arial" w:eastAsia="Arial" w:hAnsi="Arial"/>
          <w:sz w:val="11"/>
          <w:szCs w:val="11"/>
          <w:color w:val="auto"/>
        </w:rPr>
        <w:t>” in this Agreement.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is hereby granted RSUs as follows:</w:t>
      </w: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57"/>
        </w:trPr>
        <w:tc>
          <w:tcPr>
            <w:tcW w:w="3260" w:type="dxa"/>
            <w:vAlign w:val="bottom"/>
          </w:tcPr>
          <w:p>
            <w:pPr>
              <w:spacing w:after="0"/>
              <w:rPr>
                <w:sz w:val="20"/>
                <w:szCs w:val="20"/>
                <w:color w:val="auto"/>
              </w:rPr>
            </w:pPr>
            <w:r>
              <w:rPr>
                <w:rFonts w:ascii="Arial" w:cs="Arial" w:eastAsia="Arial" w:hAnsi="Arial"/>
                <w:sz w:val="12"/>
                <w:szCs w:val="12"/>
                <w:color w:val="auto"/>
              </w:rPr>
              <w:t>Date of Grant:</w:t>
            </w:r>
          </w:p>
        </w:tc>
        <w:tc>
          <w:tcPr>
            <w:tcW w:w="3860" w:type="dxa"/>
            <w:vAlign w:val="bottom"/>
            <w:gridSpan w:val="3"/>
          </w:tcPr>
          <w:p>
            <w:pPr>
              <w:ind w:left="1800"/>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Arial" w:cs="Arial" w:eastAsia="Arial" w:hAnsi="Arial"/>
                <w:sz w:val="12"/>
                <w:szCs w:val="12"/>
                <w:color w:val="auto"/>
              </w:rPr>
              <w:t>Vesting Commencement Date:</w:t>
            </w:r>
          </w:p>
        </w:tc>
        <w:tc>
          <w:tcPr>
            <w:tcW w:w="3860" w:type="dxa"/>
            <w:vAlign w:val="bottom"/>
            <w:gridSpan w:val="3"/>
          </w:tcPr>
          <w:p>
            <w:pPr>
              <w:ind w:left="1800"/>
              <w:spacing w:after="0"/>
              <w:rPr>
                <w:sz w:val="20"/>
                <w:szCs w:val="20"/>
                <w:color w:val="auto"/>
              </w:rPr>
            </w:pPr>
            <w:r>
              <w:rPr>
                <w:rFonts w:ascii="Arial" w:cs="Arial" w:eastAsia="Arial" w:hAnsi="Arial"/>
                <w:sz w:val="12"/>
                <w:szCs w:val="12"/>
                <w:color w:val="auto"/>
              </w:rPr>
              <w:t>Date of Grant</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12"/>
                <w:szCs w:val="12"/>
                <w:color w:val="auto"/>
              </w:rPr>
              <w:t>Vesting Period:</w:t>
            </w:r>
          </w:p>
        </w:tc>
        <w:tc>
          <w:tcPr>
            <w:tcW w:w="3860" w:type="dxa"/>
            <w:vAlign w:val="bottom"/>
            <w:gridSpan w:val="3"/>
          </w:tcPr>
          <w:p>
            <w:pPr>
              <w:ind w:left="1800"/>
              <w:spacing w:after="0"/>
              <w:rPr>
                <w:sz w:val="20"/>
                <w:szCs w:val="20"/>
                <w:color w:val="auto"/>
              </w:rPr>
            </w:pPr>
            <w:r>
              <w:rPr>
                <w:rFonts w:ascii="Arial" w:cs="Arial" w:eastAsia="Arial" w:hAnsi="Arial"/>
                <w:sz w:val="12"/>
                <w:szCs w:val="12"/>
                <w:color w:val="auto"/>
                <w:w w:val="89"/>
              </w:rPr>
              <w:t>Please refer to Section 2 of this Agreement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260" w:type="dxa"/>
            <w:vAlign w:val="bottom"/>
            <w:vMerge w:val="restart"/>
          </w:tcPr>
          <w:p>
            <w:pPr>
              <w:spacing w:after="0"/>
              <w:rPr>
                <w:sz w:val="20"/>
                <w:szCs w:val="20"/>
                <w:color w:val="auto"/>
              </w:rPr>
            </w:pPr>
            <w:r>
              <w:rPr>
                <w:rFonts w:ascii="Arial" w:cs="Arial" w:eastAsia="Arial" w:hAnsi="Arial"/>
                <w:sz w:val="12"/>
                <w:szCs w:val="12"/>
                <w:color w:val="auto"/>
              </w:rPr>
              <w:t>Total Number of RSUs:</w:t>
            </w:r>
          </w:p>
        </w:tc>
        <w:tc>
          <w:tcPr>
            <w:tcW w:w="3860" w:type="dxa"/>
            <w:vAlign w:val="bottom"/>
            <w:gridSpan w:val="3"/>
          </w:tcPr>
          <w:p>
            <w:pPr>
              <w:ind w:left="1800"/>
              <w:spacing w:after="0"/>
              <w:rPr>
                <w:sz w:val="20"/>
                <w:szCs w:val="20"/>
                <w:color w:val="auto"/>
              </w:rPr>
            </w:pPr>
            <w:r>
              <w:rPr>
                <w:rFonts w:ascii="Arial" w:cs="Arial" w:eastAsia="Arial" w:hAnsi="Arial"/>
                <w:sz w:val="12"/>
                <w:szCs w:val="12"/>
                <w:b w:val="1"/>
                <w:bCs w:val="1"/>
                <w:color w:val="auto"/>
              </w:rPr>
              <w:t>[UNITS GRANTED]</w:t>
            </w:r>
          </w:p>
        </w:tc>
        <w:tc>
          <w:tcPr>
            <w:tcW w:w="0" w:type="dxa"/>
            <w:vAlign w:val="bottom"/>
          </w:tcPr>
          <w:p>
            <w:pPr>
              <w:spacing w:after="0"/>
              <w:rPr>
                <w:sz w:val="1"/>
                <w:szCs w:val="1"/>
                <w:color w:val="auto"/>
              </w:rPr>
            </w:pPr>
          </w:p>
        </w:tc>
      </w:tr>
      <w:tr>
        <w:trPr>
          <w:trHeight w:val="72"/>
        </w:trPr>
        <w:tc>
          <w:tcPr>
            <w:tcW w:w="326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if you do not remain an employee of the Company at all times during the Vesting Period, this Award shall terminate, and you will not be entitled to any Class C Common Stock underlying the RSUs or any dividend equivalents that may have accrued with respect thereto.</w:t>
      </w:r>
    </w:p>
    <w:p>
      <w:pPr>
        <w:spacing w:after="0" w:line="111"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b w:val="1"/>
          <w:bCs w:val="1"/>
          <w:color w:val="auto"/>
        </w:rPr>
        <w:t>If you disagree with any of the terms of this Award or choose not to accept this Award, please contact [CONTACT] within 45 days of the Date of Grant. Otherwise, you will be deemed to have accepted this Award under the terms and conditions set forth in this Agreement and the Plan.</w:t>
      </w:r>
    </w:p>
    <w:p>
      <w:pPr>
        <w:sectPr>
          <w:pgSz w:w="11900" w:h="16838" w:orient="portrait"/>
          <w:cols w:equalWidth="0" w:num="1">
            <w:col w:w="11480"/>
          </w:cols>
          <w:pgMar w:left="220" w:top="631" w:right="19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2"/>
          <w:szCs w:val="12"/>
          <w:b w:val="1"/>
          <w:bCs w:val="1"/>
          <w:color w:val="auto"/>
        </w:rPr>
        <w:t>RESTRICTED STOCK UNIT AGREEMENT ________________________________________________________________</w:t>
      </w:r>
    </w:p>
    <w:p>
      <w:pPr>
        <w:spacing w:after="0" w:line="6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This Restricted Stock Unit Agreement, dated as of the Date of Grant set forth in the Notice of Restricted Stock Unit Grant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together with this Restricted Stock Unit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to which this Agreement is attached, is made between Clearway Energy, Inc. (the “</w:t>
      </w:r>
      <w:r>
        <w:rPr>
          <w:rFonts w:ascii="Arial" w:cs="Arial" w:eastAsia="Arial" w:hAnsi="Arial"/>
          <w:sz w:val="12"/>
          <w:szCs w:val="12"/>
          <w:u w:val="single" w:color="auto"/>
          <w:color w:val="auto"/>
        </w:rPr>
        <w:t>Company</w:t>
      </w:r>
      <w:r>
        <w:rPr>
          <w:rFonts w:ascii="Arial" w:cs="Arial" w:eastAsia="Arial" w:hAnsi="Arial"/>
          <w:sz w:val="12"/>
          <w:szCs w:val="12"/>
          <w:color w:val="auto"/>
        </w:rPr>
        <w:t>”) and the Participant, as set forth in the Grant Notice. The Grant Notice is included in, and made part of, this Agreement.</w:t>
      </w:r>
    </w:p>
    <w:p>
      <w:pPr>
        <w:spacing w:after="0" w:line="111" w:lineRule="exact"/>
        <w:rPr>
          <w:sz w:val="20"/>
          <w:szCs w:val="20"/>
          <w:color w:val="auto"/>
        </w:rPr>
      </w:pPr>
    </w:p>
    <w:p>
      <w:pPr>
        <w:ind w:left="160"/>
        <w:spacing w:after="0"/>
        <w:tabs>
          <w:tab w:leader="none" w:pos="34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1"/>
          <w:szCs w:val="11"/>
          <w:b w:val="1"/>
          <w:bCs w:val="1"/>
          <w:color w:val="auto"/>
        </w:rPr>
        <w:t>Grant of RSUs</w:t>
      </w:r>
    </w:p>
    <w:p>
      <w:pPr>
        <w:spacing w:after="0" w:line="154" w:lineRule="exact"/>
        <w:rPr>
          <w:sz w:val="20"/>
          <w:szCs w:val="20"/>
          <w:color w:val="auto"/>
        </w:rPr>
      </w:pPr>
    </w:p>
    <w:p>
      <w:pPr>
        <w:jc w:val="both"/>
        <w:ind w:left="200" w:right="20"/>
        <w:spacing w:after="0" w:line="276" w:lineRule="auto"/>
        <w:rPr>
          <w:sz w:val="20"/>
          <w:szCs w:val="20"/>
          <w:color w:val="auto"/>
        </w:rPr>
      </w:pPr>
      <w:r>
        <w:rPr>
          <w:rFonts w:ascii="Arial" w:cs="Arial" w:eastAsia="Arial" w:hAnsi="Arial"/>
          <w:sz w:val="12"/>
          <w:szCs w:val="12"/>
          <w:color w:val="auto"/>
        </w:rPr>
        <w:t>Subject to the provisions of this Agreement and the provisions of the Clearway Energy, Inc. Amended and Restated 2013 Equity Incentive Plan (the “Plan”), the Company hereby grants to the Participant the number of Restricted Stock Units (“RSUs”) set forth in the Grant Notice.</w:t>
      </w:r>
    </w:p>
    <w:p>
      <w:pPr>
        <w:spacing w:after="0" w:line="111" w:lineRule="exact"/>
        <w:rPr>
          <w:sz w:val="20"/>
          <w:szCs w:val="20"/>
          <w:color w:val="auto"/>
        </w:rPr>
      </w:pPr>
    </w:p>
    <w:p>
      <w:pPr>
        <w:ind w:left="160"/>
        <w:spacing w:after="0"/>
        <w:tabs>
          <w:tab w:leader="none" w:pos="34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0"/>
          <w:szCs w:val="10"/>
          <w:b w:val="1"/>
          <w:bCs w:val="1"/>
          <w:color w:val="auto"/>
        </w:rPr>
        <w:t>Vesting Schedule</w:t>
      </w:r>
    </w:p>
    <w:p>
      <w:pPr>
        <w:spacing w:after="0" w:line="154" w:lineRule="exact"/>
        <w:rPr>
          <w:sz w:val="20"/>
          <w:szCs w:val="20"/>
          <w:color w:val="auto"/>
        </w:rPr>
      </w:pPr>
    </w:p>
    <w:p>
      <w:pPr>
        <w:jc w:val="both"/>
        <w:ind w:left="200"/>
        <w:spacing w:after="0" w:line="276" w:lineRule="auto"/>
        <w:rPr>
          <w:sz w:val="20"/>
          <w:szCs w:val="20"/>
          <w:color w:val="auto"/>
        </w:rPr>
      </w:pPr>
      <w:r>
        <w:rPr>
          <w:rFonts w:ascii="Arial" w:cs="Arial" w:eastAsia="Arial" w:hAnsi="Arial"/>
          <w:sz w:val="12"/>
          <w:szCs w:val="12"/>
          <w:color w:val="auto"/>
        </w:rPr>
        <w:t>Provided that you have been continuously employed by the Company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11" w:lineRule="exact"/>
        <w:rPr>
          <w:sz w:val="20"/>
          <w:szCs w:val="20"/>
          <w:color w:val="auto"/>
        </w:rPr>
      </w:pPr>
    </w:p>
    <w:p>
      <w:pPr>
        <w:ind w:left="160"/>
        <w:spacing w:after="0"/>
        <w:tabs>
          <w:tab w:leader="none" w:pos="34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0"/>
          <w:szCs w:val="10"/>
          <w:b w:val="1"/>
          <w:bCs w:val="1"/>
          <w:color w:val="auto"/>
        </w:rPr>
        <w:t>Conversion of RSUs and Issuance of Shares</w:t>
      </w:r>
    </w:p>
    <w:p>
      <w:pPr>
        <w:spacing w:after="0" w:line="154" w:lineRule="exact"/>
        <w:rPr>
          <w:sz w:val="20"/>
          <w:szCs w:val="20"/>
          <w:color w:val="auto"/>
        </w:rPr>
      </w:pPr>
    </w:p>
    <w:p>
      <w:pPr>
        <w:jc w:val="both"/>
        <w:ind w:left="200"/>
        <w:spacing w:after="0" w:line="340" w:lineRule="auto"/>
        <w:rPr>
          <w:sz w:val="20"/>
          <w:szCs w:val="20"/>
          <w:color w:val="auto"/>
        </w:rPr>
      </w:pPr>
      <w:r>
        <w:rPr>
          <w:rFonts w:ascii="Arial" w:cs="Arial" w:eastAsia="Arial" w:hAnsi="Arial"/>
          <w:sz w:val="10"/>
          <w:szCs w:val="10"/>
          <w:color w:val="auto"/>
        </w:rPr>
        <w:t>As soon as reasonably practicable following vesting of the RSUs, subject to satisfaction of applicable tax withholding obligations in accordance with Section 12(g), the Company shall cause to be paid to the Participant one (1) share of Clearway Energy, Inc. Class C Common Stock for each RSU that vests on such vesting date, provided, however, that if the Participant incurs a Termination of Service as described in Section 8, then such payment shall be made within sixty (60) days after the vesting date described in the applicable subsection of Section 8, and, in accordance with Section 12(g), the Fair Market Value of the RSUs shall be determined as of such vesting date, less applicable taxes.</w:t>
      </w:r>
    </w:p>
    <w:p>
      <w:pPr>
        <w:spacing w:after="0" w:line="88" w:lineRule="exact"/>
        <w:rPr>
          <w:sz w:val="20"/>
          <w:szCs w:val="20"/>
          <w:color w:val="auto"/>
        </w:rPr>
      </w:pPr>
    </w:p>
    <w:p>
      <w:pPr>
        <w:jc w:val="both"/>
        <w:ind w:left="200"/>
        <w:spacing w:after="0" w:line="298" w:lineRule="auto"/>
        <w:rPr>
          <w:sz w:val="20"/>
          <w:szCs w:val="20"/>
          <w:color w:val="auto"/>
        </w:rPr>
      </w:pPr>
      <w:r>
        <w:rPr>
          <w:rFonts w:ascii="Arial" w:cs="Arial" w:eastAsia="Arial" w:hAnsi="Arial"/>
          <w:sz w:val="11"/>
          <w:szCs w:val="11"/>
          <w:color w:val="auto"/>
        </w:rPr>
        <w:t>Notwithstanding the foregoing provisions of this Section 3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thirty-day period commencing six (6) months and one (1) day following such separation from service and (b) the date of the Participant’s death.</w:t>
      </w:r>
    </w:p>
    <w:p>
      <w:pPr>
        <w:spacing w:after="0" w:line="101" w:lineRule="exact"/>
        <w:rPr>
          <w:sz w:val="20"/>
          <w:szCs w:val="20"/>
          <w:color w:val="auto"/>
        </w:rPr>
      </w:pPr>
    </w:p>
    <w:p>
      <w:pPr>
        <w:ind w:left="160"/>
        <w:spacing w:after="0"/>
        <w:tabs>
          <w:tab w:leader="none" w:pos="34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0"/>
          <w:szCs w:val="10"/>
          <w:b w:val="1"/>
          <w:bCs w:val="1"/>
          <w:color w:val="auto"/>
        </w:rPr>
        <w:t>Dividend Equivalent Rights</w:t>
      </w:r>
    </w:p>
    <w:p>
      <w:pPr>
        <w:spacing w:after="0" w:line="154" w:lineRule="exact"/>
        <w:rPr>
          <w:sz w:val="20"/>
          <w:szCs w:val="20"/>
          <w:color w:val="auto"/>
        </w:rPr>
      </w:pPr>
    </w:p>
    <w:p>
      <w:pPr>
        <w:jc w:val="both"/>
        <w:ind w:left="200"/>
        <w:spacing w:after="0" w:line="254" w:lineRule="auto"/>
        <w:rPr>
          <w:sz w:val="20"/>
          <w:szCs w:val="20"/>
          <w:color w:val="auto"/>
        </w:rPr>
      </w:pPr>
      <w:r>
        <w:rPr>
          <w:rFonts w:ascii="Arial" w:cs="Arial" w:eastAsia="Arial" w:hAnsi="Arial"/>
          <w:sz w:val="12"/>
          <w:szCs w:val="12"/>
          <w:color w:val="auto"/>
        </w:rPr>
        <w:t>Cash dividends on shares of Class C Common Stock issuable hereunder shall be credited to a dividend book entry account on behalf of the Participant with respect to each RSU granted to the Participant; provided that such cash dividends shall be deemed to be reinvested in shares of Class C Common Stock immediately following the time declared at the then Fair Market Value of the Class C Common Stock and shall vest and be paid at the same time that the shares of Class C Common Stock underlying the RSUs vest and are delivered to the Participant in accordance with the provisions hereof. Stock dividends on shares of Class C Common Stock issuable hereunder shall be credited to a dividend book entry account on behalf of the Participant with respect to each RSU granted to the Participant; provided that such stock dividends shall vest and be paid at the same time that the shares of Class C Common Stock underlying the RSUs vest and are delivered to the Participant in accordance with the provisions hereof. Notwithstanding the foregoing, in the event that there are insufficient shares of Class C Common Stock available in the Plan to settle the accrued dividends in shares of Class C Common Stock, such shares of Class C Common Stock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any RSU unless and until the Participant has become the holder of record of such shares.</w:t>
      </w:r>
    </w:p>
    <w:p>
      <w:pPr>
        <w:spacing w:after="0" w:line="125" w:lineRule="exact"/>
        <w:rPr>
          <w:sz w:val="20"/>
          <w:szCs w:val="20"/>
          <w:color w:val="auto"/>
        </w:rPr>
      </w:pPr>
    </w:p>
    <w:p>
      <w:pPr>
        <w:ind w:left="160"/>
        <w:spacing w:after="0"/>
        <w:tabs>
          <w:tab w:leader="none" w:pos="34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1"/>
          <w:szCs w:val="11"/>
          <w:b w:val="1"/>
          <w:bCs w:val="1"/>
          <w:color w:val="auto"/>
        </w:rPr>
        <w:t>Transfer of RSUs</w:t>
      </w:r>
    </w:p>
    <w:p>
      <w:pPr>
        <w:spacing w:after="0" w:line="154" w:lineRule="exact"/>
        <w:rPr>
          <w:sz w:val="20"/>
          <w:szCs w:val="20"/>
          <w:color w:val="auto"/>
        </w:rPr>
      </w:pPr>
    </w:p>
    <w:p>
      <w:pPr>
        <w:jc w:val="both"/>
        <w:ind w:left="200"/>
        <w:spacing w:after="0" w:line="276" w:lineRule="auto"/>
        <w:rPr>
          <w:sz w:val="20"/>
          <w:szCs w:val="20"/>
          <w:color w:val="auto"/>
        </w:rPr>
      </w:pPr>
      <w:r>
        <w:rPr>
          <w:rFonts w:ascii="Arial" w:cs="Arial" w:eastAsia="Arial" w:hAnsi="Arial"/>
          <w:sz w:val="12"/>
          <w:szCs w:val="12"/>
          <w:color w:val="auto"/>
        </w:rPr>
        <w:t>Unless otherwise permitted by the Committee or Section 16 of the Plan, the RSUs may not be sold, transferred, pledged, assigned or otherwise alienated or hypothecated, other than pursuant to a will or the laws of descent and distribution. Any attempted disposition in violation of this Section 5 and Section 16 of the Plan shall be void.</w:t>
      </w:r>
    </w:p>
    <w:p>
      <w:pPr>
        <w:sectPr>
          <w:pgSz w:w="11900" w:h="16838" w:orient="portrait"/>
          <w:cols w:equalWidth="0" w:num="1">
            <w:col w:w="11480"/>
          </w:cols>
          <w:pgMar w:left="220" w:top="460" w:right="199" w:bottom="1440" w:gutter="0" w:footer="0" w:header="0"/>
        </w:sectPr>
      </w:pPr>
    </w:p>
    <w:bookmarkStart w:id="186" w:name="page187"/>
    <w:bookmarkEnd w:id="186"/>
    <w:p>
      <w:pPr>
        <w:spacing w:after="0"/>
        <w:tabs>
          <w:tab w:leader="none" w:pos="18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0"/>
          <w:szCs w:val="10"/>
          <w:b w:val="1"/>
          <w:bCs w:val="1"/>
          <w:color w:val="auto"/>
        </w:rPr>
        <w:t>Status of Participant</w:t>
      </w:r>
    </w:p>
    <w:p>
      <w:pPr>
        <w:spacing w:after="0" w:line="154" w:lineRule="exact"/>
        <w:rPr>
          <w:sz w:val="20"/>
          <w:szCs w:val="20"/>
          <w:color w:val="auto"/>
        </w:rPr>
      </w:pPr>
    </w:p>
    <w:p>
      <w:pPr>
        <w:jc w:val="both"/>
        <w:ind w:left="40"/>
        <w:spacing w:after="0" w:line="298" w:lineRule="auto"/>
        <w:rPr>
          <w:sz w:val="20"/>
          <w:szCs w:val="20"/>
          <w:color w:val="auto"/>
        </w:rPr>
      </w:pPr>
      <w:r>
        <w:rPr>
          <w:rFonts w:ascii="Arial" w:cs="Arial" w:eastAsia="Arial" w:hAnsi="Arial"/>
          <w:sz w:val="11"/>
          <w:szCs w:val="11"/>
          <w:color w:val="auto"/>
        </w:rPr>
        <w:t>The Participant shall not be, and, except as otherwise provided herein, shall not have rights as, a stockholder of the Company with respect to any of the shares of Class C Common Stock subject to this Award, unless the Award has vested and shares of Class C Common Stock underlying the RSUs have been issued and delivered to the Participant. The Company shall not be required to issue or transfer any certificates for shares of Class C Common Stock upon vesting of the Award until all applicable requirements of law have been complied with and such shares have been duly listed on any securities exchange on which the Class C Common Stock may then be listed.</w:t>
      </w:r>
    </w:p>
    <w:p>
      <w:pPr>
        <w:spacing w:after="0" w:line="10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1"/>
          <w:szCs w:val="11"/>
          <w:b w:val="1"/>
          <w:bCs w:val="1"/>
          <w:color w:val="auto"/>
        </w:rPr>
        <w:t>No Effect on Capital Structure</w:t>
      </w:r>
    </w:p>
    <w:p>
      <w:pPr>
        <w:spacing w:after="0" w:line="154" w:lineRule="exact"/>
        <w:rPr>
          <w:sz w:val="20"/>
          <w:szCs w:val="20"/>
          <w:color w:val="auto"/>
        </w:rPr>
      </w:pPr>
    </w:p>
    <w:p>
      <w:pPr>
        <w:jc w:val="both"/>
        <w:ind w:left="40"/>
        <w:spacing w:after="0" w:line="276" w:lineRule="auto"/>
        <w:rPr>
          <w:sz w:val="20"/>
          <w:szCs w:val="20"/>
          <w:color w:val="auto"/>
        </w:rPr>
      </w:pPr>
      <w:r>
        <w:rPr>
          <w:rFonts w:ascii="Arial" w:cs="Arial" w:eastAsia="Arial" w:hAnsi="Arial"/>
          <w:sz w:val="12"/>
          <w:szCs w:val="12"/>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1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1"/>
          <w:szCs w:val="11"/>
          <w:b w:val="1"/>
          <w:bCs w:val="1"/>
          <w:color w:val="auto"/>
        </w:rPr>
        <w:t>Expiration and Forfeiture of Award</w:t>
      </w:r>
    </w:p>
    <w:p>
      <w:pPr>
        <w:spacing w:after="0" w:line="154" w:lineRule="exact"/>
        <w:rPr>
          <w:sz w:val="20"/>
          <w:szCs w:val="20"/>
          <w:color w:val="auto"/>
        </w:rPr>
      </w:pPr>
    </w:p>
    <w:p>
      <w:pPr>
        <w:jc w:val="both"/>
        <w:ind w:left="40"/>
        <w:spacing w:after="0" w:line="276" w:lineRule="auto"/>
        <w:rPr>
          <w:sz w:val="20"/>
          <w:szCs w:val="20"/>
          <w:color w:val="auto"/>
        </w:rPr>
      </w:pPr>
      <w:r>
        <w:rPr>
          <w:rFonts w:ascii="Arial" w:cs="Arial" w:eastAsia="Arial" w:hAnsi="Arial"/>
          <w:sz w:val="12"/>
          <w:szCs w:val="12"/>
          <w:color w:val="auto"/>
        </w:rPr>
        <w:t>This Award shall vest and/or expire in the circumstances described in this Section 8. As used herein, “Termination of Service” means termination of a Participant’s employment by, or service to, the Company, including any of its Affiliates.</w:t>
      </w:r>
    </w:p>
    <w:p>
      <w:pPr>
        <w:spacing w:after="0" w:line="115" w:lineRule="exact"/>
        <w:rPr>
          <w:sz w:val="20"/>
          <w:szCs w:val="20"/>
          <w:color w:val="auto"/>
        </w:rPr>
      </w:pPr>
    </w:p>
    <w:p>
      <w:pPr>
        <w:ind w:left="300" w:hanging="252"/>
        <w:spacing w:after="0"/>
        <w:tabs>
          <w:tab w:leader="none" w:pos="300" w:val="left"/>
        </w:tabs>
        <w:numPr>
          <w:ilvl w:val="0"/>
          <w:numId w:val="14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Death</w:t>
      </w:r>
    </w:p>
    <w:p>
      <w:pPr>
        <w:spacing w:after="0" w:line="150" w:lineRule="exact"/>
        <w:rPr>
          <w:rFonts w:ascii="Arial" w:cs="Arial" w:eastAsia="Arial" w:hAnsi="Arial"/>
          <w:sz w:val="12"/>
          <w:szCs w:val="12"/>
          <w:b w:val="1"/>
          <w:bCs w:val="1"/>
          <w:i w:val="1"/>
          <w:iCs w:val="1"/>
          <w:color w:val="auto"/>
        </w:rPr>
      </w:pPr>
    </w:p>
    <w:p>
      <w:pPr>
        <w:ind w:left="300"/>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by reason of death, the Award shall vest in full and the Class C Common Stock underlying the RSUs shall be issued and delivered to the Participant's legal representatives, heirs, legatees, or distributees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4" w:lineRule="exact"/>
        <w:rPr>
          <w:rFonts w:ascii="Arial" w:cs="Arial" w:eastAsia="Arial" w:hAnsi="Arial"/>
          <w:sz w:val="12"/>
          <w:szCs w:val="12"/>
          <w:b w:val="1"/>
          <w:bCs w:val="1"/>
          <w:i w:val="1"/>
          <w:iCs w:val="1"/>
          <w:color w:val="auto"/>
        </w:rPr>
      </w:pPr>
    </w:p>
    <w:p>
      <w:pPr>
        <w:ind w:left="300" w:hanging="252"/>
        <w:spacing w:after="0"/>
        <w:tabs>
          <w:tab w:leader="none" w:pos="300" w:val="left"/>
        </w:tabs>
        <w:numPr>
          <w:ilvl w:val="0"/>
          <w:numId w:val="14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Retirement</w:t>
      </w:r>
    </w:p>
    <w:p>
      <w:pPr>
        <w:spacing w:after="0" w:line="150" w:lineRule="exact"/>
        <w:rPr>
          <w:rFonts w:ascii="Arial" w:cs="Arial" w:eastAsia="Arial" w:hAnsi="Arial"/>
          <w:sz w:val="12"/>
          <w:szCs w:val="12"/>
          <w:b w:val="1"/>
          <w:bCs w:val="1"/>
          <w:i w:val="1"/>
          <w:iCs w:val="1"/>
          <w:color w:val="auto"/>
        </w:rPr>
      </w:pPr>
    </w:p>
    <w:p>
      <w:pPr>
        <w:ind w:left="320"/>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in the event of Retirement, the Award shall continue to vest according to the vesting schedule;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Retirement occurs more than twelve (12) months following the Date of Grant.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4" w:lineRule="exact"/>
        <w:rPr>
          <w:rFonts w:ascii="Arial" w:cs="Arial" w:eastAsia="Arial" w:hAnsi="Arial"/>
          <w:sz w:val="12"/>
          <w:szCs w:val="12"/>
          <w:b w:val="1"/>
          <w:bCs w:val="1"/>
          <w:i w:val="1"/>
          <w:iCs w:val="1"/>
          <w:color w:val="auto"/>
        </w:rPr>
      </w:pPr>
    </w:p>
    <w:p>
      <w:pPr>
        <w:ind w:left="300" w:hanging="252"/>
        <w:spacing w:after="0"/>
        <w:tabs>
          <w:tab w:leader="none" w:pos="300" w:val="left"/>
        </w:tabs>
        <w:numPr>
          <w:ilvl w:val="0"/>
          <w:numId w:val="14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Disability</w:t>
      </w:r>
    </w:p>
    <w:p>
      <w:pPr>
        <w:spacing w:after="0" w:line="150" w:lineRule="exact"/>
        <w:rPr>
          <w:rFonts w:ascii="Arial" w:cs="Arial" w:eastAsia="Arial" w:hAnsi="Arial"/>
          <w:sz w:val="12"/>
          <w:szCs w:val="12"/>
          <w:b w:val="1"/>
          <w:bCs w:val="1"/>
          <w:i w:val="1"/>
          <w:iCs w:val="1"/>
          <w:color w:val="auto"/>
        </w:rPr>
      </w:pPr>
    </w:p>
    <w:p>
      <w:pPr>
        <w:ind w:left="320"/>
        <w:spacing w:after="0"/>
        <w:rPr>
          <w:rFonts w:ascii="Arial" w:cs="Arial" w:eastAsia="Arial" w:hAnsi="Arial"/>
          <w:sz w:val="12"/>
          <w:szCs w:val="12"/>
          <w:b w:val="1"/>
          <w:bCs w:val="1"/>
          <w:i w:val="1"/>
          <w:iCs w:val="1"/>
          <w:color w:val="auto"/>
        </w:rPr>
      </w:pPr>
      <w:r>
        <w:rPr>
          <w:rFonts w:ascii="Arial" w:cs="Arial" w:eastAsia="Arial" w:hAnsi="Arial"/>
          <w:sz w:val="11"/>
          <w:szCs w:val="11"/>
          <w:color w:val="auto"/>
        </w:rPr>
        <w:t xml:space="preserve">Upon a Termination of Service as a result of Disability, the Award shall vest in full, and the Class C Common Stock underlying the RSUs shall be issued and delivered to the Participant in accordance with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61" w:lineRule="exact"/>
        <w:rPr>
          <w:rFonts w:ascii="Arial" w:cs="Arial" w:eastAsia="Arial" w:hAnsi="Arial"/>
          <w:sz w:val="12"/>
          <w:szCs w:val="12"/>
          <w:b w:val="1"/>
          <w:bCs w:val="1"/>
          <w:i w:val="1"/>
          <w:iCs w:val="1"/>
          <w:color w:val="auto"/>
        </w:rPr>
      </w:pPr>
    </w:p>
    <w:p>
      <w:pPr>
        <w:ind w:left="300" w:hanging="252"/>
        <w:spacing w:after="0"/>
        <w:tabs>
          <w:tab w:leader="none" w:pos="300" w:val="left"/>
        </w:tabs>
        <w:numPr>
          <w:ilvl w:val="0"/>
          <w:numId w:val="14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Change in Control</w:t>
      </w:r>
    </w:p>
    <w:p>
      <w:pPr>
        <w:spacing w:after="0" w:line="150" w:lineRule="exact"/>
        <w:rPr>
          <w:rFonts w:ascii="Arial" w:cs="Arial" w:eastAsia="Arial" w:hAnsi="Arial"/>
          <w:sz w:val="12"/>
          <w:szCs w:val="12"/>
          <w:b w:val="1"/>
          <w:bCs w:val="1"/>
          <w:i w:val="1"/>
          <w:iCs w:val="1"/>
          <w:color w:val="auto"/>
        </w:rPr>
      </w:pPr>
    </w:p>
    <w:p>
      <w:pPr>
        <w:jc w:val="both"/>
        <w:ind w:left="320"/>
        <w:spacing w:after="0" w:line="259"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Notwithstanding anything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to the contrary, if the Company terminates the Participant’s employment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 The Company’s termination of the Participant’s employment may be treated as being in connection with a Change in Control only if such termination occurs during the period beginning six (6) months prior to the Change in Control and ending twelve (12) months following the Change in Control.</w:t>
      </w:r>
    </w:p>
    <w:p>
      <w:pPr>
        <w:spacing w:after="0" w:line="124" w:lineRule="exact"/>
        <w:rPr>
          <w:rFonts w:ascii="Arial" w:cs="Arial" w:eastAsia="Arial" w:hAnsi="Arial"/>
          <w:sz w:val="12"/>
          <w:szCs w:val="12"/>
          <w:b w:val="1"/>
          <w:bCs w:val="1"/>
          <w:i w:val="1"/>
          <w:iCs w:val="1"/>
          <w:color w:val="auto"/>
        </w:rPr>
      </w:pPr>
    </w:p>
    <w:p>
      <w:pPr>
        <w:ind w:left="300" w:hanging="252"/>
        <w:spacing w:after="0"/>
        <w:tabs>
          <w:tab w:leader="none" w:pos="300" w:val="left"/>
        </w:tabs>
        <w:numPr>
          <w:ilvl w:val="0"/>
          <w:numId w:val="14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Eligible Termination</w:t>
      </w:r>
    </w:p>
    <w:p>
      <w:pPr>
        <w:spacing w:after="0" w:line="150" w:lineRule="exact"/>
        <w:rPr>
          <w:rFonts w:ascii="Arial" w:cs="Arial" w:eastAsia="Arial" w:hAnsi="Arial"/>
          <w:sz w:val="12"/>
          <w:szCs w:val="12"/>
          <w:b w:val="1"/>
          <w:bCs w:val="1"/>
          <w:i w:val="1"/>
          <w:iCs w:val="1"/>
          <w:color w:val="auto"/>
        </w:rPr>
      </w:pPr>
    </w:p>
    <w:p>
      <w:pPr>
        <w:jc w:val="both"/>
        <w:ind w:left="300"/>
        <w:spacing w:after="0" w:line="286" w:lineRule="auto"/>
        <w:rPr>
          <w:rFonts w:ascii="Arial" w:cs="Arial" w:eastAsia="Arial" w:hAnsi="Arial"/>
          <w:sz w:val="12"/>
          <w:szCs w:val="12"/>
          <w:b w:val="1"/>
          <w:bCs w:val="1"/>
          <w:i w:val="1"/>
          <w:iCs w:val="1"/>
          <w:color w:val="auto"/>
        </w:rPr>
      </w:pPr>
      <w:r>
        <w:rPr>
          <w:rFonts w:ascii="Arial" w:cs="Arial" w:eastAsia="Arial" w:hAnsi="Arial"/>
          <w:sz w:val="11"/>
          <w:szCs w:val="11"/>
          <w:color w:val="auto"/>
        </w:rPr>
        <w:t xml:space="preserve">Upon a Termination of Service by reason of an Eligible Termination (as defined below), the number of RSUs that shall vest and be delivered to the Participant shall be the pro-rated percentage of the total number of RSUs awarded that is equal to the percentage of time during the aggregate vesting period for all RSUs awarded that the Participant was actually continuously employed by the Company (the “Pro-Rated Award”). The Pro-Rated Award shall vest on the fifteenth (15th) day of the month that follows the month in which the Release (as defined below) becomes irrevocable;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event the aggregate consideration and revocation period applicable to the Release spans two (2) calendar years, vesting of the Pro-Rated Award shall occur in the second calendar year. Notwithstanding the foregoing, in the event the Release becomes irrevocable in December, the Pro-Rated Award shall vest on December 31. Upon vesting, the Pro-Rated Award shall be issued and delivered to the Participant in accordance with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ectPr>
          <w:pgSz w:w="11900" w:h="16838" w:orient="portrait"/>
          <w:cols w:equalWidth="0" w:num="1">
            <w:col w:w="11320"/>
          </w:cols>
          <w:pgMar w:left="380" w:top="460" w:right="199" w:bottom="1440" w:gutter="0" w:footer="0" w:header="0"/>
        </w:sectPr>
      </w:pPr>
    </w:p>
    <w:bookmarkStart w:id="187" w:name="page188"/>
    <w:bookmarkEnd w:id="187"/>
    <w:p>
      <w:pPr>
        <w:jc w:val="both"/>
        <w:ind w:left="306"/>
        <w:spacing w:after="0" w:line="290" w:lineRule="auto"/>
        <w:rPr>
          <w:sz w:val="20"/>
          <w:szCs w:val="20"/>
          <w:color w:val="auto"/>
        </w:rPr>
      </w:pPr>
      <w:r>
        <w:rPr>
          <w:rFonts w:ascii="Arial" w:cs="Arial" w:eastAsia="Arial" w:hAnsi="Arial"/>
          <w:sz w:val="11"/>
          <w:szCs w:val="11"/>
          <w:color w:val="auto"/>
        </w:rPr>
        <w:t xml:space="preserve">For purposes of this </w:t>
      </w:r>
      <w:r>
        <w:rPr>
          <w:rFonts w:ascii="Arial" w:cs="Arial" w:eastAsia="Arial" w:hAnsi="Arial"/>
          <w:sz w:val="11"/>
          <w:szCs w:val="11"/>
          <w:u w:val="single" w:color="auto"/>
          <w:color w:val="auto"/>
        </w:rPr>
        <w:t>Section 8(e)</w:t>
      </w:r>
      <w:r>
        <w:rPr>
          <w:rFonts w:ascii="Arial" w:cs="Arial" w:eastAsia="Arial" w:hAnsi="Arial"/>
          <w:sz w:val="11"/>
          <w:szCs w:val="11"/>
          <w:color w:val="auto"/>
        </w:rPr>
        <w:t>, “</w:t>
      </w:r>
      <w:r>
        <w:rPr>
          <w:rFonts w:ascii="Arial" w:cs="Arial" w:eastAsia="Arial" w:hAnsi="Arial"/>
          <w:sz w:val="11"/>
          <w:szCs w:val="11"/>
          <w:u w:val="single" w:color="auto"/>
          <w:color w:val="auto"/>
        </w:rPr>
        <w:t>Eligible Terminatio</w:t>
      </w:r>
      <w:r>
        <w:rPr>
          <w:rFonts w:ascii="Arial" w:cs="Arial" w:eastAsia="Arial" w:hAnsi="Arial"/>
          <w:sz w:val="11"/>
          <w:szCs w:val="11"/>
          <w:color w:val="auto"/>
        </w:rPr>
        <w:t>n”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Arial" w:cs="Arial" w:eastAsia="Arial" w:hAnsi="Arial"/>
          <w:sz w:val="11"/>
          <w:szCs w:val="11"/>
          <w:u w:val="single" w:color="auto"/>
          <w:color w:val="auto"/>
        </w:rPr>
        <w:t>Release</w:t>
      </w:r>
      <w:r>
        <w:rPr>
          <w:rFonts w:ascii="Arial" w:cs="Arial" w:eastAsia="Arial" w:hAnsi="Arial"/>
          <w:sz w:val="11"/>
          <w:szCs w:val="11"/>
          <w:color w:val="auto"/>
        </w:rPr>
        <w:t xml:space="preserve">”). For the avoidance of doubt: (i) an involuntary Termination of Service by reason of a Change in Control, Cause, death, or Disability is not an Eligible Termination and (ii) in the event an Eligible Termination occurs and the Participant also meets the requirements for Retirement, the Award shall vest in accordance with </w:t>
      </w:r>
      <w:r>
        <w:rPr>
          <w:rFonts w:ascii="Arial" w:cs="Arial" w:eastAsia="Arial" w:hAnsi="Arial"/>
          <w:sz w:val="11"/>
          <w:szCs w:val="11"/>
          <w:u w:val="single" w:color="auto"/>
          <w:color w:val="auto"/>
        </w:rPr>
        <w:t>Section 8(b)</w:t>
      </w:r>
      <w:r>
        <w:rPr>
          <w:rFonts w:ascii="Arial" w:cs="Arial" w:eastAsia="Arial" w:hAnsi="Arial"/>
          <w:sz w:val="11"/>
          <w:szCs w:val="11"/>
          <w:color w:val="auto"/>
        </w:rPr>
        <w:t>.</w:t>
      </w:r>
    </w:p>
    <w:p>
      <w:pPr>
        <w:spacing w:after="0" w:line="109" w:lineRule="exact"/>
        <w:rPr>
          <w:sz w:val="20"/>
          <w:szCs w:val="20"/>
          <w:color w:val="auto"/>
        </w:rPr>
      </w:pPr>
    </w:p>
    <w:p>
      <w:pPr>
        <w:ind w:left="306" w:hanging="252"/>
        <w:spacing w:after="0"/>
        <w:tabs>
          <w:tab w:leader="none" w:pos="306" w:val="left"/>
        </w:tabs>
        <w:numPr>
          <w:ilvl w:val="1"/>
          <w:numId w:val="14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Termination of Service other than as a result of Death, Retirement, Disability, Change in Control or Eligible Termination</w:t>
      </w:r>
    </w:p>
    <w:p>
      <w:pPr>
        <w:spacing w:after="0" w:line="150" w:lineRule="exact"/>
        <w:rPr>
          <w:rFonts w:ascii="Arial" w:cs="Arial" w:eastAsia="Arial" w:hAnsi="Arial"/>
          <w:sz w:val="12"/>
          <w:szCs w:val="12"/>
          <w:b w:val="1"/>
          <w:bCs w:val="1"/>
          <w:i w:val="1"/>
          <w:iCs w:val="1"/>
          <w:color w:val="auto"/>
        </w:rPr>
      </w:pPr>
    </w:p>
    <w:p>
      <w:pPr>
        <w:ind w:left="326"/>
        <w:spacing w:after="0" w:line="323" w:lineRule="auto"/>
        <w:rPr>
          <w:rFonts w:ascii="Arial" w:cs="Arial" w:eastAsia="Arial" w:hAnsi="Arial"/>
          <w:sz w:val="12"/>
          <w:szCs w:val="12"/>
          <w:b w:val="1"/>
          <w:bCs w:val="1"/>
          <w:i w:val="1"/>
          <w:iCs w:val="1"/>
          <w:color w:val="auto"/>
        </w:rPr>
      </w:pPr>
      <w:r>
        <w:rPr>
          <w:rFonts w:ascii="Arial" w:cs="Arial" w:eastAsia="Arial" w:hAnsi="Arial"/>
          <w:sz w:val="11"/>
          <w:szCs w:val="11"/>
          <w:color w:val="auto"/>
        </w:rPr>
        <w:t>Upon a Termination of Service by any reason other than death, Retirement, Disability, Eligible Termination or in connection with a Change in Control, including, without limitation, as a result of retirement or disability that does not meet the requirements set forth in the definitions of such terms in the Plan, voluntary resignation or termination for Cause, any unvested portion of this Award shall expire and be forfeited to the Company.</w:t>
      </w:r>
    </w:p>
    <w:p>
      <w:pPr>
        <w:spacing w:after="0" w:line="91"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1"/>
          <w:numId w:val="14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Clawback as a result of misconduct</w:t>
      </w:r>
    </w:p>
    <w:p>
      <w:pPr>
        <w:spacing w:after="0" w:line="150" w:lineRule="exact"/>
        <w:rPr>
          <w:rFonts w:ascii="Arial" w:cs="Arial" w:eastAsia="Arial" w:hAnsi="Arial"/>
          <w:sz w:val="12"/>
          <w:szCs w:val="12"/>
          <w:b w:val="1"/>
          <w:bCs w:val="1"/>
          <w:i w:val="1"/>
          <w:iCs w:val="1"/>
          <w:color w:val="auto"/>
        </w:rPr>
      </w:pPr>
    </w:p>
    <w:p>
      <w:pPr>
        <w:jc w:val="both"/>
        <w:ind w:left="326"/>
        <w:spacing w:after="0" w:line="255" w:lineRule="auto"/>
        <w:rPr>
          <w:rFonts w:ascii="Arial" w:cs="Arial" w:eastAsia="Arial" w:hAnsi="Arial"/>
          <w:sz w:val="12"/>
          <w:szCs w:val="12"/>
          <w:b w:val="1"/>
          <w:bCs w:val="1"/>
          <w:i w:val="1"/>
          <w:iCs w:val="1"/>
          <w:color w:val="auto"/>
        </w:rPr>
      </w:pPr>
      <w:r>
        <w:rPr>
          <w:rFonts w:ascii="Arial" w:cs="Arial" w:eastAsia="Arial" w:hAnsi="Arial"/>
          <w:sz w:val="12"/>
          <w:szCs w:val="12"/>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this Award, and/or to forfeit the proceeds of any sale (including any sales to the Company) of any Company securities acquired by or on behalf of the Participant (or the Participant’s beneficiary) pursuant to the Award granted under this Agreement during the 12-month period following the first public filing of the financial document requiring restatement or during the 12-month period following the date of the Participant’s misconduct.</w:t>
      </w:r>
    </w:p>
    <w:p>
      <w:pPr>
        <w:spacing w:after="0" w:line="125" w:lineRule="exact"/>
        <w:rPr>
          <w:rFonts w:ascii="Arial" w:cs="Arial" w:eastAsia="Arial" w:hAnsi="Arial"/>
          <w:sz w:val="12"/>
          <w:szCs w:val="12"/>
          <w:b w:val="1"/>
          <w:bCs w:val="1"/>
          <w:i w:val="1"/>
          <w:iCs w:val="1"/>
          <w:color w:val="auto"/>
        </w:rPr>
      </w:pPr>
    </w:p>
    <w:p>
      <w:pPr>
        <w:ind w:left="206" w:hanging="206"/>
        <w:spacing w:after="0"/>
        <w:tabs>
          <w:tab w:leader="none" w:pos="206"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Committee Authority</w:t>
      </w:r>
    </w:p>
    <w:p>
      <w:pPr>
        <w:spacing w:after="0" w:line="154" w:lineRule="exact"/>
        <w:rPr>
          <w:sz w:val="20"/>
          <w:szCs w:val="20"/>
          <w:color w:val="auto"/>
        </w:rPr>
      </w:pPr>
    </w:p>
    <w:p>
      <w:pPr>
        <w:jc w:val="both"/>
        <w:ind w:left="46"/>
        <w:spacing w:after="0" w:line="276" w:lineRule="auto"/>
        <w:rPr>
          <w:sz w:val="20"/>
          <w:szCs w:val="20"/>
          <w:color w:val="auto"/>
        </w:rPr>
      </w:pPr>
      <w:r>
        <w:rPr>
          <w:rFonts w:ascii="Arial" w:cs="Arial" w:eastAsia="Arial" w:hAnsi="Arial"/>
          <w:sz w:val="12"/>
          <w:szCs w:val="12"/>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10. Plan Controls</w:t>
      </w:r>
    </w:p>
    <w:p>
      <w:pPr>
        <w:spacing w:after="0" w:line="154" w:lineRule="exact"/>
        <w:rPr>
          <w:sz w:val="20"/>
          <w:szCs w:val="20"/>
          <w:color w:val="auto"/>
        </w:rPr>
      </w:pPr>
    </w:p>
    <w:p>
      <w:pPr>
        <w:jc w:val="both"/>
        <w:ind w:left="46"/>
        <w:spacing w:after="0" w:line="276" w:lineRule="auto"/>
        <w:rPr>
          <w:sz w:val="20"/>
          <w:szCs w:val="20"/>
          <w:color w:val="auto"/>
        </w:rPr>
      </w:pPr>
      <w:r>
        <w:rPr>
          <w:rFonts w:ascii="Arial" w:cs="Arial" w:eastAsia="Arial" w:hAnsi="Arial"/>
          <w:sz w:val="12"/>
          <w:szCs w:val="12"/>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11. Limitation on Rights; No Right to Future Grants</w:t>
      </w:r>
    </w:p>
    <w:p>
      <w:pPr>
        <w:spacing w:after="0" w:line="154" w:lineRule="exact"/>
        <w:rPr>
          <w:sz w:val="20"/>
          <w:szCs w:val="20"/>
          <w:color w:val="auto"/>
        </w:rPr>
      </w:pPr>
    </w:p>
    <w:p>
      <w:pPr>
        <w:jc w:val="both"/>
        <w:ind w:left="46"/>
        <w:spacing w:after="0" w:line="280" w:lineRule="auto"/>
        <w:rPr>
          <w:sz w:val="20"/>
          <w:szCs w:val="20"/>
          <w:color w:val="auto"/>
        </w:rPr>
      </w:pPr>
      <w:r>
        <w:rPr>
          <w:rFonts w:ascii="Arial" w:cs="Arial" w:eastAsia="Arial" w:hAnsi="Arial"/>
          <w:sz w:val="11"/>
          <w:szCs w:val="11"/>
          <w:color w:val="auto"/>
        </w:rPr>
        <w:t>By entering into this Agreement and accepting this Award, the Participant acknowledges that: (a) the Plan is discretionary and may be modified, suspended or terminated by the Company at any time, as provided in the Plan; provided that, except as provided in Section 24 of the Plan, no amendment to this Agreement shall adversely affect in a material manner the Participant’s rights under this Agreement without his or her written consent; (b) the grant of this Award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Section 8; (g) the future value of the Class C Common Stock subject to this Award is unknown and cannot be predicted with certainty, (h) neither the Plan, this Award nor the issuance of the shares of Class C Common Stock underlying this Award confers</w:t>
      </w:r>
    </w:p>
    <w:p>
      <w:pPr>
        <w:sectPr>
          <w:pgSz w:w="11900" w:h="16838" w:orient="portrait"/>
          <w:cols w:equalWidth="0" w:num="1">
            <w:col w:w="11326"/>
          </w:cols>
          <w:pgMar w:left="374" w:top="464" w:right="199" w:bottom="1440" w:gutter="0" w:footer="0" w:header="0"/>
        </w:sectPr>
      </w:pPr>
    </w:p>
    <w:bookmarkStart w:id="188" w:name="page189"/>
    <w:bookmarkEnd w:id="188"/>
    <w:p>
      <w:pPr>
        <w:jc w:val="both"/>
        <w:ind w:left="46"/>
        <w:spacing w:after="0" w:line="263" w:lineRule="auto"/>
        <w:rPr>
          <w:sz w:val="20"/>
          <w:szCs w:val="20"/>
          <w:color w:val="auto"/>
        </w:rPr>
      </w:pPr>
      <w:r>
        <w:rPr>
          <w:rFonts w:ascii="Arial" w:cs="Arial" w:eastAsia="Arial" w:hAnsi="Arial"/>
          <w:sz w:val="12"/>
          <w:szCs w:val="12"/>
          <w:color w:val="auto"/>
        </w:rPr>
        <w:t>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with the Company or any Subsidiary; and furthermore, the grant of this Award will not be interpreted to form an employment contract with the Company or any Subsidiary.</w:t>
      </w:r>
    </w:p>
    <w:p>
      <w:pPr>
        <w:spacing w:after="0" w:line="119" w:lineRule="exact"/>
        <w:rPr>
          <w:sz w:val="20"/>
          <w:szCs w:val="20"/>
          <w:color w:val="auto"/>
        </w:rPr>
      </w:pPr>
    </w:p>
    <w:p>
      <w:pPr>
        <w:ind w:left="206" w:hanging="206"/>
        <w:spacing w:after="0"/>
        <w:tabs>
          <w:tab w:leader="none" w:pos="206"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General Provisions</w:t>
      </w:r>
    </w:p>
    <w:p>
      <w:pPr>
        <w:spacing w:after="0" w:line="154" w:lineRule="exact"/>
        <w:rPr>
          <w:rFonts w:ascii="Arial" w:cs="Arial" w:eastAsia="Arial" w:hAnsi="Arial"/>
          <w:sz w:val="12"/>
          <w:szCs w:val="12"/>
          <w:b w:val="1"/>
          <w:bCs w:val="1"/>
          <w:color w:val="auto"/>
        </w:rPr>
      </w:pPr>
    </w:p>
    <w:p>
      <w:pPr>
        <w:ind w:left="306" w:hanging="252"/>
        <w:spacing w:after="0"/>
        <w:tabs>
          <w:tab w:leader="none" w:pos="306" w:val="left"/>
        </w:tabs>
        <w:numPr>
          <w:ilvl w:val="1"/>
          <w:numId w:val="14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Notice</w:t>
      </w:r>
    </w:p>
    <w:p>
      <w:pPr>
        <w:spacing w:after="0" w:line="150" w:lineRule="exact"/>
        <w:rPr>
          <w:rFonts w:ascii="Arial" w:cs="Arial" w:eastAsia="Arial" w:hAnsi="Arial"/>
          <w:sz w:val="12"/>
          <w:szCs w:val="12"/>
          <w:b w:val="1"/>
          <w:bCs w:val="1"/>
          <w:i w:val="1"/>
          <w:iCs w:val="1"/>
          <w:color w:val="auto"/>
        </w:rPr>
      </w:pPr>
    </w:p>
    <w:p>
      <w:pPr>
        <w:jc w:val="both"/>
        <w:ind w:left="326"/>
        <w:spacing w:after="0" w:line="327" w:lineRule="auto"/>
        <w:rPr>
          <w:rFonts w:ascii="Arial" w:cs="Arial" w:eastAsia="Arial" w:hAnsi="Arial"/>
          <w:sz w:val="12"/>
          <w:szCs w:val="12"/>
          <w:b w:val="1"/>
          <w:bCs w:val="1"/>
          <w:i w:val="1"/>
          <w:iCs w:val="1"/>
          <w:color w:val="auto"/>
        </w:rPr>
      </w:pPr>
      <w:r>
        <w:rPr>
          <w:rFonts w:ascii="Arial" w:cs="Arial" w:eastAsia="Arial" w:hAnsi="Arial"/>
          <w:sz w:val="10"/>
          <w:szCs w:val="10"/>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pacing w:after="0" w:line="166" w:lineRule="exact"/>
        <w:rPr>
          <w:sz w:val="20"/>
          <w:szCs w:val="20"/>
          <w:color w:val="auto"/>
        </w:rPr>
      </w:pPr>
    </w:p>
    <w:p>
      <w:pPr>
        <w:ind w:left="1566"/>
        <w:spacing w:after="0"/>
        <w:tabs>
          <w:tab w:leader="none" w:pos="2165" w:val="left"/>
        </w:tabs>
        <w:rPr>
          <w:sz w:val="20"/>
          <w:szCs w:val="20"/>
          <w:color w:val="auto"/>
        </w:rPr>
      </w:pPr>
      <w:r>
        <w:rPr>
          <w:rFonts w:ascii="Arial" w:cs="Arial" w:eastAsia="Arial" w:hAnsi="Arial"/>
          <w:sz w:val="12"/>
          <w:szCs w:val="12"/>
          <w:color w:val="auto"/>
        </w:rPr>
        <w:t>Company:</w:t>
      </w:r>
      <w:r>
        <w:rPr>
          <w:sz w:val="20"/>
          <w:szCs w:val="20"/>
          <w:color w:val="auto"/>
        </w:rPr>
        <w:tab/>
      </w:r>
      <w:r>
        <w:rPr>
          <w:rFonts w:ascii="Arial" w:cs="Arial" w:eastAsia="Arial" w:hAnsi="Arial"/>
          <w:sz w:val="11"/>
          <w:szCs w:val="11"/>
          <w:color w:val="auto"/>
        </w:rPr>
        <w:t>Clearway Energy, Inc.</w:t>
      </w:r>
    </w:p>
    <w:p>
      <w:pPr>
        <w:spacing w:after="0" w:line="15" w:lineRule="exact"/>
        <w:rPr>
          <w:sz w:val="20"/>
          <w:szCs w:val="20"/>
          <w:color w:val="auto"/>
        </w:rPr>
      </w:pPr>
    </w:p>
    <w:p>
      <w:pPr>
        <w:ind w:left="2426"/>
        <w:spacing w:after="0"/>
        <w:rPr>
          <w:sz w:val="20"/>
          <w:szCs w:val="20"/>
          <w:color w:val="auto"/>
        </w:rPr>
      </w:pPr>
      <w:r>
        <w:rPr>
          <w:rFonts w:ascii="Arial" w:cs="Arial" w:eastAsia="Arial" w:hAnsi="Arial"/>
          <w:sz w:val="12"/>
          <w:szCs w:val="12"/>
          <w:color w:val="auto"/>
        </w:rPr>
        <w:t>Attn: SVP, General Counsel &amp; Corporate Secretary</w:t>
      </w:r>
    </w:p>
    <w:p>
      <w:pPr>
        <w:spacing w:after="0" w:line="6" w:lineRule="exact"/>
        <w:rPr>
          <w:sz w:val="20"/>
          <w:szCs w:val="20"/>
          <w:color w:val="auto"/>
        </w:rPr>
      </w:pPr>
    </w:p>
    <w:p>
      <w:pPr>
        <w:ind w:left="2646"/>
        <w:spacing w:after="0"/>
        <w:rPr>
          <w:sz w:val="20"/>
          <w:szCs w:val="20"/>
          <w:color w:val="auto"/>
        </w:rPr>
      </w:pPr>
      <w:r>
        <w:rPr>
          <w:rFonts w:ascii="Arial" w:cs="Arial" w:eastAsia="Arial" w:hAnsi="Arial"/>
          <w:sz w:val="12"/>
          <w:szCs w:val="12"/>
          <w:color w:val="auto"/>
        </w:rPr>
        <w:t>300 Carnegie Center, Suite 300</w:t>
      </w:r>
    </w:p>
    <w:p>
      <w:pPr>
        <w:spacing w:after="0" w:line="6" w:lineRule="exact"/>
        <w:rPr>
          <w:sz w:val="20"/>
          <w:szCs w:val="20"/>
          <w:color w:val="auto"/>
        </w:rPr>
      </w:pPr>
    </w:p>
    <w:p>
      <w:pPr>
        <w:ind w:left="606"/>
        <w:spacing w:after="0"/>
        <w:rPr>
          <w:sz w:val="20"/>
          <w:szCs w:val="20"/>
          <w:color w:val="auto"/>
        </w:rPr>
      </w:pPr>
      <w:r>
        <w:rPr>
          <w:rFonts w:ascii="Arial" w:cs="Arial" w:eastAsia="Arial" w:hAnsi="Arial"/>
          <w:sz w:val="12"/>
          <w:szCs w:val="12"/>
          <w:color w:val="auto"/>
        </w:rPr>
        <w:t>Princeton, NJ 08450</w:t>
      </w:r>
    </w:p>
    <w:p>
      <w:pPr>
        <w:spacing w:after="0" w:line="141" w:lineRule="exact"/>
        <w:rPr>
          <w:sz w:val="20"/>
          <w:szCs w:val="20"/>
          <w:color w:val="auto"/>
        </w:rPr>
      </w:pPr>
    </w:p>
    <w:p>
      <w:pPr>
        <w:ind w:left="326"/>
        <w:spacing w:after="0"/>
        <w:rPr>
          <w:sz w:val="20"/>
          <w:szCs w:val="20"/>
          <w:color w:val="auto"/>
        </w:rPr>
      </w:pPr>
      <w:r>
        <w:rPr>
          <w:rFonts w:ascii="Arial" w:cs="Arial" w:eastAsia="Arial" w:hAnsi="Arial"/>
          <w:sz w:val="12"/>
          <w:szCs w:val="12"/>
          <w:color w:val="auto"/>
        </w:rPr>
        <w:t>The Company or the Participant may change, by written notice to the other, the address previously specified for receiving notices.</w:t>
      </w:r>
    </w:p>
    <w:p>
      <w:pPr>
        <w:spacing w:after="0" w:line="150" w:lineRule="exact"/>
        <w:rPr>
          <w:sz w:val="20"/>
          <w:szCs w:val="20"/>
          <w:color w:val="auto"/>
        </w:rPr>
      </w:pPr>
    </w:p>
    <w:p>
      <w:pPr>
        <w:ind w:left="306" w:hanging="252"/>
        <w:spacing w:after="0"/>
        <w:tabs>
          <w:tab w:leader="none" w:pos="306"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 Waiver</w:t>
      </w:r>
    </w:p>
    <w:p>
      <w:pPr>
        <w:spacing w:after="0" w:line="150" w:lineRule="exact"/>
        <w:rPr>
          <w:rFonts w:ascii="Arial" w:cs="Arial" w:eastAsia="Arial" w:hAnsi="Arial"/>
          <w:sz w:val="12"/>
          <w:szCs w:val="12"/>
          <w:b w:val="1"/>
          <w:bCs w:val="1"/>
          <w:i w:val="1"/>
          <w:iCs w:val="1"/>
          <w:color w:val="auto"/>
        </w:rPr>
      </w:pPr>
    </w:p>
    <w:p>
      <w:pPr>
        <w:ind w:left="326"/>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Undertaking</w:t>
      </w:r>
    </w:p>
    <w:p>
      <w:pPr>
        <w:spacing w:after="0" w:line="150" w:lineRule="exact"/>
        <w:rPr>
          <w:rFonts w:ascii="Arial" w:cs="Arial" w:eastAsia="Arial" w:hAnsi="Arial"/>
          <w:sz w:val="12"/>
          <w:szCs w:val="12"/>
          <w:b w:val="1"/>
          <w:bCs w:val="1"/>
          <w:i w:val="1"/>
          <w:iCs w:val="1"/>
          <w:color w:val="auto"/>
        </w:rPr>
      </w:pPr>
    </w:p>
    <w:p>
      <w:pPr>
        <w:ind w:left="326"/>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Entire Contract</w:t>
      </w:r>
    </w:p>
    <w:p>
      <w:pPr>
        <w:spacing w:after="0" w:line="150" w:lineRule="exact"/>
        <w:rPr>
          <w:rFonts w:ascii="Arial" w:cs="Arial" w:eastAsia="Arial" w:hAnsi="Arial"/>
          <w:sz w:val="12"/>
          <w:szCs w:val="12"/>
          <w:b w:val="1"/>
          <w:bCs w:val="1"/>
          <w:i w:val="1"/>
          <w:iCs w:val="1"/>
          <w:color w:val="auto"/>
        </w:rPr>
      </w:pPr>
    </w:p>
    <w:p>
      <w:pPr>
        <w:ind w:left="326"/>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Successors and Assigns</w:t>
      </w:r>
    </w:p>
    <w:p>
      <w:pPr>
        <w:spacing w:after="0" w:line="150" w:lineRule="exact"/>
        <w:rPr>
          <w:rFonts w:ascii="Arial" w:cs="Arial" w:eastAsia="Arial" w:hAnsi="Arial"/>
          <w:sz w:val="12"/>
          <w:szCs w:val="12"/>
          <w:b w:val="1"/>
          <w:bCs w:val="1"/>
          <w:i w:val="1"/>
          <w:iCs w:val="1"/>
          <w:color w:val="auto"/>
        </w:rPr>
      </w:pPr>
    </w:p>
    <w:p>
      <w:pPr>
        <w:ind w:left="326"/>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14" w:lineRule="exact"/>
        <w:rPr>
          <w:rFonts w:ascii="Arial" w:cs="Arial" w:eastAsia="Arial" w:hAnsi="Arial"/>
          <w:sz w:val="12"/>
          <w:szCs w:val="12"/>
          <w:b w:val="1"/>
          <w:bCs w:val="1"/>
          <w:i w:val="1"/>
          <w:iCs w:val="1"/>
          <w:color w:val="auto"/>
        </w:rPr>
      </w:pPr>
    </w:p>
    <w:p>
      <w:pPr>
        <w:ind w:left="306" w:hanging="252"/>
        <w:spacing w:after="0"/>
        <w:tabs>
          <w:tab w:leader="none" w:pos="306"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Securities Law Compliance</w:t>
      </w:r>
    </w:p>
    <w:p>
      <w:pPr>
        <w:spacing w:after="0" w:line="150" w:lineRule="exact"/>
        <w:rPr>
          <w:rFonts w:ascii="Arial" w:cs="Arial" w:eastAsia="Arial" w:hAnsi="Arial"/>
          <w:sz w:val="12"/>
          <w:szCs w:val="12"/>
          <w:b w:val="1"/>
          <w:bCs w:val="1"/>
          <w:i w:val="1"/>
          <w:iCs w:val="1"/>
          <w:color w:val="auto"/>
        </w:rPr>
      </w:pPr>
    </w:p>
    <w:p>
      <w:pPr>
        <w:jc w:val="both"/>
        <w:ind w:left="326"/>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Company currently has an effective registration statement on file with the Securities and Exchange Commission with respect to the shares of Class C Common Stock underlying this Award. The Company intends to maintain this registration statement but has no obligation to the Participant to do so. If the registration statement ceases to be effective, the Participant will not be able to transfer or sell shares of Class C Common Stock issued pursuant to this Award, unless exemptions from registration under applicable securities laws are available. Such exemptions from</w:t>
      </w:r>
    </w:p>
    <w:p>
      <w:pPr>
        <w:sectPr>
          <w:pgSz w:w="11900" w:h="16838" w:orient="portrait"/>
          <w:cols w:equalWidth="0" w:num="1">
            <w:col w:w="11326"/>
          </w:cols>
          <w:pgMar w:left="374" w:top="464" w:right="199" w:bottom="1440" w:gutter="0" w:footer="0" w:header="0"/>
        </w:sectPr>
      </w:pPr>
    </w:p>
    <w:bookmarkStart w:id="189" w:name="page190"/>
    <w:bookmarkEnd w:id="189"/>
    <w:p>
      <w:pPr>
        <w:jc w:val="both"/>
        <w:ind w:left="272"/>
        <w:spacing w:after="0" w:line="259" w:lineRule="auto"/>
        <w:rPr>
          <w:sz w:val="20"/>
          <w:szCs w:val="20"/>
          <w:color w:val="auto"/>
        </w:rPr>
      </w:pPr>
      <w:r>
        <w:rPr>
          <w:rFonts w:ascii="Arial" w:cs="Arial" w:eastAsia="Arial" w:hAnsi="Arial"/>
          <w:sz w:val="12"/>
          <w:szCs w:val="12"/>
          <w:color w:val="auto"/>
        </w:rPr>
        <w:t>registration are very limited and might be unavailable. Participant agrees that any resale of the shares of Class C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25" w:lineRule="exact"/>
        <w:rPr>
          <w:sz w:val="20"/>
          <w:szCs w:val="20"/>
          <w:color w:val="auto"/>
        </w:rPr>
      </w:pPr>
    </w:p>
    <w:p>
      <w:pPr>
        <w:ind w:left="252" w:hanging="252"/>
        <w:spacing w:after="0"/>
        <w:tabs>
          <w:tab w:leader="none" w:pos="252"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Taxes</w:t>
      </w:r>
    </w:p>
    <w:p>
      <w:pPr>
        <w:spacing w:after="0" w:line="150" w:lineRule="exact"/>
        <w:rPr>
          <w:rFonts w:ascii="Arial" w:cs="Arial" w:eastAsia="Arial" w:hAnsi="Arial"/>
          <w:sz w:val="12"/>
          <w:szCs w:val="12"/>
          <w:b w:val="1"/>
          <w:bCs w:val="1"/>
          <w:i w:val="1"/>
          <w:iCs w:val="1"/>
          <w:color w:val="auto"/>
        </w:rPr>
      </w:pPr>
    </w:p>
    <w:p>
      <w:pPr>
        <w:jc w:val="both"/>
        <w:ind w:left="272"/>
        <w:spacing w:after="0" w:line="257"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acknowledges that the removal of restrictions with respect to RSUs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25" w:lineRule="exact"/>
        <w:rPr>
          <w:rFonts w:ascii="Arial" w:cs="Arial" w:eastAsia="Arial" w:hAnsi="Arial"/>
          <w:sz w:val="12"/>
          <w:szCs w:val="12"/>
          <w:b w:val="1"/>
          <w:bCs w:val="1"/>
          <w:i w:val="1"/>
          <w:iCs w:val="1"/>
          <w:color w:val="auto"/>
        </w:rPr>
      </w:pPr>
    </w:p>
    <w:p>
      <w:pPr>
        <w:ind w:left="252" w:hanging="252"/>
        <w:spacing w:after="0"/>
        <w:tabs>
          <w:tab w:leader="none" w:pos="252"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Confidentiality</w:t>
      </w:r>
    </w:p>
    <w:p>
      <w:pPr>
        <w:spacing w:after="0" w:line="150" w:lineRule="exact"/>
        <w:rPr>
          <w:rFonts w:ascii="Arial" w:cs="Arial" w:eastAsia="Arial" w:hAnsi="Arial"/>
          <w:sz w:val="12"/>
          <w:szCs w:val="12"/>
          <w:b w:val="1"/>
          <w:bCs w:val="1"/>
          <w:i w:val="1"/>
          <w:iCs w:val="1"/>
          <w:color w:val="auto"/>
        </w:rPr>
      </w:pPr>
    </w:p>
    <w:p>
      <w:pPr>
        <w:jc w:val="both"/>
        <w:ind w:left="272"/>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secure a loan.</w:t>
      </w:r>
    </w:p>
    <w:p>
      <w:pPr>
        <w:spacing w:after="0" w:line="122" w:lineRule="exact"/>
        <w:rPr>
          <w:rFonts w:ascii="Arial" w:cs="Arial" w:eastAsia="Arial" w:hAnsi="Arial"/>
          <w:sz w:val="12"/>
          <w:szCs w:val="12"/>
          <w:b w:val="1"/>
          <w:bCs w:val="1"/>
          <w:i w:val="1"/>
          <w:iCs w:val="1"/>
          <w:color w:val="auto"/>
        </w:rPr>
      </w:pPr>
    </w:p>
    <w:p>
      <w:pPr>
        <w:ind w:left="252" w:hanging="252"/>
        <w:spacing w:after="0"/>
        <w:tabs>
          <w:tab w:leader="none" w:pos="252"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Governing Law</w:t>
      </w:r>
    </w:p>
    <w:p>
      <w:pPr>
        <w:spacing w:after="0" w:line="150" w:lineRule="exact"/>
        <w:rPr>
          <w:rFonts w:ascii="Arial" w:cs="Arial" w:eastAsia="Arial" w:hAnsi="Arial"/>
          <w:sz w:val="12"/>
          <w:szCs w:val="12"/>
          <w:b w:val="1"/>
          <w:bCs w:val="1"/>
          <w:i w:val="1"/>
          <w:iCs w:val="1"/>
          <w:color w:val="auto"/>
        </w:rPr>
      </w:pPr>
    </w:p>
    <w:p>
      <w:pPr>
        <w:ind w:left="272"/>
        <w:spacing w:after="0"/>
        <w:rPr>
          <w:rFonts w:ascii="Arial" w:cs="Arial" w:eastAsia="Arial" w:hAnsi="Arial"/>
          <w:sz w:val="12"/>
          <w:szCs w:val="12"/>
          <w:b w:val="1"/>
          <w:bCs w:val="1"/>
          <w:i w:val="1"/>
          <w:iCs w:val="1"/>
          <w:color w:val="auto"/>
        </w:rPr>
      </w:pPr>
      <w:r>
        <w:rPr>
          <w:rFonts w:ascii="Arial" w:cs="Arial" w:eastAsia="Arial" w:hAnsi="Arial"/>
          <w:sz w:val="12"/>
          <w:szCs w:val="12"/>
          <w:color w:val="auto"/>
        </w:rPr>
        <w:t>Except as may otherwise be provided in the Plan, the provisions of this Agreement shall be governed by the laws of the State of Delaware without giving effect to principles of conflicts of law.</w:t>
      </w:r>
    </w:p>
    <w:p>
      <w:pPr>
        <w:spacing w:after="0" w:line="150" w:lineRule="exact"/>
        <w:rPr>
          <w:rFonts w:ascii="Arial" w:cs="Arial" w:eastAsia="Arial" w:hAnsi="Arial"/>
          <w:sz w:val="12"/>
          <w:szCs w:val="12"/>
          <w:b w:val="1"/>
          <w:bCs w:val="1"/>
          <w:i w:val="1"/>
          <w:iCs w:val="1"/>
          <w:color w:val="auto"/>
        </w:rPr>
      </w:pPr>
    </w:p>
    <w:p>
      <w:pPr>
        <w:ind w:left="252" w:hanging="252"/>
        <w:spacing w:after="0"/>
        <w:tabs>
          <w:tab w:leader="none" w:pos="252"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Code Section 409A Compliance</w:t>
      </w:r>
    </w:p>
    <w:p>
      <w:pPr>
        <w:spacing w:after="0" w:line="150" w:lineRule="exact"/>
        <w:rPr>
          <w:rFonts w:ascii="Arial" w:cs="Arial" w:eastAsia="Arial" w:hAnsi="Arial"/>
          <w:sz w:val="12"/>
          <w:szCs w:val="12"/>
          <w:b w:val="1"/>
          <w:bCs w:val="1"/>
          <w:i w:val="1"/>
          <w:iCs w:val="1"/>
          <w:color w:val="auto"/>
        </w:rPr>
      </w:pPr>
    </w:p>
    <w:p>
      <w:pPr>
        <w:jc w:val="both"/>
        <w:ind w:left="272"/>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200" w:lineRule="exact"/>
        <w:rPr>
          <w:sz w:val="20"/>
          <w:szCs w:val="20"/>
          <w:color w:val="auto"/>
        </w:rPr>
      </w:pPr>
    </w:p>
    <w:p>
      <w:pPr>
        <w:spacing w:after="0" w:line="211" w:lineRule="exact"/>
        <w:rPr>
          <w:sz w:val="20"/>
          <w:szCs w:val="20"/>
          <w:color w:val="auto"/>
        </w:rPr>
      </w:pPr>
    </w:p>
    <w:p>
      <w:pPr>
        <w:ind w:left="23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ectPr>
          <w:pgSz w:w="11900" w:h="16838" w:orient="portrait"/>
          <w:cols w:equalWidth="0" w:num="1">
            <w:col w:w="11272"/>
          </w:cols>
          <w:pgMar w:left="428" w:top="464" w:right="199" w:bottom="1440" w:gutter="0" w:footer="0" w:header="0"/>
        </w:sectPr>
      </w:pPr>
    </w:p>
    <w:bookmarkStart w:id="190" w:name="page191"/>
    <w:bookmarkEnd w:id="190"/>
    <w:p>
      <w:pPr>
        <w:spacing w:after="0"/>
        <w:rPr>
          <w:sz w:val="20"/>
          <w:szCs w:val="20"/>
          <w:color w:val="auto"/>
        </w:rPr>
      </w:pPr>
      <w:r>
        <w:rPr>
          <w:rFonts w:ascii="Arial" w:cs="Arial" w:eastAsia="Arial" w:hAnsi="Arial"/>
          <w:sz w:val="12"/>
          <w:szCs w:val="12"/>
          <w:color w:val="auto"/>
        </w:rPr>
        <w:t>IN WITNESS WHEREOF, this Agreement has been executed as of the Date of Grant.</w:t>
      </w: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Arial" w:cs="Arial" w:eastAsia="Arial" w:hAnsi="Arial"/>
          <w:sz w:val="12"/>
          <w:szCs w:val="1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2"/>
                <w:szCs w:val="12"/>
                <w:color w:val="auto"/>
              </w:rPr>
              <w:t>Name:</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Christopher Sotos</w:t>
            </w:r>
          </w:p>
        </w:tc>
      </w:tr>
      <w:tr>
        <w:trPr>
          <w:trHeight w:val="169"/>
        </w:trPr>
        <w:tc>
          <w:tcPr>
            <w:tcW w:w="840" w:type="dxa"/>
            <w:vAlign w:val="bottom"/>
          </w:tcPr>
          <w:p>
            <w:pPr>
              <w:spacing w:after="0"/>
              <w:rPr>
                <w:sz w:val="20"/>
                <w:szCs w:val="20"/>
                <w:color w:val="auto"/>
              </w:rPr>
            </w:pPr>
            <w:r>
              <w:rPr>
                <w:rFonts w:ascii="Arial" w:cs="Arial" w:eastAsia="Arial" w:hAnsi="Arial"/>
                <w:sz w:val="12"/>
                <w:szCs w:val="12"/>
                <w:color w:val="auto"/>
              </w:rPr>
              <w:t>Title:</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President &amp; CEO</w:t>
            </w:r>
          </w:p>
        </w:tc>
      </w:tr>
    </w:tbl>
    <w:p>
      <w:pPr>
        <w:sectPr>
          <w:pgSz w:w="11900" w:h="16838" w:orient="portrait"/>
          <w:cols w:equalWidth="0" w:num="1">
            <w:col w:w="10239"/>
          </w:cols>
          <w:pgMar w:left="220" w:top="464" w:right="1440" w:bottom="1440" w:gutter="0" w:footer="0" w:header="0"/>
        </w:sectPr>
      </w:pPr>
    </w:p>
    <w:bookmarkStart w:id="191" w:name="page192"/>
    <w:bookmarkEnd w:id="191"/>
    <w:p>
      <w:pPr>
        <w:jc w:val="right"/>
        <w:spacing w:after="0"/>
        <w:rPr>
          <w:sz w:val="20"/>
          <w:szCs w:val="20"/>
          <w:color w:val="auto"/>
        </w:rPr>
      </w:pPr>
      <w:r>
        <w:rPr>
          <w:rFonts w:ascii="Arial" w:cs="Arial" w:eastAsia="Arial" w:hAnsi="Arial"/>
          <w:sz w:val="12"/>
          <w:szCs w:val="12"/>
          <w:b w:val="1"/>
          <w:bCs w:val="1"/>
          <w:color w:val="auto"/>
        </w:rPr>
        <w:t>Exhibit 10.24</w:t>
      </w:r>
    </w:p>
    <w:p>
      <w:pPr>
        <w:spacing w:after="0" w:line="200" w:lineRule="exact"/>
        <w:rPr>
          <w:sz w:val="20"/>
          <w:szCs w:val="20"/>
          <w:color w:val="auto"/>
        </w:rPr>
      </w:pPr>
    </w:p>
    <w:p>
      <w:pPr>
        <w:spacing w:after="0" w:line="202" w:lineRule="exact"/>
        <w:rPr>
          <w:sz w:val="20"/>
          <w:szCs w:val="20"/>
          <w:color w:val="auto"/>
        </w:rPr>
      </w:pPr>
    </w:p>
    <w:p>
      <w:pPr>
        <w:ind w:left="3840"/>
        <w:spacing w:after="0"/>
        <w:rPr>
          <w:sz w:val="20"/>
          <w:szCs w:val="20"/>
          <w:color w:val="auto"/>
        </w:rPr>
      </w:pPr>
      <w:r>
        <w:rPr>
          <w:rFonts w:ascii="Arial" w:cs="Arial" w:eastAsia="Arial" w:hAnsi="Arial"/>
          <w:sz w:val="12"/>
          <w:szCs w:val="12"/>
          <w:b w:val="1"/>
          <w:bCs w:val="1"/>
          <w:color w:val="auto"/>
        </w:rPr>
        <w:t>CLEARWAY ENERGY, INC. NOTICE OF RELATIVE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[PARTICIPANT]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Congratulations on your selection as a Participant under the Clearway Energy, Inc. Amended and Restated 2013 Equity Incentive Plan (“</w:t>
      </w:r>
      <w:r>
        <w:rPr>
          <w:rFonts w:ascii="Arial" w:cs="Arial" w:eastAsia="Arial" w:hAnsi="Arial"/>
          <w:sz w:val="12"/>
          <w:szCs w:val="12"/>
          <w:u w:val="single" w:color="auto"/>
          <w:color w:val="auto"/>
        </w:rPr>
        <w:t>Plan</w:t>
      </w:r>
      <w:r>
        <w:rPr>
          <w:rFonts w:ascii="Arial" w:cs="Arial" w:eastAsia="Arial" w:hAnsi="Arial"/>
          <w:sz w:val="12"/>
          <w:szCs w:val="12"/>
          <w:color w:val="auto"/>
        </w:rPr>
        <w:t>”). This Notice of Relative Performance Stock Units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the attached Relative Performance Stock Unit Agreement (collectively referred to as the “</w:t>
      </w:r>
      <w:r>
        <w:rPr>
          <w:rFonts w:ascii="Arial" w:cs="Arial" w:eastAsia="Arial" w:hAnsi="Arial"/>
          <w:sz w:val="12"/>
          <w:szCs w:val="12"/>
          <w:u w:val="single" w:color="auto"/>
          <w:color w:val="auto"/>
        </w:rPr>
        <w:t>Agreement</w:t>
      </w:r>
      <w:r>
        <w:rPr>
          <w:rFonts w:ascii="Arial" w:cs="Arial" w:eastAsia="Arial" w:hAnsi="Arial"/>
          <w:sz w:val="12"/>
          <w:szCs w:val="12"/>
          <w:color w:val="auto"/>
        </w:rPr>
        <w:t>”) constitute an agreement between you and Clearway Energy, Inc.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pursuant to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Arial" w:cs="Arial" w:eastAsia="Arial" w:hAnsi="Arial"/>
          <w:sz w:val="12"/>
          <w:szCs w:val="12"/>
          <w:u w:val="single" w:color="auto"/>
          <w:color w:val="auto"/>
        </w:rPr>
        <w:t>Participant</w:t>
      </w:r>
      <w:r>
        <w:rPr>
          <w:rFonts w:ascii="Arial" w:cs="Arial" w:eastAsia="Arial" w:hAnsi="Arial"/>
          <w:sz w:val="12"/>
          <w:szCs w:val="12"/>
          <w:color w:val="auto"/>
        </w:rPr>
        <w:t>” in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is hereby granted Relative Performance Stock Units (“</w:t>
      </w:r>
      <w:r>
        <w:rPr>
          <w:rFonts w:ascii="Arial" w:cs="Arial" w:eastAsia="Arial" w:hAnsi="Arial"/>
          <w:sz w:val="12"/>
          <w:szCs w:val="12"/>
          <w:u w:val="single" w:color="auto"/>
          <w:color w:val="auto"/>
        </w:rPr>
        <w:t>RPSUs</w:t>
      </w:r>
      <w:r>
        <w:rPr>
          <w:rFonts w:ascii="Arial" w:cs="Arial" w:eastAsia="Arial" w:hAnsi="Arial"/>
          <w:sz w:val="12"/>
          <w:szCs w:val="12"/>
          <w:color w:val="auto"/>
        </w:rPr>
        <w:t>”) as follows:</w:t>
      </w:r>
    </w:p>
    <w:p>
      <w:pPr>
        <w:sectPr>
          <w:pgSz w:w="11900" w:h="16838" w:orient="portrait"/>
          <w:cols w:equalWidth="0" w:num="1">
            <w:col w:w="11480"/>
          </w:cols>
          <w:pgMar w:left="220" w:top="433" w:right="199" w:bottom="1440" w:gutter="0" w:footer="0" w:header="0"/>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1"/>
          <w:szCs w:val="11"/>
          <w:color w:val="auto"/>
        </w:rPr>
        <w:t>Date of Grant: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[GRANT DATE]</w:t>
      </w:r>
    </w:p>
    <w:p>
      <w:pPr>
        <w:spacing w:after="0" w:line="202" w:lineRule="exact"/>
        <w:rPr>
          <w:sz w:val="20"/>
          <w:szCs w:val="20"/>
          <w:color w:val="auto"/>
        </w:rPr>
      </w:pPr>
    </w:p>
    <w:p>
      <w:pPr>
        <w:sectPr>
          <w:pgSz w:w="11900" w:h="16838" w:orient="portrait"/>
          <w:cols w:equalWidth="0" w:num="2">
            <w:col w:w="3240" w:space="720"/>
            <w:col w:w="7520"/>
          </w:cols>
          <w:pgMar w:left="220" w:top="433" w:right="199" w:bottom="1440" w:gutter="0" w:footer="0" w:header="0"/>
          <w:type w:val="continuous"/>
        </w:sectPr>
      </w:pPr>
    </w:p>
    <w:p>
      <w:pPr>
        <w:ind w:left="60"/>
        <w:spacing w:after="0"/>
        <w:rPr>
          <w:sz w:val="20"/>
          <w:szCs w:val="20"/>
          <w:color w:val="auto"/>
        </w:rPr>
      </w:pPr>
      <w:r>
        <w:rPr>
          <w:rFonts w:ascii="Arial" w:cs="Arial" w:eastAsia="Arial" w:hAnsi="Arial"/>
          <w:sz w:val="10"/>
          <w:szCs w:val="10"/>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January 2, 2019 through January 2, 2022</w:t>
      </w:r>
    </w:p>
    <w:p>
      <w:pPr>
        <w:spacing w:after="0" w:line="200" w:lineRule="exact"/>
        <w:rPr>
          <w:sz w:val="20"/>
          <w:szCs w:val="20"/>
          <w:color w:val="auto"/>
        </w:rPr>
      </w:pPr>
    </w:p>
    <w:p>
      <w:pPr>
        <w:sectPr>
          <w:pgSz w:w="11900" w:h="16838" w:orient="portrait"/>
          <w:cols w:equalWidth="0" w:num="2">
            <w:col w:w="3240" w:space="720"/>
            <w:col w:w="7520"/>
          </w:cols>
          <w:pgMar w:left="220" w:top="433" w:right="199" w:bottom="1440" w:gutter="0" w:footer="0" w:header="0"/>
          <w:type w:val="continuous"/>
        </w:sectPr>
      </w:pPr>
    </w:p>
    <w:p>
      <w:pPr>
        <w:spacing w:after="0" w:line="9" w:lineRule="exact"/>
        <w:rPr>
          <w:sz w:val="20"/>
          <w:szCs w:val="20"/>
          <w:color w:val="auto"/>
        </w:rPr>
      </w:pPr>
    </w:p>
    <w:p>
      <w:pPr>
        <w:ind w:left="60"/>
        <w:spacing w:after="0"/>
        <w:rPr>
          <w:sz w:val="20"/>
          <w:szCs w:val="20"/>
          <w:color w:val="auto"/>
        </w:rPr>
      </w:pPr>
      <w:r>
        <w:rPr>
          <w:rFonts w:ascii="Arial" w:cs="Arial" w:eastAsia="Arial" w:hAnsi="Arial"/>
          <w:sz w:val="10"/>
          <w:szCs w:val="10"/>
          <w:color w:val="auto"/>
        </w:rPr>
        <w:t>Target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[UNITS GRANTED]</w:t>
      </w:r>
    </w:p>
    <w:p>
      <w:pPr>
        <w:spacing w:after="0" w:line="190" w:lineRule="exact"/>
        <w:rPr>
          <w:sz w:val="20"/>
          <w:szCs w:val="20"/>
          <w:color w:val="auto"/>
        </w:rPr>
      </w:pPr>
    </w:p>
    <w:p>
      <w:pPr>
        <w:sectPr>
          <w:pgSz w:w="11900" w:h="16838" w:orient="portrait"/>
          <w:cols w:equalWidth="0" w:num="2">
            <w:col w:w="3240" w:space="720"/>
            <w:col w:w="7520"/>
          </w:cols>
          <w:pgMar w:left="220" w:top="433" w:right="199" w:bottom="1440" w:gutter="0" w:footer="0" w:header="0"/>
          <w:type w:val="continuous"/>
        </w:sectPr>
      </w:pPr>
    </w:p>
    <w:p>
      <w:pPr>
        <w:ind w:left="60"/>
        <w:spacing w:after="0"/>
        <w:rPr>
          <w:sz w:val="20"/>
          <w:szCs w:val="20"/>
          <w:color w:val="auto"/>
        </w:rPr>
      </w:pPr>
      <w:r>
        <w:rPr>
          <w:rFonts w:ascii="Arial" w:cs="Arial" w:eastAsia="Arial" w:hAnsi="Arial"/>
          <w:sz w:val="11"/>
          <w:szCs w:val="11"/>
          <w:color w:val="auto"/>
        </w:rPr>
        <w:t>Final Award:</w:t>
      </w:r>
    </w:p>
    <w:p>
      <w:pPr>
        <w:spacing w:after="0" w:line="20" w:lineRule="exact"/>
        <w:rPr>
          <w:sz w:val="20"/>
          <w:szCs w:val="20"/>
          <w:color w:val="auto"/>
        </w:rPr>
      </w:pPr>
      <w:r>
        <w:rPr>
          <w:sz w:val="20"/>
          <w:szCs w:val="20"/>
          <w:color w:val="auto"/>
        </w:rPr>
        <w:br w:type="column"/>
      </w:r>
    </w:p>
    <w:p>
      <w:pPr>
        <w:ind w:right="480"/>
        <w:spacing w:after="0" w:line="276" w:lineRule="auto"/>
        <w:rPr>
          <w:sz w:val="20"/>
          <w:szCs w:val="20"/>
          <w:color w:val="auto"/>
        </w:rPr>
      </w:pPr>
      <w:r>
        <w:rPr>
          <w:rFonts w:ascii="Arial" w:cs="Arial" w:eastAsia="Arial" w:hAnsi="Arial"/>
          <w:sz w:val="12"/>
          <w:szCs w:val="12"/>
          <w:color w:val="auto"/>
        </w:rPr>
        <w:t>Target Award multiplied by “Payout Percentage” based on the Company’s total shareholder return relative to total shareholder return of peer group members and two indices, as set forth in this Agreement.</w:t>
      </w:r>
    </w:p>
    <w:p>
      <w:pPr>
        <w:spacing w:after="0" w:line="200" w:lineRule="exact"/>
        <w:rPr>
          <w:sz w:val="20"/>
          <w:szCs w:val="20"/>
          <w:color w:val="auto"/>
        </w:rPr>
      </w:pPr>
    </w:p>
    <w:p>
      <w:pPr>
        <w:sectPr>
          <w:pgSz w:w="11900" w:h="16838" w:orient="portrait"/>
          <w:cols w:equalWidth="0" w:num="2">
            <w:col w:w="3240" w:space="720"/>
            <w:col w:w="7520"/>
          </w:cols>
          <w:pgMar w:left="220" w:top="433" w:right="19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Payment of the Final Award shall be made in Clearway Energy, Inc. Class C Common Stock and shall be made no earlier than January 2, 2022 and no later than March 15, 2022, subject to the terms and conditions of the Agreement.</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if your employment by, or service to, the Company is terminated at any time during the Performance Period, any award or right granted hereunder shall expire and be forfeited, and no Final Award or dividend equivalent related thereto shall be paid.</w:t>
      </w:r>
    </w:p>
    <w:p>
      <w:pPr>
        <w:spacing w:after="0" w:line="111"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If you disagree with any of the terms of this award or choose not to accept this award, please contact [CONTACT] within 45 days of the Date of Grant. Otherwise, you will be deemed to have accepted this award under the terms and conditions set forth in this Agreement and the Plan.</w:t>
      </w:r>
    </w:p>
    <w:p>
      <w:pPr>
        <w:sectPr>
          <w:pgSz w:w="11900" w:h="16838" w:orient="portrait"/>
          <w:cols w:equalWidth="0" w:num="1">
            <w:col w:w="11480"/>
          </w:cols>
          <w:pgMar w:left="220" w:top="433" w:right="199" w:bottom="1440"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RELATIVE PERFORMANCE STOCK UNIT AGREEMENT _________________________________________________________________________</w:t>
      </w:r>
    </w:p>
    <w:p>
      <w:pPr>
        <w:spacing w:after="0" w:line="6" w:lineRule="exact"/>
        <w:rPr>
          <w:sz w:val="20"/>
          <w:szCs w:val="20"/>
          <w:color w:val="auto"/>
        </w:rPr>
      </w:pPr>
    </w:p>
    <w:p>
      <w:pPr>
        <w:ind w:right="20"/>
        <w:spacing w:after="0" w:line="306" w:lineRule="auto"/>
        <w:rPr>
          <w:sz w:val="20"/>
          <w:szCs w:val="20"/>
          <w:color w:val="auto"/>
        </w:rPr>
      </w:pPr>
      <w:r>
        <w:rPr>
          <w:rFonts w:ascii="Arial" w:cs="Arial" w:eastAsia="Arial" w:hAnsi="Arial"/>
          <w:sz w:val="11"/>
          <w:szCs w:val="11"/>
          <w:color w:val="auto"/>
        </w:rPr>
        <w:t>This Relative Performance Stock Unit Agreement, dated as of the Date of Grant set forth in the Notice of Relative Performance Stock Units (the “</w:t>
      </w:r>
      <w:r>
        <w:rPr>
          <w:rFonts w:ascii="Arial" w:cs="Arial" w:eastAsia="Arial" w:hAnsi="Arial"/>
          <w:sz w:val="11"/>
          <w:szCs w:val="11"/>
          <w:u w:val="single" w:color="auto"/>
          <w:color w:val="auto"/>
        </w:rPr>
        <w:t>Grant Notice</w:t>
      </w:r>
      <w:r>
        <w:rPr>
          <w:rFonts w:ascii="Arial" w:cs="Arial" w:eastAsia="Arial" w:hAnsi="Arial"/>
          <w:sz w:val="11"/>
          <w:szCs w:val="11"/>
          <w:color w:val="auto"/>
        </w:rPr>
        <w:t>,” and together with this Relative Performance Stock Unit Agreement, the “</w:t>
      </w:r>
      <w:r>
        <w:rPr>
          <w:rFonts w:ascii="Arial" w:cs="Arial" w:eastAsia="Arial" w:hAnsi="Arial"/>
          <w:sz w:val="11"/>
          <w:szCs w:val="11"/>
          <w:u w:val="single" w:color="auto"/>
          <w:color w:val="auto"/>
        </w:rPr>
        <w:t>Agreement</w:t>
      </w:r>
      <w:r>
        <w:rPr>
          <w:rFonts w:ascii="Arial" w:cs="Arial" w:eastAsia="Arial" w:hAnsi="Arial"/>
          <w:sz w:val="11"/>
          <w:szCs w:val="11"/>
          <w:color w:val="auto"/>
        </w:rPr>
        <w:t>”) to which this Agreement is attached, is made between Clearway Energy, Inc. (the “</w:t>
      </w:r>
      <w:r>
        <w:rPr>
          <w:rFonts w:ascii="Arial" w:cs="Arial" w:eastAsia="Arial" w:hAnsi="Arial"/>
          <w:sz w:val="11"/>
          <w:szCs w:val="11"/>
          <w:u w:val="single" w:color="auto"/>
          <w:color w:val="auto"/>
        </w:rPr>
        <w:t>Company</w:t>
      </w:r>
      <w:r>
        <w:rPr>
          <w:rFonts w:ascii="Arial" w:cs="Arial" w:eastAsia="Arial" w:hAnsi="Arial"/>
          <w:sz w:val="11"/>
          <w:szCs w:val="11"/>
          <w:color w:val="auto"/>
        </w:rPr>
        <w:t>”) and the Participant, as set forth in the Grant Notice. The Grant Notice is included in, and made part of, this Agreement.</w:t>
      </w:r>
    </w:p>
    <w:p>
      <w:pPr>
        <w:spacing w:after="0" w:line="97" w:lineRule="exact"/>
        <w:rPr>
          <w:sz w:val="20"/>
          <w:szCs w:val="20"/>
          <w:color w:val="auto"/>
        </w:rPr>
      </w:pPr>
    </w:p>
    <w:p>
      <w:pPr>
        <w:ind w:left="360" w:hanging="206"/>
        <w:spacing w:after="0"/>
        <w:tabs>
          <w:tab w:leader="none" w:pos="360" w:val="left"/>
        </w:tabs>
        <w:numPr>
          <w:ilvl w:val="0"/>
          <w:numId w:val="147"/>
        </w:numPr>
        <w:rPr>
          <w:rFonts w:ascii="Arial" w:cs="Arial" w:eastAsia="Arial" w:hAnsi="Arial"/>
          <w:sz w:val="12"/>
          <w:szCs w:val="12"/>
          <w:b w:val="1"/>
          <w:bCs w:val="1"/>
          <w:color w:val="010000"/>
        </w:rPr>
      </w:pPr>
      <w:r>
        <w:rPr>
          <w:rFonts w:ascii="Arial" w:cs="Arial" w:eastAsia="Arial" w:hAnsi="Arial"/>
          <w:sz w:val="12"/>
          <w:szCs w:val="12"/>
          <w:b w:val="1"/>
          <w:bCs w:val="1"/>
          <w:color w:val="auto"/>
        </w:rPr>
        <w:t>Performance Criteria and Award Determination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010000"/>
        </w:rPr>
        <w:t>(a)</w:t>
      </w:r>
      <w:r>
        <w:rPr>
          <w:rFonts w:ascii="Arial" w:cs="Arial" w:eastAsia="Arial" w:hAnsi="Arial"/>
          <w:sz w:val="12"/>
          <w:szCs w:val="12"/>
          <w:b w:val="1"/>
          <w:bCs w:val="1"/>
          <w:i w:val="1"/>
          <w:iCs w:val="1"/>
          <w:color w:val="000000"/>
        </w:rPr>
        <w:t>General - Award Determination</w:t>
      </w:r>
    </w:p>
    <w:p>
      <w:pPr>
        <w:spacing w:after="0" w:line="150" w:lineRule="exact"/>
        <w:rPr>
          <w:sz w:val="20"/>
          <w:szCs w:val="20"/>
          <w:color w:val="auto"/>
        </w:rPr>
      </w:pPr>
    </w:p>
    <w:p>
      <w:pPr>
        <w:jc w:val="both"/>
        <w:ind w:left="480"/>
        <w:spacing w:after="0" w:line="276" w:lineRule="auto"/>
        <w:rPr>
          <w:sz w:val="20"/>
          <w:szCs w:val="20"/>
          <w:color w:val="auto"/>
        </w:rPr>
      </w:pPr>
      <w:r>
        <w:rPr>
          <w:rFonts w:ascii="Arial" w:cs="Arial" w:eastAsia="Arial" w:hAnsi="Arial"/>
          <w:sz w:val="12"/>
          <w:szCs w:val="12"/>
          <w:color w:val="auto"/>
        </w:rPr>
        <w:t>Subject to the provisions of this Agreement and the provisions of the Clearway Energy, Inc. Amended and Restated 2013 Equity Incentive Plan (the “</w:t>
      </w:r>
      <w:r>
        <w:rPr>
          <w:rFonts w:ascii="Arial" w:cs="Arial" w:eastAsia="Arial" w:hAnsi="Arial"/>
          <w:sz w:val="12"/>
          <w:szCs w:val="12"/>
          <w:u w:val="single" w:color="auto"/>
          <w:color w:val="auto"/>
        </w:rPr>
        <w:t>Plan</w:t>
      </w:r>
      <w:r>
        <w:rPr>
          <w:rFonts w:ascii="Arial" w:cs="Arial" w:eastAsia="Arial" w:hAnsi="Arial"/>
          <w:sz w:val="12"/>
          <w:szCs w:val="12"/>
          <w:color w:val="auto"/>
        </w:rPr>
        <w:t>”), the Company hereby grants to the Participant the number of Relative Performance Stock Units (“</w:t>
      </w:r>
      <w:r>
        <w:rPr>
          <w:rFonts w:ascii="Arial" w:cs="Arial" w:eastAsia="Arial" w:hAnsi="Arial"/>
          <w:sz w:val="12"/>
          <w:szCs w:val="12"/>
          <w:u w:val="single" w:color="auto"/>
          <w:color w:val="auto"/>
        </w:rPr>
        <w:t>RPSUs</w:t>
      </w:r>
      <w:r>
        <w:rPr>
          <w:rFonts w:ascii="Arial" w:cs="Arial" w:eastAsia="Arial" w:hAnsi="Arial"/>
          <w:sz w:val="12"/>
          <w:szCs w:val="12"/>
          <w:color w:val="auto"/>
        </w:rPr>
        <w:t>”), set forth in the Grant Notice (“</w:t>
      </w:r>
      <w:r>
        <w:rPr>
          <w:rFonts w:ascii="Arial" w:cs="Arial" w:eastAsia="Arial" w:hAnsi="Arial"/>
          <w:sz w:val="12"/>
          <w:szCs w:val="12"/>
          <w:u w:val="single" w:color="auto"/>
          <w:color w:val="auto"/>
        </w:rPr>
        <w:t>Target Award</w:t>
      </w:r>
      <w:r>
        <w:rPr>
          <w:rFonts w:ascii="Arial" w:cs="Arial" w:eastAsia="Arial" w:hAnsi="Arial"/>
          <w:sz w:val="12"/>
          <w:szCs w:val="12"/>
          <w:color w:val="auto"/>
        </w:rPr>
        <w:t>”), each of which will have a value equivalent to one (1) share of the Company’s Class C Common Stock.</w:t>
      </w:r>
    </w:p>
    <w:p>
      <w:pPr>
        <w:spacing w:after="0" w:line="115" w:lineRule="exact"/>
        <w:rPr>
          <w:sz w:val="20"/>
          <w:szCs w:val="20"/>
          <w:color w:val="auto"/>
        </w:rPr>
      </w:pPr>
    </w:p>
    <w:p>
      <w:pPr>
        <w:jc w:val="both"/>
        <w:ind w:left="480"/>
        <w:spacing w:after="0" w:line="263" w:lineRule="auto"/>
        <w:rPr>
          <w:sz w:val="20"/>
          <w:szCs w:val="20"/>
          <w:color w:val="auto"/>
        </w:rPr>
      </w:pPr>
      <w:r>
        <w:rPr>
          <w:rFonts w:ascii="Arial" w:cs="Arial" w:eastAsia="Arial" w:hAnsi="Arial"/>
          <w:sz w:val="12"/>
          <w:szCs w:val="12"/>
          <w:color w:val="auto"/>
        </w:rPr>
        <w:t>At the end of the Performance Period, the Participant shall be entitled to receive a payment, payable in shares of the Company’s Class C Common Stock, equal to the Target Award times a “Payout Percentage” (the “</w:t>
      </w:r>
      <w:r>
        <w:rPr>
          <w:rFonts w:ascii="Arial" w:cs="Arial" w:eastAsia="Arial" w:hAnsi="Arial"/>
          <w:sz w:val="12"/>
          <w:szCs w:val="12"/>
          <w:u w:val="single" w:color="auto"/>
          <w:color w:val="auto"/>
        </w:rPr>
        <w:t>Final</w:t>
      </w:r>
      <w:r>
        <w:rPr>
          <w:rFonts w:ascii="Arial" w:cs="Arial" w:eastAsia="Arial" w:hAnsi="Arial"/>
          <w:sz w:val="12"/>
          <w:szCs w:val="12"/>
          <w:color w:val="auto"/>
        </w:rPr>
        <w:t xml:space="preserve"> </w:t>
      </w:r>
      <w:r>
        <w:rPr>
          <w:rFonts w:ascii="Arial" w:cs="Arial" w:eastAsia="Arial" w:hAnsi="Arial"/>
          <w:sz w:val="12"/>
          <w:szCs w:val="12"/>
          <w:u w:val="single" w:color="auto"/>
          <w:color w:val="auto"/>
        </w:rPr>
        <w:t>Award</w:t>
      </w:r>
      <w:r>
        <w:rPr>
          <w:rFonts w:ascii="Arial" w:cs="Arial" w:eastAsia="Arial" w:hAnsi="Arial"/>
          <w:sz w:val="12"/>
          <w:szCs w:val="12"/>
          <w:color w:val="auto"/>
        </w:rPr>
        <w:t xml:space="preserve">”). The “Payout Percentage” is based on the achievement of the performance criteria set forth in </w:t>
      </w:r>
      <w:r>
        <w:rPr>
          <w:rFonts w:ascii="Arial" w:cs="Arial" w:eastAsia="Arial" w:hAnsi="Arial"/>
          <w:sz w:val="12"/>
          <w:szCs w:val="12"/>
          <w:u w:val="single" w:color="auto"/>
          <w:color w:val="auto"/>
        </w:rPr>
        <w:t>Section 1(b)</w:t>
      </w:r>
      <w:r>
        <w:rPr>
          <w:rFonts w:ascii="Arial" w:cs="Arial" w:eastAsia="Arial" w:hAnsi="Arial"/>
          <w:sz w:val="12"/>
          <w:szCs w:val="12"/>
          <w:color w:val="auto"/>
        </w:rPr>
        <w:t xml:space="preserve"> of this Agreement, as determined and certified in writing by the Compensation Committee of the Company’s Board of Directors (the “</w:t>
      </w:r>
      <w:r>
        <w:rPr>
          <w:rFonts w:ascii="Arial" w:cs="Arial" w:eastAsia="Arial" w:hAnsi="Arial"/>
          <w:sz w:val="12"/>
          <w:szCs w:val="12"/>
          <w:u w:val="single" w:color="auto"/>
          <w:color w:val="auto"/>
        </w:rPr>
        <w:t>Committee</w:t>
      </w:r>
      <w:r>
        <w:rPr>
          <w:rFonts w:ascii="Arial" w:cs="Arial" w:eastAsia="Arial" w:hAnsi="Arial"/>
          <w:sz w:val="12"/>
          <w:szCs w:val="12"/>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010000"/>
        </w:rPr>
        <w:t>(b)</w:t>
      </w:r>
      <w:r>
        <w:rPr>
          <w:rFonts w:ascii="Arial" w:cs="Arial" w:eastAsia="Arial" w:hAnsi="Arial"/>
          <w:sz w:val="12"/>
          <w:szCs w:val="12"/>
          <w:b w:val="1"/>
          <w:bCs w:val="1"/>
          <w:i w:val="1"/>
          <w:iCs w:val="1"/>
          <w:color w:val="000000"/>
        </w:rPr>
        <w:t>Performance Criteria and Relative TSR Comparison</w:t>
      </w:r>
    </w:p>
    <w:p>
      <w:pPr>
        <w:spacing w:after="0" w:line="150" w:lineRule="exact"/>
        <w:rPr>
          <w:sz w:val="20"/>
          <w:szCs w:val="20"/>
          <w:color w:val="auto"/>
        </w:rPr>
      </w:pPr>
    </w:p>
    <w:p>
      <w:pPr>
        <w:jc w:val="both"/>
        <w:ind w:left="480"/>
        <w:spacing w:after="0" w:line="263" w:lineRule="auto"/>
        <w:rPr>
          <w:sz w:val="20"/>
          <w:szCs w:val="20"/>
          <w:color w:val="auto"/>
        </w:rPr>
      </w:pPr>
      <w:r>
        <w:rPr>
          <w:rFonts w:ascii="Arial" w:cs="Arial" w:eastAsia="Arial" w:hAnsi="Arial"/>
          <w:sz w:val="12"/>
          <w:szCs w:val="12"/>
          <w:color w:val="auto"/>
        </w:rPr>
        <w:t xml:space="preserve">Except as provided in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a “Payout Percentage” is used to determine the Final Award under this Agreement. Subject to </w:t>
      </w:r>
      <w:r>
        <w:rPr>
          <w:rFonts w:ascii="Arial" w:cs="Arial" w:eastAsia="Arial" w:hAnsi="Arial"/>
          <w:sz w:val="12"/>
          <w:szCs w:val="12"/>
          <w:u w:val="single" w:color="auto"/>
          <w:color w:val="auto"/>
        </w:rPr>
        <w:t>Section 1(c)</w:t>
      </w:r>
      <w:r>
        <w:rPr>
          <w:rFonts w:ascii="Arial" w:cs="Arial" w:eastAsia="Arial" w:hAnsi="Arial"/>
          <w:sz w:val="12"/>
          <w:szCs w:val="12"/>
          <w:color w:val="auto"/>
        </w:rPr>
        <w:t xml:space="preserve"> of this Agreement, the “Payout Percentage” shall be based upon the Company’s total shareholder return (“</w:t>
      </w:r>
      <w:r>
        <w:rPr>
          <w:rFonts w:ascii="Arial" w:cs="Arial" w:eastAsia="Arial" w:hAnsi="Arial"/>
          <w:sz w:val="12"/>
          <w:szCs w:val="12"/>
          <w:u w:val="single" w:color="auto"/>
          <w:color w:val="auto"/>
        </w:rPr>
        <w:t>TSR</w:t>
      </w:r>
      <w:r>
        <w:rPr>
          <w:rFonts w:ascii="Arial" w:cs="Arial" w:eastAsia="Arial" w:hAnsi="Arial"/>
          <w:sz w:val="12"/>
          <w:szCs w:val="12"/>
          <w:color w:val="auto"/>
        </w:rPr>
        <w:t xml:space="preserve">”) percentile ranking, as determined pursuant to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of this Agreement, and the Company’s TSR percentile ranking relative to “Chart A” below, where interpolation shall be used to determine the Company’s percentile ranking during the Performance Period, as described in </w:t>
      </w:r>
      <w:r>
        <w:rPr>
          <w:rFonts w:ascii="Arial" w:cs="Arial" w:eastAsia="Arial" w:hAnsi="Arial"/>
          <w:sz w:val="12"/>
          <w:szCs w:val="12"/>
          <w:u w:val="single" w:color="auto"/>
          <w:color w:val="auto"/>
        </w:rPr>
        <w:t>Section 2(b)</w:t>
      </w:r>
      <w:r>
        <w:rPr>
          <w:rFonts w:ascii="Arial" w:cs="Arial" w:eastAsia="Arial" w:hAnsi="Arial"/>
          <w:sz w:val="12"/>
          <w:szCs w:val="12"/>
          <w:color w:val="auto"/>
        </w:rPr>
        <w:t>.</w:t>
      </w:r>
    </w:p>
    <w:p>
      <w:pPr>
        <w:spacing w:after="0" w:line="200" w:lineRule="exact"/>
        <w:rPr>
          <w:sz w:val="20"/>
          <w:szCs w:val="20"/>
          <w:color w:val="auto"/>
        </w:rPr>
      </w:pPr>
    </w:p>
    <w:p>
      <w:pPr>
        <w:spacing w:after="0" w:line="290" w:lineRule="exact"/>
        <w:rPr>
          <w:sz w:val="20"/>
          <w:szCs w:val="20"/>
          <w:color w:val="auto"/>
        </w:rPr>
      </w:pPr>
    </w:p>
    <w:tbl>
      <w:tblPr>
        <w:tblLayout w:type="fixed"/>
        <w:tblInd w:w="1770" w:type="dxa"/>
        <w:tblCellMar>
          <w:top w:w="0" w:type="dxa"/>
          <w:left w:w="0" w:type="dxa"/>
          <w:bottom w:w="0" w:type="dxa"/>
          <w:right w:w="0" w:type="dxa"/>
        </w:tblCellMar>
      </w:tblPr>
      <w:tr>
        <w:trPr>
          <w:trHeight w:val="180"/>
        </w:trPr>
        <w:tc>
          <w:tcPr>
            <w:tcW w:w="3520" w:type="dxa"/>
            <w:vAlign w:val="bottom"/>
            <w:tcBorders>
              <w:top w:val="single" w:sz="8" w:color="00000A"/>
              <w:left w:val="single" w:sz="8" w:color="00000A"/>
              <w:bottom w:val="single" w:sz="8" w:color="00000A"/>
            </w:tcBorders>
          </w:tcPr>
          <w:p>
            <w:pPr>
              <w:spacing w:after="0"/>
              <w:rPr>
                <w:sz w:val="15"/>
                <w:szCs w:val="15"/>
                <w:color w:val="auto"/>
              </w:rPr>
            </w:pPr>
          </w:p>
        </w:tc>
        <w:tc>
          <w:tcPr>
            <w:tcW w:w="4460" w:type="dxa"/>
            <w:vAlign w:val="bottom"/>
            <w:tcBorders>
              <w:top w:val="single" w:sz="8" w:color="00000A"/>
              <w:bottom w:val="single" w:sz="8" w:color="00000A"/>
              <w:right w:val="single" w:sz="8" w:color="00000A"/>
            </w:tcBorders>
            <w:gridSpan w:val="2"/>
          </w:tcPr>
          <w:p>
            <w:pPr>
              <w:ind w:left="360"/>
              <w:spacing w:after="0"/>
              <w:rPr>
                <w:sz w:val="20"/>
                <w:szCs w:val="20"/>
                <w:color w:val="auto"/>
              </w:rPr>
            </w:pPr>
            <w:r>
              <w:rPr>
                <w:rFonts w:ascii="Arial" w:cs="Arial" w:eastAsia="Arial" w:hAnsi="Arial"/>
                <w:sz w:val="12"/>
                <w:szCs w:val="12"/>
                <w:b w:val="1"/>
                <w:bCs w:val="1"/>
                <w:color w:val="auto"/>
              </w:rPr>
              <w:t>Chart A</w:t>
            </w:r>
          </w:p>
        </w:tc>
      </w:tr>
      <w:tr>
        <w:trPr>
          <w:trHeight w:val="147"/>
        </w:trPr>
        <w:tc>
          <w:tcPr>
            <w:tcW w:w="3520" w:type="dxa"/>
            <w:vAlign w:val="bottom"/>
            <w:tcBorders>
              <w:left w:val="single" w:sz="8" w:color="00000A"/>
            </w:tcBorders>
          </w:tcPr>
          <w:p>
            <w:pPr>
              <w:ind w:left="120"/>
              <w:spacing w:after="0"/>
              <w:rPr>
                <w:sz w:val="20"/>
                <w:szCs w:val="20"/>
                <w:color w:val="auto"/>
              </w:rPr>
            </w:pPr>
            <w:r>
              <w:rPr>
                <w:rFonts w:ascii="Arial" w:cs="Arial" w:eastAsia="Arial" w:hAnsi="Arial"/>
                <w:sz w:val="12"/>
                <w:szCs w:val="12"/>
                <w:b w:val="1"/>
                <w:bCs w:val="1"/>
                <w:color w:val="auto"/>
              </w:rPr>
              <w:t>TSR Performance Relative to Companies in the Peer Group</w:t>
            </w:r>
          </w:p>
        </w:tc>
        <w:tc>
          <w:tcPr>
            <w:tcW w:w="560" w:type="dxa"/>
            <w:vAlign w:val="bottom"/>
            <w:tcBorders>
              <w:right w:val="single" w:sz="8" w:color="00000A"/>
            </w:tcBorders>
          </w:tcPr>
          <w:p>
            <w:pPr>
              <w:spacing w:after="0"/>
              <w:rPr>
                <w:sz w:val="12"/>
                <w:szCs w:val="12"/>
                <w:color w:val="auto"/>
              </w:rPr>
            </w:pPr>
          </w:p>
        </w:tc>
        <w:tc>
          <w:tcPr>
            <w:tcW w:w="3900" w:type="dxa"/>
            <w:vAlign w:val="bottom"/>
            <w:tcBorders>
              <w:right w:val="single" w:sz="8" w:color="00000A"/>
            </w:tcBorders>
          </w:tcPr>
          <w:p>
            <w:pPr>
              <w:ind w:left="100"/>
              <w:spacing w:after="0"/>
              <w:rPr>
                <w:sz w:val="20"/>
                <w:szCs w:val="20"/>
                <w:color w:val="auto"/>
              </w:rPr>
            </w:pPr>
            <w:r>
              <w:rPr>
                <w:rFonts w:ascii="Arial" w:cs="Arial" w:eastAsia="Arial" w:hAnsi="Arial"/>
                <w:sz w:val="12"/>
                <w:szCs w:val="12"/>
                <w:b w:val="1"/>
                <w:bCs w:val="1"/>
                <w:color w:val="auto"/>
              </w:rPr>
              <w:t>Payout Percentage</w:t>
            </w:r>
          </w:p>
        </w:tc>
      </w:tr>
      <w:tr>
        <w:trPr>
          <w:trHeight w:val="166"/>
        </w:trPr>
        <w:tc>
          <w:tcPr>
            <w:tcW w:w="3520" w:type="dxa"/>
            <w:vAlign w:val="bottom"/>
            <w:tcBorders>
              <w:left w:val="single" w:sz="8" w:color="00000A"/>
              <w:bottom w:val="single" w:sz="8" w:color="00000A"/>
            </w:tcBorders>
          </w:tcPr>
          <w:p>
            <w:pPr>
              <w:spacing w:after="0"/>
              <w:rPr>
                <w:sz w:val="14"/>
                <w:szCs w:val="14"/>
                <w:color w:val="auto"/>
              </w:rPr>
            </w:pPr>
          </w:p>
        </w:tc>
        <w:tc>
          <w:tcPr>
            <w:tcW w:w="560" w:type="dxa"/>
            <w:vAlign w:val="bottom"/>
            <w:tcBorders>
              <w:bottom w:val="single" w:sz="8" w:color="00000A"/>
              <w:right w:val="single" w:sz="8" w:color="00000A"/>
            </w:tcBorders>
          </w:tcPr>
          <w:p>
            <w:pPr>
              <w:spacing w:after="0"/>
              <w:rPr>
                <w:sz w:val="14"/>
                <w:szCs w:val="14"/>
                <w:color w:val="auto"/>
              </w:rPr>
            </w:pPr>
          </w:p>
        </w:tc>
        <w:tc>
          <w:tcPr>
            <w:tcW w:w="390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 of Target)</w:t>
            </w:r>
          </w:p>
        </w:tc>
      </w:tr>
      <w:tr>
        <w:trPr>
          <w:trHeight w:val="169"/>
        </w:trPr>
        <w:tc>
          <w:tcPr>
            <w:tcW w:w="35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75th Percentile or Above</w:t>
            </w:r>
          </w:p>
        </w:tc>
        <w:tc>
          <w:tcPr>
            <w:tcW w:w="560" w:type="dxa"/>
            <w:vAlign w:val="bottom"/>
            <w:tcBorders>
              <w:bottom w:val="single" w:sz="8" w:color="00000A"/>
              <w:right w:val="single" w:sz="8" w:color="00000A"/>
            </w:tcBorders>
          </w:tcPr>
          <w:p>
            <w:pPr>
              <w:spacing w:after="0"/>
              <w:rPr>
                <w:sz w:val="14"/>
                <w:szCs w:val="14"/>
                <w:color w:val="auto"/>
              </w:rPr>
            </w:pPr>
          </w:p>
        </w:tc>
        <w:tc>
          <w:tcPr>
            <w:tcW w:w="390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150%</w:t>
            </w:r>
          </w:p>
        </w:tc>
      </w:tr>
      <w:tr>
        <w:trPr>
          <w:trHeight w:val="169"/>
        </w:trPr>
        <w:tc>
          <w:tcPr>
            <w:tcW w:w="35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50th Percentile - TARGET</w:t>
            </w:r>
          </w:p>
        </w:tc>
        <w:tc>
          <w:tcPr>
            <w:tcW w:w="560" w:type="dxa"/>
            <w:vAlign w:val="bottom"/>
            <w:tcBorders>
              <w:bottom w:val="single" w:sz="8" w:color="00000A"/>
              <w:right w:val="single" w:sz="8" w:color="00000A"/>
            </w:tcBorders>
          </w:tcPr>
          <w:p>
            <w:pPr>
              <w:spacing w:after="0"/>
              <w:rPr>
                <w:sz w:val="14"/>
                <w:szCs w:val="14"/>
                <w:color w:val="auto"/>
              </w:rPr>
            </w:pPr>
          </w:p>
        </w:tc>
        <w:tc>
          <w:tcPr>
            <w:tcW w:w="390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100%</w:t>
            </w:r>
          </w:p>
        </w:tc>
      </w:tr>
      <w:tr>
        <w:trPr>
          <w:trHeight w:val="169"/>
        </w:trPr>
        <w:tc>
          <w:tcPr>
            <w:tcW w:w="35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25th Percentile</w:t>
            </w:r>
          </w:p>
        </w:tc>
        <w:tc>
          <w:tcPr>
            <w:tcW w:w="560" w:type="dxa"/>
            <w:vAlign w:val="bottom"/>
            <w:tcBorders>
              <w:bottom w:val="single" w:sz="8" w:color="00000A"/>
              <w:right w:val="single" w:sz="8" w:color="00000A"/>
            </w:tcBorders>
          </w:tcPr>
          <w:p>
            <w:pPr>
              <w:spacing w:after="0"/>
              <w:rPr>
                <w:sz w:val="14"/>
                <w:szCs w:val="14"/>
                <w:color w:val="auto"/>
              </w:rPr>
            </w:pPr>
          </w:p>
        </w:tc>
        <w:tc>
          <w:tcPr>
            <w:tcW w:w="390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25%</w:t>
            </w:r>
          </w:p>
        </w:tc>
      </w:tr>
      <w:tr>
        <w:trPr>
          <w:trHeight w:val="169"/>
        </w:trPr>
        <w:tc>
          <w:tcPr>
            <w:tcW w:w="35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Below the 25th Percentile</w:t>
            </w:r>
          </w:p>
        </w:tc>
        <w:tc>
          <w:tcPr>
            <w:tcW w:w="560" w:type="dxa"/>
            <w:vAlign w:val="bottom"/>
            <w:tcBorders>
              <w:bottom w:val="single" w:sz="8" w:color="00000A"/>
              <w:right w:val="single" w:sz="8" w:color="00000A"/>
            </w:tcBorders>
          </w:tcPr>
          <w:p>
            <w:pPr>
              <w:spacing w:after="0"/>
              <w:rPr>
                <w:sz w:val="14"/>
                <w:szCs w:val="14"/>
                <w:color w:val="auto"/>
              </w:rPr>
            </w:pPr>
          </w:p>
        </w:tc>
        <w:tc>
          <w:tcPr>
            <w:tcW w:w="390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0%</w:t>
            </w:r>
          </w:p>
        </w:tc>
      </w:tr>
    </w:tbl>
    <w:p>
      <w:pPr>
        <w:spacing w:after="0" w:line="200" w:lineRule="exact"/>
        <w:rPr>
          <w:sz w:val="20"/>
          <w:szCs w:val="20"/>
          <w:color w:val="auto"/>
        </w:rPr>
      </w:pPr>
    </w:p>
    <w:p>
      <w:pPr>
        <w:spacing w:after="0" w:line="223" w:lineRule="exact"/>
        <w:rPr>
          <w:sz w:val="20"/>
          <w:szCs w:val="20"/>
          <w:color w:val="auto"/>
        </w:rPr>
      </w:pPr>
    </w:p>
    <w:p>
      <w:pPr>
        <w:ind w:left="460" w:hanging="252"/>
        <w:spacing w:after="0"/>
        <w:tabs>
          <w:tab w:leader="none" w:pos="460" w:val="left"/>
        </w:tabs>
        <w:numPr>
          <w:ilvl w:val="0"/>
          <w:numId w:val="148"/>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Relative TSR Comparison if absolute TSR of Company is less than negative 20%</w:t>
      </w:r>
    </w:p>
    <w:p>
      <w:pPr>
        <w:spacing w:after="0" w:line="150" w:lineRule="exact"/>
        <w:rPr>
          <w:rFonts w:ascii="Arial" w:cs="Arial" w:eastAsia="Arial" w:hAnsi="Arial"/>
          <w:sz w:val="12"/>
          <w:szCs w:val="12"/>
          <w:b w:val="1"/>
          <w:bCs w:val="1"/>
          <w:i w:val="1"/>
          <w:iCs w:val="1"/>
          <w:color w:val="010000"/>
        </w:rPr>
      </w:pPr>
    </w:p>
    <w:p>
      <w:pPr>
        <w:ind w:left="460"/>
        <w:spacing w:after="0"/>
        <w:rPr>
          <w:rFonts w:ascii="Arial" w:cs="Arial" w:eastAsia="Arial" w:hAnsi="Arial"/>
          <w:sz w:val="12"/>
          <w:szCs w:val="12"/>
          <w:b w:val="1"/>
          <w:bCs w:val="1"/>
          <w:i w:val="1"/>
          <w:iCs w:val="1"/>
          <w:color w:val="010000"/>
        </w:rPr>
      </w:pPr>
      <w:r>
        <w:rPr>
          <w:rFonts w:ascii="Arial" w:cs="Arial" w:eastAsia="Arial" w:hAnsi="Arial"/>
          <w:sz w:val="12"/>
          <w:szCs w:val="12"/>
          <w:color w:val="auto"/>
        </w:rPr>
        <w:t>Notwithstanding the foregoing, if the Company’s absolute TSR for the Performance Period is less than negative twenty percent (-20%), the Final Award will be based on the following chart.</w:t>
      </w:r>
    </w:p>
    <w:p>
      <w:pPr>
        <w:spacing w:after="0" w:line="373" w:lineRule="exact"/>
        <w:rPr>
          <w:sz w:val="20"/>
          <w:szCs w:val="20"/>
          <w:color w:val="auto"/>
        </w:rPr>
      </w:pPr>
    </w:p>
    <w:tbl>
      <w:tblPr>
        <w:tblLayout w:type="fixed"/>
        <w:tblInd w:w="930" w:type="dxa"/>
        <w:tblCellMar>
          <w:top w:w="0" w:type="dxa"/>
          <w:left w:w="0" w:type="dxa"/>
          <w:bottom w:w="0" w:type="dxa"/>
          <w:right w:w="0" w:type="dxa"/>
        </w:tblCellMar>
      </w:tblPr>
      <w:tr>
        <w:trPr>
          <w:trHeight w:val="180"/>
        </w:trPr>
        <w:tc>
          <w:tcPr>
            <w:tcW w:w="3300" w:type="dxa"/>
            <w:vAlign w:val="bottom"/>
            <w:tcBorders>
              <w:top w:val="single" w:sz="8" w:color="00000A"/>
              <w:left w:val="single" w:sz="8" w:color="00000A"/>
              <w:bottom w:val="single" w:sz="8" w:color="00000A"/>
            </w:tcBorders>
          </w:tcPr>
          <w:p>
            <w:pPr>
              <w:spacing w:after="0"/>
              <w:rPr>
                <w:sz w:val="15"/>
                <w:szCs w:val="15"/>
                <w:color w:val="auto"/>
              </w:rPr>
            </w:pPr>
          </w:p>
        </w:tc>
        <w:tc>
          <w:tcPr>
            <w:tcW w:w="4140" w:type="dxa"/>
            <w:vAlign w:val="bottom"/>
            <w:tcBorders>
              <w:top w:val="single" w:sz="8" w:color="00000A"/>
              <w:bottom w:val="single" w:sz="8" w:color="00000A"/>
              <w:right w:val="single" w:sz="8" w:color="00000A"/>
            </w:tcBorders>
            <w:gridSpan w:val="2"/>
          </w:tcPr>
          <w:p>
            <w:pPr>
              <w:ind w:left="320"/>
              <w:spacing w:after="0"/>
              <w:rPr>
                <w:sz w:val="20"/>
                <w:szCs w:val="20"/>
                <w:color w:val="auto"/>
              </w:rPr>
            </w:pPr>
            <w:r>
              <w:rPr>
                <w:rFonts w:ascii="Arial" w:cs="Arial" w:eastAsia="Arial" w:hAnsi="Arial"/>
                <w:sz w:val="12"/>
                <w:szCs w:val="12"/>
                <w:b w:val="1"/>
                <w:bCs w:val="1"/>
                <w:color w:val="auto"/>
              </w:rPr>
              <w:t>Chart B</w:t>
            </w:r>
          </w:p>
        </w:tc>
      </w:tr>
      <w:tr>
        <w:trPr>
          <w:trHeight w:val="178"/>
        </w:trPr>
        <w:tc>
          <w:tcPr>
            <w:tcW w:w="3300" w:type="dxa"/>
            <w:vAlign w:val="bottom"/>
            <w:tcBorders>
              <w:left w:val="single" w:sz="8" w:color="00000A"/>
            </w:tcBorders>
          </w:tcPr>
          <w:p>
            <w:pPr>
              <w:spacing w:after="0"/>
              <w:rPr>
                <w:sz w:val="15"/>
                <w:szCs w:val="15"/>
                <w:color w:val="auto"/>
              </w:rPr>
            </w:pPr>
          </w:p>
        </w:tc>
        <w:tc>
          <w:tcPr>
            <w:tcW w:w="360" w:type="dxa"/>
            <w:vAlign w:val="bottom"/>
            <w:tcBorders>
              <w:right w:val="single" w:sz="8" w:color="00000A"/>
            </w:tcBorders>
          </w:tcPr>
          <w:p>
            <w:pPr>
              <w:spacing w:after="0"/>
              <w:rPr>
                <w:sz w:val="15"/>
                <w:szCs w:val="15"/>
                <w:color w:val="auto"/>
              </w:rPr>
            </w:pPr>
          </w:p>
        </w:tc>
        <w:tc>
          <w:tcPr>
            <w:tcW w:w="3780" w:type="dxa"/>
            <w:vAlign w:val="bottom"/>
            <w:tcBorders>
              <w:right w:val="single" w:sz="8" w:color="00000A"/>
            </w:tcBorders>
          </w:tcPr>
          <w:p>
            <w:pPr>
              <w:ind w:left="100"/>
              <w:spacing w:after="0"/>
              <w:rPr>
                <w:sz w:val="20"/>
                <w:szCs w:val="20"/>
                <w:color w:val="auto"/>
              </w:rPr>
            </w:pPr>
            <w:r>
              <w:rPr>
                <w:rFonts w:ascii="Arial" w:cs="Arial" w:eastAsia="Arial" w:hAnsi="Arial"/>
                <w:sz w:val="12"/>
                <w:szCs w:val="12"/>
                <w:b w:val="1"/>
                <w:bCs w:val="1"/>
                <w:color w:val="auto"/>
              </w:rPr>
              <w:t>Payout</w:t>
            </w:r>
          </w:p>
        </w:tc>
      </w:tr>
      <w:tr>
        <w:trPr>
          <w:trHeight w:val="171"/>
        </w:trPr>
        <w:tc>
          <w:tcPr>
            <w:tcW w:w="330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TSR Performance Relative to Companies in Peer Group</w:t>
            </w:r>
          </w:p>
        </w:tc>
        <w:tc>
          <w:tcPr>
            <w:tcW w:w="360" w:type="dxa"/>
            <w:vAlign w:val="bottom"/>
            <w:tcBorders>
              <w:bottom w:val="single" w:sz="8" w:color="00000A"/>
              <w:right w:val="single" w:sz="8" w:color="00000A"/>
            </w:tcBorders>
          </w:tcPr>
          <w:p>
            <w:pPr>
              <w:spacing w:after="0"/>
              <w:rPr>
                <w:sz w:val="14"/>
                <w:szCs w:val="14"/>
                <w:color w:val="auto"/>
              </w:rPr>
            </w:pPr>
          </w:p>
        </w:tc>
        <w:tc>
          <w:tcPr>
            <w:tcW w:w="37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 of Target)</w:t>
            </w:r>
          </w:p>
        </w:tc>
      </w:tr>
      <w:tr>
        <w:trPr>
          <w:trHeight w:val="169"/>
        </w:trPr>
        <w:tc>
          <w:tcPr>
            <w:tcW w:w="330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75th Percentile or Above</w:t>
            </w:r>
          </w:p>
        </w:tc>
        <w:tc>
          <w:tcPr>
            <w:tcW w:w="360" w:type="dxa"/>
            <w:vAlign w:val="bottom"/>
            <w:tcBorders>
              <w:bottom w:val="single" w:sz="8" w:color="00000A"/>
              <w:right w:val="single" w:sz="8" w:color="00000A"/>
            </w:tcBorders>
          </w:tcPr>
          <w:p>
            <w:pPr>
              <w:spacing w:after="0"/>
              <w:rPr>
                <w:sz w:val="14"/>
                <w:szCs w:val="14"/>
                <w:color w:val="auto"/>
              </w:rPr>
            </w:pPr>
          </w:p>
        </w:tc>
        <w:tc>
          <w:tcPr>
            <w:tcW w:w="37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150%</w:t>
            </w:r>
          </w:p>
        </w:tc>
      </w:tr>
      <w:tr>
        <w:trPr>
          <w:trHeight w:val="169"/>
        </w:trPr>
        <w:tc>
          <w:tcPr>
            <w:tcW w:w="330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60th Percentile - TARGET</w:t>
            </w:r>
          </w:p>
        </w:tc>
        <w:tc>
          <w:tcPr>
            <w:tcW w:w="360" w:type="dxa"/>
            <w:vAlign w:val="bottom"/>
            <w:tcBorders>
              <w:bottom w:val="single" w:sz="8" w:color="00000A"/>
              <w:right w:val="single" w:sz="8" w:color="00000A"/>
            </w:tcBorders>
          </w:tcPr>
          <w:p>
            <w:pPr>
              <w:spacing w:after="0"/>
              <w:rPr>
                <w:sz w:val="14"/>
                <w:szCs w:val="14"/>
                <w:color w:val="auto"/>
              </w:rPr>
            </w:pPr>
          </w:p>
        </w:tc>
        <w:tc>
          <w:tcPr>
            <w:tcW w:w="37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100%</w:t>
            </w:r>
          </w:p>
        </w:tc>
      </w:tr>
      <w:tr>
        <w:trPr>
          <w:trHeight w:val="169"/>
        </w:trPr>
        <w:tc>
          <w:tcPr>
            <w:tcW w:w="330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25th Percentile</w:t>
            </w:r>
          </w:p>
        </w:tc>
        <w:tc>
          <w:tcPr>
            <w:tcW w:w="360" w:type="dxa"/>
            <w:vAlign w:val="bottom"/>
            <w:tcBorders>
              <w:bottom w:val="single" w:sz="8" w:color="00000A"/>
              <w:right w:val="single" w:sz="8" w:color="00000A"/>
            </w:tcBorders>
          </w:tcPr>
          <w:p>
            <w:pPr>
              <w:spacing w:after="0"/>
              <w:rPr>
                <w:sz w:val="14"/>
                <w:szCs w:val="14"/>
                <w:color w:val="auto"/>
              </w:rPr>
            </w:pPr>
          </w:p>
        </w:tc>
        <w:tc>
          <w:tcPr>
            <w:tcW w:w="37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25%</w:t>
            </w:r>
          </w:p>
        </w:tc>
      </w:tr>
      <w:tr>
        <w:trPr>
          <w:trHeight w:val="169"/>
        </w:trPr>
        <w:tc>
          <w:tcPr>
            <w:tcW w:w="330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2"/>
                <w:szCs w:val="12"/>
                <w:b w:val="1"/>
                <w:bCs w:val="1"/>
                <w:color w:val="auto"/>
              </w:rPr>
              <w:t>Below the 25th Percentile</w:t>
            </w:r>
          </w:p>
        </w:tc>
        <w:tc>
          <w:tcPr>
            <w:tcW w:w="360" w:type="dxa"/>
            <w:vAlign w:val="bottom"/>
            <w:tcBorders>
              <w:bottom w:val="single" w:sz="8" w:color="00000A"/>
              <w:right w:val="single" w:sz="8" w:color="00000A"/>
            </w:tcBorders>
          </w:tcPr>
          <w:p>
            <w:pPr>
              <w:spacing w:after="0"/>
              <w:rPr>
                <w:sz w:val="14"/>
                <w:szCs w:val="14"/>
                <w:color w:val="auto"/>
              </w:rPr>
            </w:pPr>
          </w:p>
        </w:tc>
        <w:tc>
          <w:tcPr>
            <w:tcW w:w="37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2"/>
                <w:szCs w:val="12"/>
                <w:b w:val="1"/>
                <w:bCs w:val="1"/>
                <w:color w:val="auto"/>
              </w:rPr>
              <w:t>0%</w:t>
            </w:r>
          </w:p>
        </w:tc>
      </w:tr>
    </w:tbl>
    <w:p>
      <w:pPr>
        <w:sectPr>
          <w:pgSz w:w="11900" w:h="16838" w:orient="portrait"/>
          <w:cols w:equalWidth="0" w:num="1">
            <w:col w:w="11480"/>
          </w:cols>
          <w:pgMar w:left="220" w:top="577" w:right="199" w:bottom="1440" w:gutter="0" w:footer="0" w:header="0"/>
        </w:sectPr>
      </w:pPr>
    </w:p>
    <w:bookmarkStart w:id="193" w:name="page194"/>
    <w:bookmarkEnd w:id="193"/>
    <w:p>
      <w:pPr>
        <w:ind w:left="206" w:hanging="206"/>
        <w:spacing w:after="0"/>
        <w:tabs>
          <w:tab w:leader="none" w:pos="206" w:val="left"/>
        </w:tabs>
        <w:numPr>
          <w:ilvl w:val="0"/>
          <w:numId w:val="149"/>
        </w:numPr>
        <w:rPr>
          <w:rFonts w:ascii="Arial" w:cs="Arial" w:eastAsia="Arial" w:hAnsi="Arial"/>
          <w:sz w:val="12"/>
          <w:szCs w:val="12"/>
          <w:b w:val="1"/>
          <w:bCs w:val="1"/>
          <w:color w:val="010000"/>
        </w:rPr>
      </w:pPr>
      <w:r>
        <w:rPr>
          <w:rFonts w:ascii="Arial" w:cs="Arial" w:eastAsia="Arial" w:hAnsi="Arial"/>
          <w:sz w:val="12"/>
          <w:szCs w:val="12"/>
          <w:b w:val="1"/>
          <w:bCs w:val="1"/>
          <w:color w:val="auto"/>
        </w:rPr>
        <w:t>Measuring Performance and relative TSR Ranking</w:t>
      </w:r>
    </w:p>
    <w:p>
      <w:pPr>
        <w:spacing w:after="0" w:line="154" w:lineRule="exact"/>
        <w:rPr>
          <w:rFonts w:ascii="Arial" w:cs="Arial" w:eastAsia="Arial" w:hAnsi="Arial"/>
          <w:sz w:val="12"/>
          <w:szCs w:val="12"/>
          <w:b w:val="1"/>
          <w:bCs w:val="1"/>
          <w:color w:val="010000"/>
        </w:rPr>
      </w:pPr>
    </w:p>
    <w:p>
      <w:pPr>
        <w:ind w:left="306" w:hanging="252"/>
        <w:spacing w:after="0"/>
        <w:tabs>
          <w:tab w:leader="none" w:pos="306" w:val="left"/>
        </w:tabs>
        <w:numPr>
          <w:ilvl w:val="1"/>
          <w:numId w:val="149"/>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Performance Measure and RPSUs</w:t>
      </w:r>
    </w:p>
    <w:p>
      <w:pPr>
        <w:spacing w:after="0" w:line="150" w:lineRule="exact"/>
        <w:rPr>
          <w:rFonts w:ascii="Arial" w:cs="Arial" w:eastAsia="Arial" w:hAnsi="Arial"/>
          <w:sz w:val="12"/>
          <w:szCs w:val="12"/>
          <w:b w:val="1"/>
          <w:bCs w:val="1"/>
          <w:i w:val="1"/>
          <w:iCs w:val="1"/>
          <w:color w:val="010000"/>
        </w:rPr>
      </w:pPr>
    </w:p>
    <w:p>
      <w:pPr>
        <w:jc w:val="both"/>
        <w:ind w:left="326"/>
        <w:spacing w:after="0" w:line="298" w:lineRule="auto"/>
        <w:rPr>
          <w:rFonts w:ascii="Arial" w:cs="Arial" w:eastAsia="Arial" w:hAnsi="Arial"/>
          <w:sz w:val="12"/>
          <w:szCs w:val="12"/>
          <w:b w:val="1"/>
          <w:bCs w:val="1"/>
          <w:i w:val="1"/>
          <w:iCs w:val="1"/>
          <w:color w:val="010000"/>
        </w:rPr>
      </w:pPr>
      <w:r>
        <w:rPr>
          <w:rFonts w:ascii="Arial" w:cs="Arial" w:eastAsia="Arial" w:hAnsi="Arial"/>
          <w:sz w:val="11"/>
          <w:szCs w:val="11"/>
          <w:color w:val="auto"/>
        </w:rPr>
        <w:t xml:space="preserve">For purposes of determining the Final Award, as soon as practicable after the completion of the Performance Period, (i) the TSRs of the Company and each of the companies and/or indices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which comprise the peer group for purposes of this Agreement (each company or index is referred to as a “</w:t>
      </w:r>
      <w:r>
        <w:rPr>
          <w:rFonts w:ascii="Arial" w:cs="Arial" w:eastAsia="Arial" w:hAnsi="Arial"/>
          <w:sz w:val="11"/>
          <w:szCs w:val="11"/>
          <w:u w:val="single" w:color="auto"/>
          <w:color w:val="auto"/>
        </w:rPr>
        <w:t>Peer Group Member</w:t>
      </w:r>
      <w:r>
        <w:rPr>
          <w:rFonts w:ascii="Arial" w:cs="Arial" w:eastAsia="Arial" w:hAnsi="Arial"/>
          <w:sz w:val="11"/>
          <w:szCs w:val="11"/>
          <w:color w:val="auto"/>
        </w:rPr>
        <w:t xml:space="preserve">”), shall be calculated pursuant to </w:t>
      </w:r>
      <w:r>
        <w:rPr>
          <w:rFonts w:ascii="Arial" w:cs="Arial" w:eastAsia="Arial" w:hAnsi="Arial"/>
          <w:sz w:val="11"/>
          <w:szCs w:val="11"/>
          <w:u w:val="single" w:color="auto"/>
          <w:color w:val="auto"/>
        </w:rPr>
        <w:t>Section 2(d)</w:t>
      </w:r>
      <w:r>
        <w:rPr>
          <w:rFonts w:ascii="Arial" w:cs="Arial" w:eastAsia="Arial" w:hAnsi="Arial"/>
          <w:sz w:val="11"/>
          <w:szCs w:val="11"/>
          <w:color w:val="auto"/>
        </w:rPr>
        <w:t xml:space="preserve"> and (ii) the relative ranking of the Company’s TSR for the Performance Period, as compared to the TSR for each Peer Group Member for the Performance Period, shall be determined and expressed as a percentile ranking as described in </w:t>
      </w:r>
      <w:r>
        <w:rPr>
          <w:rFonts w:ascii="Arial" w:cs="Arial" w:eastAsia="Arial" w:hAnsi="Arial"/>
          <w:sz w:val="11"/>
          <w:szCs w:val="11"/>
          <w:u w:val="single" w:color="auto"/>
          <w:color w:val="auto"/>
        </w:rPr>
        <w:t>Section 2(b)</w:t>
      </w:r>
      <w:r>
        <w:rPr>
          <w:rFonts w:ascii="Arial" w:cs="Arial" w:eastAsia="Arial" w:hAnsi="Arial"/>
          <w:sz w:val="11"/>
          <w:szCs w:val="11"/>
          <w:color w:val="auto"/>
        </w:rPr>
        <w:t>.</w:t>
      </w:r>
    </w:p>
    <w:p>
      <w:pPr>
        <w:spacing w:after="0" w:line="105"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1"/>
          <w:numId w:val="149"/>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Total Shareholder Percentile Ranking</w:t>
      </w:r>
    </w:p>
    <w:p>
      <w:pPr>
        <w:spacing w:after="0" w:line="150" w:lineRule="exact"/>
        <w:rPr>
          <w:rFonts w:ascii="Arial" w:cs="Arial" w:eastAsia="Arial" w:hAnsi="Arial"/>
          <w:sz w:val="12"/>
          <w:szCs w:val="12"/>
          <w:b w:val="1"/>
          <w:bCs w:val="1"/>
          <w:i w:val="1"/>
          <w:iCs w:val="1"/>
          <w:color w:val="010000"/>
        </w:rPr>
      </w:pPr>
    </w:p>
    <w:p>
      <w:pPr>
        <w:ind w:left="326"/>
        <w:spacing w:after="0" w:line="276"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The Company’s TSR percentile ranking is based on the TSR to the Company’s stockholders during the Performance Period, inclusive of dividends paid, relative to the TSR during the Performance Period, inclusive of dividends paid, achieved by each of the Peer Group Members.</w:t>
      </w:r>
    </w:p>
    <w:p>
      <w:pPr>
        <w:spacing w:after="0" w:line="114" w:lineRule="exact"/>
        <w:rPr>
          <w:rFonts w:ascii="Arial" w:cs="Arial" w:eastAsia="Arial" w:hAnsi="Arial"/>
          <w:sz w:val="12"/>
          <w:szCs w:val="12"/>
          <w:b w:val="1"/>
          <w:bCs w:val="1"/>
          <w:i w:val="1"/>
          <w:iCs w:val="1"/>
          <w:color w:val="010000"/>
        </w:rPr>
      </w:pPr>
    </w:p>
    <w:p>
      <w:pPr>
        <w:jc w:val="both"/>
        <w:ind w:left="326"/>
        <w:spacing w:after="0" w:line="259"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The Company’s TSR percentile ranking shall be determined as follows: the TSR percentile ranking shall be determined by ranking each Peer Group Member (excluding the Company) from the highest TSR to the lowest TSR. The Peer Group Member ranked highest will be assigned the one hundred percentile (100%) rank and the Peer Group Member ranked lowest will be assigned the zero percentile (0%) rank. Each Peer Group Member ranked in between will be assigned a percentile equal to one hundred divided by n minus one (100/(n-1)), plus the percentile assigned to the Peer Group Member ranked directly below it, where “n” is the total number of companies in the Peer Group. The Company’s TSR percentile ranking is then interpolated based on the Company’s TSR.</w:t>
      </w:r>
    </w:p>
    <w:p>
      <w:pPr>
        <w:spacing w:after="0" w:line="124" w:lineRule="exact"/>
        <w:rPr>
          <w:rFonts w:ascii="Arial" w:cs="Arial" w:eastAsia="Arial" w:hAnsi="Arial"/>
          <w:sz w:val="12"/>
          <w:szCs w:val="12"/>
          <w:b w:val="1"/>
          <w:bCs w:val="1"/>
          <w:i w:val="1"/>
          <w:iCs w:val="1"/>
          <w:color w:val="010000"/>
        </w:rPr>
      </w:pPr>
    </w:p>
    <w:p>
      <w:pPr>
        <w:ind w:left="706" w:right="20" w:hanging="219"/>
        <w:spacing w:after="0" w:line="276" w:lineRule="auto"/>
        <w:tabs>
          <w:tab w:leader="none" w:pos="706" w:val="left"/>
        </w:tabs>
        <w:numPr>
          <w:ilvl w:val="2"/>
          <w:numId w:val="149"/>
        </w:numPr>
        <w:rPr>
          <w:rFonts w:ascii="Arial" w:cs="Arial" w:eastAsia="Arial" w:hAnsi="Arial"/>
          <w:sz w:val="12"/>
          <w:szCs w:val="12"/>
          <w:b w:val="1"/>
          <w:bCs w:val="1"/>
          <w:i w:val="1"/>
          <w:iCs w:val="1"/>
          <w:color w:val="auto"/>
        </w:rPr>
      </w:pPr>
      <w:r>
        <w:rPr>
          <w:rFonts w:ascii="Arial" w:cs="Arial" w:eastAsia="Arial" w:hAnsi="Arial"/>
          <w:sz w:val="12"/>
          <w:szCs w:val="12"/>
          <w:color w:val="auto"/>
        </w:rPr>
        <w:t>In the event a bankruptcy proceeding is commenced during the Performance Period with respect to any Peer Group Member, or if at any time during the Performance Period a Peer Group Member is liquidated, such company shall be treated as having a TSR of negative one hundred (-100%) for the Performance Period for purposes of TSR percentile ranking.</w:t>
      </w:r>
    </w:p>
    <w:p>
      <w:pPr>
        <w:spacing w:after="0" w:line="114" w:lineRule="exact"/>
        <w:rPr>
          <w:rFonts w:ascii="Arial" w:cs="Arial" w:eastAsia="Arial" w:hAnsi="Arial"/>
          <w:sz w:val="12"/>
          <w:szCs w:val="12"/>
          <w:b w:val="1"/>
          <w:bCs w:val="1"/>
          <w:i w:val="1"/>
          <w:iCs w:val="1"/>
          <w:color w:val="auto"/>
        </w:rPr>
      </w:pPr>
    </w:p>
    <w:p>
      <w:pPr>
        <w:ind w:left="706" w:hanging="219"/>
        <w:spacing w:after="0" w:line="276" w:lineRule="auto"/>
        <w:tabs>
          <w:tab w:leader="none" w:pos="706" w:val="left"/>
        </w:tabs>
        <w:numPr>
          <w:ilvl w:val="2"/>
          <w:numId w:val="149"/>
        </w:numPr>
        <w:rPr>
          <w:rFonts w:ascii="Arial" w:cs="Arial" w:eastAsia="Arial" w:hAnsi="Arial"/>
          <w:sz w:val="12"/>
          <w:szCs w:val="12"/>
          <w:b w:val="1"/>
          <w:bCs w:val="1"/>
          <w:color w:val="auto"/>
        </w:rPr>
      </w:pPr>
      <w:r>
        <w:rPr>
          <w:rFonts w:ascii="Arial" w:cs="Arial" w:eastAsia="Arial" w:hAnsi="Arial"/>
          <w:sz w:val="12"/>
          <w:szCs w:val="12"/>
          <w:color w:val="auto"/>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w:t>
      </w:r>
    </w:p>
    <w:p>
      <w:pPr>
        <w:spacing w:after="0" w:line="114" w:lineRule="exact"/>
        <w:rPr>
          <w:rFonts w:ascii="Arial" w:cs="Arial" w:eastAsia="Arial" w:hAnsi="Arial"/>
          <w:sz w:val="12"/>
          <w:szCs w:val="12"/>
          <w:b w:val="1"/>
          <w:bCs w:val="1"/>
          <w:color w:val="auto"/>
        </w:rPr>
      </w:pPr>
    </w:p>
    <w:p>
      <w:pPr>
        <w:jc w:val="both"/>
        <w:ind w:left="706" w:hanging="219"/>
        <w:spacing w:after="0" w:line="263" w:lineRule="auto"/>
        <w:tabs>
          <w:tab w:leader="none" w:pos="706" w:val="left"/>
        </w:tabs>
        <w:numPr>
          <w:ilvl w:val="2"/>
          <w:numId w:val="149"/>
        </w:numPr>
        <w:rPr>
          <w:rFonts w:ascii="Arial" w:cs="Arial" w:eastAsia="Arial" w:hAnsi="Arial"/>
          <w:sz w:val="12"/>
          <w:szCs w:val="12"/>
          <w:b w:val="1"/>
          <w:bCs w:val="1"/>
          <w:color w:val="auto"/>
        </w:rPr>
      </w:pPr>
      <w:r>
        <w:rPr>
          <w:rFonts w:ascii="Arial" w:cs="Arial" w:eastAsia="Arial" w:hAnsi="Arial"/>
          <w:sz w:val="12"/>
          <w:szCs w:val="12"/>
          <w:color w:val="auto"/>
        </w:rPr>
        <w:t>In the event that a merger, acquisition or business combination of a Peer Group Member by or with an entity that is not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122" w:lineRule="exact"/>
        <w:rPr>
          <w:rFonts w:ascii="Arial" w:cs="Arial" w:eastAsia="Arial" w:hAnsi="Arial"/>
          <w:sz w:val="12"/>
          <w:szCs w:val="12"/>
          <w:b w:val="1"/>
          <w:bCs w:val="1"/>
          <w:color w:val="auto"/>
        </w:rPr>
      </w:pPr>
    </w:p>
    <w:p>
      <w:pPr>
        <w:jc w:val="both"/>
        <w:ind w:left="706" w:hanging="219"/>
        <w:spacing w:after="0" w:line="263" w:lineRule="auto"/>
        <w:tabs>
          <w:tab w:leader="none" w:pos="706" w:val="left"/>
        </w:tabs>
        <w:numPr>
          <w:ilvl w:val="2"/>
          <w:numId w:val="149"/>
        </w:numPr>
        <w:rPr>
          <w:rFonts w:ascii="Arial" w:cs="Arial" w:eastAsia="Arial" w:hAnsi="Arial"/>
          <w:sz w:val="12"/>
          <w:szCs w:val="12"/>
          <w:b w:val="1"/>
          <w:bCs w:val="1"/>
          <w:color w:val="auto"/>
        </w:rPr>
      </w:pPr>
      <w:r>
        <w:rPr>
          <w:rFonts w:ascii="Arial" w:cs="Arial" w:eastAsia="Arial" w:hAnsi="Arial"/>
          <w:sz w:val="12"/>
          <w:szCs w:val="12"/>
          <w:color w:val="auto"/>
        </w:rPr>
        <w:t>In the event that (i) a Peer Group Member ceases to be a publicly-traded company, or (ii) a merger, acquisition or business combination of a Peer Group Member by or with an entity that is not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pacing w:after="0" w:line="122" w:lineRule="exact"/>
        <w:rPr>
          <w:rFonts w:ascii="Arial" w:cs="Arial" w:eastAsia="Arial" w:hAnsi="Arial"/>
          <w:sz w:val="12"/>
          <w:szCs w:val="12"/>
          <w:b w:val="1"/>
          <w:bCs w:val="1"/>
          <w:color w:val="auto"/>
        </w:rPr>
      </w:pPr>
    </w:p>
    <w:p>
      <w:pPr>
        <w:ind w:left="306" w:hanging="252"/>
        <w:spacing w:after="0"/>
        <w:tabs>
          <w:tab w:leader="none" w:pos="306" w:val="left"/>
        </w:tabs>
        <w:numPr>
          <w:ilvl w:val="1"/>
          <w:numId w:val="149"/>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Performance Period</w:t>
      </w:r>
    </w:p>
    <w:p>
      <w:pPr>
        <w:spacing w:after="0" w:line="150" w:lineRule="exact"/>
        <w:rPr>
          <w:rFonts w:ascii="Arial" w:cs="Arial" w:eastAsia="Arial" w:hAnsi="Arial"/>
          <w:sz w:val="12"/>
          <w:szCs w:val="12"/>
          <w:b w:val="1"/>
          <w:bCs w:val="1"/>
          <w:i w:val="1"/>
          <w:iCs w:val="1"/>
          <w:color w:val="010000"/>
        </w:rPr>
      </w:pPr>
    </w:p>
    <w:p>
      <w:pPr>
        <w:ind w:left="326"/>
        <w:spacing w:after="0"/>
        <w:rPr>
          <w:rFonts w:ascii="Arial" w:cs="Arial" w:eastAsia="Arial" w:hAnsi="Arial"/>
          <w:sz w:val="12"/>
          <w:szCs w:val="12"/>
          <w:b w:val="1"/>
          <w:bCs w:val="1"/>
          <w:i w:val="1"/>
          <w:iCs w:val="1"/>
          <w:color w:val="010000"/>
        </w:rPr>
      </w:pPr>
      <w:r>
        <w:rPr>
          <w:rFonts w:ascii="Arial" w:cs="Arial" w:eastAsia="Arial" w:hAnsi="Arial"/>
          <w:sz w:val="12"/>
          <w:szCs w:val="12"/>
          <w:color w:val="auto"/>
        </w:rPr>
        <w:t>The Performance Period, for purposes of this Agreement, shall be determined by the Compensation Committee and shall be the period set forth in the Grant Notice.</w:t>
      </w:r>
    </w:p>
    <w:p>
      <w:pPr>
        <w:spacing w:after="0" w:line="150"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1"/>
          <w:numId w:val="149"/>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Performance Goal and TSR</w:t>
      </w:r>
    </w:p>
    <w:p>
      <w:pPr>
        <w:spacing w:after="0" w:line="150" w:lineRule="exact"/>
        <w:rPr>
          <w:rFonts w:ascii="Arial" w:cs="Arial" w:eastAsia="Arial" w:hAnsi="Arial"/>
          <w:sz w:val="12"/>
          <w:szCs w:val="12"/>
          <w:b w:val="1"/>
          <w:bCs w:val="1"/>
          <w:i w:val="1"/>
          <w:iCs w:val="1"/>
          <w:color w:val="010000"/>
        </w:rPr>
      </w:pPr>
    </w:p>
    <w:p>
      <w:pPr>
        <w:jc w:val="both"/>
        <w:ind w:left="306"/>
        <w:spacing w:after="0" w:line="257" w:lineRule="auto"/>
        <w:rPr>
          <w:rFonts w:ascii="Arial" w:cs="Arial" w:eastAsia="Arial" w:hAnsi="Arial"/>
          <w:sz w:val="12"/>
          <w:szCs w:val="12"/>
          <w:b w:val="1"/>
          <w:bCs w:val="1"/>
          <w:i w:val="1"/>
          <w:iCs w:val="1"/>
          <w:color w:val="010000"/>
        </w:rPr>
      </w:pPr>
      <w:r>
        <w:rPr>
          <w:rFonts w:ascii="Arial" w:cs="Arial" w:eastAsia="Arial" w:hAnsi="Arial"/>
          <w:sz w:val="12"/>
          <w:szCs w:val="12"/>
          <w:color w:val="auto"/>
        </w:rPr>
        <w:t xml:space="preserve">For purposes of this Agreement, TSR for the Company and each of the Peer Group Members shall be measured by dividing (A) the sum of (1) the dividends paid (regardless of whether paid in cash or property) on the common stock of such company during the Performance Period, assuming reinvestment of such dividends in such stock (based on the closing price of such stock on the ex-dividend date),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(2) the difference between the average closing price of a share of such company’s common stock on the principal exchange on which such stock trades for the twenty (20) trading days occurring immediately prior to and including the first day of the Performance Period (the “</w:t>
      </w:r>
      <w:r>
        <w:rPr>
          <w:rFonts w:ascii="Arial" w:cs="Arial" w:eastAsia="Arial" w:hAnsi="Arial"/>
          <w:sz w:val="12"/>
          <w:szCs w:val="12"/>
          <w:u w:val="single" w:color="auto"/>
          <w:color w:val="auto"/>
        </w:rPr>
        <w:t>Beginning Average Value</w:t>
      </w:r>
      <w:r>
        <w:rPr>
          <w:rFonts w:ascii="Arial" w:cs="Arial" w:eastAsia="Arial" w:hAnsi="Arial"/>
          <w:sz w:val="12"/>
          <w:szCs w:val="12"/>
          <w:color w:val="auto"/>
        </w:rPr>
        <w:t>”) and the average closing price of a share of such stock on the principal exchange on which such stock trades for the twenty (20) trading days immediately prior to and including the last day of the Performance Period (the</w:t>
      </w:r>
    </w:p>
    <w:p>
      <w:pPr>
        <w:sectPr>
          <w:pgSz w:w="11900" w:h="16838" w:orient="portrait"/>
          <w:cols w:equalWidth="0" w:num="1">
            <w:col w:w="11326"/>
          </w:cols>
          <w:pgMar w:left="374" w:top="289" w:right="199" w:bottom="1440" w:gutter="0" w:footer="0" w:header="0"/>
        </w:sectPr>
      </w:pPr>
    </w:p>
    <w:bookmarkStart w:id="194" w:name="page195"/>
    <w:bookmarkEnd w:id="194"/>
    <w:p>
      <w:pPr>
        <w:ind w:left="306"/>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Ending Average Value</w:t>
      </w:r>
      <w:r>
        <w:rPr>
          <w:rFonts w:ascii="Arial" w:cs="Arial" w:eastAsia="Arial" w:hAnsi="Arial"/>
          <w:sz w:val="11"/>
          <w:szCs w:val="11"/>
          <w:color w:val="auto"/>
        </w:rPr>
        <w:t>”) (appropriately adjusted for any stock dividend, stock split, spin-off, merger or other similar corporate events affecting such stock) (the “</w:t>
      </w:r>
      <w:r>
        <w:rPr>
          <w:rFonts w:ascii="Arial" w:cs="Arial" w:eastAsia="Arial" w:hAnsi="Arial"/>
          <w:sz w:val="11"/>
          <w:szCs w:val="11"/>
          <w:u w:val="single" w:color="auto"/>
          <w:color w:val="auto"/>
        </w:rPr>
        <w:t>Change in Stock Price</w:t>
      </w:r>
      <w:r>
        <w:rPr>
          <w:rFonts w:ascii="Arial" w:cs="Arial" w:eastAsia="Arial" w:hAnsi="Arial"/>
          <w:sz w:val="11"/>
          <w:szCs w:val="11"/>
          <w:color w:val="auto"/>
        </w:rPr>
        <w:t>”), by (B) the Beginning Average Value.</w:t>
      </w:r>
    </w:p>
    <w:p>
      <w:pPr>
        <w:spacing w:after="0" w:line="162" w:lineRule="exact"/>
        <w:rPr>
          <w:sz w:val="20"/>
          <w:szCs w:val="20"/>
          <w:color w:val="auto"/>
        </w:rPr>
      </w:pPr>
    </w:p>
    <w:p>
      <w:pPr>
        <w:ind w:left="326"/>
        <w:spacing w:after="0" w:line="276" w:lineRule="auto"/>
        <w:rPr>
          <w:sz w:val="20"/>
          <w:szCs w:val="20"/>
          <w:color w:val="auto"/>
        </w:rPr>
      </w:pPr>
      <w:r>
        <w:rPr>
          <w:rFonts w:ascii="Arial" w:cs="Arial" w:eastAsia="Arial" w:hAnsi="Arial"/>
          <w:sz w:val="12"/>
          <w:szCs w:val="12"/>
          <w:color w:val="auto"/>
        </w:rPr>
        <w:t xml:space="preserve">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 All determinations under this </w:t>
      </w:r>
      <w:r>
        <w:rPr>
          <w:rFonts w:ascii="Arial" w:cs="Arial" w:eastAsia="Arial" w:hAnsi="Arial"/>
          <w:sz w:val="12"/>
          <w:szCs w:val="12"/>
          <w:u w:val="single" w:color="auto"/>
          <w:color w:val="auto"/>
        </w:rPr>
        <w:t>Section 2(d)</w:t>
      </w:r>
      <w:r>
        <w:rPr>
          <w:rFonts w:ascii="Arial" w:cs="Arial" w:eastAsia="Arial" w:hAnsi="Arial"/>
          <w:sz w:val="12"/>
          <w:szCs w:val="12"/>
          <w:color w:val="auto"/>
        </w:rPr>
        <w:t xml:space="preserve"> shall be made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135890</wp:posOffset>
            </wp:positionV>
            <wp:extent cx="5645150" cy="3714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3">
                      <a:extLst>
                        <a:ext uri="{28A0092B-C50C-407E-A947-70E740481C1C}"/>
                      </a:extLst>
                    </a:blip>
                    <a:srcRect/>
                    <a:stretch>
                      <a:fillRect/>
                    </a:stretch>
                  </pic:blipFill>
                  <pic:spPr bwMode="auto">
                    <a:xfrm>
                      <a:off x="0" y="0"/>
                      <a:ext cx="5645150" cy="371475"/>
                    </a:xfrm>
                    <a:prstGeom prst="rect">
                      <a:avLst/>
                    </a:prstGeom>
                    <a:noFill/>
                  </pic:spPr>
                </pic:pic>
              </a:graphicData>
            </a:graphic>
          </wp:anchor>
        </w:drawing>
      </w:r>
    </w:p>
    <w:p>
      <w:pPr>
        <w:spacing w:after="0" w:line="226" w:lineRule="exact"/>
        <w:rPr>
          <w:sz w:val="20"/>
          <w:szCs w:val="20"/>
          <w:color w:val="auto"/>
        </w:rPr>
      </w:pPr>
    </w:p>
    <w:p>
      <w:pPr>
        <w:ind w:left="346"/>
        <w:spacing w:after="0"/>
        <w:rPr>
          <w:sz w:val="20"/>
          <w:szCs w:val="20"/>
          <w:color w:val="auto"/>
        </w:rPr>
      </w:pPr>
      <w:r>
        <w:rPr>
          <w:rFonts w:ascii="Arial" w:cs="Arial" w:eastAsia="Arial" w:hAnsi="Arial"/>
          <w:sz w:val="12"/>
          <w:szCs w:val="12"/>
          <w:b w:val="1"/>
          <w:bCs w:val="1"/>
          <w:color w:val="auto"/>
        </w:rPr>
        <w:t>Illustration of formula described above</w:t>
      </w:r>
    </w:p>
    <w:p>
      <w:pPr>
        <w:spacing w:after="0" w:line="55" w:lineRule="exact"/>
        <w:rPr>
          <w:sz w:val="20"/>
          <w:szCs w:val="20"/>
          <w:color w:val="auto"/>
        </w:rPr>
      </w:pPr>
    </w:p>
    <w:p>
      <w:pPr>
        <w:ind w:left="306"/>
        <w:spacing w:after="0"/>
        <w:tabs>
          <w:tab w:leader="none" w:pos="3485" w:val="left"/>
          <w:tab w:leader="none" w:pos="3745" w:val="left"/>
        </w:tabs>
        <w:rPr>
          <w:sz w:val="20"/>
          <w:szCs w:val="20"/>
          <w:color w:val="auto"/>
        </w:rPr>
      </w:pPr>
      <w:r>
        <w:rPr>
          <w:rFonts w:ascii="Arial" w:cs="Arial" w:eastAsia="Arial" w:hAnsi="Arial"/>
          <w:sz w:val="12"/>
          <w:szCs w:val="12"/>
          <w:color w:val="auto"/>
        </w:rPr>
        <w:t>Total Shareholder Return</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0"/>
          <w:szCs w:val="10"/>
          <w:u w:val="single" w:color="auto"/>
          <w:color w:val="auto"/>
        </w:rPr>
        <w:t>Change in Stock Price + Dividends Paid</w:t>
      </w:r>
    </w:p>
    <w:p>
      <w:pPr>
        <w:spacing w:after="0" w:line="42" w:lineRule="exact"/>
        <w:rPr>
          <w:sz w:val="20"/>
          <w:szCs w:val="20"/>
          <w:color w:val="auto"/>
        </w:rPr>
      </w:pPr>
    </w:p>
    <w:p>
      <w:pPr>
        <w:ind w:left="3766"/>
        <w:spacing w:after="0"/>
        <w:rPr>
          <w:sz w:val="20"/>
          <w:szCs w:val="20"/>
          <w:color w:val="auto"/>
        </w:rPr>
      </w:pPr>
      <w:r>
        <w:rPr>
          <w:rFonts w:ascii="Arial" w:cs="Arial" w:eastAsia="Arial" w:hAnsi="Arial"/>
          <w:sz w:val="12"/>
          <w:szCs w:val="12"/>
          <w:color w:val="auto"/>
        </w:rPr>
        <w:t>Beginning Average Value</w:t>
      </w:r>
    </w:p>
    <w:p>
      <w:pPr>
        <w:spacing w:after="0" w:line="317" w:lineRule="exact"/>
        <w:rPr>
          <w:sz w:val="20"/>
          <w:szCs w:val="20"/>
          <w:color w:val="auto"/>
        </w:rPr>
      </w:pPr>
    </w:p>
    <w:p>
      <w:pPr>
        <w:ind w:left="206" w:hanging="206"/>
        <w:spacing w:after="0"/>
        <w:tabs>
          <w:tab w:leader="none" w:pos="206" w:val="left"/>
        </w:tabs>
        <w:numPr>
          <w:ilvl w:val="0"/>
          <w:numId w:val="150"/>
        </w:numPr>
        <w:rPr>
          <w:rFonts w:ascii="Arial" w:cs="Arial" w:eastAsia="Arial" w:hAnsi="Arial"/>
          <w:sz w:val="12"/>
          <w:szCs w:val="12"/>
          <w:b w:val="1"/>
          <w:bCs w:val="1"/>
          <w:color w:val="010000"/>
        </w:rPr>
      </w:pPr>
      <w:r>
        <w:rPr>
          <w:rFonts w:ascii="Arial" w:cs="Arial" w:eastAsia="Arial" w:hAnsi="Arial"/>
          <w:sz w:val="12"/>
          <w:szCs w:val="12"/>
          <w:b w:val="1"/>
          <w:bCs w:val="1"/>
          <w:color w:val="auto"/>
        </w:rPr>
        <w:t>Settlement of Final Award</w:t>
      </w:r>
    </w:p>
    <w:p>
      <w:pPr>
        <w:spacing w:after="0" w:line="154" w:lineRule="exact"/>
        <w:rPr>
          <w:sz w:val="20"/>
          <w:szCs w:val="20"/>
          <w:color w:val="auto"/>
        </w:rPr>
      </w:pPr>
    </w:p>
    <w:p>
      <w:pPr>
        <w:jc w:val="both"/>
        <w:ind w:left="46"/>
        <w:spacing w:after="0" w:line="286" w:lineRule="auto"/>
        <w:rPr>
          <w:sz w:val="20"/>
          <w:szCs w:val="20"/>
          <w:color w:val="auto"/>
        </w:rPr>
      </w:pPr>
      <w:r>
        <w:rPr>
          <w:rFonts w:ascii="Arial" w:cs="Arial" w:eastAsia="Arial" w:hAnsi="Arial"/>
          <w:sz w:val="11"/>
          <w:szCs w:val="11"/>
          <w:color w:val="auto"/>
        </w:rPr>
        <w:t xml:space="preserve">As soon as reasonably practicable following completion of all determinations and certifications contemplated by </w:t>
      </w:r>
      <w:r>
        <w:rPr>
          <w:rFonts w:ascii="Arial" w:cs="Arial" w:eastAsia="Arial" w:hAnsi="Arial"/>
          <w:sz w:val="11"/>
          <w:szCs w:val="11"/>
          <w:u w:val="single" w:color="auto"/>
          <w:color w:val="auto"/>
        </w:rPr>
        <w:t>Sections 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w:t>
      </w:r>
      <w:r>
        <w:rPr>
          <w:rFonts w:ascii="Arial" w:cs="Arial" w:eastAsia="Arial" w:hAnsi="Arial"/>
          <w:sz w:val="11"/>
          <w:szCs w:val="11"/>
          <w:color w:val="auto"/>
        </w:rPr>
        <w:t xml:space="preserve">, but in no event later than March 15 of the year following the year in which the Performance Period ends, subject to satisfaction of applicable tax withholding obligations in accordance with </w:t>
      </w:r>
      <w:r>
        <w:rPr>
          <w:rFonts w:ascii="Arial" w:cs="Arial" w:eastAsia="Arial" w:hAnsi="Arial"/>
          <w:sz w:val="11"/>
          <w:szCs w:val="11"/>
          <w:u w:val="single" w:color="auto"/>
          <w:color w:val="auto"/>
        </w:rPr>
        <w:t>Section 12(g)</w:t>
      </w:r>
      <w:r>
        <w:rPr>
          <w:rFonts w:ascii="Arial" w:cs="Arial" w:eastAsia="Arial" w:hAnsi="Arial"/>
          <w:sz w:val="11"/>
          <w:szCs w:val="11"/>
          <w:color w:val="auto"/>
        </w:rPr>
        <w:t xml:space="preserve">, the Company shall cause to be paid to the Participant the number of shares of the Company’s Class C Common Stock equal to the product of the number of RPSUs representing the Final Award, as determined under </w:t>
      </w:r>
      <w:r>
        <w:rPr>
          <w:rFonts w:ascii="Arial" w:cs="Arial" w:eastAsia="Arial" w:hAnsi="Arial"/>
          <w:sz w:val="11"/>
          <w:szCs w:val="11"/>
          <w:u w:val="single" w:color="auto"/>
          <w:color w:val="auto"/>
        </w:rPr>
        <w:t>Section 1</w:t>
      </w:r>
      <w:r>
        <w:rPr>
          <w:rFonts w:ascii="Arial" w:cs="Arial" w:eastAsia="Arial" w:hAnsi="Arial"/>
          <w:sz w:val="11"/>
          <w:szCs w:val="11"/>
          <w:color w:val="auto"/>
        </w:rPr>
        <w:t xml:space="preserve"> of this Agreement, multiplied by the Fair Market Value of a share of Class C Common Stock as of the last trading day of the Performance Period,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if the Participant incurs a Termination of Service as described in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then such payment shall be made within sixty (60) days after the date a Final Award, if any, is determined or becomes payable, as described in the applicable subsection of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and, in accordance with </w:t>
      </w:r>
      <w:r>
        <w:rPr>
          <w:rFonts w:ascii="Arial" w:cs="Arial" w:eastAsia="Arial" w:hAnsi="Arial"/>
          <w:sz w:val="11"/>
          <w:szCs w:val="11"/>
          <w:u w:val="single" w:color="auto"/>
          <w:color w:val="auto"/>
        </w:rPr>
        <w:t>Section 12(g)</w:t>
      </w:r>
      <w:r>
        <w:rPr>
          <w:rFonts w:ascii="Arial" w:cs="Arial" w:eastAsia="Arial" w:hAnsi="Arial"/>
          <w:sz w:val="11"/>
          <w:szCs w:val="11"/>
          <w:color w:val="auto"/>
        </w:rPr>
        <w:t>, the Fair Market Value of the RPSUs shall be determined as of such date, less applicable taxes.</w:t>
      </w:r>
    </w:p>
    <w:p>
      <w:pPr>
        <w:spacing w:after="0" w:line="111" w:lineRule="exact"/>
        <w:rPr>
          <w:sz w:val="20"/>
          <w:szCs w:val="20"/>
          <w:color w:val="auto"/>
        </w:rPr>
      </w:pPr>
    </w:p>
    <w:p>
      <w:pPr>
        <w:jc w:val="both"/>
        <w:ind w:left="46"/>
        <w:spacing w:after="0" w:line="298" w:lineRule="auto"/>
        <w:rPr>
          <w:sz w:val="20"/>
          <w:szCs w:val="20"/>
          <w:color w:val="auto"/>
        </w:rPr>
      </w:pPr>
      <w:r>
        <w:rPr>
          <w:rFonts w:ascii="Arial" w:cs="Arial" w:eastAsia="Arial" w:hAnsi="Arial"/>
          <w:sz w:val="11"/>
          <w:szCs w:val="11"/>
          <w:color w:val="auto"/>
        </w:rPr>
        <w:t xml:space="preserve">Notwithstanding the foregoing provisions of this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01" w:lineRule="exact"/>
        <w:rPr>
          <w:sz w:val="20"/>
          <w:szCs w:val="20"/>
          <w:color w:val="auto"/>
        </w:rPr>
      </w:pPr>
    </w:p>
    <w:p>
      <w:pPr>
        <w:ind w:left="206" w:hanging="206"/>
        <w:spacing w:after="0"/>
        <w:tabs>
          <w:tab w:leader="none" w:pos="206" w:val="left"/>
        </w:tabs>
        <w:numPr>
          <w:ilvl w:val="0"/>
          <w:numId w:val="151"/>
        </w:numPr>
        <w:rPr>
          <w:rFonts w:ascii="Arial" w:cs="Arial" w:eastAsia="Arial" w:hAnsi="Arial"/>
          <w:sz w:val="12"/>
          <w:szCs w:val="12"/>
          <w:b w:val="1"/>
          <w:bCs w:val="1"/>
          <w:color w:val="010000"/>
        </w:rPr>
      </w:pPr>
      <w:r>
        <w:rPr>
          <w:rFonts w:ascii="Arial" w:cs="Arial" w:eastAsia="Arial" w:hAnsi="Arial"/>
          <w:sz w:val="12"/>
          <w:szCs w:val="12"/>
          <w:b w:val="1"/>
          <w:bCs w:val="1"/>
          <w:color w:val="auto"/>
        </w:rPr>
        <w:t>Dividend Equivalent Rights</w:t>
      </w:r>
    </w:p>
    <w:p>
      <w:pPr>
        <w:spacing w:after="0" w:line="154" w:lineRule="exact"/>
        <w:rPr>
          <w:sz w:val="20"/>
          <w:szCs w:val="20"/>
          <w:color w:val="auto"/>
        </w:rPr>
      </w:pPr>
    </w:p>
    <w:p>
      <w:pPr>
        <w:jc w:val="both"/>
        <w:ind w:left="46"/>
        <w:spacing w:after="0" w:line="281" w:lineRule="auto"/>
        <w:rPr>
          <w:sz w:val="20"/>
          <w:szCs w:val="20"/>
          <w:color w:val="auto"/>
        </w:rPr>
      </w:pPr>
      <w:r>
        <w:rPr>
          <w:rFonts w:ascii="Arial" w:cs="Arial" w:eastAsia="Arial" w:hAnsi="Arial"/>
          <w:sz w:val="11"/>
          <w:szCs w:val="11"/>
          <w:color w:val="auto"/>
        </w:rPr>
        <w:t xml:space="preserve">Cash dividends on shares of Class C Common Stock issuable hereunder shall be credited to a dividend book entry account on behalf of the Participant with respect to the Target Award;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cash dividends shall be deemed to be reinvested in shares of Class C Common Stock immediately following the time declared at the then Fair Market Value of the Class C Common Stock and shall be paid at the same time that the Final Award is delivered to the Participant in accordance with the provisions hereof. Stock dividends on shares of Class C Common Stock issuable hereunder shall be credited to a dividend book entry account on behalf of the Participant with respect to the Target Award;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stock dividends shall be paid at the same time that the Final Award is delivered to the Participant in accordance with the provisions hereof. Notwithstanding the foregoing, in the event that there are insufficient shares of Class C Common Stock available in the Plan to settle the accrued dividend book entry account in shares of Class C Common Stock, such accrued book entry account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any RPSU unless and until the Participant has become the holder of record of such shares.</w:t>
      </w:r>
    </w:p>
    <w:p>
      <w:pPr>
        <w:spacing w:after="0" w:line="112" w:lineRule="exact"/>
        <w:rPr>
          <w:sz w:val="20"/>
          <w:szCs w:val="20"/>
          <w:color w:val="auto"/>
        </w:rPr>
      </w:pPr>
    </w:p>
    <w:p>
      <w:pPr>
        <w:ind w:left="206" w:hanging="206"/>
        <w:spacing w:after="0"/>
        <w:tabs>
          <w:tab w:leader="none" w:pos="206" w:val="left"/>
        </w:tabs>
        <w:numPr>
          <w:ilvl w:val="0"/>
          <w:numId w:val="152"/>
        </w:numPr>
        <w:rPr>
          <w:rFonts w:ascii="Arial" w:cs="Arial" w:eastAsia="Arial" w:hAnsi="Arial"/>
          <w:sz w:val="12"/>
          <w:szCs w:val="12"/>
          <w:b w:val="1"/>
          <w:bCs w:val="1"/>
          <w:color w:val="010000"/>
        </w:rPr>
      </w:pPr>
      <w:r>
        <w:rPr>
          <w:rFonts w:ascii="Arial" w:cs="Arial" w:eastAsia="Arial" w:hAnsi="Arial"/>
          <w:sz w:val="12"/>
          <w:szCs w:val="12"/>
          <w:b w:val="1"/>
          <w:bCs w:val="1"/>
          <w:color w:val="auto"/>
        </w:rPr>
        <w:t>Transfer of RPSUs</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 xml:space="preserve">Unless otherwise permitted by the Committee or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of the Plan, no award or right granted hereunder may be sold, transferred, pledged, assigned or otherwise alienated or hypothecated, other than pursuant to a will or the laws of descent and distribution. Any attempted disposition in violation of this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16</w:t>
      </w:r>
      <w:r>
        <w:rPr>
          <w:rFonts w:ascii="Arial" w:cs="Arial" w:eastAsia="Arial" w:hAnsi="Arial"/>
          <w:sz w:val="12"/>
          <w:szCs w:val="12"/>
          <w:color w:val="auto"/>
        </w:rPr>
        <w:t xml:space="preserve"> of the Plan shall be void.</w:t>
      </w:r>
    </w:p>
    <w:p>
      <w:pPr>
        <w:spacing w:after="0" w:line="111" w:lineRule="exact"/>
        <w:rPr>
          <w:sz w:val="20"/>
          <w:szCs w:val="20"/>
          <w:color w:val="auto"/>
        </w:rPr>
      </w:pPr>
    </w:p>
    <w:p>
      <w:pPr>
        <w:ind w:left="206" w:hanging="206"/>
        <w:spacing w:after="0"/>
        <w:tabs>
          <w:tab w:leader="none" w:pos="206" w:val="left"/>
        </w:tabs>
        <w:numPr>
          <w:ilvl w:val="0"/>
          <w:numId w:val="153"/>
        </w:numPr>
        <w:rPr>
          <w:rFonts w:ascii="Arial" w:cs="Arial" w:eastAsia="Arial" w:hAnsi="Arial"/>
          <w:sz w:val="12"/>
          <w:szCs w:val="12"/>
          <w:b w:val="1"/>
          <w:bCs w:val="1"/>
          <w:color w:val="010000"/>
        </w:rPr>
      </w:pPr>
      <w:r>
        <w:rPr>
          <w:rFonts w:ascii="Arial" w:cs="Arial" w:eastAsia="Arial" w:hAnsi="Arial"/>
          <w:sz w:val="12"/>
          <w:szCs w:val="12"/>
          <w:b w:val="1"/>
          <w:bCs w:val="1"/>
          <w:color w:val="auto"/>
        </w:rPr>
        <w:t>Status of Participant</w:t>
      </w:r>
    </w:p>
    <w:p>
      <w:pPr>
        <w:spacing w:after="0" w:line="154" w:lineRule="exact"/>
        <w:rPr>
          <w:sz w:val="20"/>
          <w:szCs w:val="20"/>
          <w:color w:val="auto"/>
        </w:rPr>
      </w:pPr>
    </w:p>
    <w:p>
      <w:pPr>
        <w:jc w:val="both"/>
        <w:ind w:left="46"/>
        <w:spacing w:after="0" w:line="263" w:lineRule="auto"/>
        <w:rPr>
          <w:sz w:val="20"/>
          <w:szCs w:val="20"/>
          <w:color w:val="auto"/>
        </w:rPr>
      </w:pPr>
      <w:r>
        <w:rPr>
          <w:rFonts w:ascii="Arial" w:cs="Arial" w:eastAsia="Arial" w:hAnsi="Arial"/>
          <w:sz w:val="12"/>
          <w:szCs w:val="12"/>
          <w:color w:val="auto"/>
        </w:rPr>
        <w:t>The Participant shall not be, and, except as otherwise provided herein, shall not have rights as, a stockholder of the Company with respect to any of the shares of Class C Common Stock subject to, or underlying, the Target Award or Final Award, unless such shares have been issued and delivered to the Participant pursuant to the terms of this Agreement. The Company shall not be required to issue or transfer any certificates for shares of Class C Common Stock until all applicable requirements</w:t>
      </w:r>
    </w:p>
    <w:p>
      <w:pPr>
        <w:sectPr>
          <w:pgSz w:w="11900" w:h="16838" w:orient="portrait"/>
          <w:cols w:equalWidth="0" w:num="1">
            <w:col w:w="11326"/>
          </w:cols>
          <w:pgMar w:left="374" w:top="293" w:right="199" w:bottom="1440" w:gutter="0" w:footer="0" w:header="0"/>
        </w:sectPr>
      </w:pPr>
    </w:p>
    <w:bookmarkStart w:id="195" w:name="page196"/>
    <w:bookmarkEnd w:id="195"/>
    <w:p>
      <w:pPr>
        <w:ind w:left="46"/>
        <w:spacing w:after="0"/>
        <w:rPr>
          <w:sz w:val="20"/>
          <w:szCs w:val="20"/>
          <w:color w:val="auto"/>
        </w:rPr>
      </w:pPr>
      <w:r>
        <w:rPr>
          <w:rFonts w:ascii="Arial" w:cs="Arial" w:eastAsia="Arial" w:hAnsi="Arial"/>
          <w:sz w:val="12"/>
          <w:szCs w:val="12"/>
          <w:color w:val="auto"/>
        </w:rPr>
        <w:t>of law have been complied with and such shares have been duly listed on any securities exchange on which the Class C Common Stock may then be listed.</w:t>
      </w:r>
    </w:p>
    <w:p>
      <w:pPr>
        <w:spacing w:after="0" w:line="146" w:lineRule="exact"/>
        <w:rPr>
          <w:sz w:val="20"/>
          <w:szCs w:val="20"/>
          <w:color w:val="auto"/>
        </w:rPr>
      </w:pPr>
    </w:p>
    <w:p>
      <w:pPr>
        <w:ind w:left="206" w:hanging="206"/>
        <w:spacing w:after="0"/>
        <w:tabs>
          <w:tab w:leader="none" w:pos="206" w:val="left"/>
        </w:tabs>
        <w:numPr>
          <w:ilvl w:val="0"/>
          <w:numId w:val="154"/>
        </w:numPr>
        <w:rPr>
          <w:rFonts w:ascii="Arial" w:cs="Arial" w:eastAsia="Arial" w:hAnsi="Arial"/>
          <w:sz w:val="12"/>
          <w:szCs w:val="12"/>
          <w:b w:val="1"/>
          <w:bCs w:val="1"/>
          <w:color w:val="010000"/>
        </w:rPr>
      </w:pPr>
      <w:r>
        <w:rPr>
          <w:rFonts w:ascii="Arial" w:cs="Arial" w:eastAsia="Arial" w:hAnsi="Arial"/>
          <w:sz w:val="12"/>
          <w:szCs w:val="12"/>
          <w:b w:val="1"/>
          <w:bCs w:val="1"/>
          <w:color w:val="auto"/>
        </w:rPr>
        <w:t>No Effect on Capital Structure</w:t>
      </w:r>
    </w:p>
    <w:p>
      <w:pPr>
        <w:spacing w:after="0" w:line="154" w:lineRule="exact"/>
        <w:rPr>
          <w:sz w:val="20"/>
          <w:szCs w:val="20"/>
          <w:color w:val="auto"/>
        </w:rPr>
      </w:pPr>
    </w:p>
    <w:p>
      <w:pPr>
        <w:ind w:left="46" w:right="20"/>
        <w:spacing w:after="0" w:line="276" w:lineRule="auto"/>
        <w:rPr>
          <w:sz w:val="20"/>
          <w:szCs w:val="20"/>
          <w:color w:val="auto"/>
        </w:rPr>
      </w:pPr>
      <w:r>
        <w:rPr>
          <w:rFonts w:ascii="Arial" w:cs="Arial" w:eastAsia="Arial" w:hAnsi="Arial"/>
          <w:sz w:val="12"/>
          <w:szCs w:val="12"/>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111" w:lineRule="exact"/>
        <w:rPr>
          <w:sz w:val="20"/>
          <w:szCs w:val="20"/>
          <w:color w:val="auto"/>
        </w:rPr>
      </w:pPr>
    </w:p>
    <w:p>
      <w:pPr>
        <w:ind w:left="206" w:hanging="206"/>
        <w:spacing w:after="0"/>
        <w:tabs>
          <w:tab w:leader="none" w:pos="206" w:val="left"/>
        </w:tabs>
        <w:numPr>
          <w:ilvl w:val="0"/>
          <w:numId w:val="155"/>
        </w:numPr>
        <w:rPr>
          <w:rFonts w:ascii="Arial" w:cs="Arial" w:eastAsia="Arial" w:hAnsi="Arial"/>
          <w:sz w:val="12"/>
          <w:szCs w:val="12"/>
          <w:b w:val="1"/>
          <w:bCs w:val="1"/>
          <w:color w:val="010000"/>
        </w:rPr>
      </w:pPr>
      <w:r>
        <w:rPr>
          <w:rFonts w:ascii="Arial" w:cs="Arial" w:eastAsia="Arial" w:hAnsi="Arial"/>
          <w:sz w:val="12"/>
          <w:szCs w:val="12"/>
          <w:b w:val="1"/>
          <w:bCs w:val="1"/>
          <w:color w:val="auto"/>
        </w:rPr>
        <w:t>Expiration and Forfeiture of Award</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 xml:space="preserve">The Final Award, if any, shall be paid and/or expire in the circumstances described in this </w:t>
      </w:r>
      <w:r>
        <w:rPr>
          <w:rFonts w:ascii="Arial" w:cs="Arial" w:eastAsia="Arial" w:hAnsi="Arial"/>
          <w:sz w:val="12"/>
          <w:szCs w:val="12"/>
          <w:u w:val="single" w:color="auto"/>
          <w:color w:val="auto"/>
        </w:rPr>
        <w:t>Section 8</w:t>
      </w:r>
      <w:r>
        <w:rPr>
          <w:rFonts w:ascii="Arial" w:cs="Arial" w:eastAsia="Arial" w:hAnsi="Arial"/>
          <w:sz w:val="12"/>
          <w:szCs w:val="12"/>
          <w:color w:val="auto"/>
        </w:rPr>
        <w:t>. As used herein, “</w:t>
      </w:r>
      <w:r>
        <w:rPr>
          <w:rFonts w:ascii="Arial" w:cs="Arial" w:eastAsia="Arial" w:hAnsi="Arial"/>
          <w:sz w:val="12"/>
          <w:szCs w:val="12"/>
          <w:u w:val="single" w:color="auto"/>
          <w:color w:val="auto"/>
        </w:rPr>
        <w:t>Termination of Service</w:t>
      </w:r>
      <w:r>
        <w:rPr>
          <w:rFonts w:ascii="Arial" w:cs="Arial" w:eastAsia="Arial" w:hAnsi="Arial"/>
          <w:sz w:val="12"/>
          <w:szCs w:val="12"/>
          <w:color w:val="auto"/>
        </w:rPr>
        <w:t>” means termination of a Participant’s employment by, or service to, the Company, including any of its Subsidiaries.</w:t>
      </w:r>
    </w:p>
    <w:p>
      <w:pPr>
        <w:spacing w:after="0" w:line="115" w:lineRule="exact"/>
        <w:rPr>
          <w:sz w:val="20"/>
          <w:szCs w:val="20"/>
          <w:color w:val="auto"/>
        </w:rPr>
      </w:pPr>
    </w:p>
    <w:p>
      <w:pPr>
        <w:ind w:left="306" w:hanging="252"/>
        <w:spacing w:after="0"/>
        <w:tabs>
          <w:tab w:leader="none" w:pos="306" w:val="left"/>
        </w:tabs>
        <w:numPr>
          <w:ilvl w:val="0"/>
          <w:numId w:val="156"/>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Death</w:t>
      </w:r>
    </w:p>
    <w:p>
      <w:pPr>
        <w:spacing w:after="0" w:line="150" w:lineRule="exact"/>
        <w:rPr>
          <w:rFonts w:ascii="Arial" w:cs="Arial" w:eastAsia="Arial" w:hAnsi="Arial"/>
          <w:sz w:val="12"/>
          <w:szCs w:val="12"/>
          <w:b w:val="1"/>
          <w:bCs w:val="1"/>
          <w:i w:val="1"/>
          <w:iCs w:val="1"/>
          <w:color w:val="010000"/>
        </w:rPr>
      </w:pPr>
    </w:p>
    <w:p>
      <w:pPr>
        <w:ind w:left="326"/>
        <w:spacing w:after="0" w:line="276" w:lineRule="auto"/>
        <w:rPr>
          <w:rFonts w:ascii="Arial" w:cs="Arial" w:eastAsia="Arial" w:hAnsi="Arial"/>
          <w:sz w:val="12"/>
          <w:szCs w:val="12"/>
          <w:b w:val="1"/>
          <w:bCs w:val="1"/>
          <w:i w:val="1"/>
          <w:iCs w:val="1"/>
          <w:color w:val="010000"/>
        </w:rPr>
      </w:pPr>
      <w:r>
        <w:rPr>
          <w:rFonts w:ascii="Arial" w:cs="Arial" w:eastAsia="Arial" w:hAnsi="Arial"/>
          <w:sz w:val="12"/>
          <w:szCs w:val="12"/>
          <w:color w:val="auto"/>
        </w:rPr>
        <w:t xml:space="preserve">Upon a Termination of Service by reason of death, a Final Award equal to one hundred percent (100%) of the Target Award shall be paid to the Participant’s legal representatives, heirs, legatees, or distributees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4"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0"/>
          <w:numId w:val="156"/>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Retirement</w:t>
      </w:r>
    </w:p>
    <w:p>
      <w:pPr>
        <w:spacing w:after="0" w:line="150" w:lineRule="exact"/>
        <w:rPr>
          <w:rFonts w:ascii="Arial" w:cs="Arial" w:eastAsia="Arial" w:hAnsi="Arial"/>
          <w:sz w:val="12"/>
          <w:szCs w:val="12"/>
          <w:b w:val="1"/>
          <w:bCs w:val="1"/>
          <w:i w:val="1"/>
          <w:iCs w:val="1"/>
          <w:color w:val="010000"/>
        </w:rPr>
      </w:pPr>
    </w:p>
    <w:p>
      <w:pPr>
        <w:jc w:val="both"/>
        <w:ind w:left="306"/>
        <w:spacing w:after="0" w:line="259" w:lineRule="auto"/>
        <w:rPr>
          <w:rFonts w:ascii="Arial" w:cs="Arial" w:eastAsia="Arial" w:hAnsi="Arial"/>
          <w:sz w:val="12"/>
          <w:szCs w:val="12"/>
          <w:b w:val="1"/>
          <w:bCs w:val="1"/>
          <w:i w:val="1"/>
          <w:iCs w:val="1"/>
          <w:color w:val="010000"/>
        </w:rPr>
      </w:pPr>
      <w:r>
        <w:rPr>
          <w:rFonts w:ascii="Arial" w:cs="Arial" w:eastAsia="Arial" w:hAnsi="Arial"/>
          <w:sz w:val="12"/>
          <w:szCs w:val="12"/>
          <w:color w:val="auto"/>
        </w:rPr>
        <w:t xml:space="preserve">Upon a Termination of Service in the event of Retirement, the Participant shall continue to be eligible to receive a Final Award, if any, as though the Participant was continuously employed by the Company throughout the Performance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Retirement occurs more than twelve (12) months following the Date of Grant. At the end of the Performance Period, the Company will determine the Final Award that the Participant would have received had the Participant been continuously employed by the Company throughout the Performance Period in accordance with </w:t>
      </w:r>
      <w:r>
        <w:rPr>
          <w:rFonts w:ascii="Arial" w:cs="Arial" w:eastAsia="Arial" w:hAnsi="Arial"/>
          <w:sz w:val="12"/>
          <w:szCs w:val="12"/>
          <w:u w:val="single" w:color="auto"/>
          <w:color w:val="auto"/>
        </w:rPr>
        <w:t>Sections 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w:t>
      </w:r>
      <w:r>
        <w:rPr>
          <w:rFonts w:ascii="Arial" w:cs="Arial" w:eastAsia="Arial" w:hAnsi="Arial"/>
          <w:sz w:val="12"/>
          <w:szCs w:val="12"/>
          <w:color w:val="auto"/>
        </w:rPr>
        <w:t xml:space="preserve">, and any such Final Award shall be paid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24"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0"/>
          <w:numId w:val="156"/>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Disability</w:t>
      </w:r>
    </w:p>
    <w:p>
      <w:pPr>
        <w:spacing w:after="0" w:line="150" w:lineRule="exact"/>
        <w:rPr>
          <w:rFonts w:ascii="Arial" w:cs="Arial" w:eastAsia="Arial" w:hAnsi="Arial"/>
          <w:sz w:val="12"/>
          <w:szCs w:val="12"/>
          <w:b w:val="1"/>
          <w:bCs w:val="1"/>
          <w:i w:val="1"/>
          <w:iCs w:val="1"/>
          <w:color w:val="010000"/>
        </w:rPr>
      </w:pPr>
    </w:p>
    <w:p>
      <w:pPr>
        <w:ind w:left="326"/>
        <w:spacing w:after="0"/>
        <w:rPr>
          <w:rFonts w:ascii="Arial" w:cs="Arial" w:eastAsia="Arial" w:hAnsi="Arial"/>
          <w:sz w:val="12"/>
          <w:szCs w:val="12"/>
          <w:b w:val="1"/>
          <w:bCs w:val="1"/>
          <w:i w:val="1"/>
          <w:iCs w:val="1"/>
          <w:color w:val="010000"/>
        </w:rPr>
      </w:pPr>
      <w:r>
        <w:rPr>
          <w:rFonts w:ascii="Arial" w:cs="Arial" w:eastAsia="Arial" w:hAnsi="Arial"/>
          <w:sz w:val="12"/>
          <w:szCs w:val="12"/>
          <w:color w:val="auto"/>
        </w:rPr>
        <w:t xml:space="preserve">Upon a Termination of Service as a result of Disability, a Final Award equal to one hundred percent (100%) of the Target Award shall be paid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50"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0"/>
          <w:numId w:val="156"/>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Change in Control</w:t>
      </w:r>
    </w:p>
    <w:p>
      <w:pPr>
        <w:spacing w:after="0" w:line="150" w:lineRule="exact"/>
        <w:rPr>
          <w:rFonts w:ascii="Arial" w:cs="Arial" w:eastAsia="Arial" w:hAnsi="Arial"/>
          <w:sz w:val="12"/>
          <w:szCs w:val="12"/>
          <w:b w:val="1"/>
          <w:bCs w:val="1"/>
          <w:i w:val="1"/>
          <w:iCs w:val="1"/>
          <w:color w:val="010000"/>
        </w:rPr>
      </w:pPr>
    </w:p>
    <w:p>
      <w:pPr>
        <w:jc w:val="both"/>
        <w:ind w:left="306"/>
        <w:spacing w:after="0" w:line="263" w:lineRule="auto"/>
        <w:rPr>
          <w:rFonts w:ascii="Arial" w:cs="Arial" w:eastAsia="Arial" w:hAnsi="Arial"/>
          <w:sz w:val="12"/>
          <w:szCs w:val="12"/>
          <w:b w:val="1"/>
          <w:bCs w:val="1"/>
          <w:i w:val="1"/>
          <w:iCs w:val="1"/>
          <w:color w:val="010000"/>
        </w:rPr>
      </w:pPr>
      <w:r>
        <w:rPr>
          <w:rFonts w:ascii="Arial" w:cs="Arial" w:eastAsia="Arial" w:hAnsi="Arial"/>
          <w:sz w:val="12"/>
          <w:szCs w:val="12"/>
          <w:color w:val="auto"/>
        </w:rPr>
        <w:t xml:space="preserve">Notwithstanding any provision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to the contrary, if the Company terminates the Participant’s employment without Cause in connection with a Change in Control, the Final Award payable to the Participant, if any, shall be determined by the Committee and shall be paid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 The Company’s termination of the Participant’s employment may be treated as being in connection with a Change in Control only if such termination occurs during the period beginning six (6) months prior to the Change in Control and ending twelve (12) months following the Change in Control.</w:t>
      </w:r>
    </w:p>
    <w:p>
      <w:pPr>
        <w:spacing w:after="0" w:line="122"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0"/>
          <w:numId w:val="156"/>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Termination of Service other than as a result of Death, Retirement, Disability, or Change in Control</w:t>
      </w:r>
    </w:p>
    <w:p>
      <w:pPr>
        <w:spacing w:after="0" w:line="150" w:lineRule="exact"/>
        <w:rPr>
          <w:rFonts w:ascii="Arial" w:cs="Arial" w:eastAsia="Arial" w:hAnsi="Arial"/>
          <w:sz w:val="12"/>
          <w:szCs w:val="12"/>
          <w:b w:val="1"/>
          <w:bCs w:val="1"/>
          <w:i w:val="1"/>
          <w:iCs w:val="1"/>
          <w:color w:val="010000"/>
        </w:rPr>
      </w:pPr>
    </w:p>
    <w:p>
      <w:pPr>
        <w:jc w:val="both"/>
        <w:ind w:left="326"/>
        <w:spacing w:after="0" w:line="263" w:lineRule="auto"/>
        <w:rPr>
          <w:rFonts w:ascii="Arial" w:cs="Arial" w:eastAsia="Arial" w:hAnsi="Arial"/>
          <w:sz w:val="12"/>
          <w:szCs w:val="12"/>
          <w:b w:val="1"/>
          <w:bCs w:val="1"/>
          <w:i w:val="1"/>
          <w:iCs w:val="1"/>
          <w:color w:val="010000"/>
        </w:rPr>
      </w:pPr>
      <w:r>
        <w:rPr>
          <w:rFonts w:ascii="Arial" w:cs="Arial" w:eastAsia="Arial" w:hAnsi="Arial"/>
          <w:sz w:val="12"/>
          <w:szCs w:val="12"/>
          <w:color w:val="auto"/>
        </w:rPr>
        <w:t>Upon a Termination of Service by any reason other than death, Retirement, Disability or in connection with a Change in Control, including, without limitation, as a result of retirement or disability that does not meet the requirements set forth in the definitions of such terms in the Plan, voluntary resignation and termination for Cause, any award or right granted hereunder shall expire and be forfeited, and no Final Award or dividend equivalent related thereto shall be paid.</w:t>
      </w:r>
    </w:p>
    <w:p>
      <w:pPr>
        <w:spacing w:after="0" w:line="122" w:lineRule="exact"/>
        <w:rPr>
          <w:rFonts w:ascii="Arial" w:cs="Arial" w:eastAsia="Arial" w:hAnsi="Arial"/>
          <w:sz w:val="12"/>
          <w:szCs w:val="12"/>
          <w:b w:val="1"/>
          <w:bCs w:val="1"/>
          <w:i w:val="1"/>
          <w:iCs w:val="1"/>
          <w:color w:val="010000"/>
        </w:rPr>
      </w:pPr>
    </w:p>
    <w:p>
      <w:pPr>
        <w:ind w:left="306" w:hanging="252"/>
        <w:spacing w:after="0"/>
        <w:tabs>
          <w:tab w:leader="none" w:pos="306" w:val="left"/>
        </w:tabs>
        <w:numPr>
          <w:ilvl w:val="0"/>
          <w:numId w:val="156"/>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Clawback as a result of misconduct</w:t>
      </w:r>
    </w:p>
    <w:p>
      <w:pPr>
        <w:spacing w:after="0" w:line="150" w:lineRule="exact"/>
        <w:rPr>
          <w:rFonts w:ascii="Arial" w:cs="Arial" w:eastAsia="Arial" w:hAnsi="Arial"/>
          <w:sz w:val="12"/>
          <w:szCs w:val="12"/>
          <w:b w:val="1"/>
          <w:bCs w:val="1"/>
          <w:i w:val="1"/>
          <w:iCs w:val="1"/>
          <w:color w:val="010000"/>
        </w:rPr>
      </w:pPr>
    </w:p>
    <w:p>
      <w:pPr>
        <w:jc w:val="both"/>
        <w:ind w:left="306"/>
        <w:spacing w:after="0" w:line="257" w:lineRule="auto"/>
        <w:rPr>
          <w:rFonts w:ascii="Arial" w:cs="Arial" w:eastAsia="Arial" w:hAnsi="Arial"/>
          <w:sz w:val="12"/>
          <w:szCs w:val="12"/>
          <w:b w:val="1"/>
          <w:bCs w:val="1"/>
          <w:i w:val="1"/>
          <w:iCs w:val="1"/>
          <w:color w:val="010000"/>
        </w:rPr>
      </w:pPr>
      <w:r>
        <w:rPr>
          <w:rFonts w:ascii="Arial" w:cs="Arial" w:eastAsia="Arial" w:hAnsi="Arial"/>
          <w:sz w:val="12"/>
          <w:szCs w:val="12"/>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the Final Award, and/or to forfeit the proceeds of any sale (including any sales to the Company) of any Company securities acquired by or on behalf of the Participant (or the Participant’s beneficiary) pursuant to the Final Award</w:t>
      </w:r>
    </w:p>
    <w:p>
      <w:pPr>
        <w:sectPr>
          <w:pgSz w:w="11900" w:h="16838" w:orient="portrait"/>
          <w:cols w:equalWidth="0" w:num="1">
            <w:col w:w="11326"/>
          </w:cols>
          <w:pgMar w:left="374" w:top="293" w:right="199" w:bottom="1440" w:gutter="0" w:footer="0" w:header="0"/>
        </w:sectPr>
      </w:pPr>
    </w:p>
    <w:bookmarkStart w:id="196" w:name="page197"/>
    <w:bookmarkEnd w:id="196"/>
    <w:p>
      <w:pPr>
        <w:ind w:left="306"/>
        <w:spacing w:after="0" w:line="276" w:lineRule="auto"/>
        <w:rPr>
          <w:sz w:val="20"/>
          <w:szCs w:val="20"/>
          <w:color w:val="auto"/>
        </w:rPr>
      </w:pPr>
      <w:r>
        <w:rPr>
          <w:rFonts w:ascii="Arial" w:cs="Arial" w:eastAsia="Arial" w:hAnsi="Arial"/>
          <w:sz w:val="12"/>
          <w:szCs w:val="12"/>
          <w:color w:val="auto"/>
        </w:rPr>
        <w:t>paid under this Agreement during the twelve (12) month period following the first public filing of the financial document requiring restatement, or during the twelve (12) month period following the date of the Participant’s misconduct.</w:t>
      </w:r>
    </w:p>
    <w:p>
      <w:pPr>
        <w:spacing w:after="0" w:line="111" w:lineRule="exact"/>
        <w:rPr>
          <w:sz w:val="20"/>
          <w:szCs w:val="20"/>
          <w:color w:val="auto"/>
        </w:rPr>
      </w:pPr>
    </w:p>
    <w:p>
      <w:pPr>
        <w:ind w:left="206" w:hanging="206"/>
        <w:spacing w:after="0"/>
        <w:tabs>
          <w:tab w:leader="none" w:pos="206" w:val="left"/>
        </w:tabs>
        <w:numPr>
          <w:ilvl w:val="0"/>
          <w:numId w:val="157"/>
        </w:numPr>
        <w:rPr>
          <w:rFonts w:ascii="Arial" w:cs="Arial" w:eastAsia="Arial" w:hAnsi="Arial"/>
          <w:sz w:val="12"/>
          <w:szCs w:val="12"/>
          <w:b w:val="1"/>
          <w:bCs w:val="1"/>
          <w:color w:val="010000"/>
        </w:rPr>
      </w:pPr>
      <w:r>
        <w:rPr>
          <w:rFonts w:ascii="Arial" w:cs="Arial" w:eastAsia="Arial" w:hAnsi="Arial"/>
          <w:sz w:val="12"/>
          <w:szCs w:val="12"/>
          <w:b w:val="1"/>
          <w:bCs w:val="1"/>
          <w:color w:val="auto"/>
        </w:rPr>
        <w:t>Committee Authority</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Any question concerning the interpretation of this Agreement, any adjustments required to be made under the Plan, and any controversy that may arise under the Plan or the Grant Agreement shall be determined by the Committee in its sole discretion. Any decisions by the Committee regarding the Plan or this Agreement shall be final and binding.</w:t>
      </w:r>
    </w:p>
    <w:p>
      <w:pPr>
        <w:spacing w:after="0" w:line="111" w:lineRule="exact"/>
        <w:rPr>
          <w:sz w:val="20"/>
          <w:szCs w:val="20"/>
          <w:color w:val="auto"/>
        </w:rPr>
      </w:pPr>
    </w:p>
    <w:p>
      <w:pPr>
        <w:ind w:left="206" w:hanging="206"/>
        <w:spacing w:after="0"/>
        <w:tabs>
          <w:tab w:leader="none" w:pos="206" w:val="left"/>
        </w:tabs>
        <w:numPr>
          <w:ilvl w:val="0"/>
          <w:numId w:val="158"/>
        </w:numPr>
        <w:rPr>
          <w:rFonts w:ascii="Arial" w:cs="Arial" w:eastAsia="Arial" w:hAnsi="Arial"/>
          <w:sz w:val="12"/>
          <w:szCs w:val="12"/>
          <w:b w:val="1"/>
          <w:bCs w:val="1"/>
          <w:color w:val="010000"/>
        </w:rPr>
      </w:pPr>
      <w:r>
        <w:rPr>
          <w:rFonts w:ascii="Arial" w:cs="Arial" w:eastAsia="Arial" w:hAnsi="Arial"/>
          <w:sz w:val="12"/>
          <w:szCs w:val="12"/>
          <w:b w:val="1"/>
          <w:bCs w:val="1"/>
          <w:color w:val="auto"/>
        </w:rPr>
        <w:t>Plan Controls</w:t>
      </w:r>
    </w:p>
    <w:p>
      <w:pPr>
        <w:spacing w:after="0" w:line="154" w:lineRule="exact"/>
        <w:rPr>
          <w:sz w:val="20"/>
          <w:szCs w:val="20"/>
          <w:color w:val="auto"/>
        </w:rPr>
      </w:pPr>
    </w:p>
    <w:p>
      <w:pPr>
        <w:ind w:left="46"/>
        <w:spacing w:after="0" w:line="276" w:lineRule="auto"/>
        <w:rPr>
          <w:sz w:val="20"/>
          <w:szCs w:val="20"/>
          <w:color w:val="auto"/>
        </w:rPr>
      </w:pPr>
      <w:r>
        <w:rPr>
          <w:rFonts w:ascii="Arial" w:cs="Arial" w:eastAsia="Arial" w:hAnsi="Arial"/>
          <w:sz w:val="12"/>
          <w:szCs w:val="12"/>
          <w:color w:val="auto"/>
        </w:rPr>
        <w:t>The terms of this Agreement are governed by the terms of the Plan, as it exists on the Date of the Grant and as the Plan may be amended from time to time thereafter. In the event of any conflict between the provisions of this Agreement and the provisions of the Plan, the terms of the Plan shall control.</w:t>
      </w:r>
    </w:p>
    <w:p>
      <w:pPr>
        <w:spacing w:after="0" w:line="111" w:lineRule="exact"/>
        <w:rPr>
          <w:sz w:val="20"/>
          <w:szCs w:val="20"/>
          <w:color w:val="auto"/>
        </w:rPr>
      </w:pPr>
    </w:p>
    <w:p>
      <w:pPr>
        <w:ind w:left="206" w:hanging="206"/>
        <w:spacing w:after="0"/>
        <w:tabs>
          <w:tab w:leader="none" w:pos="206" w:val="left"/>
        </w:tabs>
        <w:numPr>
          <w:ilvl w:val="0"/>
          <w:numId w:val="159"/>
        </w:numPr>
        <w:rPr>
          <w:rFonts w:ascii="Arial" w:cs="Arial" w:eastAsia="Arial" w:hAnsi="Arial"/>
          <w:sz w:val="12"/>
          <w:szCs w:val="12"/>
          <w:b w:val="1"/>
          <w:bCs w:val="1"/>
          <w:color w:val="010000"/>
        </w:rPr>
      </w:pPr>
      <w:r>
        <w:rPr>
          <w:rFonts w:ascii="Arial" w:cs="Arial" w:eastAsia="Arial" w:hAnsi="Arial"/>
          <w:sz w:val="12"/>
          <w:szCs w:val="12"/>
          <w:b w:val="1"/>
          <w:bCs w:val="1"/>
          <w:color w:val="auto"/>
        </w:rPr>
        <w:t>Limitation on Rights; No Right to Future Grants</w:t>
      </w:r>
    </w:p>
    <w:p>
      <w:pPr>
        <w:spacing w:after="0" w:line="154" w:lineRule="exact"/>
        <w:rPr>
          <w:sz w:val="20"/>
          <w:szCs w:val="20"/>
          <w:color w:val="auto"/>
        </w:rPr>
      </w:pPr>
    </w:p>
    <w:p>
      <w:pPr>
        <w:jc w:val="both"/>
        <w:ind w:left="46"/>
        <w:spacing w:after="0" w:line="278" w:lineRule="auto"/>
        <w:rPr>
          <w:sz w:val="20"/>
          <w:szCs w:val="20"/>
          <w:color w:val="auto"/>
        </w:rPr>
      </w:pPr>
      <w:r>
        <w:rPr>
          <w:rFonts w:ascii="Arial" w:cs="Arial" w:eastAsia="Arial" w:hAnsi="Arial"/>
          <w:sz w:val="11"/>
          <w:szCs w:val="11"/>
          <w:color w:val="auto"/>
        </w:rPr>
        <w:t xml:space="preserve">By entering into this Agreement, the Participant acknowledges that: (a) the Plan is discretionary and may be modified, suspended or terminated by the Company at any time, as provided in the Plan;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except as provided in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of the Plan, no amendment to this Agreement shall adversely affect in a material manner the Participant’s rights hereunder without his or her written consent; (b) the grant of any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Arial" w:cs="Arial" w:eastAsia="Arial" w:hAnsi="Arial"/>
          <w:sz w:val="11"/>
          <w:szCs w:val="11"/>
          <w:u w:val="single" w:color="auto"/>
          <w:color w:val="auto"/>
        </w:rPr>
        <w:t>Section 8</w:t>
      </w:r>
      <w:r>
        <w:rPr>
          <w:rFonts w:ascii="Arial" w:cs="Arial" w:eastAsia="Arial" w:hAnsi="Arial"/>
          <w:sz w:val="11"/>
          <w:szCs w:val="11"/>
          <w:color w:val="auto"/>
        </w:rPr>
        <w:t>; (g) the future value of the Class C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the award will not be interpreted to form an employment relationship with the Company or any Subsidiary; and furthermore, the grant of the award will not be interpreted to form an employment contract with the Company or any Subsidiary.</w:t>
      </w:r>
    </w:p>
    <w:p>
      <w:pPr>
        <w:spacing w:after="0" w:line="114" w:lineRule="exact"/>
        <w:rPr>
          <w:sz w:val="20"/>
          <w:szCs w:val="20"/>
          <w:color w:val="auto"/>
        </w:rPr>
      </w:pPr>
    </w:p>
    <w:p>
      <w:pPr>
        <w:ind w:left="206" w:hanging="206"/>
        <w:spacing w:after="0"/>
        <w:tabs>
          <w:tab w:leader="none" w:pos="206" w:val="left"/>
        </w:tabs>
        <w:numPr>
          <w:ilvl w:val="0"/>
          <w:numId w:val="160"/>
        </w:numPr>
        <w:rPr>
          <w:rFonts w:ascii="Arial" w:cs="Arial" w:eastAsia="Arial" w:hAnsi="Arial"/>
          <w:sz w:val="12"/>
          <w:szCs w:val="12"/>
          <w:b w:val="1"/>
          <w:bCs w:val="1"/>
          <w:color w:val="010000"/>
        </w:rPr>
      </w:pPr>
      <w:r>
        <w:rPr>
          <w:rFonts w:ascii="Arial" w:cs="Arial" w:eastAsia="Arial" w:hAnsi="Arial"/>
          <w:sz w:val="12"/>
          <w:szCs w:val="12"/>
          <w:b w:val="1"/>
          <w:bCs w:val="1"/>
          <w:color w:val="auto"/>
        </w:rPr>
        <w:t>General Provisions</w:t>
      </w:r>
    </w:p>
    <w:p>
      <w:pPr>
        <w:spacing w:after="0" w:line="154" w:lineRule="exact"/>
        <w:rPr>
          <w:rFonts w:ascii="Arial" w:cs="Arial" w:eastAsia="Arial" w:hAnsi="Arial"/>
          <w:sz w:val="12"/>
          <w:szCs w:val="12"/>
          <w:b w:val="1"/>
          <w:bCs w:val="1"/>
          <w:color w:val="010000"/>
        </w:rPr>
      </w:pPr>
    </w:p>
    <w:p>
      <w:pPr>
        <w:ind w:left="306" w:hanging="252"/>
        <w:spacing w:after="0"/>
        <w:tabs>
          <w:tab w:leader="none" w:pos="306" w:val="left"/>
        </w:tabs>
        <w:numPr>
          <w:ilvl w:val="1"/>
          <w:numId w:val="160"/>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Notice</w:t>
      </w:r>
    </w:p>
    <w:p>
      <w:pPr>
        <w:spacing w:after="0" w:line="150" w:lineRule="exact"/>
        <w:rPr>
          <w:rFonts w:ascii="Arial" w:cs="Arial" w:eastAsia="Arial" w:hAnsi="Arial"/>
          <w:sz w:val="12"/>
          <w:szCs w:val="12"/>
          <w:b w:val="1"/>
          <w:bCs w:val="1"/>
          <w:i w:val="1"/>
          <w:iCs w:val="1"/>
          <w:color w:val="010000"/>
        </w:rPr>
      </w:pPr>
    </w:p>
    <w:p>
      <w:pPr>
        <w:jc w:val="both"/>
        <w:ind w:left="326"/>
        <w:spacing w:after="0" w:line="327" w:lineRule="auto"/>
        <w:rPr>
          <w:rFonts w:ascii="Arial" w:cs="Arial" w:eastAsia="Arial" w:hAnsi="Arial"/>
          <w:sz w:val="12"/>
          <w:szCs w:val="12"/>
          <w:b w:val="1"/>
          <w:bCs w:val="1"/>
          <w:i w:val="1"/>
          <w:iCs w:val="1"/>
          <w:color w:val="010000"/>
        </w:rPr>
      </w:pPr>
      <w:r>
        <w:rPr>
          <w:rFonts w:ascii="Arial" w:cs="Arial" w:eastAsia="Arial" w:hAnsi="Arial"/>
          <w:sz w:val="10"/>
          <w:szCs w:val="10"/>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326"/>
          </w:cols>
          <w:pgMar w:left="374" w:top="293" w:right="199" w:bottom="1440" w:gutter="0" w:footer="0" w:header="0"/>
        </w:sectPr>
      </w:pPr>
    </w:p>
    <w:p>
      <w:pPr>
        <w:spacing w:after="0" w:line="202" w:lineRule="exact"/>
        <w:rPr>
          <w:sz w:val="20"/>
          <w:szCs w:val="20"/>
          <w:color w:val="auto"/>
        </w:rPr>
      </w:pPr>
    </w:p>
    <w:p>
      <w:pPr>
        <w:ind w:left="966"/>
        <w:spacing w:after="0"/>
        <w:rPr>
          <w:sz w:val="20"/>
          <w:szCs w:val="20"/>
          <w:color w:val="auto"/>
        </w:rPr>
      </w:pPr>
      <w:r>
        <w:rPr>
          <w:rFonts w:ascii="Arial" w:cs="Arial" w:eastAsia="Arial" w:hAnsi="Arial"/>
          <w:sz w:val="10"/>
          <w:szCs w:val="10"/>
          <w:color w:val="auto"/>
        </w:rPr>
        <w:t>Company: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Inc.</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Attn: SVP, General Counsel &amp; Corporate Secretary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300 Carnegie Center, Suite 300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Princeton, NJ 08450</w:t>
      </w:r>
    </w:p>
    <w:p>
      <w:pPr>
        <w:spacing w:after="0" w:line="159" w:lineRule="exact"/>
        <w:rPr>
          <w:sz w:val="20"/>
          <w:szCs w:val="20"/>
          <w:color w:val="auto"/>
        </w:rPr>
      </w:pPr>
    </w:p>
    <w:p>
      <w:pPr>
        <w:sectPr>
          <w:pgSz w:w="11900" w:h="16838" w:orient="portrait"/>
          <w:cols w:equalWidth="0" w:num="2">
            <w:col w:w="2206" w:space="720"/>
            <w:col w:w="8400"/>
          </w:cols>
          <w:pgMar w:left="374" w:top="293" w:right="199" w:bottom="1440" w:gutter="0" w:footer="0" w:header="0"/>
          <w:type w:val="continuous"/>
        </w:sectPr>
      </w:pPr>
    </w:p>
    <w:p>
      <w:pPr>
        <w:ind w:left="326"/>
        <w:spacing w:after="0"/>
        <w:rPr>
          <w:sz w:val="20"/>
          <w:szCs w:val="20"/>
          <w:color w:val="auto"/>
        </w:rPr>
      </w:pPr>
      <w:r>
        <w:rPr>
          <w:rFonts w:ascii="Arial" w:cs="Arial" w:eastAsia="Arial" w:hAnsi="Arial"/>
          <w:sz w:val="10"/>
          <w:szCs w:val="10"/>
          <w:color w:val="auto"/>
        </w:rPr>
        <w:t>The Company or the Participant may change, by written notice to the other, the address previously specified for receiving notices.</w:t>
      </w:r>
    </w:p>
    <w:p>
      <w:pPr>
        <w:spacing w:after="0" w:line="173" w:lineRule="exact"/>
        <w:rPr>
          <w:sz w:val="20"/>
          <w:szCs w:val="20"/>
          <w:color w:val="auto"/>
        </w:rPr>
      </w:pPr>
    </w:p>
    <w:p>
      <w:pPr>
        <w:ind w:left="306" w:hanging="252"/>
        <w:spacing w:after="0"/>
        <w:tabs>
          <w:tab w:leader="none" w:pos="306" w:val="left"/>
        </w:tabs>
        <w:numPr>
          <w:ilvl w:val="0"/>
          <w:numId w:val="161"/>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No Waiver</w:t>
      </w:r>
    </w:p>
    <w:p>
      <w:pPr>
        <w:sectPr>
          <w:pgSz w:w="11900" w:h="16838" w:orient="portrait"/>
          <w:cols w:equalWidth="0" w:num="1">
            <w:col w:w="11326"/>
          </w:cols>
          <w:pgMar w:left="374" w:top="293" w:right="199" w:bottom="1440" w:gutter="0" w:footer="0" w:header="0"/>
          <w:type w:val="continuous"/>
        </w:sectPr>
      </w:pPr>
    </w:p>
    <w:bookmarkStart w:id="197" w:name="page198"/>
    <w:bookmarkEnd w:id="197"/>
    <w:p>
      <w:pPr>
        <w:ind w:left="290"/>
        <w:spacing w:after="0" w:line="276" w:lineRule="auto"/>
        <w:rPr>
          <w:sz w:val="20"/>
          <w:szCs w:val="20"/>
          <w:color w:val="auto"/>
        </w:rPr>
      </w:pPr>
      <w:r>
        <w:rPr>
          <w:rFonts w:ascii="Arial" w:cs="Arial" w:eastAsia="Arial" w:hAnsi="Arial"/>
          <w:sz w:val="12"/>
          <w:szCs w:val="12"/>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15" w:lineRule="exact"/>
        <w:rPr>
          <w:sz w:val="20"/>
          <w:szCs w:val="20"/>
          <w:color w:val="auto"/>
        </w:rPr>
      </w:pPr>
    </w:p>
    <w:p>
      <w:pPr>
        <w:ind w:left="270" w:hanging="270"/>
        <w:spacing w:after="0"/>
        <w:tabs>
          <w:tab w:leader="none" w:pos="270" w:val="left"/>
        </w:tabs>
        <w:numPr>
          <w:ilvl w:val="0"/>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Undertaking</w:t>
      </w:r>
    </w:p>
    <w:p>
      <w:pPr>
        <w:spacing w:after="0" w:line="150" w:lineRule="exact"/>
        <w:rPr>
          <w:rFonts w:ascii="Arial" w:cs="Arial" w:eastAsia="Arial" w:hAnsi="Arial"/>
          <w:sz w:val="12"/>
          <w:szCs w:val="12"/>
          <w:b w:val="1"/>
          <w:bCs w:val="1"/>
          <w:i w:val="1"/>
          <w:iCs w:val="1"/>
          <w:color w:val="010000"/>
        </w:rPr>
      </w:pPr>
    </w:p>
    <w:p>
      <w:pPr>
        <w:ind w:left="270"/>
        <w:spacing w:after="0" w:line="276"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14"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Entire Contract</w:t>
      </w:r>
    </w:p>
    <w:p>
      <w:pPr>
        <w:spacing w:after="0" w:line="150" w:lineRule="exact"/>
        <w:rPr>
          <w:rFonts w:ascii="Arial" w:cs="Arial" w:eastAsia="Arial" w:hAnsi="Arial"/>
          <w:sz w:val="12"/>
          <w:szCs w:val="12"/>
          <w:b w:val="1"/>
          <w:bCs w:val="1"/>
          <w:i w:val="1"/>
          <w:iCs w:val="1"/>
          <w:color w:val="010000"/>
        </w:rPr>
      </w:pPr>
    </w:p>
    <w:p>
      <w:pPr>
        <w:ind w:left="290"/>
        <w:spacing w:after="0" w:line="276"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14"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Successors and Assigns</w:t>
      </w:r>
    </w:p>
    <w:p>
      <w:pPr>
        <w:spacing w:after="0" w:line="150" w:lineRule="exact"/>
        <w:rPr>
          <w:rFonts w:ascii="Arial" w:cs="Arial" w:eastAsia="Arial" w:hAnsi="Arial"/>
          <w:sz w:val="12"/>
          <w:szCs w:val="12"/>
          <w:b w:val="1"/>
          <w:bCs w:val="1"/>
          <w:i w:val="1"/>
          <w:iCs w:val="1"/>
          <w:color w:val="010000"/>
        </w:rPr>
      </w:pPr>
    </w:p>
    <w:p>
      <w:pPr>
        <w:ind w:left="290"/>
        <w:spacing w:after="0" w:line="276"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14"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Securities Law Compliance</w:t>
      </w:r>
    </w:p>
    <w:p>
      <w:pPr>
        <w:spacing w:after="0" w:line="150" w:lineRule="exact"/>
        <w:rPr>
          <w:rFonts w:ascii="Arial" w:cs="Arial" w:eastAsia="Arial" w:hAnsi="Arial"/>
          <w:sz w:val="12"/>
          <w:szCs w:val="12"/>
          <w:b w:val="1"/>
          <w:bCs w:val="1"/>
          <w:i w:val="1"/>
          <w:iCs w:val="1"/>
          <w:color w:val="010000"/>
        </w:rPr>
      </w:pPr>
    </w:p>
    <w:p>
      <w:pPr>
        <w:jc w:val="both"/>
        <w:ind w:left="290"/>
        <w:spacing w:after="0" w:line="254"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The Company currently has an effective registration statement on file with the Securities and Exchange Commission with respect to the shares of Class C Common Stock underlying the RPSUs awarded under this Agreement. The Company intends to maintain this registration statement but has no obligation to the Participant to do so. If the registration statement ceases to be effective, the Participant will not be able to transfer or sell shares of Class C Common Stock issued pursuant to the award, unless exemptions from registration under applicable securities laws are available. Such exemptions from registration are very limited and might be unavailable. Participant agrees that any resale of the shares of Class C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30"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Taxes</w:t>
      </w:r>
    </w:p>
    <w:p>
      <w:pPr>
        <w:spacing w:after="0" w:line="150" w:lineRule="exact"/>
        <w:rPr>
          <w:rFonts w:ascii="Arial" w:cs="Arial" w:eastAsia="Arial" w:hAnsi="Arial"/>
          <w:sz w:val="12"/>
          <w:szCs w:val="12"/>
          <w:b w:val="1"/>
          <w:bCs w:val="1"/>
          <w:i w:val="1"/>
          <w:iCs w:val="1"/>
          <w:color w:val="010000"/>
        </w:rPr>
      </w:pPr>
    </w:p>
    <w:p>
      <w:pPr>
        <w:jc w:val="both"/>
        <w:ind w:left="270"/>
        <w:spacing w:after="0" w:line="257" w:lineRule="auto"/>
        <w:rPr>
          <w:rFonts w:ascii="Arial" w:cs="Arial" w:eastAsia="Arial" w:hAnsi="Arial"/>
          <w:sz w:val="12"/>
          <w:szCs w:val="12"/>
          <w:b w:val="1"/>
          <w:bCs w:val="1"/>
          <w:i w:val="1"/>
          <w:iCs w:val="1"/>
          <w:color w:val="010000"/>
        </w:rPr>
      </w:pPr>
      <w:r>
        <w:rPr>
          <w:rFonts w:ascii="Arial" w:cs="Arial" w:eastAsia="Arial" w:hAnsi="Arial"/>
          <w:sz w:val="12"/>
          <w:szCs w:val="12"/>
          <w:color w:val="auto"/>
        </w:rPr>
        <w:t>The Participant acknowledges that the removal of restrictions with respect to an award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25"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Confidentiality</w:t>
      </w:r>
    </w:p>
    <w:p>
      <w:pPr>
        <w:spacing w:after="0" w:line="150" w:lineRule="exact"/>
        <w:rPr>
          <w:rFonts w:ascii="Arial" w:cs="Arial" w:eastAsia="Arial" w:hAnsi="Arial"/>
          <w:sz w:val="12"/>
          <w:szCs w:val="12"/>
          <w:b w:val="1"/>
          <w:bCs w:val="1"/>
          <w:i w:val="1"/>
          <w:iCs w:val="1"/>
          <w:color w:val="010000"/>
        </w:rPr>
      </w:pPr>
    </w:p>
    <w:p>
      <w:pPr>
        <w:jc w:val="both"/>
        <w:ind w:left="270"/>
        <w:spacing w:after="0" w:line="263" w:lineRule="auto"/>
        <w:rPr>
          <w:rFonts w:ascii="Arial" w:cs="Arial" w:eastAsia="Arial" w:hAnsi="Arial"/>
          <w:sz w:val="12"/>
          <w:szCs w:val="12"/>
          <w:b w:val="1"/>
          <w:bCs w:val="1"/>
          <w:i w:val="1"/>
          <w:iCs w:val="1"/>
          <w:color w:val="010000"/>
        </w:rPr>
      </w:pPr>
      <w:r>
        <w:rPr>
          <w:rFonts w:ascii="Arial" w:cs="Arial" w:eastAsia="Arial" w:hAnsi="Arial"/>
          <w:sz w:val="12"/>
          <w:szCs w:val="12"/>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secure a loan.</w:t>
      </w:r>
    </w:p>
    <w:p>
      <w:pPr>
        <w:spacing w:after="0" w:line="122"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Governing Law</w:t>
      </w:r>
    </w:p>
    <w:p>
      <w:pPr>
        <w:spacing w:after="0" w:line="150" w:lineRule="exact"/>
        <w:rPr>
          <w:rFonts w:ascii="Arial" w:cs="Arial" w:eastAsia="Arial" w:hAnsi="Arial"/>
          <w:sz w:val="12"/>
          <w:szCs w:val="12"/>
          <w:b w:val="1"/>
          <w:bCs w:val="1"/>
          <w:i w:val="1"/>
          <w:iCs w:val="1"/>
          <w:color w:val="010000"/>
        </w:rPr>
      </w:pPr>
    </w:p>
    <w:p>
      <w:pPr>
        <w:ind w:left="290"/>
        <w:spacing w:after="0"/>
        <w:rPr>
          <w:rFonts w:ascii="Arial" w:cs="Arial" w:eastAsia="Arial" w:hAnsi="Arial"/>
          <w:sz w:val="12"/>
          <w:szCs w:val="12"/>
          <w:b w:val="1"/>
          <w:bCs w:val="1"/>
          <w:i w:val="1"/>
          <w:iCs w:val="1"/>
          <w:color w:val="010000"/>
        </w:rPr>
      </w:pPr>
      <w:r>
        <w:rPr>
          <w:rFonts w:ascii="Arial" w:cs="Arial" w:eastAsia="Arial" w:hAnsi="Arial"/>
          <w:sz w:val="12"/>
          <w:szCs w:val="12"/>
          <w:color w:val="auto"/>
        </w:rPr>
        <w:t>Except as may otherwise be provided in the Plan, the provisions of this Agreement shall be governed by the laws of the State of Delaware without giving effect to principles of conflicts of law.</w:t>
      </w:r>
    </w:p>
    <w:p>
      <w:pPr>
        <w:spacing w:after="0" w:line="150" w:lineRule="exact"/>
        <w:rPr>
          <w:rFonts w:ascii="Arial" w:cs="Arial" w:eastAsia="Arial" w:hAnsi="Arial"/>
          <w:sz w:val="12"/>
          <w:szCs w:val="12"/>
          <w:b w:val="1"/>
          <w:bCs w:val="1"/>
          <w:i w:val="1"/>
          <w:iCs w:val="1"/>
          <w:color w:val="010000"/>
        </w:rPr>
      </w:pPr>
    </w:p>
    <w:p>
      <w:pPr>
        <w:ind w:left="270" w:hanging="252"/>
        <w:spacing w:after="0"/>
        <w:tabs>
          <w:tab w:leader="none" w:pos="270" w:val="left"/>
        </w:tabs>
        <w:numPr>
          <w:ilvl w:val="1"/>
          <w:numId w:val="162"/>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Code Section 409A Compliance</w:t>
      </w:r>
    </w:p>
    <w:p>
      <w:pPr>
        <w:sectPr>
          <w:pgSz w:w="11900" w:h="16838" w:orient="portrait"/>
          <w:cols w:equalWidth="0" w:num="1">
            <w:col w:w="11290"/>
          </w:cols>
          <w:pgMar w:left="410" w:top="293" w:right="19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12"/>
          <w:szCs w:val="12"/>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200" w:lineRule="exact"/>
        <w:rPr>
          <w:sz w:val="20"/>
          <w:szCs w:val="20"/>
          <w:color w:val="auto"/>
        </w:rPr>
      </w:pP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ectPr>
          <w:pgSz w:w="11900" w:h="16838" w:orient="portrait"/>
          <w:cols w:equalWidth="0" w:num="1">
            <w:col w:w="11000"/>
          </w:cols>
          <w:pgMar w:left="700" w:top="293" w:right="199" w:bottom="1440" w:gutter="0" w:footer="0" w:header="0"/>
        </w:sectPr>
      </w:pPr>
    </w:p>
    <w:bookmarkStart w:id="199" w:name="page200"/>
    <w:bookmarkEnd w:id="199"/>
    <w:p>
      <w:pPr>
        <w:spacing w:after="0"/>
        <w:rPr>
          <w:sz w:val="20"/>
          <w:szCs w:val="20"/>
          <w:color w:val="auto"/>
        </w:rPr>
      </w:pPr>
      <w:r>
        <w:rPr>
          <w:rFonts w:ascii="Arial" w:cs="Arial" w:eastAsia="Arial" w:hAnsi="Arial"/>
          <w:sz w:val="12"/>
          <w:szCs w:val="12"/>
          <w:color w:val="auto"/>
        </w:rPr>
        <w:t>IN WITNESS WHEREOF, this Agreement has been executed as of the Date of Grant.</w:t>
      </w:r>
    </w:p>
    <w:p>
      <w:pPr>
        <w:spacing w:after="0" w:line="200" w:lineRule="exact"/>
        <w:rPr>
          <w:sz w:val="20"/>
          <w:szCs w:val="20"/>
          <w:color w:val="auto"/>
        </w:rPr>
      </w:pPr>
    </w:p>
    <w:p>
      <w:pPr>
        <w:spacing w:after="0" w:line="234"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2"/>
                <w:szCs w:val="12"/>
                <w:color w:val="auto"/>
              </w:rPr>
              <w:t>Name:</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Christopher Sotos</w:t>
            </w:r>
          </w:p>
        </w:tc>
      </w:tr>
      <w:tr>
        <w:trPr>
          <w:trHeight w:val="169"/>
        </w:trPr>
        <w:tc>
          <w:tcPr>
            <w:tcW w:w="840" w:type="dxa"/>
            <w:vAlign w:val="bottom"/>
          </w:tcPr>
          <w:p>
            <w:pPr>
              <w:spacing w:after="0"/>
              <w:rPr>
                <w:sz w:val="20"/>
                <w:szCs w:val="20"/>
                <w:color w:val="auto"/>
              </w:rPr>
            </w:pPr>
            <w:r>
              <w:rPr>
                <w:rFonts w:ascii="Arial" w:cs="Arial" w:eastAsia="Arial" w:hAnsi="Arial"/>
                <w:sz w:val="12"/>
                <w:szCs w:val="12"/>
                <w:color w:val="auto"/>
              </w:rPr>
              <w:t>Title:</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President &amp; CEO</w:t>
            </w:r>
          </w:p>
        </w:tc>
      </w:tr>
    </w:tbl>
    <w:p>
      <w:pPr>
        <w:sectPr>
          <w:pgSz w:w="11900" w:h="16838" w:orient="portrait"/>
          <w:cols w:equalWidth="0" w:num="1">
            <w:col w:w="10239"/>
          </w:cols>
          <w:pgMar w:left="220" w:top="608" w:right="1440" w:bottom="1440" w:gutter="0" w:footer="0" w:header="0"/>
        </w:sectPr>
      </w:pPr>
    </w:p>
    <w:bookmarkStart w:id="200" w:name="page201"/>
    <w:bookmarkEnd w:id="2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20" w:type="dxa"/>
            <w:vAlign w:val="bottom"/>
            <w:gridSpan w:val="4"/>
          </w:tcPr>
          <w:p>
            <w:pPr>
              <w:jc w:val="center"/>
              <w:ind w:right="1800"/>
              <w:spacing w:after="0"/>
              <w:rPr>
                <w:sz w:val="20"/>
                <w:szCs w:val="20"/>
                <w:color w:val="auto"/>
              </w:rPr>
            </w:pPr>
            <w:r>
              <w:rPr>
                <w:rFonts w:ascii="Arial" w:cs="Arial" w:eastAsia="Arial" w:hAnsi="Arial"/>
                <w:sz w:val="12"/>
                <w:szCs w:val="12"/>
                <w:b w:val="1"/>
                <w:bCs w:val="1"/>
                <w:color w:val="auto"/>
              </w:rPr>
              <w:t>EXHIBIT A</w:t>
            </w:r>
          </w:p>
        </w:tc>
      </w:tr>
      <w:tr>
        <w:trPr>
          <w:trHeight w:val="20"/>
        </w:trPr>
        <w:tc>
          <w:tcPr>
            <w:tcW w:w="3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295"/>
        </w:trPr>
        <w:tc>
          <w:tcPr>
            <w:tcW w:w="3240" w:type="dxa"/>
            <w:vAlign w:val="bottom"/>
          </w:tcPr>
          <w:p>
            <w:pPr>
              <w:spacing w:after="0"/>
              <w:rPr>
                <w:sz w:val="24"/>
                <w:szCs w:val="24"/>
                <w:color w:val="auto"/>
              </w:rPr>
            </w:pPr>
          </w:p>
        </w:tc>
        <w:tc>
          <w:tcPr>
            <w:tcW w:w="4600" w:type="dxa"/>
            <w:vAlign w:val="bottom"/>
            <w:gridSpan w:val="5"/>
          </w:tcPr>
          <w:p>
            <w:pPr>
              <w:jc w:val="center"/>
              <w:ind w:left="340"/>
              <w:spacing w:after="0"/>
              <w:rPr>
                <w:sz w:val="20"/>
                <w:szCs w:val="20"/>
                <w:color w:val="auto"/>
              </w:rPr>
            </w:pPr>
            <w:r>
              <w:rPr>
                <w:rFonts w:ascii="Arial" w:cs="Arial" w:eastAsia="Arial" w:hAnsi="Arial"/>
                <w:sz w:val="12"/>
                <w:szCs w:val="12"/>
                <w:b w:val="1"/>
                <w:bCs w:val="1"/>
                <w:color w:val="auto"/>
              </w:rPr>
              <w:t>RELATIVE TOTAL SHAREHOLDER RETURN PEER GROUP AND INDICES</w:t>
            </w:r>
          </w:p>
        </w:tc>
      </w:tr>
      <w:tr>
        <w:trPr>
          <w:trHeight w:val="234"/>
        </w:trPr>
        <w:tc>
          <w:tcPr>
            <w:tcW w:w="3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r>
      <w:tr>
        <w:trPr>
          <w:trHeight w:val="160"/>
        </w:trPr>
        <w:tc>
          <w:tcPr>
            <w:tcW w:w="3240" w:type="dxa"/>
            <w:vAlign w:val="bottom"/>
            <w:tcBorders>
              <w:top w:val="single" w:sz="8" w:color="00000A"/>
              <w:left w:val="single" w:sz="8" w:color="00000A"/>
              <w:bottom w:val="single" w:sz="8" w:color="00000A"/>
            </w:tcBorders>
          </w:tcPr>
          <w:p>
            <w:pPr>
              <w:ind w:left="20"/>
              <w:spacing w:after="0"/>
              <w:rPr>
                <w:sz w:val="20"/>
                <w:szCs w:val="20"/>
                <w:color w:val="auto"/>
              </w:rPr>
            </w:pPr>
            <w:r>
              <w:rPr>
                <w:rFonts w:ascii="Arial" w:cs="Arial" w:eastAsia="Arial" w:hAnsi="Arial"/>
                <w:sz w:val="12"/>
                <w:szCs w:val="12"/>
                <w:b w:val="1"/>
                <w:bCs w:val="1"/>
                <w:color w:val="auto"/>
              </w:rPr>
              <w:t>COMPANY</w:t>
            </w:r>
          </w:p>
        </w:tc>
        <w:tc>
          <w:tcPr>
            <w:tcW w:w="2180" w:type="dxa"/>
            <w:vAlign w:val="bottom"/>
            <w:tcBorders>
              <w:top w:val="single" w:sz="8" w:color="00000A"/>
              <w:bottom w:val="single" w:sz="8" w:color="00000A"/>
            </w:tcBorders>
          </w:tcPr>
          <w:p>
            <w:pPr>
              <w:spacing w:after="0"/>
              <w:rPr>
                <w:sz w:val="13"/>
                <w:szCs w:val="13"/>
                <w:color w:val="auto"/>
              </w:rPr>
            </w:pPr>
          </w:p>
        </w:tc>
        <w:tc>
          <w:tcPr>
            <w:tcW w:w="620" w:type="dxa"/>
            <w:vAlign w:val="bottom"/>
            <w:tcBorders>
              <w:top w:val="single" w:sz="8" w:color="00000A"/>
              <w:bottom w:val="single" w:sz="8" w:color="00000A"/>
            </w:tcBorders>
          </w:tcPr>
          <w:p>
            <w:pPr>
              <w:spacing w:after="0"/>
              <w:rPr>
                <w:sz w:val="13"/>
                <w:szCs w:val="13"/>
                <w:color w:val="auto"/>
              </w:rPr>
            </w:pPr>
          </w:p>
        </w:tc>
        <w:tc>
          <w:tcPr>
            <w:tcW w:w="440" w:type="dxa"/>
            <w:vAlign w:val="bottom"/>
            <w:tcBorders>
              <w:top w:val="single" w:sz="8" w:color="00000A"/>
              <w:bottom w:val="single" w:sz="8" w:color="00000A"/>
              <w:right w:val="single" w:sz="8" w:color="00000A"/>
            </w:tcBorders>
          </w:tcPr>
          <w:p>
            <w:pPr>
              <w:spacing w:after="0"/>
              <w:rPr>
                <w:sz w:val="13"/>
                <w:szCs w:val="13"/>
                <w:color w:val="auto"/>
              </w:rPr>
            </w:pPr>
          </w:p>
        </w:tc>
        <w:tc>
          <w:tcPr>
            <w:tcW w:w="11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12"/>
                <w:szCs w:val="12"/>
                <w:b w:val="1"/>
                <w:bCs w:val="1"/>
                <w:color w:val="auto"/>
              </w:rPr>
              <w:t>TICKER</w:t>
            </w:r>
          </w:p>
        </w:tc>
        <w:tc>
          <w:tcPr>
            <w:tcW w:w="220" w:type="dxa"/>
            <w:vAlign w:val="bottom"/>
          </w:tcPr>
          <w:p>
            <w:pPr>
              <w:spacing w:after="0"/>
              <w:rPr>
                <w:sz w:val="13"/>
                <w:szCs w:val="13"/>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Atlantica Yield plc</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ABY</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The AES Corporation</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AES</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Antero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AM</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Andeavor Logistics LP (fka Tesoro Logistics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ANDX</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Brookfield Renewable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BEP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Buckeye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BPL</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Crestwood Equity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CEQP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Dominion Energy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DM</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DCP Midstream,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DPM</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El Paso Electric Company</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EE</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Enable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ENBL</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EQT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EQM</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Genesis Energy,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GEL</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Golar LNG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GMLP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Hannon Armstrong Sustainable Infrastructure Capital, Inc.</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HASI</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Holly Energy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HEP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Martin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MMLP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MPLX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MPLX</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NextEra Energy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NEP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NGL Energy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NGL</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Ormat Technologies, Inc.</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ORA</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Plains All American Pipeline,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PAA</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Pattern Energy Group Inc.</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PEGI</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Phillips 66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PSXP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Shell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SHLX</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South Jersey Industries, Inc.</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SJI</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Summit Midstream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SMLP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Suburban Propane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SPH</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Sunoco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SUN</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TransAlta Corporation</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TAC</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TC PipeLines,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TCP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Teekay LNG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TGP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Teekay Offshore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TOO</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Valero Energy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VLP</w:t>
            </w:r>
          </w:p>
        </w:tc>
        <w:tc>
          <w:tcPr>
            <w:tcW w:w="220" w:type="dxa"/>
            <w:vAlign w:val="bottom"/>
          </w:tcPr>
          <w:p>
            <w:pPr>
              <w:spacing w:after="0"/>
              <w:rPr>
                <w:sz w:val="14"/>
                <w:szCs w:val="14"/>
                <w:color w:val="auto"/>
              </w:rPr>
            </w:pPr>
          </w:p>
        </w:tc>
      </w:tr>
      <w:tr>
        <w:trPr>
          <w:trHeight w:val="169"/>
        </w:trPr>
        <w:tc>
          <w:tcPr>
            <w:tcW w:w="324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2"/>
                <w:szCs w:val="12"/>
                <w:color w:val="auto"/>
              </w:rPr>
              <w:t>Western Gas Partners, LP</w:t>
            </w:r>
          </w:p>
        </w:tc>
        <w:tc>
          <w:tcPr>
            <w:tcW w:w="2180" w:type="dxa"/>
            <w:vAlign w:val="bottom"/>
            <w:tcBorders>
              <w:bottom w:val="single" w:sz="8" w:color="00000A"/>
            </w:tcBorders>
          </w:tcPr>
          <w:p>
            <w:pPr>
              <w:spacing w:after="0"/>
              <w:rPr>
                <w:sz w:val="14"/>
                <w:szCs w:val="14"/>
                <w:color w:val="auto"/>
              </w:rPr>
            </w:pPr>
          </w:p>
        </w:tc>
        <w:tc>
          <w:tcPr>
            <w:tcW w:w="620" w:type="dxa"/>
            <w:vAlign w:val="bottom"/>
            <w:tcBorders>
              <w:bottom w:val="single" w:sz="8" w:color="00000A"/>
            </w:tcBorders>
          </w:tcPr>
          <w:p>
            <w:pPr>
              <w:spacing w:after="0"/>
              <w:rPr>
                <w:sz w:val="14"/>
                <w:szCs w:val="14"/>
                <w:color w:val="auto"/>
              </w:rPr>
            </w:pPr>
          </w:p>
        </w:tc>
        <w:tc>
          <w:tcPr>
            <w:tcW w:w="440" w:type="dxa"/>
            <w:vAlign w:val="bottom"/>
            <w:tcBorders>
              <w:bottom w:val="single" w:sz="8" w:color="00000A"/>
              <w:right w:val="single" w:sz="8" w:color="00000A"/>
            </w:tcBorders>
          </w:tcPr>
          <w:p>
            <w:pPr>
              <w:spacing w:after="0"/>
              <w:rPr>
                <w:sz w:val="14"/>
                <w:szCs w:val="14"/>
                <w:color w:val="auto"/>
              </w:rPr>
            </w:pPr>
          </w:p>
        </w:tc>
        <w:tc>
          <w:tcPr>
            <w:tcW w:w="11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12"/>
                <w:szCs w:val="12"/>
                <w:color w:val="auto"/>
              </w:rPr>
              <w:t>WES</w:t>
            </w:r>
          </w:p>
        </w:tc>
        <w:tc>
          <w:tcPr>
            <w:tcW w:w="220" w:type="dxa"/>
            <w:vAlign w:val="bottom"/>
          </w:tcPr>
          <w:p>
            <w:pPr>
              <w:spacing w:after="0"/>
              <w:rPr>
                <w:sz w:val="14"/>
                <w:szCs w:val="14"/>
                <w:color w:val="auto"/>
              </w:rPr>
            </w:pPr>
          </w:p>
        </w:tc>
      </w:tr>
    </w:tbl>
    <w:p>
      <w:pPr>
        <w:sectPr>
          <w:pgSz w:w="11900" w:h="16838" w:orient="portrait"/>
          <w:cols w:equalWidth="0" w:num="1">
            <w:col w:w="10239"/>
          </w:cols>
          <w:pgMar w:left="220" w:top="596"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2"/>
          <w:szCs w:val="12"/>
          <w:b w:val="1"/>
          <w:bCs w:val="1"/>
          <w:color w:val="auto"/>
        </w:rPr>
        <w:t>Exhibit 10.25</w:t>
      </w:r>
    </w:p>
    <w:p>
      <w:pPr>
        <w:spacing w:after="0" w:line="150" w:lineRule="exact"/>
        <w:rPr>
          <w:sz w:val="20"/>
          <w:szCs w:val="20"/>
          <w:color w:val="auto"/>
        </w:rPr>
      </w:pPr>
    </w:p>
    <w:p>
      <w:pPr>
        <w:ind w:left="456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CLEARWAY ENERGY, INC. ANNUAL INCENTIVE PLAN</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010000"/>
        </w:rPr>
        <w:t>ARTICLE 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PURPOSE OF THE PLAN</w:t>
      </w:r>
    </w:p>
    <w:p>
      <w:pPr>
        <w:spacing w:after="0" w:line="159"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color w:val="auto"/>
        </w:rPr>
        <w:t>This Plan shall be known as the Clearway Energy, Inc. Annual Incentive Plan (the “</w:t>
      </w:r>
      <w:r>
        <w:rPr>
          <w:rFonts w:ascii="Arial" w:cs="Arial" w:eastAsia="Arial" w:hAnsi="Arial"/>
          <w:sz w:val="11"/>
          <w:szCs w:val="11"/>
          <w:u w:val="single" w:color="auto"/>
          <w:color w:val="auto"/>
        </w:rPr>
        <w:t>Plan</w:t>
      </w:r>
      <w:r>
        <w:rPr>
          <w:rFonts w:ascii="Arial" w:cs="Arial" w:eastAsia="Arial" w:hAnsi="Arial"/>
          <w:sz w:val="11"/>
          <w:szCs w:val="11"/>
          <w:color w:val="auto"/>
        </w:rPr>
        <w:t>”) and was originally effective January 1</w:t>
      </w:r>
      <w:r>
        <w:rPr>
          <w:rFonts w:ascii="Arial" w:cs="Arial" w:eastAsia="Arial" w:hAnsi="Arial"/>
          <w:sz w:val="11"/>
          <w:szCs w:val="11"/>
          <w:b w:val="1"/>
          <w:bCs w:val="1"/>
          <w:color w:val="auto"/>
        </w:rPr>
        <w:t>,</w:t>
      </w:r>
      <w:r>
        <w:rPr>
          <w:rFonts w:ascii="Arial" w:cs="Arial" w:eastAsia="Arial" w:hAnsi="Arial"/>
          <w:sz w:val="11"/>
          <w:szCs w:val="11"/>
          <w:color w:val="auto"/>
        </w:rPr>
        <w:t xml:space="preserve"> 2018 and amended and restated as of January 1, 2019 (the “</w:t>
      </w:r>
      <w:r>
        <w:rPr>
          <w:rFonts w:ascii="Arial" w:cs="Arial" w:eastAsia="Arial" w:hAnsi="Arial"/>
          <w:sz w:val="11"/>
          <w:szCs w:val="11"/>
          <w:u w:val="single" w:color="auto"/>
          <w:color w:val="auto"/>
        </w:rPr>
        <w:t>Effective Date</w:t>
      </w:r>
      <w:r>
        <w:rPr>
          <w:rFonts w:ascii="Arial" w:cs="Arial" w:eastAsia="Arial" w:hAnsi="Arial"/>
          <w:sz w:val="11"/>
          <w:szCs w:val="11"/>
          <w:color w:val="auto"/>
        </w:rPr>
        <w:t>”). The Plan will remain in effect until terminated by the Board of Directors of Clearway Energy, Inc. (the “</w:t>
      </w:r>
      <w:r>
        <w:rPr>
          <w:rFonts w:ascii="Arial" w:cs="Arial" w:eastAsia="Arial" w:hAnsi="Arial"/>
          <w:sz w:val="11"/>
          <w:szCs w:val="11"/>
          <w:u w:val="single" w:color="auto"/>
          <w:color w:val="auto"/>
        </w:rPr>
        <w:t>Board</w:t>
      </w:r>
      <w:r>
        <w:rPr>
          <w:rFonts w:ascii="Arial" w:cs="Arial" w:eastAsia="Arial" w:hAnsi="Arial"/>
          <w:sz w:val="11"/>
          <w:szCs w:val="11"/>
          <w:color w:val="auto"/>
        </w:rPr>
        <w:t>”), the Committee or the President and Chief Executive Officer. The plan is designed to attract, motivate, and retain in its employ persons of high competence by providing certain employees of the Clearway Energy, Inc. (the “</w:t>
      </w:r>
      <w:r>
        <w:rPr>
          <w:rFonts w:ascii="Arial" w:cs="Arial" w:eastAsia="Arial" w:hAnsi="Arial"/>
          <w:sz w:val="11"/>
          <w:szCs w:val="11"/>
          <w:u w:val="single" w:color="auto"/>
          <w:color w:val="auto"/>
        </w:rPr>
        <w:t>Company</w:t>
      </w:r>
      <w:r>
        <w:rPr>
          <w:rFonts w:ascii="Arial" w:cs="Arial" w:eastAsia="Arial" w:hAnsi="Arial"/>
          <w:sz w:val="11"/>
          <w:szCs w:val="11"/>
          <w:color w:val="auto"/>
        </w:rPr>
        <w:t xml:space="preserve">”), and any applicable Affiliates, an opportunity to earn an annual Award through the achievement of specific pre-established Company and, where applicable, individual performance goals. Capitalized terms and phrases not otherwise defined herein shall have the meanings ascribed thereto in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hereof.</w:t>
      </w:r>
    </w:p>
    <w:p>
      <w:pPr>
        <w:spacing w:after="0" w:line="105"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010000"/>
        </w:rPr>
        <w:t>ARTICLE 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DEFINITIONS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purposes of the Plan, the following terms shall have the meanings set forth below:</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010000"/>
        </w:rPr>
        <w:t xml:space="preserve">Section 2.1 </w:t>
      </w:r>
      <w:r>
        <w:rPr>
          <w:rFonts w:ascii="Arial" w:cs="Arial" w:eastAsia="Arial" w:hAnsi="Arial"/>
          <w:sz w:val="12"/>
          <w:szCs w:val="12"/>
          <w:color w:val="000000"/>
        </w:rPr>
        <w:t>“</w:t>
      </w:r>
      <w:r>
        <w:rPr>
          <w:rFonts w:ascii="Arial" w:cs="Arial" w:eastAsia="Arial" w:hAnsi="Arial"/>
          <w:sz w:val="12"/>
          <w:szCs w:val="12"/>
          <w:u w:val="single" w:color="auto"/>
          <w:color w:val="000000"/>
        </w:rPr>
        <w:t>Affiliate</w:t>
      </w:r>
      <w:r>
        <w:rPr>
          <w:rFonts w:ascii="Arial" w:cs="Arial" w:eastAsia="Arial" w:hAnsi="Arial"/>
          <w:sz w:val="12"/>
          <w:szCs w:val="12"/>
          <w:color w:val="000000"/>
        </w:rPr>
        <w:t>” means (i) any subsidiary corporation of the Company (or its successors), (ii) any corporation, trade or business (including, without limitation, a partnership or limited liability company) which is directly or</w:t>
      </w:r>
      <w:r>
        <w:rPr>
          <w:rFonts w:ascii="Arial" w:cs="Arial" w:eastAsia="Arial" w:hAnsi="Arial"/>
          <w:sz w:val="12"/>
          <w:szCs w:val="12"/>
          <w:color w:val="010000"/>
        </w:rPr>
        <w:t xml:space="preserve"> </w:t>
      </w:r>
      <w:r>
        <w:rPr>
          <w:rFonts w:ascii="Arial" w:cs="Arial" w:eastAsia="Arial" w:hAnsi="Arial"/>
          <w:sz w:val="12"/>
          <w:szCs w:val="12"/>
          <w:color w:val="000000"/>
        </w:rPr>
        <w:t>indirectly controlled fifty percent (50%) or more (whether by ownership of stock, assets or an equivalent ownership interest or voting interest) by the Company (or its successors), or (iii) any other entity (including its successors) which is designated as an Affiliate by the Board.</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2.2 </w:t>
      </w:r>
      <w:r>
        <w:rPr>
          <w:rFonts w:ascii="Arial" w:cs="Arial" w:eastAsia="Arial" w:hAnsi="Arial"/>
          <w:sz w:val="12"/>
          <w:szCs w:val="12"/>
          <w:color w:val="000000"/>
        </w:rPr>
        <w:t>“</w:t>
      </w:r>
      <w:r>
        <w:rPr>
          <w:rFonts w:ascii="Arial" w:cs="Arial" w:eastAsia="Arial" w:hAnsi="Arial"/>
          <w:sz w:val="12"/>
          <w:szCs w:val="12"/>
          <w:u w:val="single" w:color="auto"/>
          <w:color w:val="000000"/>
        </w:rPr>
        <w:t>Award</w:t>
      </w:r>
      <w:r>
        <w:rPr>
          <w:rFonts w:ascii="Arial" w:cs="Arial" w:eastAsia="Arial" w:hAnsi="Arial"/>
          <w:sz w:val="12"/>
          <w:szCs w:val="12"/>
          <w:color w:val="000000"/>
        </w:rPr>
        <w:t>” means an award provided for under the Plan entitling a Participant to receive an amount payable in cash for a particular performance period on such terms and conditions determined by the Committee in its</w:t>
      </w:r>
      <w:r>
        <w:rPr>
          <w:rFonts w:ascii="Arial" w:cs="Arial" w:eastAsia="Arial" w:hAnsi="Arial"/>
          <w:sz w:val="12"/>
          <w:szCs w:val="12"/>
          <w:color w:val="010000"/>
        </w:rPr>
        <w:t xml:space="preserve"> </w:t>
      </w:r>
      <w:r>
        <w:rPr>
          <w:rFonts w:ascii="Arial" w:cs="Arial" w:eastAsia="Arial" w:hAnsi="Arial"/>
          <w:sz w:val="12"/>
          <w:szCs w:val="12"/>
          <w:color w:val="000000"/>
        </w:rPr>
        <w:t>sole discretion in accordance with the terms hereof and the terms of any such Award.</w:t>
      </w:r>
    </w:p>
    <w:p>
      <w:pPr>
        <w:spacing w:after="0" w:line="11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2.3</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Board</w:t>
      </w:r>
      <w:r>
        <w:rPr>
          <w:rFonts w:ascii="Arial" w:cs="Arial" w:eastAsia="Arial" w:hAnsi="Arial"/>
          <w:sz w:val="11"/>
          <w:szCs w:val="11"/>
          <w:color w:val="auto"/>
        </w:rPr>
        <w:t>” means the Board of Directors of the Company.</w:t>
      </w:r>
    </w:p>
    <w:p>
      <w:pPr>
        <w:spacing w:after="0" w:line="150"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2.4</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Cause</w:t>
      </w:r>
      <w:r>
        <w:rPr>
          <w:rFonts w:ascii="Arial" w:cs="Arial" w:eastAsia="Arial" w:hAnsi="Arial"/>
          <w:sz w:val="10"/>
          <w:szCs w:val="10"/>
          <w:color w:val="auto"/>
        </w:rPr>
        <w:t>” means:</w:t>
      </w:r>
    </w:p>
    <w:p>
      <w:pPr>
        <w:spacing w:after="0" w:line="150" w:lineRule="exact"/>
        <w:rPr>
          <w:sz w:val="20"/>
          <w:szCs w:val="20"/>
          <w:color w:val="auto"/>
        </w:rPr>
      </w:pPr>
    </w:p>
    <w:p>
      <w:pPr>
        <w:ind w:left="1280" w:hanging="423"/>
        <w:spacing w:after="0"/>
        <w:tabs>
          <w:tab w:leader="none" w:pos="1280" w:val="left"/>
        </w:tabs>
        <w:numPr>
          <w:ilvl w:val="0"/>
          <w:numId w:val="163"/>
        </w:numPr>
        <w:rPr>
          <w:rFonts w:ascii="Arial" w:cs="Arial" w:eastAsia="Arial" w:hAnsi="Arial"/>
          <w:sz w:val="11"/>
          <w:szCs w:val="11"/>
          <w:color w:val="010000"/>
        </w:rPr>
      </w:pPr>
      <w:r>
        <w:rPr>
          <w:rFonts w:ascii="Arial" w:cs="Arial" w:eastAsia="Arial" w:hAnsi="Arial"/>
          <w:sz w:val="11"/>
          <w:szCs w:val="11"/>
          <w:color w:val="auto"/>
        </w:rPr>
        <w:t>the Participant’s willful misconduct or gross negligence in the performance of the Participant’s duties to the Company that has or could reasonably be expected to have an adverse effect on the Company;</w:t>
      </w:r>
    </w:p>
    <w:p>
      <w:pPr>
        <w:spacing w:after="0" w:line="161" w:lineRule="exact"/>
        <w:rPr>
          <w:rFonts w:ascii="Arial" w:cs="Arial" w:eastAsia="Arial" w:hAnsi="Arial"/>
          <w:sz w:val="11"/>
          <w:szCs w:val="11"/>
          <w:color w:val="010000"/>
        </w:rPr>
      </w:pPr>
    </w:p>
    <w:p>
      <w:pPr>
        <w:ind w:left="1280" w:hanging="423"/>
        <w:spacing w:after="0"/>
        <w:tabs>
          <w:tab w:leader="none" w:pos="1280" w:val="left"/>
        </w:tabs>
        <w:numPr>
          <w:ilvl w:val="0"/>
          <w:numId w:val="163"/>
        </w:numPr>
        <w:rPr>
          <w:rFonts w:ascii="Arial" w:cs="Arial" w:eastAsia="Arial" w:hAnsi="Arial"/>
          <w:sz w:val="12"/>
          <w:szCs w:val="12"/>
          <w:color w:val="010000"/>
        </w:rPr>
      </w:pPr>
      <w:r>
        <w:rPr>
          <w:rFonts w:ascii="Arial" w:cs="Arial" w:eastAsia="Arial" w:hAnsi="Arial"/>
          <w:sz w:val="12"/>
          <w:szCs w:val="12"/>
          <w:color w:val="auto"/>
        </w:rPr>
        <w:t>the Participant’s willful failure to perform the Participant’s duties to the Company (other than as a result of death or a physical or mental incapacity);</w:t>
      </w:r>
    </w:p>
    <w:p>
      <w:pPr>
        <w:spacing w:after="0" w:line="150" w:lineRule="exact"/>
        <w:rPr>
          <w:rFonts w:ascii="Arial" w:cs="Arial" w:eastAsia="Arial" w:hAnsi="Arial"/>
          <w:sz w:val="12"/>
          <w:szCs w:val="12"/>
          <w:color w:val="010000"/>
        </w:rPr>
      </w:pPr>
    </w:p>
    <w:p>
      <w:pPr>
        <w:ind w:left="1280" w:hanging="423"/>
        <w:spacing w:after="0"/>
        <w:tabs>
          <w:tab w:leader="none" w:pos="1280" w:val="left"/>
        </w:tabs>
        <w:numPr>
          <w:ilvl w:val="0"/>
          <w:numId w:val="163"/>
        </w:numPr>
        <w:rPr>
          <w:rFonts w:ascii="Arial" w:cs="Arial" w:eastAsia="Arial" w:hAnsi="Arial"/>
          <w:sz w:val="12"/>
          <w:szCs w:val="12"/>
          <w:color w:val="010000"/>
        </w:rPr>
      </w:pPr>
      <w:r>
        <w:rPr>
          <w:rFonts w:ascii="Arial" w:cs="Arial" w:eastAsia="Arial" w:hAnsi="Arial"/>
          <w:sz w:val="12"/>
          <w:szCs w:val="12"/>
          <w:color w:val="auto"/>
        </w:rPr>
        <w:t>indictment for, conviction of, or pleading of guilty or nolo contendere to, a felony or any crime involving moral turpitude;</w:t>
      </w:r>
    </w:p>
    <w:p>
      <w:pPr>
        <w:spacing w:after="0" w:line="150" w:lineRule="exact"/>
        <w:rPr>
          <w:rFonts w:ascii="Arial" w:cs="Arial" w:eastAsia="Arial" w:hAnsi="Arial"/>
          <w:sz w:val="12"/>
          <w:szCs w:val="12"/>
          <w:color w:val="010000"/>
        </w:rPr>
      </w:pPr>
    </w:p>
    <w:p>
      <w:pPr>
        <w:ind w:left="1280" w:hanging="423"/>
        <w:spacing w:after="0"/>
        <w:tabs>
          <w:tab w:leader="none" w:pos="1280" w:val="left"/>
        </w:tabs>
        <w:numPr>
          <w:ilvl w:val="0"/>
          <w:numId w:val="163"/>
        </w:numPr>
        <w:rPr>
          <w:rFonts w:ascii="Arial" w:cs="Arial" w:eastAsia="Arial" w:hAnsi="Arial"/>
          <w:sz w:val="12"/>
          <w:szCs w:val="12"/>
          <w:color w:val="010000"/>
        </w:rPr>
      </w:pPr>
      <w:r>
        <w:rPr>
          <w:rFonts w:ascii="Arial" w:cs="Arial" w:eastAsia="Arial" w:hAnsi="Arial"/>
          <w:sz w:val="12"/>
          <w:szCs w:val="12"/>
          <w:color w:val="auto"/>
        </w:rPr>
        <w:t>the Participant’s performance of any material act of theft, fraud, malfeasance or dishonesty in connection with the performance of the Participant’s duties to the Company; or</w:t>
      </w:r>
    </w:p>
    <w:p>
      <w:pPr>
        <w:spacing w:after="0" w:line="324" w:lineRule="exact"/>
        <w:rPr>
          <w:sz w:val="20"/>
          <w:szCs w:val="20"/>
          <w:color w:val="auto"/>
        </w:rPr>
      </w:pPr>
    </w:p>
    <w:p>
      <w:pPr>
        <w:spacing w:after="0"/>
        <w:rPr>
          <w:sz w:val="20"/>
          <w:szCs w:val="20"/>
          <w:color w:val="auto"/>
        </w:rPr>
      </w:pPr>
      <w:r>
        <w:rPr>
          <w:rFonts w:ascii="Arial" w:cs="Arial" w:eastAsia="Arial" w:hAnsi="Arial"/>
          <w:sz w:val="10"/>
          <w:szCs w:val="10"/>
          <w:color w:val="auto"/>
        </w:rPr>
        <w:t>DMEAST #35731735 v3</w:t>
      </w:r>
    </w:p>
    <w:p>
      <w:pPr>
        <w:sectPr>
          <w:pgSz w:w="11900" w:h="16838" w:orient="portrait"/>
          <w:cols w:equalWidth="0" w:num="1">
            <w:col w:w="11480"/>
          </w:cols>
          <w:pgMar w:left="220" w:top="289" w:right="199" w:bottom="1440" w:gutter="0" w:footer="0" w:header="0"/>
        </w:sectPr>
      </w:pPr>
    </w:p>
    <w:bookmarkStart w:id="202" w:name="page203"/>
    <w:bookmarkEnd w:id="202"/>
    <w:p>
      <w:pPr>
        <w:ind w:left="1280" w:hanging="423"/>
        <w:spacing w:after="0"/>
        <w:tabs>
          <w:tab w:leader="none" w:pos="1280" w:val="left"/>
        </w:tabs>
        <w:numPr>
          <w:ilvl w:val="0"/>
          <w:numId w:val="164"/>
        </w:numPr>
        <w:rPr>
          <w:rFonts w:ascii="Arial" w:cs="Arial" w:eastAsia="Arial" w:hAnsi="Arial"/>
          <w:sz w:val="12"/>
          <w:szCs w:val="12"/>
          <w:color w:val="010000"/>
        </w:rPr>
      </w:pPr>
      <w:r>
        <w:rPr>
          <w:rFonts w:ascii="Arial" w:cs="Arial" w:eastAsia="Arial" w:hAnsi="Arial"/>
          <w:sz w:val="12"/>
          <w:szCs w:val="12"/>
          <w:color w:val="auto"/>
        </w:rPr>
        <w:t>breach of any written agreement between the Participant and the Company, or a violation of the Company’s code of conduct or other written policy.</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For purposes of this Plan, no such termination for Cause may be made pursuant to subsections (a) through (e) above, until the Participant has been given written notice detailing the specific Cause event and a period of thirty (30) days following receipt of such notice to cure such event (if susceptible to cure), provided that the Participant’s right to cure shall not apply if there are egregious, habitual or repeated breaches by the Participant.</w:t>
      </w:r>
    </w:p>
    <w:p>
      <w:pPr>
        <w:spacing w:after="0" w:line="92"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2.5</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Code Section 409A</w:t>
      </w:r>
      <w:r>
        <w:rPr>
          <w:rFonts w:ascii="Arial" w:cs="Arial" w:eastAsia="Arial" w:hAnsi="Arial"/>
          <w:sz w:val="10"/>
          <w:szCs w:val="10"/>
          <w:color w:val="auto"/>
        </w:rPr>
        <w:t>” means Section 409A of the Internal Revenue Code of 1986, as amended, and the treasury regulations and other official guidance promulgated thereunder.</w:t>
      </w:r>
    </w:p>
    <w:p>
      <w:pPr>
        <w:spacing w:after="0" w:line="150"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2.6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Committee</w:t>
      </w:r>
      <w:r>
        <w:rPr>
          <w:rFonts w:ascii="Arial" w:cs="Arial" w:eastAsia="Arial" w:hAnsi="Arial"/>
          <w:sz w:val="10"/>
          <w:szCs w:val="10"/>
          <w:color w:val="auto"/>
        </w:rPr>
        <w:t>” means the Compensation Committee of the Company.</w:t>
      </w:r>
    </w:p>
    <w:p>
      <w:pPr>
        <w:spacing w:after="0" w:line="150"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2.7</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Company</w:t>
      </w:r>
      <w:r>
        <w:rPr>
          <w:rFonts w:ascii="Arial" w:cs="Arial" w:eastAsia="Arial" w:hAnsi="Arial"/>
          <w:sz w:val="11"/>
          <w:szCs w:val="11"/>
          <w:color w:val="auto"/>
        </w:rPr>
        <w:t xml:space="preserve">” shall have the meaning set forth in </w:t>
      </w:r>
      <w:r>
        <w:rPr>
          <w:rFonts w:ascii="Arial" w:cs="Arial" w:eastAsia="Arial" w:hAnsi="Arial"/>
          <w:sz w:val="11"/>
          <w:szCs w:val="11"/>
          <w:u w:val="single" w:color="auto"/>
          <w:color w:val="auto"/>
        </w:rPr>
        <w:t>ARTICLE I</w:t>
      </w:r>
      <w:r>
        <w:rPr>
          <w:rFonts w:ascii="Arial" w:cs="Arial" w:eastAsia="Arial" w:hAnsi="Arial"/>
          <w:sz w:val="11"/>
          <w:szCs w:val="11"/>
          <w:color w:val="auto"/>
        </w:rPr>
        <w:t xml:space="preserve"> hereof.</w:t>
      </w:r>
    </w:p>
    <w:p>
      <w:pPr>
        <w:spacing w:after="0" w:line="15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010000"/>
        </w:rPr>
        <w:t xml:space="preserve">Section 2.8 </w:t>
      </w:r>
      <w:r>
        <w:rPr>
          <w:rFonts w:ascii="Arial" w:cs="Arial" w:eastAsia="Arial" w:hAnsi="Arial"/>
          <w:sz w:val="11"/>
          <w:szCs w:val="11"/>
          <w:color w:val="000000"/>
        </w:rPr>
        <w:t>“</w:t>
      </w:r>
      <w:r>
        <w:rPr>
          <w:rFonts w:ascii="Arial" w:cs="Arial" w:eastAsia="Arial" w:hAnsi="Arial"/>
          <w:sz w:val="11"/>
          <w:szCs w:val="11"/>
          <w:u w:val="single" w:color="auto"/>
          <w:color w:val="000000"/>
        </w:rPr>
        <w:t>Detrimental Activity</w:t>
      </w:r>
      <w:r>
        <w:rPr>
          <w:rFonts w:ascii="Arial" w:cs="Arial" w:eastAsia="Arial" w:hAnsi="Arial"/>
          <w:sz w:val="11"/>
          <w:szCs w:val="11"/>
          <w:color w:val="000000"/>
        </w:rPr>
        <w:t>” means a Participant’s: (a) disclosure to anyone outside the Company or any of its Affiliates, or the use in any manner other than in the furtherance of the Company’s or any of its Affiliates’</w:t>
      </w:r>
      <w:r>
        <w:rPr>
          <w:rFonts w:ascii="Arial" w:cs="Arial" w:eastAsia="Arial" w:hAnsi="Arial"/>
          <w:sz w:val="11"/>
          <w:szCs w:val="11"/>
          <w:color w:val="010000"/>
        </w:rPr>
        <w:t xml:space="preserve"> </w:t>
      </w:r>
      <w:r>
        <w:rPr>
          <w:rFonts w:ascii="Arial" w:cs="Arial" w:eastAsia="Arial" w:hAnsi="Arial"/>
          <w:sz w:val="11"/>
          <w:szCs w:val="11"/>
          <w:color w:val="000000"/>
        </w:rPr>
        <w:t>business, without written authorization from the Company, of any confidential information or proprietary information, relating to the business of the Company or any of its Affiliates that is acquired by a Participant prior to the Participant’s termination; (b) activity while employed or performing services that results, or if known could result, in the Participant’s termination of employment that is classified by the Company as a termination for Cause; (c) attempt, directly or indirectly, to solicit, induce or hire (or the identification for solicitation, inducement or hiring of) any employee of the Company or any of its Affiliates to be employed by, or to perform services for, the Participant or any Person with which the Participant is associated (including, but not limited to, due to the Participant’s employment by, consultancy for, equity interest in, or creditor relationship with such Person) or any Person from which the Participant receives direct or indirect compensation or fees as a result of such solicitation, inducement or hire (or the identification for solicitation, inducement or hire) without, in all cases, written authorization from the Company; (d) attempt, directly or indirectly, to solicit in a competitive manner any current or prospective customer of the Company or any of its Affiliates without, in all cases, written authorization from the Company; (e) making of negative comments regarding, or otherwise disparaging (or inducing others to do so), the Company or its officers, directors, employees, shareholders, members, agents or products; (f) without written authorization from the Company, rendering of services for any organization, or engaging, directly or indirectly, in any business, which is competitive with the Company or its Affiliates, or rendering of services to such organization or business if such organization or business is otherwise prejudicial to or in conflict with the interests of the Company or any of its Affiliates; provided, however, that competitive activities shall only be those competitive with any business unit or Affiliate of the Company with regard to which the Participant performed services at any time within the two (2) years prior to the Participant’s termination of employment; or (g) material breach of any agreement between the Participant and the Company or any Affiliate (including, without limitation, any employment agreement or any noncompetition, nonsolicitation or other restrictive covenants agreement).</w:t>
      </w:r>
    </w:p>
    <w:p>
      <w:pPr>
        <w:spacing w:after="0" w:line="11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2.9</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Disability</w:t>
      </w:r>
      <w:r>
        <w:rPr>
          <w:rFonts w:ascii="Arial" w:cs="Arial" w:eastAsia="Arial" w:hAnsi="Arial"/>
          <w:sz w:val="11"/>
          <w:szCs w:val="11"/>
          <w:color w:val="auto"/>
        </w:rPr>
        <w:t>” means a disability that would entitle the Participant to payment of monthly disability payments under any Company long-term disability plan.</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2"/>
          <w:szCs w:val="12"/>
          <w:color w:val="010000"/>
        </w:rPr>
        <w:t>Section 2.10</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Effective Date</w:t>
      </w:r>
      <w:r>
        <w:rPr>
          <w:rFonts w:ascii="Arial" w:cs="Arial" w:eastAsia="Arial" w:hAnsi="Arial"/>
          <w:sz w:val="11"/>
          <w:szCs w:val="11"/>
          <w:color w:val="auto"/>
        </w:rPr>
        <w:t xml:space="preserve">” shall have the meaning set forth in </w:t>
      </w:r>
      <w:r>
        <w:rPr>
          <w:rFonts w:ascii="Arial" w:cs="Arial" w:eastAsia="Arial" w:hAnsi="Arial"/>
          <w:sz w:val="11"/>
          <w:szCs w:val="11"/>
          <w:u w:val="single" w:color="auto"/>
          <w:color w:val="auto"/>
        </w:rPr>
        <w:t>ARTICLE I</w:t>
      </w:r>
      <w:r>
        <w:rPr>
          <w:rFonts w:ascii="Arial" w:cs="Arial" w:eastAsia="Arial" w:hAnsi="Arial"/>
          <w:sz w:val="11"/>
          <w:szCs w:val="11"/>
          <w:color w:val="auto"/>
        </w:rPr>
        <w:t xml:space="preserve"> hereof.</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2"/>
          <w:szCs w:val="12"/>
          <w:color w:val="010000"/>
        </w:rPr>
        <w:t>Section 2.11</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Participant</w:t>
      </w:r>
      <w:r>
        <w:rPr>
          <w:rFonts w:ascii="Arial" w:cs="Arial" w:eastAsia="Arial" w:hAnsi="Arial"/>
          <w:sz w:val="11"/>
          <w:szCs w:val="11"/>
          <w:color w:val="auto"/>
        </w:rPr>
        <w:t xml:space="preserve">” means any service provider of the Company who is selected to participate in the Plan in accordance with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hereof.</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2.12 </w:t>
      </w:r>
      <w:r>
        <w:rPr>
          <w:rFonts w:ascii="Arial" w:cs="Arial" w:eastAsia="Arial" w:hAnsi="Arial"/>
          <w:sz w:val="12"/>
          <w:szCs w:val="12"/>
          <w:color w:val="000000"/>
        </w:rPr>
        <w:t>“</w:t>
      </w:r>
      <w:r>
        <w:rPr>
          <w:rFonts w:ascii="Arial" w:cs="Arial" w:eastAsia="Arial" w:hAnsi="Arial"/>
          <w:sz w:val="12"/>
          <w:szCs w:val="12"/>
          <w:u w:val="single" w:color="auto"/>
          <w:color w:val="000000"/>
        </w:rPr>
        <w:t>Person</w:t>
      </w:r>
      <w:r>
        <w:rPr>
          <w:rFonts w:ascii="Arial" w:cs="Arial" w:eastAsia="Arial" w:hAnsi="Arial"/>
          <w:sz w:val="12"/>
          <w:szCs w:val="12"/>
          <w:color w:val="000000"/>
        </w:rPr>
        <w:t>” means an individual, a partnership, a corporation, a limited liability company, an association, a joint stock company, a trust, a joint venture, an unincorporated organization or a governmental entity or any</w:t>
      </w:r>
      <w:r>
        <w:rPr>
          <w:rFonts w:ascii="Arial" w:cs="Arial" w:eastAsia="Arial" w:hAnsi="Arial"/>
          <w:sz w:val="12"/>
          <w:szCs w:val="12"/>
          <w:color w:val="010000"/>
        </w:rPr>
        <w:t xml:space="preserve"> </w:t>
      </w:r>
      <w:r>
        <w:rPr>
          <w:rFonts w:ascii="Arial" w:cs="Arial" w:eastAsia="Arial" w:hAnsi="Arial"/>
          <w:sz w:val="12"/>
          <w:szCs w:val="12"/>
          <w:color w:val="000000"/>
        </w:rPr>
        <w:t>department, agency or political subdivision thereof.</w:t>
      </w:r>
    </w:p>
    <w:p>
      <w:pPr>
        <w:spacing w:after="0" w:line="11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2"/>
          <w:szCs w:val="12"/>
          <w:color w:val="010000"/>
        </w:rPr>
        <w:t>Section 2.13</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Plan</w:t>
      </w:r>
      <w:r>
        <w:rPr>
          <w:rFonts w:ascii="Arial" w:cs="Arial" w:eastAsia="Arial" w:hAnsi="Arial"/>
          <w:sz w:val="11"/>
          <w:szCs w:val="11"/>
          <w:color w:val="auto"/>
        </w:rPr>
        <w:t>” shall mean this Clearway Energy, Inc. Annual Incentive Plan.</w:t>
      </w:r>
    </w:p>
    <w:p>
      <w:pPr>
        <w:spacing w:after="0" w:line="316"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DMEAST #35731735 v3</w:t>
      </w:r>
    </w:p>
    <w:p>
      <w:pPr>
        <w:sectPr>
          <w:pgSz w:w="11900" w:h="16838" w:orient="portrait"/>
          <w:cols w:equalWidth="0" w:num="1">
            <w:col w:w="11480"/>
          </w:cols>
          <w:pgMar w:left="220" w:top="293" w:right="199" w:bottom="1440" w:gutter="0" w:footer="0" w:header="0"/>
        </w:sectPr>
      </w:pPr>
    </w:p>
    <w:bookmarkStart w:id="203" w:name="page204"/>
    <w:bookmarkEnd w:id="203"/>
    <w:p>
      <w:pPr>
        <w:ind w:left="420"/>
        <w:spacing w:after="0"/>
        <w:tabs>
          <w:tab w:leader="none" w:pos="1140" w:val="left"/>
        </w:tabs>
        <w:rPr>
          <w:sz w:val="20"/>
          <w:szCs w:val="20"/>
          <w:color w:val="auto"/>
        </w:rPr>
      </w:pPr>
      <w:r>
        <w:rPr>
          <w:rFonts w:ascii="Arial" w:cs="Arial" w:eastAsia="Arial" w:hAnsi="Arial"/>
          <w:sz w:val="12"/>
          <w:szCs w:val="12"/>
          <w:color w:val="010000"/>
        </w:rPr>
        <w:t>Section 2.14</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Qualified Retirement</w:t>
      </w:r>
      <w:r>
        <w:rPr>
          <w:rFonts w:ascii="Arial" w:cs="Arial" w:eastAsia="Arial" w:hAnsi="Arial"/>
          <w:sz w:val="11"/>
          <w:szCs w:val="11"/>
          <w:color w:val="auto"/>
        </w:rPr>
        <w:t>” means, unless otherwise determined by the Committee, (A) termination of service after at least ten (10) years of service by such employee and (B) attaining at least fifty-five (55) years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age.</w:t>
      </w:r>
    </w:p>
    <w:p>
      <w:pPr>
        <w:spacing w:after="0" w:line="141"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010000"/>
        </w:rPr>
        <w:t xml:space="preserve">Section 2.15 </w:t>
      </w:r>
      <w:r>
        <w:rPr>
          <w:rFonts w:ascii="Arial" w:cs="Arial" w:eastAsia="Arial" w:hAnsi="Arial"/>
          <w:sz w:val="11"/>
          <w:szCs w:val="11"/>
          <w:color w:val="000000"/>
        </w:rPr>
        <w:t>“</w:t>
      </w:r>
      <w:r>
        <w:rPr>
          <w:rFonts w:ascii="Arial" w:cs="Arial" w:eastAsia="Arial" w:hAnsi="Arial"/>
          <w:sz w:val="11"/>
          <w:szCs w:val="11"/>
          <w:u w:val="single" w:color="auto"/>
          <w:color w:val="000000"/>
        </w:rPr>
        <w:t>Severance Eligible Termination</w:t>
      </w:r>
      <w:r>
        <w:rPr>
          <w:rFonts w:ascii="Arial" w:cs="Arial" w:eastAsia="Arial" w:hAnsi="Arial"/>
          <w:sz w:val="11"/>
          <w:szCs w:val="11"/>
          <w:color w:val="000000"/>
        </w:rPr>
        <w:t>” means the involuntary termination of a Participant’s Employment by the Company or an Affiliate in a manner that makes the Participant eligible to participate in a severance plan</w:t>
      </w:r>
      <w:r>
        <w:rPr>
          <w:rFonts w:ascii="Arial" w:cs="Arial" w:eastAsia="Arial" w:hAnsi="Arial"/>
          <w:sz w:val="11"/>
          <w:szCs w:val="11"/>
          <w:color w:val="010000"/>
        </w:rPr>
        <w:t xml:space="preserve"> </w:t>
      </w:r>
      <w:r>
        <w:rPr>
          <w:rFonts w:ascii="Arial" w:cs="Arial" w:eastAsia="Arial" w:hAnsi="Arial"/>
          <w:sz w:val="11"/>
          <w:szCs w:val="11"/>
          <w:color w:val="000000"/>
        </w:rPr>
        <w:t>sponsored by the Company or an Affiliate. The Committee shall have the authority to determine which, if any, severance plans of the Company or its Affiliates apply toward the existence of a Severance Eligible Termination.</w:t>
      </w:r>
    </w:p>
    <w:p>
      <w:pPr>
        <w:spacing w:after="0" w:line="88"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010000"/>
        </w:rPr>
        <w:t>ARTICLE III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ADMINISTRATION</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010000"/>
        </w:rPr>
        <w:t xml:space="preserve">Section 3.1 </w:t>
      </w:r>
      <w:r>
        <w:rPr>
          <w:rFonts w:ascii="Arial" w:cs="Arial" w:eastAsia="Arial" w:hAnsi="Arial"/>
          <w:sz w:val="11"/>
          <w:szCs w:val="11"/>
          <w:u w:val="single" w:color="auto"/>
          <w:color w:val="000000"/>
        </w:rPr>
        <w:t>General</w:t>
      </w:r>
      <w:r>
        <w:rPr>
          <w:rFonts w:ascii="Arial" w:cs="Arial" w:eastAsia="Arial" w:hAnsi="Arial"/>
          <w:sz w:val="11"/>
          <w:szCs w:val="11"/>
          <w:color w:val="000000"/>
        </w:rPr>
        <w:t>. Subject to the provisions of the Plan, the Committee shall be authorized to (a) select Participants, (b) determine the amount of Awards granted to Participants under the Plan, (c) determine the conditions and</w:t>
      </w:r>
      <w:r>
        <w:rPr>
          <w:rFonts w:ascii="Arial" w:cs="Arial" w:eastAsia="Arial" w:hAnsi="Arial"/>
          <w:sz w:val="11"/>
          <w:szCs w:val="11"/>
          <w:color w:val="010000"/>
        </w:rPr>
        <w:t xml:space="preserve"> </w:t>
      </w:r>
      <w:r>
        <w:rPr>
          <w:rFonts w:ascii="Arial" w:cs="Arial" w:eastAsia="Arial" w:hAnsi="Arial"/>
          <w:sz w:val="11"/>
          <w:szCs w:val="11"/>
          <w:color w:val="000000"/>
        </w:rPr>
        <w:t xml:space="preserve">restrictions, if any, subject to which the payment of Awards will be made, (d) certify that the conditions and restrictions applicable to the payment of any Award have been met, (e) interpret the Plan or any Award, and (f) adopt, amend, or rescind such rules and regulations, and make such other determinations, for carrying out the Plan as it may deem appropriate. Decisions of the Committee on all matters relating to the Plan shall be in the Committee’s sole discretion and shall be conclusive and binding upon the Participants, the Company and all other Persons to whom rights to receive payments hereunder have been transferred in accordance with </w:t>
      </w:r>
      <w:r>
        <w:rPr>
          <w:rFonts w:ascii="Arial" w:cs="Arial" w:eastAsia="Arial" w:hAnsi="Arial"/>
          <w:sz w:val="11"/>
          <w:szCs w:val="11"/>
          <w:u w:val="single" w:color="auto"/>
          <w:color w:val="000000"/>
        </w:rPr>
        <w:t>Section 5.2</w:t>
      </w:r>
      <w:r>
        <w:rPr>
          <w:rFonts w:ascii="Arial" w:cs="Arial" w:eastAsia="Arial" w:hAnsi="Arial"/>
          <w:sz w:val="11"/>
          <w:szCs w:val="11"/>
          <w:color w:val="000000"/>
        </w:rPr>
        <w:t xml:space="preserve"> hereof. The validity, construction, and effect of the Plan and the rules and regulations relating to the Plan shall be determined in accordance with applicable federal and state laws, rules and regulations promulgated pursuant thereto.</w:t>
      </w:r>
    </w:p>
    <w:p>
      <w:pPr>
        <w:spacing w:after="0" w:line="11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3.2</w:t>
      </w:r>
      <w:r>
        <w:rPr>
          <w:sz w:val="20"/>
          <w:szCs w:val="20"/>
          <w:color w:val="auto"/>
        </w:rPr>
        <w:tab/>
      </w:r>
      <w:r>
        <w:rPr>
          <w:rFonts w:ascii="Arial" w:cs="Arial" w:eastAsia="Arial" w:hAnsi="Arial"/>
          <w:sz w:val="10"/>
          <w:szCs w:val="10"/>
          <w:u w:val="single" w:color="auto"/>
          <w:color w:val="auto"/>
        </w:rPr>
        <w:t>Plan Expenses</w:t>
      </w:r>
      <w:r>
        <w:rPr>
          <w:rFonts w:ascii="Arial" w:cs="Arial" w:eastAsia="Arial" w:hAnsi="Arial"/>
          <w:sz w:val="10"/>
          <w:szCs w:val="10"/>
          <w:color w:val="auto"/>
        </w:rPr>
        <w:t>. The expenses of the Plan shall be borne by the Company.</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010000"/>
        </w:rPr>
        <w:t xml:space="preserve">Section 3.3 </w:t>
      </w:r>
      <w:r>
        <w:rPr>
          <w:rFonts w:ascii="Arial" w:cs="Arial" w:eastAsia="Arial" w:hAnsi="Arial"/>
          <w:sz w:val="11"/>
          <w:szCs w:val="11"/>
          <w:u w:val="single" w:color="auto"/>
          <w:color w:val="000000"/>
        </w:rPr>
        <w:t>Unfunded Arrangement</w:t>
      </w:r>
      <w:r>
        <w:rPr>
          <w:rFonts w:ascii="Arial" w:cs="Arial" w:eastAsia="Arial" w:hAnsi="Arial"/>
          <w:sz w:val="11"/>
          <w:szCs w:val="11"/>
          <w:color w:val="000000"/>
        </w:rPr>
        <w:t>. Neither the Company nor its Affiliates shall be required to establish any special or separate fund or make any other segregation of assets to assume the payment of any Award under the Plan.</w:t>
      </w:r>
      <w:r>
        <w:rPr>
          <w:rFonts w:ascii="Arial" w:cs="Arial" w:eastAsia="Arial" w:hAnsi="Arial"/>
          <w:sz w:val="11"/>
          <w:szCs w:val="11"/>
          <w:color w:val="010000"/>
        </w:rPr>
        <w:t xml:space="preserve"> </w:t>
      </w:r>
      <w:r>
        <w:rPr>
          <w:rFonts w:ascii="Arial" w:cs="Arial" w:eastAsia="Arial" w:hAnsi="Arial"/>
          <w:sz w:val="11"/>
          <w:szCs w:val="11"/>
          <w:color w:val="000000"/>
        </w:rPr>
        <w:t>The Plan shall be “unfunded” for all purposes and Awards hereunder shall be paid out of the general assets of the Company as and when the Awards are payable under the Plan. All Participants shall be solely unsecured general creditors of the Company. If the Company decides in its sole discretion to establish any advance accrued reserve on its books against the future expense of the Awards payable hereunder, or if the Company decides in its sole discretion to fund a trust from which Plan benefits may be paid from time to time, such reserve or trust shall not under any circumstance be deemed to be an asset of the Plan.</w:t>
      </w:r>
    </w:p>
    <w:p>
      <w:pPr>
        <w:spacing w:after="0" w:line="10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3.4 </w:t>
      </w:r>
      <w:r>
        <w:rPr>
          <w:rFonts w:ascii="Arial" w:cs="Arial" w:eastAsia="Arial" w:hAnsi="Arial"/>
          <w:sz w:val="12"/>
          <w:szCs w:val="12"/>
          <w:u w:val="single" w:color="auto"/>
          <w:color w:val="000000"/>
        </w:rPr>
        <w:t>Accounts and Records</w:t>
      </w:r>
      <w:r>
        <w:rPr>
          <w:rFonts w:ascii="Arial" w:cs="Arial" w:eastAsia="Arial" w:hAnsi="Arial"/>
          <w:sz w:val="12"/>
          <w:szCs w:val="12"/>
          <w:color w:val="000000"/>
        </w:rPr>
        <w:t>. The Committee shall maintain such accounts and records regarding the fiscal and other transactions of the Plan and such other data as may be required to carry out its functions under the Plan</w:t>
      </w:r>
      <w:r>
        <w:rPr>
          <w:rFonts w:ascii="Arial" w:cs="Arial" w:eastAsia="Arial" w:hAnsi="Arial"/>
          <w:sz w:val="12"/>
          <w:szCs w:val="12"/>
          <w:color w:val="010000"/>
        </w:rPr>
        <w:t xml:space="preserve"> </w:t>
      </w:r>
      <w:r>
        <w:rPr>
          <w:rFonts w:ascii="Arial" w:cs="Arial" w:eastAsia="Arial" w:hAnsi="Arial"/>
          <w:sz w:val="12"/>
          <w:szCs w:val="12"/>
          <w:color w:val="000000"/>
        </w:rPr>
        <w:t>and to comply with all applicable laws.</w:t>
      </w:r>
    </w:p>
    <w:p>
      <w:pPr>
        <w:spacing w:after="0" w:line="11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3.5</w:t>
      </w:r>
      <w:r>
        <w:rPr>
          <w:sz w:val="20"/>
          <w:szCs w:val="20"/>
          <w:color w:val="auto"/>
        </w:rPr>
        <w:tab/>
      </w:r>
      <w:r>
        <w:rPr>
          <w:rFonts w:ascii="Arial" w:cs="Arial" w:eastAsia="Arial" w:hAnsi="Arial"/>
          <w:sz w:val="10"/>
          <w:szCs w:val="10"/>
          <w:u w:val="single" w:color="auto"/>
          <w:color w:val="auto"/>
        </w:rPr>
        <w:t>Retention of Professional Assistance</w:t>
      </w:r>
      <w:r>
        <w:rPr>
          <w:rFonts w:ascii="Arial" w:cs="Arial" w:eastAsia="Arial" w:hAnsi="Arial"/>
          <w:sz w:val="10"/>
          <w:szCs w:val="10"/>
          <w:color w:val="auto"/>
        </w:rPr>
        <w:t>. The Committee may employ such legal counsel, accountants and other persons as may be required in carrying out its duties in connection with the Plan.</w:t>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010000"/>
        </w:rPr>
        <w:t>ARTICLE IV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PARTICIPATION; PAYMENT OF AWARDS</w:t>
      </w:r>
    </w:p>
    <w:p>
      <w:pPr>
        <w:spacing w:after="0" w:line="154"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010000"/>
        </w:rPr>
        <w:t xml:space="preserve">Section 4.1 </w:t>
      </w:r>
      <w:r>
        <w:rPr>
          <w:rFonts w:ascii="Arial" w:cs="Arial" w:eastAsia="Arial" w:hAnsi="Arial"/>
          <w:sz w:val="10"/>
          <w:szCs w:val="10"/>
          <w:u w:val="single" w:color="auto"/>
          <w:color w:val="000000"/>
        </w:rPr>
        <w:t>Participation</w:t>
      </w:r>
      <w:r>
        <w:rPr>
          <w:rFonts w:ascii="Arial" w:cs="Arial" w:eastAsia="Arial" w:hAnsi="Arial"/>
          <w:sz w:val="10"/>
          <w:szCs w:val="10"/>
          <w:color w:val="000000"/>
        </w:rPr>
        <w:t>. Participation in the Plan shall be as determined by the Committee and/or the CEO and set forth in an Award. For the avoidance of doubt and notwithstanding an Award, no service provider of the</w:t>
      </w:r>
      <w:r>
        <w:rPr>
          <w:rFonts w:ascii="Arial" w:cs="Arial" w:eastAsia="Arial" w:hAnsi="Arial"/>
          <w:sz w:val="10"/>
          <w:szCs w:val="10"/>
          <w:color w:val="010000"/>
        </w:rPr>
        <w:t xml:space="preserve"> </w:t>
      </w:r>
      <w:r>
        <w:rPr>
          <w:rFonts w:ascii="Arial" w:cs="Arial" w:eastAsia="Arial" w:hAnsi="Arial"/>
          <w:sz w:val="10"/>
          <w:szCs w:val="10"/>
          <w:color w:val="000000"/>
        </w:rPr>
        <w:t>Company who is not an employee of the Company or an Affiliate shall have any right to be selected as a Participant. Nothing in the Plan shall interfere with or limit in any way any right of the Company or any of its Affiliates to terminate any Participant’s employment or service relationship at any time and for any reason (or no reason), nor confer upon any Participant any right to continued service with the Company or any of its Affiliates for any period of time or to continue such Participant’s present (or any other) rate of compensation. No Participant who is provided the opportunity to receive an Award under the Plan shall have any right to an opportunity to receive future Awards under the Plan. By</w:t>
      </w:r>
    </w:p>
    <w:p>
      <w:pPr>
        <w:spacing w:after="0" w:line="260"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DMEAST #35731735 v3</w:t>
      </w:r>
    </w:p>
    <w:p>
      <w:pPr>
        <w:sectPr>
          <w:pgSz w:w="11900" w:h="16838" w:orient="portrait"/>
          <w:cols w:equalWidth="0" w:num="1">
            <w:col w:w="11480"/>
          </w:cols>
          <w:pgMar w:left="220" w:top="293" w:right="199" w:bottom="1440" w:gutter="0" w:footer="0" w:header="0"/>
        </w:sectPr>
      </w:pPr>
    </w:p>
    <w:bookmarkStart w:id="204" w:name="page205"/>
    <w:bookmarkEnd w:id="204"/>
    <w:p>
      <w:pPr>
        <w:jc w:val="both"/>
        <w:spacing w:after="0" w:line="263" w:lineRule="auto"/>
        <w:rPr>
          <w:sz w:val="20"/>
          <w:szCs w:val="20"/>
          <w:color w:val="auto"/>
        </w:rPr>
      </w:pPr>
      <w:r>
        <w:rPr>
          <w:rFonts w:ascii="Arial" w:cs="Arial" w:eastAsia="Arial" w:hAnsi="Arial"/>
          <w:sz w:val="12"/>
          <w:szCs w:val="12"/>
          <w:color w:val="auto"/>
        </w:rPr>
        <w:t>accepting any payment under the Plan, each Participant and each Person claiming under or through such Participant shall be conclusively deemed to have indicated such Person’s acceptance and ratification of, and consent to, any action taken under the Plan by the Company or the Committee. Determinations made by the Committee or the Company under the Plan need not be uniform and may be made selectively among eligible individuals under the Plan, whether or not such individuals are similarly situated.</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4.2 </w:t>
      </w:r>
      <w:r>
        <w:rPr>
          <w:rFonts w:ascii="Arial" w:cs="Arial" w:eastAsia="Arial" w:hAnsi="Arial"/>
          <w:sz w:val="12"/>
          <w:szCs w:val="12"/>
          <w:u w:val="single" w:color="auto"/>
          <w:color w:val="000000"/>
        </w:rPr>
        <w:t>Design of Awards</w:t>
      </w:r>
      <w:r>
        <w:rPr>
          <w:rFonts w:ascii="Arial" w:cs="Arial" w:eastAsia="Arial" w:hAnsi="Arial"/>
          <w:sz w:val="12"/>
          <w:szCs w:val="12"/>
          <w:color w:val="000000"/>
        </w:rPr>
        <w:t>. Awards provided under the Plan shall be denominated by reference to Company metrics, such as EBITDA, free cash flow, and any other factors, as determined by the Committee, and shall</w:t>
      </w:r>
      <w:r>
        <w:rPr>
          <w:rFonts w:ascii="Arial" w:cs="Arial" w:eastAsia="Arial" w:hAnsi="Arial"/>
          <w:sz w:val="12"/>
          <w:szCs w:val="12"/>
          <w:color w:val="010000"/>
        </w:rPr>
        <w:t xml:space="preserve"> </w:t>
      </w:r>
      <w:r>
        <w:rPr>
          <w:rFonts w:ascii="Arial" w:cs="Arial" w:eastAsia="Arial" w:hAnsi="Arial"/>
          <w:sz w:val="12"/>
          <w:szCs w:val="12"/>
          <w:color w:val="000000"/>
        </w:rPr>
        <w:t>represent the right to receive a payment or payments on any terms and conditions as may be determined by the Committee in its sole discretion.</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010000"/>
        </w:rPr>
        <w:t xml:space="preserve">Section 4.3 </w:t>
      </w:r>
      <w:r>
        <w:rPr>
          <w:rFonts w:ascii="Arial" w:cs="Arial" w:eastAsia="Arial" w:hAnsi="Arial"/>
          <w:sz w:val="12"/>
          <w:szCs w:val="12"/>
          <w:u w:val="single" w:color="auto"/>
          <w:color w:val="000000"/>
        </w:rPr>
        <w:t>Vesting of Awards</w:t>
      </w:r>
      <w:r>
        <w:rPr>
          <w:rFonts w:ascii="Arial" w:cs="Arial" w:eastAsia="Arial" w:hAnsi="Arial"/>
          <w:sz w:val="12"/>
          <w:szCs w:val="12"/>
          <w:color w:val="000000"/>
        </w:rPr>
        <w:t>. The Committee may, in its sole discretion, impose such vesting or other restrictions on Awards provided under the Plan as it determines, and may impose vesting conditions on any Award or</w:t>
      </w:r>
      <w:r>
        <w:rPr>
          <w:rFonts w:ascii="Arial" w:cs="Arial" w:eastAsia="Arial" w:hAnsi="Arial"/>
          <w:sz w:val="12"/>
          <w:szCs w:val="12"/>
          <w:color w:val="010000"/>
        </w:rPr>
        <w:t xml:space="preserve"> </w:t>
      </w:r>
      <w:r>
        <w:rPr>
          <w:rFonts w:ascii="Arial" w:cs="Arial" w:eastAsia="Arial" w:hAnsi="Arial"/>
          <w:sz w:val="12"/>
          <w:szCs w:val="12"/>
          <w:color w:val="000000"/>
        </w:rPr>
        <w:t>accelerate the vesting of any Award granted hereunder at any time. The requirements for vesting of an Award may be based on the continued service of the Participant with the Company or its Affiliates for a specified time period (or periods) or on the attainment of a specified performance goal (or goals) established by the Committee in its sole discretion.</w:t>
      </w:r>
    </w:p>
    <w:p>
      <w:pPr>
        <w:spacing w:after="0" w:line="12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4.4</w:t>
      </w:r>
      <w:r>
        <w:rPr>
          <w:sz w:val="20"/>
          <w:szCs w:val="20"/>
          <w:color w:val="auto"/>
        </w:rPr>
        <w:tab/>
      </w:r>
      <w:r>
        <w:rPr>
          <w:rFonts w:ascii="Arial" w:cs="Arial" w:eastAsia="Arial" w:hAnsi="Arial"/>
          <w:sz w:val="10"/>
          <w:szCs w:val="10"/>
          <w:u w:val="single" w:color="auto"/>
          <w:color w:val="auto"/>
        </w:rPr>
        <w:t>Payment of Awards</w:t>
      </w:r>
      <w:r>
        <w:rPr>
          <w:rFonts w:ascii="Arial" w:cs="Arial" w:eastAsia="Arial" w:hAnsi="Arial"/>
          <w:sz w:val="10"/>
          <w:szCs w:val="10"/>
          <w:color w:val="auto"/>
        </w:rPr>
        <w:t>.</w:t>
      </w:r>
    </w:p>
    <w:p>
      <w:pPr>
        <w:spacing w:after="0" w:line="150" w:lineRule="exact"/>
        <w:rPr>
          <w:sz w:val="20"/>
          <w:szCs w:val="20"/>
          <w:color w:val="auto"/>
        </w:rPr>
      </w:pPr>
    </w:p>
    <w:p>
      <w:pPr>
        <w:ind w:left="1280" w:right="20" w:hanging="423"/>
        <w:spacing w:after="0" w:line="276" w:lineRule="auto"/>
        <w:tabs>
          <w:tab w:leader="none" w:pos="1280" w:val="left"/>
        </w:tabs>
        <w:numPr>
          <w:ilvl w:val="0"/>
          <w:numId w:val="165"/>
        </w:numPr>
        <w:rPr>
          <w:rFonts w:ascii="Arial" w:cs="Arial" w:eastAsia="Arial" w:hAnsi="Arial"/>
          <w:sz w:val="12"/>
          <w:szCs w:val="12"/>
          <w:color w:val="010000"/>
        </w:rPr>
      </w:pPr>
      <w:r>
        <w:rPr>
          <w:rFonts w:ascii="Arial" w:cs="Arial" w:eastAsia="Arial" w:hAnsi="Arial"/>
          <w:sz w:val="12"/>
          <w:szCs w:val="12"/>
          <w:u w:val="single" w:color="auto"/>
          <w:color w:val="auto"/>
        </w:rPr>
        <w:t>General</w:t>
      </w:r>
      <w:r>
        <w:rPr>
          <w:rFonts w:ascii="Arial" w:cs="Arial" w:eastAsia="Arial" w:hAnsi="Arial"/>
          <w:sz w:val="12"/>
          <w:szCs w:val="12"/>
          <w:color w:val="auto"/>
        </w:rPr>
        <w:t>. Awards under the Plan shall be paid in a single lump sum cash payment at such time or times as determined by the Committee in its sole discretion taking into account the requirements of Code Section 409A.</w:t>
      </w:r>
    </w:p>
    <w:p>
      <w:pPr>
        <w:spacing w:after="0" w:line="114" w:lineRule="exact"/>
        <w:rPr>
          <w:rFonts w:ascii="Arial" w:cs="Arial" w:eastAsia="Arial" w:hAnsi="Arial"/>
          <w:sz w:val="12"/>
          <w:szCs w:val="12"/>
          <w:color w:val="010000"/>
        </w:rPr>
      </w:pPr>
    </w:p>
    <w:p>
      <w:pPr>
        <w:jc w:val="both"/>
        <w:ind w:left="1280" w:hanging="423"/>
        <w:spacing w:after="0" w:line="259" w:lineRule="auto"/>
        <w:tabs>
          <w:tab w:leader="none" w:pos="1280" w:val="left"/>
        </w:tabs>
        <w:numPr>
          <w:ilvl w:val="0"/>
          <w:numId w:val="165"/>
        </w:numPr>
        <w:rPr>
          <w:rFonts w:ascii="Arial" w:cs="Arial" w:eastAsia="Arial" w:hAnsi="Arial"/>
          <w:sz w:val="12"/>
          <w:szCs w:val="12"/>
          <w:color w:val="010000"/>
        </w:rPr>
      </w:pPr>
      <w:r>
        <w:rPr>
          <w:rFonts w:ascii="Arial" w:cs="Arial" w:eastAsia="Arial" w:hAnsi="Arial"/>
          <w:sz w:val="12"/>
          <w:szCs w:val="12"/>
          <w:u w:val="single" w:color="auto"/>
          <w:color w:val="auto"/>
        </w:rPr>
        <w:t>Release</w:t>
      </w:r>
      <w:r>
        <w:rPr>
          <w:rFonts w:ascii="Arial" w:cs="Arial" w:eastAsia="Arial" w:hAnsi="Arial"/>
          <w:sz w:val="12"/>
          <w:szCs w:val="12"/>
          <w:color w:val="auto"/>
        </w:rPr>
        <w:t>. Upon acceptance of payment of any amount pursuant to an Award hereunder, the Participant shall be deemed to have unconditionally released and discharged the Company and any and all of the Company’s parent companies, partners, Affiliates, successors and assigns and any and all of its and their past and/or present officers, directors, members, partners, agents, employees and representatives from any and all claims in connection with, or in any manner related to or arising under, the Plan with respect to such Award, including the determination of the amount payable under such Award and any other matter associated therewith.</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4.5 </w:t>
      </w:r>
      <w:r>
        <w:rPr>
          <w:rFonts w:ascii="Arial" w:cs="Arial" w:eastAsia="Arial" w:hAnsi="Arial"/>
          <w:sz w:val="12"/>
          <w:szCs w:val="12"/>
          <w:u w:val="single" w:color="auto"/>
          <w:color w:val="000000"/>
        </w:rPr>
        <w:t>No Entitlement to an Award Unless Employed on Date Payment is Made</w:t>
      </w:r>
      <w:r>
        <w:rPr>
          <w:rFonts w:ascii="Arial" w:cs="Arial" w:eastAsia="Arial" w:hAnsi="Arial"/>
          <w:sz w:val="12"/>
          <w:szCs w:val="12"/>
          <w:color w:val="000000"/>
        </w:rPr>
        <w:t>. Unless otherwise determined by the Committee in an Award, a Participant is not entitled to any payment pursuant to an Award unless the</w:t>
      </w:r>
      <w:r>
        <w:rPr>
          <w:rFonts w:ascii="Arial" w:cs="Arial" w:eastAsia="Arial" w:hAnsi="Arial"/>
          <w:sz w:val="12"/>
          <w:szCs w:val="12"/>
          <w:color w:val="010000"/>
        </w:rPr>
        <w:t xml:space="preserve"> </w:t>
      </w:r>
      <w:r>
        <w:rPr>
          <w:rFonts w:ascii="Arial" w:cs="Arial" w:eastAsia="Arial" w:hAnsi="Arial"/>
          <w:sz w:val="12"/>
          <w:szCs w:val="12"/>
          <w:color w:val="000000"/>
        </w:rPr>
        <w:t>Participant is employed by the Company or any of its Affiliates on the date such Award is paid or otherwise settled.</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010000"/>
        </w:rPr>
        <w:t xml:space="preserve">Section 4.6 </w:t>
      </w:r>
      <w:r>
        <w:rPr>
          <w:rFonts w:ascii="Arial" w:cs="Arial" w:eastAsia="Arial" w:hAnsi="Arial"/>
          <w:sz w:val="11"/>
          <w:szCs w:val="11"/>
          <w:u w:val="single" w:color="auto"/>
          <w:color w:val="000000"/>
        </w:rPr>
        <w:t>Impact of Termination of Employment due to death, Disability, and Qualified Retirement</w:t>
      </w:r>
      <w:r>
        <w:rPr>
          <w:rFonts w:ascii="Arial" w:cs="Arial" w:eastAsia="Arial" w:hAnsi="Arial"/>
          <w:sz w:val="11"/>
          <w:szCs w:val="11"/>
          <w:color w:val="000000"/>
        </w:rPr>
        <w:t>. If a Participant’s employment terminates due to such Participant’s death, Disability, or Qualified Retirement, the Participant</w:t>
      </w:r>
      <w:r>
        <w:rPr>
          <w:rFonts w:ascii="Arial" w:cs="Arial" w:eastAsia="Arial" w:hAnsi="Arial"/>
          <w:sz w:val="11"/>
          <w:szCs w:val="11"/>
          <w:color w:val="010000"/>
        </w:rPr>
        <w:t xml:space="preserve"> </w:t>
      </w:r>
      <w:r>
        <w:rPr>
          <w:rFonts w:ascii="Arial" w:cs="Arial" w:eastAsia="Arial" w:hAnsi="Arial"/>
          <w:sz w:val="11"/>
          <w:szCs w:val="11"/>
          <w:color w:val="000000"/>
        </w:rPr>
        <w:t>or his or her estate (in the case of death) may be paid, at the discretion of the Committee, a prorated portion of the target Award based upon the Participant’s period of service. Payments of an Award to a Participant (or his or her estate) who terminates employment due to death or Qualified Retirement shall be made during the next administratively feasible payroll period following termination of employment. Payments of Awards to Participants who terminate as a result of Disability shall be paid at the same time such Awards would have been paid in the absence of such termination and based upon satisfaction of the underlying performance goals (if any), provided however, that in the event of a termination of employment due to a Participant’s Disability, the Committee may determine that such Participant is deemed to be employed through the period during which the Participant is on leave due to short-term disability.</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010000"/>
        </w:rPr>
        <w:t xml:space="preserve">Section 4.7 </w:t>
      </w:r>
      <w:r>
        <w:rPr>
          <w:rFonts w:ascii="Arial" w:cs="Arial" w:eastAsia="Arial" w:hAnsi="Arial"/>
          <w:sz w:val="12"/>
          <w:szCs w:val="12"/>
          <w:u w:val="single" w:color="auto"/>
          <w:color w:val="000000"/>
        </w:rPr>
        <w:t>Impact of Termination of Employment due to Severance Eligible Termination</w:t>
      </w:r>
      <w:r>
        <w:rPr>
          <w:rFonts w:ascii="Arial" w:cs="Arial" w:eastAsia="Arial" w:hAnsi="Arial"/>
          <w:sz w:val="12"/>
          <w:szCs w:val="12"/>
          <w:color w:val="000000"/>
        </w:rPr>
        <w:t>. A Participant who has involuntarily terminated employment with the Company through a Severance Eligible Termination may be paid,</w:t>
      </w:r>
      <w:r>
        <w:rPr>
          <w:rFonts w:ascii="Arial" w:cs="Arial" w:eastAsia="Arial" w:hAnsi="Arial"/>
          <w:sz w:val="12"/>
          <w:szCs w:val="12"/>
          <w:color w:val="010000"/>
        </w:rPr>
        <w:t xml:space="preserve"> </w:t>
      </w:r>
      <w:r>
        <w:rPr>
          <w:rFonts w:ascii="Arial" w:cs="Arial" w:eastAsia="Arial" w:hAnsi="Arial"/>
          <w:sz w:val="12"/>
          <w:szCs w:val="12"/>
          <w:color w:val="000000"/>
        </w:rPr>
        <w:t xml:space="preserve">at the discretion of the Committee, a prorated portion of the Award based upon the Participant’s period of service. No Participant (or his or her estate) may receive payment under this Plan under this </w:t>
      </w:r>
      <w:r>
        <w:rPr>
          <w:rFonts w:ascii="Arial" w:cs="Arial" w:eastAsia="Arial" w:hAnsi="Arial"/>
          <w:sz w:val="12"/>
          <w:szCs w:val="12"/>
          <w:u w:val="single" w:color="auto"/>
          <w:color w:val="000000"/>
        </w:rPr>
        <w:t>Section 4.7</w:t>
      </w:r>
      <w:r>
        <w:rPr>
          <w:rFonts w:ascii="Arial" w:cs="Arial" w:eastAsia="Arial" w:hAnsi="Arial"/>
          <w:sz w:val="12"/>
          <w:szCs w:val="12"/>
          <w:color w:val="000000"/>
        </w:rPr>
        <w:t xml:space="preserve"> without first executing and delivering to the Company a complete general release of all claims, known or unknown, against the Company and</w:t>
      </w:r>
    </w:p>
    <w:p>
      <w:pPr>
        <w:spacing w:after="0" w:line="289"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DMEAST #35731735 v3</w:t>
      </w:r>
    </w:p>
    <w:p>
      <w:pPr>
        <w:sectPr>
          <w:pgSz w:w="11900" w:h="16838" w:orient="portrait"/>
          <w:cols w:equalWidth="0" w:num="1">
            <w:col w:w="11480"/>
          </w:cols>
          <w:pgMar w:left="220" w:top="293" w:right="199" w:bottom="1440" w:gutter="0" w:footer="0" w:header="0"/>
        </w:sectPr>
      </w:pPr>
    </w:p>
    <w:bookmarkStart w:id="205" w:name="page206"/>
    <w:bookmarkEnd w:id="205"/>
    <w:p>
      <w:pPr>
        <w:jc w:val="both"/>
        <w:spacing w:after="0" w:line="263" w:lineRule="auto"/>
        <w:rPr>
          <w:sz w:val="20"/>
          <w:szCs w:val="20"/>
          <w:color w:val="auto"/>
        </w:rPr>
      </w:pPr>
      <w:r>
        <w:rPr>
          <w:rFonts w:ascii="Arial" w:cs="Arial" w:eastAsia="Arial" w:hAnsi="Arial"/>
          <w:sz w:val="12"/>
          <w:szCs w:val="12"/>
          <w:color w:val="auto"/>
        </w:rPr>
        <w:t xml:space="preserve">its Affiliates, including employment-related claims and all rights to payments under the Plan within the release or revocation period provided by the Company (or as applicable, an Affiliate). Payments of Awards to Participants under this </w:t>
      </w:r>
      <w:r>
        <w:rPr>
          <w:rFonts w:ascii="Arial" w:cs="Arial" w:eastAsia="Arial" w:hAnsi="Arial"/>
          <w:sz w:val="12"/>
          <w:szCs w:val="12"/>
          <w:u w:val="single" w:color="auto"/>
          <w:color w:val="auto"/>
        </w:rPr>
        <w:t>Section 4.7</w:t>
      </w:r>
      <w:r>
        <w:rPr>
          <w:rFonts w:ascii="Arial" w:cs="Arial" w:eastAsia="Arial" w:hAnsi="Arial"/>
          <w:sz w:val="12"/>
          <w:szCs w:val="12"/>
          <w:color w:val="auto"/>
        </w:rPr>
        <w:t xml:space="preserve"> shall be made following the completion of the general release of claims referenced in this </w:t>
      </w:r>
      <w:r>
        <w:rPr>
          <w:rFonts w:ascii="Arial" w:cs="Arial" w:eastAsia="Arial" w:hAnsi="Arial"/>
          <w:sz w:val="12"/>
          <w:szCs w:val="12"/>
          <w:u w:val="single" w:color="auto"/>
          <w:color w:val="auto"/>
        </w:rPr>
        <w:t>Section 4.7</w:t>
      </w:r>
      <w:r>
        <w:rPr>
          <w:rFonts w:ascii="Arial" w:cs="Arial" w:eastAsia="Arial" w:hAnsi="Arial"/>
          <w:sz w:val="12"/>
          <w:szCs w:val="12"/>
          <w:color w:val="auto"/>
        </w:rPr>
        <w:t>, provided that in the event that the forty-five (45) day period spans two calendar years, payment shall be made in the second calendar year.</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010000"/>
        </w:rPr>
        <w:t xml:space="preserve">Section 4.8 </w:t>
      </w:r>
      <w:r>
        <w:rPr>
          <w:rFonts w:ascii="Arial" w:cs="Arial" w:eastAsia="Arial" w:hAnsi="Arial"/>
          <w:sz w:val="12"/>
          <w:szCs w:val="12"/>
          <w:u w:val="single" w:color="auto"/>
          <w:color w:val="000000"/>
        </w:rPr>
        <w:t>Detrimental Activity</w:t>
      </w:r>
      <w:r>
        <w:rPr>
          <w:rFonts w:ascii="Arial" w:cs="Arial" w:eastAsia="Arial" w:hAnsi="Arial"/>
          <w:sz w:val="12"/>
          <w:szCs w:val="12"/>
          <w:color w:val="000000"/>
        </w:rPr>
        <w:t>. Unless otherwise determined by the Company, (i) in the event that a Participant engages in a Detrimental Activity, all Awards (whether vested or unvested) that were previously provided to the</w:t>
      </w:r>
      <w:r>
        <w:rPr>
          <w:rFonts w:ascii="Arial" w:cs="Arial" w:eastAsia="Arial" w:hAnsi="Arial"/>
          <w:sz w:val="12"/>
          <w:szCs w:val="12"/>
          <w:color w:val="010000"/>
        </w:rPr>
        <w:t xml:space="preserve"> </w:t>
      </w:r>
      <w:r>
        <w:rPr>
          <w:rFonts w:ascii="Arial" w:cs="Arial" w:eastAsia="Arial" w:hAnsi="Arial"/>
          <w:sz w:val="12"/>
          <w:szCs w:val="12"/>
          <w:color w:val="000000"/>
        </w:rPr>
        <w:t>Participant shall be immediately forfeited without any further action by the Company; and (ii) as a condition to receiving any payment in respect of any Award hereunder, the Participant may be required to certify (or shall be deemed to have certified) at the time of payment in a manner acceptable to the Company that the Participant is in compliance with the terms and conditions of the Plan and that the Participant has not engaged in, and does not intend to engage in, any Detrimental Activity.</w:t>
      </w:r>
    </w:p>
    <w:p>
      <w:pPr>
        <w:spacing w:after="0" w:line="1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010000"/>
        </w:rPr>
        <w:t xml:space="preserve">Section 4.9 </w:t>
      </w:r>
      <w:r>
        <w:rPr>
          <w:rFonts w:ascii="Arial" w:cs="Arial" w:eastAsia="Arial" w:hAnsi="Arial"/>
          <w:sz w:val="11"/>
          <w:szCs w:val="11"/>
          <w:u w:val="single" w:color="auto"/>
          <w:color w:val="000000"/>
        </w:rPr>
        <w:t>Changes in Capital Structure</w:t>
      </w:r>
      <w:r>
        <w:rPr>
          <w:rFonts w:ascii="Arial" w:cs="Arial" w:eastAsia="Arial" w:hAnsi="Arial"/>
          <w:sz w:val="11"/>
          <w:szCs w:val="11"/>
          <w:color w:val="000000"/>
        </w:rPr>
        <w:t>. In the event that any dividend or other distribution (whether in the form of cash, shares, other securities, or other property), recapitalization, stock split, reverse stock split, reorganization,</w:t>
      </w:r>
      <w:r>
        <w:rPr>
          <w:rFonts w:ascii="Arial" w:cs="Arial" w:eastAsia="Arial" w:hAnsi="Arial"/>
          <w:sz w:val="11"/>
          <w:szCs w:val="11"/>
          <w:color w:val="010000"/>
        </w:rPr>
        <w:t xml:space="preserve"> </w:t>
      </w:r>
      <w:r>
        <w:rPr>
          <w:rFonts w:ascii="Arial" w:cs="Arial" w:eastAsia="Arial" w:hAnsi="Arial"/>
          <w:sz w:val="11"/>
          <w:szCs w:val="11"/>
          <w:color w:val="000000"/>
        </w:rPr>
        <w:t>merger, consolidation, split-up, spin-off, combination, repurchase, change in control or exchange of shares or other securities of the Company, or other corporate transaction or event (each a “</w:t>
      </w:r>
      <w:r>
        <w:rPr>
          <w:rFonts w:ascii="Arial" w:cs="Arial" w:eastAsia="Arial" w:hAnsi="Arial"/>
          <w:sz w:val="11"/>
          <w:szCs w:val="11"/>
          <w:u w:val="single" w:color="auto"/>
          <w:color w:val="000000"/>
        </w:rPr>
        <w:t>Corporate Event</w:t>
      </w:r>
      <w:r>
        <w:rPr>
          <w:rFonts w:ascii="Arial" w:cs="Arial" w:eastAsia="Arial" w:hAnsi="Arial"/>
          <w:sz w:val="11"/>
          <w:szCs w:val="11"/>
          <w:color w:val="000000"/>
        </w:rPr>
        <w:t xml:space="preserve">”) affects an Award, the Committee may, in its sole discretion, take such action as it deems appropriate, including, but not limited to, (a) canceling any outstanding Award, (b) replacing Awards with substitute awards on such terms and conditions as the Committee determines. Any actions or determinations of the Committee under this </w:t>
      </w:r>
      <w:r>
        <w:rPr>
          <w:rFonts w:ascii="Arial" w:cs="Arial" w:eastAsia="Arial" w:hAnsi="Arial"/>
          <w:sz w:val="11"/>
          <w:szCs w:val="11"/>
          <w:u w:val="single" w:color="auto"/>
          <w:color w:val="000000"/>
        </w:rPr>
        <w:t>Section 4.9</w:t>
      </w:r>
      <w:r>
        <w:rPr>
          <w:rFonts w:ascii="Arial" w:cs="Arial" w:eastAsia="Arial" w:hAnsi="Arial"/>
          <w:sz w:val="11"/>
          <w:szCs w:val="11"/>
          <w:color w:val="000000"/>
        </w:rPr>
        <w:t xml:space="preserve"> need not be uniform as to all outstanding Awards, nor treat all Participants identically.</w:t>
      </w:r>
    </w:p>
    <w:p>
      <w:pPr>
        <w:spacing w:after="0" w:line="105"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010000"/>
        </w:rPr>
        <w:t>ARTICLE 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010000"/>
        </w:rPr>
        <w:t xml:space="preserve">Section 5.1 </w:t>
      </w:r>
      <w:r>
        <w:rPr>
          <w:rFonts w:ascii="Arial" w:cs="Arial" w:eastAsia="Arial" w:hAnsi="Arial"/>
          <w:sz w:val="11"/>
          <w:szCs w:val="11"/>
          <w:u w:val="single" w:color="auto"/>
          <w:color w:val="000000"/>
        </w:rPr>
        <w:t>Successors</w:t>
      </w:r>
      <w:r>
        <w:rPr>
          <w:rFonts w:ascii="Arial" w:cs="Arial" w:eastAsia="Arial" w:hAnsi="Arial"/>
          <w:sz w:val="11"/>
          <w:szCs w:val="11"/>
          <w:color w:val="000000"/>
        </w:rPr>
        <w:t>. For purposes of the Plan, the Company shall include any and all successors or assignees, whether direct or indirect, by purchase, merger, consolidation or otherwise, to all or substantially all of the</w:t>
      </w:r>
      <w:r>
        <w:rPr>
          <w:rFonts w:ascii="Arial" w:cs="Arial" w:eastAsia="Arial" w:hAnsi="Arial"/>
          <w:sz w:val="11"/>
          <w:szCs w:val="11"/>
          <w:color w:val="010000"/>
        </w:rPr>
        <w:t xml:space="preserve"> </w:t>
      </w:r>
      <w:r>
        <w:rPr>
          <w:rFonts w:ascii="Arial" w:cs="Arial" w:eastAsia="Arial" w:hAnsi="Arial"/>
          <w:sz w:val="11"/>
          <w:szCs w:val="11"/>
          <w:color w:val="000000"/>
        </w:rPr>
        <w:t>business or assets of the Company and such successors and assignees shall perform the Company’s obligations under the Plan, in the same manner and to the same extent that the Company would be required to perform if no such succession or assignment had taken place. In the event that the surviving corporation in any transaction to which the Company is a party is a subsidiary of another corporation, the ultimate parent corporation of such surviving corporation shall cause the surviving corporation to perform the obligations of the Company under the Plan in the same manner and to the same extent that the Company would be required to perform such obligations if no such succession or assignment had taken place. In such event, the term “</w:t>
      </w:r>
      <w:r>
        <w:rPr>
          <w:rFonts w:ascii="Arial" w:cs="Arial" w:eastAsia="Arial" w:hAnsi="Arial"/>
          <w:sz w:val="11"/>
          <w:szCs w:val="11"/>
          <w:u w:val="single" w:color="auto"/>
          <w:color w:val="000000"/>
        </w:rPr>
        <w:t>Company</w:t>
      </w:r>
      <w:r>
        <w:rPr>
          <w:rFonts w:ascii="Arial" w:cs="Arial" w:eastAsia="Arial" w:hAnsi="Arial"/>
          <w:sz w:val="11"/>
          <w:szCs w:val="11"/>
          <w:color w:val="000000"/>
        </w:rPr>
        <w:t>,” as used in the Plan, shall mean the Company, as hereinbefore defined, and any successor or assignee (including the ultimate parent corporation) to the business or assets thereof which by reason hereof becomes bound by the terms and provisions of the Plan. No rights under the Plan shall be assignable by the Participant or subject to any pledge or encumbrance of any nature.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010000"/>
        </w:rPr>
        <w:t xml:space="preserve">Section 5.2 </w:t>
      </w:r>
      <w:r>
        <w:rPr>
          <w:rFonts w:ascii="Arial" w:cs="Arial" w:eastAsia="Arial" w:hAnsi="Arial"/>
          <w:sz w:val="12"/>
          <w:szCs w:val="12"/>
          <w:u w:val="single" w:color="auto"/>
          <w:color w:val="000000"/>
        </w:rPr>
        <w:t>Nontransferability</w:t>
      </w:r>
      <w:r>
        <w:rPr>
          <w:rFonts w:ascii="Arial" w:cs="Arial" w:eastAsia="Arial" w:hAnsi="Arial"/>
          <w:sz w:val="12"/>
          <w:szCs w:val="12"/>
          <w:color w:val="000000"/>
        </w:rPr>
        <w:t>. No Award or right to receive payment under the Plan may be transferred other than by will or the laws of descent and distribution. Any transfer or attempted transfer of an Award or a right to</w:t>
      </w:r>
      <w:r>
        <w:rPr>
          <w:rFonts w:ascii="Arial" w:cs="Arial" w:eastAsia="Arial" w:hAnsi="Arial"/>
          <w:sz w:val="12"/>
          <w:szCs w:val="12"/>
          <w:color w:val="010000"/>
        </w:rPr>
        <w:t xml:space="preserve"> </w:t>
      </w:r>
      <w:r>
        <w:rPr>
          <w:rFonts w:ascii="Arial" w:cs="Arial" w:eastAsia="Arial" w:hAnsi="Arial"/>
          <w:sz w:val="12"/>
          <w:szCs w:val="12"/>
          <w:color w:val="000000"/>
        </w:rPr>
        <w:t xml:space="preserve">receive payment under the Plan contrary to this </w:t>
      </w:r>
      <w:r>
        <w:rPr>
          <w:rFonts w:ascii="Arial" w:cs="Arial" w:eastAsia="Arial" w:hAnsi="Arial"/>
          <w:sz w:val="12"/>
          <w:szCs w:val="12"/>
          <w:u w:val="single" w:color="auto"/>
          <w:color w:val="000000"/>
        </w:rPr>
        <w:t>Section 5.2</w:t>
      </w:r>
      <w:r>
        <w:rPr>
          <w:rFonts w:ascii="Arial" w:cs="Arial" w:eastAsia="Arial" w:hAnsi="Arial"/>
          <w:sz w:val="12"/>
          <w:szCs w:val="12"/>
          <w:color w:val="000000"/>
        </w:rPr>
        <w:t xml:space="preserve"> shall be void. In the event of an attempted transfer by a Participant of an Award or a right to receive payment pursuant to the Plan contrary to this </w:t>
      </w:r>
      <w:r>
        <w:rPr>
          <w:rFonts w:ascii="Arial" w:cs="Arial" w:eastAsia="Arial" w:hAnsi="Arial"/>
          <w:sz w:val="12"/>
          <w:szCs w:val="12"/>
          <w:u w:val="single" w:color="auto"/>
          <w:color w:val="000000"/>
        </w:rPr>
        <w:t>Section 5.2</w:t>
      </w:r>
      <w:r>
        <w:rPr>
          <w:rFonts w:ascii="Arial" w:cs="Arial" w:eastAsia="Arial" w:hAnsi="Arial"/>
          <w:sz w:val="12"/>
          <w:szCs w:val="12"/>
          <w:color w:val="000000"/>
        </w:rPr>
        <w:t xml:space="preserve"> hereof, the Committee may in its sole discretion terminate such Award or right.</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010000"/>
        </w:rPr>
        <w:t xml:space="preserve">Section 5.3 </w:t>
      </w:r>
      <w:r>
        <w:rPr>
          <w:rFonts w:ascii="Arial" w:cs="Arial" w:eastAsia="Arial" w:hAnsi="Arial"/>
          <w:sz w:val="12"/>
          <w:szCs w:val="12"/>
          <w:u w:val="single" w:color="auto"/>
          <w:color w:val="000000"/>
        </w:rPr>
        <w:t>Withholding Taxes</w:t>
      </w:r>
      <w:r>
        <w:rPr>
          <w:rFonts w:ascii="Arial" w:cs="Arial" w:eastAsia="Arial" w:hAnsi="Arial"/>
          <w:sz w:val="12"/>
          <w:szCs w:val="12"/>
          <w:color w:val="000000"/>
        </w:rPr>
        <w:t>. The Company or any of its Affiliates shall be entitled, if necessary or desirable, to withhold from any amount due and payable by the Company to any Participant (or secure payment from such</w:t>
      </w:r>
      <w:r>
        <w:rPr>
          <w:rFonts w:ascii="Arial" w:cs="Arial" w:eastAsia="Arial" w:hAnsi="Arial"/>
          <w:sz w:val="12"/>
          <w:szCs w:val="12"/>
          <w:color w:val="010000"/>
        </w:rPr>
        <w:t xml:space="preserve"> </w:t>
      </w:r>
      <w:r>
        <w:rPr>
          <w:rFonts w:ascii="Arial" w:cs="Arial" w:eastAsia="Arial" w:hAnsi="Arial"/>
          <w:sz w:val="12"/>
          <w:szCs w:val="12"/>
          <w:color w:val="000000"/>
        </w:rPr>
        <w:t>Participant in lieu of withholding) the amount of any withholding or other tax due from the Company with respect to any amount payable to such Participant under the Plan.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5.4 </w:t>
      </w:r>
      <w:r>
        <w:rPr>
          <w:rFonts w:ascii="Arial" w:cs="Arial" w:eastAsia="Arial" w:hAnsi="Arial"/>
          <w:sz w:val="12"/>
          <w:szCs w:val="12"/>
          <w:u w:val="single" w:color="auto"/>
          <w:color w:val="000000"/>
        </w:rPr>
        <w:t>Amendment and Termination of the Plan</w:t>
      </w:r>
      <w:r>
        <w:rPr>
          <w:rFonts w:ascii="Arial" w:cs="Arial" w:eastAsia="Arial" w:hAnsi="Arial"/>
          <w:sz w:val="12"/>
          <w:szCs w:val="12"/>
          <w:color w:val="000000"/>
        </w:rPr>
        <w:t>. The Committee reserves the right to amend or terminate, in whole or in part, any or all of the provisions of the Plan, including any or all exhibits attached hereto, or any</w:t>
      </w:r>
      <w:r>
        <w:rPr>
          <w:rFonts w:ascii="Arial" w:cs="Arial" w:eastAsia="Arial" w:hAnsi="Arial"/>
          <w:sz w:val="12"/>
          <w:szCs w:val="12"/>
          <w:color w:val="010000"/>
        </w:rPr>
        <w:t xml:space="preserve"> </w:t>
      </w:r>
      <w:r>
        <w:rPr>
          <w:rFonts w:ascii="Arial" w:cs="Arial" w:eastAsia="Arial" w:hAnsi="Arial"/>
          <w:sz w:val="12"/>
          <w:szCs w:val="12"/>
          <w:color w:val="000000"/>
        </w:rPr>
        <w:t>Award provided hereunder at any time, with or without notice. By receiving any Award pursuant to the Plan, a</w:t>
      </w:r>
    </w:p>
    <w:p>
      <w:pPr>
        <w:spacing w:after="0" w:line="281"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DMEAST #35731735 v3</w:t>
      </w:r>
    </w:p>
    <w:p>
      <w:pPr>
        <w:sectPr>
          <w:pgSz w:w="11900" w:h="16838" w:orient="portrait"/>
          <w:cols w:equalWidth="0" w:num="1">
            <w:col w:w="11480"/>
          </w:cols>
          <w:pgMar w:left="220" w:top="293" w:right="199" w:bottom="1440" w:gutter="0" w:footer="0" w:header="0"/>
        </w:sectPr>
      </w:pPr>
    </w:p>
    <w:bookmarkStart w:id="206" w:name="page207"/>
    <w:bookmarkEnd w:id="206"/>
    <w:p>
      <w:pPr>
        <w:jc w:val="both"/>
        <w:spacing w:after="0" w:line="263" w:lineRule="auto"/>
        <w:rPr>
          <w:sz w:val="20"/>
          <w:szCs w:val="20"/>
          <w:color w:val="auto"/>
        </w:rPr>
      </w:pPr>
      <w:r>
        <w:rPr>
          <w:rFonts w:ascii="Arial" w:cs="Arial" w:eastAsia="Arial" w:hAnsi="Arial"/>
          <w:sz w:val="12"/>
          <w:szCs w:val="12"/>
          <w:color w:val="auto"/>
        </w:rPr>
        <w:t>Participant acknowledges and agrees that certain determinations require certain “judgment calls” by the Committee or the Company and that such determination shall be made in the sole discretion of the Committee or the Company, as applicable. This Plan, together with all exhibits and annexes hereto and any Award made pursuant to the Plan, sets forth the entire agreement of the parties hereto in respect of the subject matter contained herein and supersedes any and all prior agreements or understandings between a Participant and the Company with respect to the subject matter hereof.</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010000"/>
        </w:rPr>
        <w:t xml:space="preserve">Section 5.5 </w:t>
      </w:r>
      <w:r>
        <w:rPr>
          <w:rFonts w:ascii="Arial" w:cs="Arial" w:eastAsia="Arial" w:hAnsi="Arial"/>
          <w:sz w:val="12"/>
          <w:szCs w:val="12"/>
          <w:u w:val="single" w:color="auto"/>
          <w:color w:val="000000"/>
        </w:rPr>
        <w:t>Severability</w:t>
      </w:r>
      <w:r>
        <w:rPr>
          <w:rFonts w:ascii="Arial" w:cs="Arial" w:eastAsia="Arial" w:hAnsi="Arial"/>
          <w:sz w:val="12"/>
          <w:szCs w:val="12"/>
          <w:color w:val="000000"/>
        </w:rPr>
        <w:t>. Whenever possible, each provision of the Plan shall be interpreted in such manner as to be effective and valid under applicable law, but if any provision of the Plan is held to be prohibited by or invalid</w:t>
      </w:r>
      <w:r>
        <w:rPr>
          <w:rFonts w:ascii="Arial" w:cs="Arial" w:eastAsia="Arial" w:hAnsi="Arial"/>
          <w:sz w:val="12"/>
          <w:szCs w:val="12"/>
          <w:color w:val="010000"/>
        </w:rPr>
        <w:t xml:space="preserve"> </w:t>
      </w:r>
      <w:r>
        <w:rPr>
          <w:rFonts w:ascii="Arial" w:cs="Arial" w:eastAsia="Arial" w:hAnsi="Arial"/>
          <w:sz w:val="12"/>
          <w:szCs w:val="12"/>
          <w:color w:val="000000"/>
        </w:rPr>
        <w:t>under applicable law, such provision shall be ineffective only to the extent of such prohibition or invalidity, without invalidating the remainder of the Plan.</w:t>
      </w:r>
    </w:p>
    <w:p>
      <w:pPr>
        <w:spacing w:after="0" w:line="11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color w:val="010000"/>
        </w:rPr>
        <w:t>Section 5.6</w:t>
      </w:r>
      <w:r>
        <w:rPr>
          <w:sz w:val="20"/>
          <w:szCs w:val="20"/>
          <w:color w:val="auto"/>
        </w:rPr>
        <w:tab/>
      </w:r>
      <w:r>
        <w:rPr>
          <w:rFonts w:ascii="Arial" w:cs="Arial" w:eastAsia="Arial" w:hAnsi="Arial"/>
          <w:sz w:val="10"/>
          <w:szCs w:val="10"/>
          <w:u w:val="single" w:color="auto"/>
          <w:color w:val="auto"/>
        </w:rPr>
        <w:t>Titles and Headings</w:t>
      </w:r>
      <w:r>
        <w:rPr>
          <w:rFonts w:ascii="Arial" w:cs="Arial" w:eastAsia="Arial" w:hAnsi="Arial"/>
          <w:sz w:val="10"/>
          <w:szCs w:val="10"/>
          <w:color w:val="auto"/>
        </w:rPr>
        <w:t>. The headings and titles used in the Plan are for reference purposes only and shall not affect in any way the meaning or interpretation of the Plan.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5.7 </w:t>
      </w:r>
      <w:r>
        <w:rPr>
          <w:rFonts w:ascii="Arial" w:cs="Arial" w:eastAsia="Arial" w:hAnsi="Arial"/>
          <w:sz w:val="12"/>
          <w:szCs w:val="12"/>
          <w:u w:val="single" w:color="auto"/>
          <w:color w:val="000000"/>
        </w:rPr>
        <w:t>Governing Law</w:t>
      </w:r>
      <w:r>
        <w:rPr>
          <w:rFonts w:ascii="Arial" w:cs="Arial" w:eastAsia="Arial" w:hAnsi="Arial"/>
          <w:sz w:val="12"/>
          <w:szCs w:val="12"/>
          <w:color w:val="000000"/>
        </w:rPr>
        <w:t>. The Plan shall be construed in accordance with and governed by the laws of the state of Delaware (without regard to the legislative or judicial conflict of laws rules of any state), except to the extent</w:t>
      </w:r>
      <w:r>
        <w:rPr>
          <w:rFonts w:ascii="Arial" w:cs="Arial" w:eastAsia="Arial" w:hAnsi="Arial"/>
          <w:sz w:val="12"/>
          <w:szCs w:val="12"/>
          <w:color w:val="010000"/>
        </w:rPr>
        <w:t xml:space="preserve"> </w:t>
      </w:r>
      <w:r>
        <w:rPr>
          <w:rFonts w:ascii="Arial" w:cs="Arial" w:eastAsia="Arial" w:hAnsi="Arial"/>
          <w:sz w:val="12"/>
          <w:szCs w:val="12"/>
          <w:color w:val="000000"/>
        </w:rPr>
        <w:t>superseded by federal law.</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010000"/>
        </w:rPr>
        <w:t xml:space="preserve">Section 5.8 </w:t>
      </w:r>
      <w:r>
        <w:rPr>
          <w:rFonts w:ascii="Arial" w:cs="Arial" w:eastAsia="Arial" w:hAnsi="Arial"/>
          <w:sz w:val="12"/>
          <w:szCs w:val="12"/>
          <w:u w:val="single" w:color="auto"/>
          <w:color w:val="000000"/>
        </w:rPr>
        <w:t>Clawback</w:t>
      </w:r>
      <w:r>
        <w:rPr>
          <w:rFonts w:ascii="Arial" w:cs="Arial" w:eastAsia="Arial" w:hAnsi="Arial"/>
          <w:sz w:val="12"/>
          <w:szCs w:val="12"/>
          <w:color w:val="000000"/>
        </w:rPr>
        <w:t>. If the Company is required to prepare an accounting restatement due to the material noncompliance of the Company with any financial reporting requirement under the securities laws, then any Participant</w:t>
      </w:r>
      <w:r>
        <w:rPr>
          <w:rFonts w:ascii="Arial" w:cs="Arial" w:eastAsia="Arial" w:hAnsi="Arial"/>
          <w:sz w:val="12"/>
          <w:szCs w:val="12"/>
          <w:color w:val="010000"/>
        </w:rPr>
        <w:t xml:space="preserve"> </w:t>
      </w:r>
      <w:r>
        <w:rPr>
          <w:rFonts w:ascii="Arial" w:cs="Arial" w:eastAsia="Arial" w:hAnsi="Arial"/>
          <w:sz w:val="12"/>
          <w:szCs w:val="12"/>
          <w:color w:val="000000"/>
        </w:rPr>
        <w:t>who has been paid an Award under this Plan based upon or affected by the restated financial report shall be required, at the discretion of the Committee, to reimburse the Company for all or any portion of such Award paid to such Participant.</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010000"/>
        </w:rPr>
        <w:t xml:space="preserve">Section 5.9 </w:t>
      </w:r>
      <w:r>
        <w:rPr>
          <w:rFonts w:ascii="Arial" w:cs="Arial" w:eastAsia="Arial" w:hAnsi="Arial"/>
          <w:sz w:val="12"/>
          <w:szCs w:val="12"/>
          <w:u w:val="single" w:color="auto"/>
          <w:color w:val="000000"/>
        </w:rPr>
        <w:t>Code Section 409A</w:t>
      </w:r>
      <w:r>
        <w:rPr>
          <w:rFonts w:ascii="Arial" w:cs="Arial" w:eastAsia="Arial" w:hAnsi="Arial"/>
          <w:sz w:val="12"/>
          <w:szCs w:val="12"/>
          <w:color w:val="000000"/>
        </w:rPr>
        <w:t>. Although the Company makes no guarantee with respect to the tax treatment of payments hereunder and shall not be responsible in any event with regard to non-compliance with Code Section</w:t>
      </w:r>
      <w:r>
        <w:rPr>
          <w:rFonts w:ascii="Arial" w:cs="Arial" w:eastAsia="Arial" w:hAnsi="Arial"/>
          <w:sz w:val="12"/>
          <w:szCs w:val="12"/>
          <w:color w:val="010000"/>
        </w:rPr>
        <w:t xml:space="preserve"> </w:t>
      </w:r>
      <w:r>
        <w:rPr>
          <w:rFonts w:ascii="Arial" w:cs="Arial" w:eastAsia="Arial" w:hAnsi="Arial"/>
          <w:sz w:val="12"/>
          <w:szCs w:val="12"/>
          <w:color w:val="000000"/>
        </w:rPr>
        <w:t>409A, the Plan is intended to either comply with, or be exempt from, the requirements of Code Section 409A. To the extent that the Plan is not exempt from the requirements of Code Section 409A, the Plan is intended to comply with the requirements of Code Section 409A and shall be limited, construed and interpreted in accordance with such intent. Notwithstanding the foregoing, in no event whatsoever shall the Company be liable for any additional tax, interest, income inclusion or other penalty that may be imposed on a Participant by Code Section 409A or for damages for failing to comply with Code Section 409A.</w:t>
      </w:r>
    </w:p>
    <w:p>
      <w:pPr>
        <w:spacing w:after="0" w:line="12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010000"/>
        </w:rPr>
        <w:t xml:space="preserve">Section 5.10 </w:t>
      </w:r>
      <w:r>
        <w:rPr>
          <w:rFonts w:ascii="Arial" w:cs="Arial" w:eastAsia="Arial" w:hAnsi="Arial"/>
          <w:sz w:val="12"/>
          <w:szCs w:val="12"/>
          <w:u w:val="single" w:color="auto"/>
          <w:color w:val="000000"/>
        </w:rPr>
        <w:t>No Acquired Rights</w:t>
      </w:r>
      <w:r>
        <w:rPr>
          <w:rFonts w:ascii="Arial" w:cs="Arial" w:eastAsia="Arial" w:hAnsi="Arial"/>
          <w:sz w:val="12"/>
          <w:szCs w:val="12"/>
          <w:color w:val="000000"/>
        </w:rPr>
        <w:t>. All Awards are made under the Plan at the Company’s or Committee’s discretion. The Company assumes no obligation to a Participant under this Plan with respect to any doctrine or principle</w:t>
      </w:r>
      <w:r>
        <w:rPr>
          <w:rFonts w:ascii="Arial" w:cs="Arial" w:eastAsia="Arial" w:hAnsi="Arial"/>
          <w:sz w:val="12"/>
          <w:szCs w:val="12"/>
          <w:color w:val="010000"/>
        </w:rPr>
        <w:t xml:space="preserve"> </w:t>
      </w:r>
      <w:r>
        <w:rPr>
          <w:rFonts w:ascii="Arial" w:cs="Arial" w:eastAsia="Arial" w:hAnsi="Arial"/>
          <w:sz w:val="12"/>
          <w:szCs w:val="12"/>
          <w:color w:val="000000"/>
        </w:rPr>
        <w:t>of acquired rights or similar concept.</w:t>
      </w:r>
    </w:p>
    <w:p>
      <w:pPr>
        <w:spacing w:after="0" w:line="11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2"/>
          <w:szCs w:val="12"/>
          <w:color w:val="010000"/>
        </w:rPr>
        <w:t>Section 5.11</w:t>
      </w:r>
      <w:r>
        <w:rPr>
          <w:sz w:val="20"/>
          <w:szCs w:val="20"/>
          <w:color w:val="auto"/>
        </w:rPr>
        <w:tab/>
      </w:r>
      <w:r>
        <w:rPr>
          <w:rFonts w:ascii="Arial" w:cs="Arial" w:eastAsia="Arial" w:hAnsi="Arial"/>
          <w:sz w:val="10"/>
          <w:szCs w:val="10"/>
          <w:u w:val="single" w:color="auto"/>
          <w:color w:val="auto"/>
        </w:rPr>
        <w:t>Accounting Changes</w:t>
      </w:r>
      <w:r>
        <w:rPr>
          <w:rFonts w:ascii="Arial" w:cs="Arial" w:eastAsia="Arial" w:hAnsi="Arial"/>
          <w:sz w:val="10"/>
          <w:szCs w:val="10"/>
          <w:color w:val="auto"/>
        </w:rPr>
        <w:t>. The Plan shall not be construed to limit or prevent the Company from adopting or changing any accounting rules, standards, or procedures.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010000"/>
        </w:rPr>
        <w:t xml:space="preserve">Section 5.12 </w:t>
      </w:r>
      <w:r>
        <w:rPr>
          <w:rFonts w:ascii="Arial" w:cs="Arial" w:eastAsia="Arial" w:hAnsi="Arial"/>
          <w:sz w:val="12"/>
          <w:szCs w:val="12"/>
          <w:u w:val="single" w:color="auto"/>
          <w:color w:val="000000"/>
        </w:rPr>
        <w:t>Beneficiaries</w:t>
      </w:r>
      <w:r>
        <w:rPr>
          <w:rFonts w:ascii="Arial" w:cs="Arial" w:eastAsia="Arial" w:hAnsi="Arial"/>
          <w:sz w:val="12"/>
          <w:szCs w:val="12"/>
          <w:color w:val="000000"/>
        </w:rPr>
        <w:t>. Unless otherwise determined by the Company or provided in an Award, if a Participant dies while any Award is outstanding, then any amounts paid pursuant to an Award (if any) shall be paid to the</w:t>
      </w:r>
      <w:r>
        <w:rPr>
          <w:rFonts w:ascii="Arial" w:cs="Arial" w:eastAsia="Arial" w:hAnsi="Arial"/>
          <w:sz w:val="12"/>
          <w:szCs w:val="12"/>
          <w:color w:val="010000"/>
        </w:rPr>
        <w:t xml:space="preserve"> </w:t>
      </w:r>
      <w:r>
        <w:rPr>
          <w:rFonts w:ascii="Arial" w:cs="Arial" w:eastAsia="Arial" w:hAnsi="Arial"/>
          <w:sz w:val="12"/>
          <w:szCs w:val="12"/>
          <w:color w:val="000000"/>
        </w:rPr>
        <w:t>Participant’s estate.</w:t>
      </w:r>
    </w:p>
    <w:p>
      <w:pPr>
        <w:spacing w:after="0" w:line="200" w:lineRule="exact"/>
        <w:rPr>
          <w:sz w:val="20"/>
          <w:szCs w:val="20"/>
          <w:color w:val="auto"/>
        </w:rPr>
      </w:pP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DMEAST #35731735 v3</w:t>
      </w:r>
    </w:p>
    <w:p>
      <w:pPr>
        <w:sectPr>
          <w:pgSz w:w="11900" w:h="16838" w:orient="portrait"/>
          <w:cols w:equalWidth="0" w:num="1">
            <w:col w:w="11480"/>
          </w:cols>
          <w:pgMar w:left="220" w:top="293" w:right="199" w:bottom="1440" w:gutter="0" w:footer="0" w:header="0"/>
        </w:sectPr>
      </w:pPr>
    </w:p>
    <w:bookmarkStart w:id="207" w:name="page208"/>
    <w:bookmarkEnd w:id="207"/>
    <w:p>
      <w:pPr>
        <w:jc w:val="right"/>
        <w:spacing w:after="0"/>
        <w:rPr>
          <w:sz w:val="20"/>
          <w:szCs w:val="20"/>
          <w:color w:val="auto"/>
        </w:rPr>
      </w:pPr>
      <w:r>
        <w:rPr>
          <w:rFonts w:ascii="Arial" w:cs="Arial" w:eastAsia="Arial" w:hAnsi="Arial"/>
          <w:sz w:val="12"/>
          <w:szCs w:val="12"/>
          <w:b w:val="1"/>
          <w:bCs w:val="1"/>
          <w:color w:val="auto"/>
        </w:rPr>
        <w:t>Exhibit 10.26</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0"/>
          <w:szCs w:val="10"/>
          <w:b w:val="1"/>
          <w:bCs w:val="1"/>
          <w:color w:val="auto"/>
        </w:rPr>
        <w:t>Clearway Energy, Inc. Involuntary Severance Plan</w:t>
      </w:r>
    </w:p>
    <w:p>
      <w:pPr>
        <w:spacing w:after="0" w:line="173" w:lineRule="exact"/>
        <w:rPr>
          <w:sz w:val="20"/>
          <w:szCs w:val="20"/>
          <w:color w:val="auto"/>
        </w:rPr>
      </w:pPr>
    </w:p>
    <w:p>
      <w:pPr>
        <w:ind w:left="3320"/>
        <w:spacing w:after="0"/>
        <w:rPr>
          <w:sz w:val="20"/>
          <w:szCs w:val="20"/>
          <w:color w:val="auto"/>
        </w:rPr>
      </w:pPr>
      <w:r>
        <w:rPr>
          <w:rFonts w:ascii="Arial" w:cs="Arial" w:eastAsia="Arial" w:hAnsi="Arial"/>
          <w:sz w:val="12"/>
          <w:szCs w:val="12"/>
          <w:b w:val="1"/>
          <w:bCs w:val="1"/>
          <w:color w:val="auto"/>
        </w:rPr>
        <w:t>(Amended and Restated as of January 1, 2019)</w:t>
      </w:r>
    </w:p>
    <w:p>
      <w:pPr>
        <w:sectPr>
          <w:pgSz w:w="11900" w:h="16838" w:orient="portrait"/>
          <w:cols w:equalWidth="0" w:num="1">
            <w:col w:w="10260"/>
          </w:cols>
          <w:pgMar w:left="1440" w:top="289" w:right="199" w:bottom="1440" w:gutter="0" w:footer="0" w:header="0"/>
        </w:sectPr>
      </w:pPr>
    </w:p>
    <w:bookmarkStart w:id="208" w:name="page209"/>
    <w:bookmarkEnd w:id="208"/>
    <w:p>
      <w:pPr>
        <w:spacing w:after="0"/>
        <w:rPr>
          <w:sz w:val="20"/>
          <w:szCs w:val="20"/>
          <w:color w:val="auto"/>
        </w:rPr>
      </w:pPr>
      <w:r>
        <w:rPr>
          <w:rFonts w:ascii="Arial" w:cs="Arial" w:eastAsia="Arial" w:hAnsi="Arial"/>
          <w:sz w:val="12"/>
          <w:szCs w:val="1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319405</wp:posOffset>
            </wp:positionV>
            <wp:extent cx="73177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Article 1.Establishment and Purpose. 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2.Definitions. 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3.Eligibility and Participation. 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4.Severance Benefits. 5</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5.Continuation of Certain Welfare Benefits. 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6.Taxes. 7</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7.Amendment and Termination. 7</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8.Administration and Claims. 7</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Article 9.General Provisions.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53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239"/>
          </w:cols>
          <w:pgMar w:left="220" w:top="460" w:right="1440" w:bottom="1440" w:gutter="0" w:footer="0" w:header="0"/>
        </w:sectPr>
      </w:pPr>
    </w:p>
    <w:bookmarkStart w:id="209" w:name="page210"/>
    <w:bookmarkEnd w:id="209"/>
    <w:p>
      <w:pP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Involuntary Severance Plan</w:t>
      </w:r>
    </w:p>
    <w:p>
      <w:pPr>
        <w:spacing w:after="0" w:line="155"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Article 1.</w:t>
      </w:r>
      <w:r>
        <w:rPr>
          <w:sz w:val="20"/>
          <w:szCs w:val="20"/>
          <w:color w:val="auto"/>
        </w:rPr>
        <w:tab/>
      </w:r>
      <w:r>
        <w:rPr>
          <w:rFonts w:ascii="Arial" w:cs="Arial" w:eastAsia="Arial" w:hAnsi="Arial"/>
          <w:sz w:val="10"/>
          <w:szCs w:val="10"/>
          <w:b w:val="1"/>
          <w:bCs w:val="1"/>
          <w:color w:val="auto"/>
        </w:rPr>
        <w:t>Establishment and Purpose.</w:t>
      </w:r>
    </w:p>
    <w:p>
      <w:pPr>
        <w:spacing w:after="0" w:line="15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b w:val="1"/>
          <w:bCs w:val="1"/>
          <w:color w:val="auto"/>
        </w:rPr>
        <w:t>Establishment</w:t>
      </w:r>
      <w:r>
        <w:rPr>
          <w:rFonts w:ascii="Arial" w:cs="Arial" w:eastAsia="Arial" w:hAnsi="Arial"/>
          <w:sz w:val="12"/>
          <w:szCs w:val="12"/>
          <w:color w:val="auto"/>
        </w:rPr>
        <w:t>. Clearway Energy, Inc., a Delaware corporation, (hereinafter referred to as the “Company”) established, effective as of January 1, 2017, a severance plan for its employees whose employment is terminated due to reductions in force or other factors as a result of restructuring and to provide the payment of certain benefits in the event an employee is terminated. The Plan shall be known as the “Clearway Energy, Inc. Involuntary Severance Plan.” The Plan was amended and restated effective January 1, 2018 and is hereby further amended and restatedas of January 1, 2019.</w:t>
      </w:r>
    </w:p>
    <w:p>
      <w:pPr>
        <w:spacing w:after="0" w:line="116"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b w:val="1"/>
          <w:bCs w:val="1"/>
          <w:color w:val="auto"/>
        </w:rPr>
        <w:t>Purpose</w:t>
      </w:r>
      <w:r>
        <w:rPr>
          <w:rFonts w:ascii="Arial" w:cs="Arial" w:eastAsia="Arial" w:hAnsi="Arial"/>
          <w:sz w:val="12"/>
          <w:szCs w:val="12"/>
          <w:color w:val="auto"/>
        </w:rPr>
        <w:t>. The purpose of the Plan is to provide severance benefits to employees of Clearway Energy, Inc. and its participating Affiliates. These severance benefits shall apply only to employees whose positions are eliminated due to reductions in force or as a result of a Clearway Energy, Inc. restructuring.</w:t>
      </w:r>
    </w:p>
    <w:p>
      <w:pPr>
        <w:spacing w:after="0" w:line="107"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Article 2.</w:t>
      </w:r>
      <w:r>
        <w:rPr>
          <w:sz w:val="20"/>
          <w:szCs w:val="20"/>
          <w:color w:val="auto"/>
        </w:rPr>
        <w:tab/>
      </w:r>
      <w:r>
        <w:rPr>
          <w:rFonts w:ascii="Arial" w:cs="Arial" w:eastAsia="Arial" w:hAnsi="Arial"/>
          <w:sz w:val="11"/>
          <w:szCs w:val="11"/>
          <w:b w:val="1"/>
          <w:bCs w:val="1"/>
          <w:color w:val="auto"/>
        </w:rPr>
        <w:t>Definitions.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following terms shall have the meanings set forth below and, when so intended, the terms shall be capitalized. Except when otherwise indicated by the context, the plural shall include the singular and the singular shall include the plural.</w:t>
      </w:r>
    </w:p>
    <w:p>
      <w:pPr>
        <w:spacing w:after="0" w:line="11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b w:val="1"/>
          <w:bCs w:val="1"/>
          <w:color w:val="auto"/>
        </w:rPr>
        <w:t>Administrator</w:t>
      </w:r>
      <w:r>
        <w:rPr>
          <w:rFonts w:ascii="Arial" w:cs="Arial" w:eastAsia="Arial" w:hAnsi="Arial"/>
          <w:sz w:val="12"/>
          <w:szCs w:val="12"/>
          <w:color w:val="auto"/>
        </w:rPr>
        <w:t xml:space="preserve"> means an individual or committee designated by the Company to administer the Plan. In the absence of a formal designation, the Company shall appoint the Vice President, Human Resources for the Company as the Administrator.</w:t>
      </w:r>
    </w:p>
    <w:p>
      <w:pPr>
        <w:spacing w:after="0" w:line="107"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b w:val="1"/>
          <w:bCs w:val="1"/>
          <w:color w:val="auto"/>
        </w:rPr>
        <w:t>Affiliate</w:t>
      </w:r>
      <w:r>
        <w:rPr>
          <w:rFonts w:ascii="Arial" w:cs="Arial" w:eastAsia="Arial" w:hAnsi="Arial"/>
          <w:sz w:val="12"/>
          <w:szCs w:val="12"/>
          <w:color w:val="auto"/>
        </w:rPr>
        <w:t xml:space="preserve"> means a direct or indirect subsidiary of the Plan Sponsor that satisfies the requirements of a “controlled group of corporations” as that term is defined under Section 414(b) of the Code or “common control” as that term is defined under Section 414(c) of the Code.</w:t>
      </w:r>
    </w:p>
    <w:p>
      <w:pPr>
        <w:spacing w:after="0" w:line="107"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0"/>
          <w:szCs w:val="10"/>
          <w:b w:val="1"/>
          <w:bCs w:val="1"/>
          <w:color w:val="auto"/>
        </w:rPr>
        <w:t xml:space="preserve">Board </w:t>
      </w:r>
      <w:r>
        <w:rPr>
          <w:rFonts w:ascii="Arial" w:cs="Arial" w:eastAsia="Arial" w:hAnsi="Arial"/>
          <w:sz w:val="10"/>
          <w:szCs w:val="10"/>
          <w:color w:val="auto"/>
        </w:rPr>
        <w:t>means the Board of Directors of the Company.</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0"/>
          <w:szCs w:val="10"/>
          <w:b w:val="1"/>
          <w:bCs w:val="1"/>
          <w:color w:val="auto"/>
        </w:rPr>
        <w:t xml:space="preserve">Code </w:t>
      </w:r>
      <w:r>
        <w:rPr>
          <w:rFonts w:ascii="Arial" w:cs="Arial" w:eastAsia="Arial" w:hAnsi="Arial"/>
          <w:sz w:val="10"/>
          <w:szCs w:val="10"/>
          <w:color w:val="auto"/>
        </w:rPr>
        <w:t>means the Internal Revenue Code of 1986, as amended, and the treasury regulations and other official guidance promulgated thereunder.</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0"/>
          <w:szCs w:val="10"/>
          <w:b w:val="1"/>
          <w:bCs w:val="1"/>
          <w:color w:val="auto"/>
        </w:rPr>
        <w:t xml:space="preserve">Company </w:t>
      </w:r>
      <w:r>
        <w:rPr>
          <w:rFonts w:ascii="Arial" w:cs="Arial" w:eastAsia="Arial" w:hAnsi="Arial"/>
          <w:sz w:val="10"/>
          <w:szCs w:val="10"/>
          <w:color w:val="auto"/>
        </w:rPr>
        <w:t>means Clearway Energy, Inc., a Delaware company, or any successor as provided in</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Article 9</w:t>
      </w:r>
      <w:r>
        <w:rPr>
          <w:rFonts w:ascii="Arial" w:cs="Arial" w:eastAsia="Arial" w:hAnsi="Arial"/>
          <w:sz w:val="10"/>
          <w:szCs w:val="10"/>
          <w:color w:val="auto"/>
        </w:rPr>
        <w:t>.</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1"/>
          <w:szCs w:val="11"/>
          <w:b w:val="1"/>
          <w:bCs w:val="1"/>
          <w:color w:val="auto"/>
        </w:rPr>
        <w:t xml:space="preserve">Delay Period </w:t>
      </w:r>
      <w:r>
        <w:rPr>
          <w:rFonts w:ascii="Arial" w:cs="Arial" w:eastAsia="Arial" w:hAnsi="Arial"/>
          <w:sz w:val="11"/>
          <w:szCs w:val="11"/>
          <w:color w:val="auto"/>
        </w:rPr>
        <w:t>shall have the definition set forth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4.6.1</w:t>
      </w:r>
      <w:r>
        <w:rPr>
          <w:rFonts w:ascii="Arial" w:cs="Arial" w:eastAsia="Arial" w:hAnsi="Arial"/>
          <w:sz w:val="11"/>
          <w:szCs w:val="11"/>
          <w:color w:val="auto"/>
        </w:rPr>
        <w:t>.</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2.7.</w:t>
      </w:r>
      <w:r>
        <w:rPr>
          <w:sz w:val="20"/>
          <w:szCs w:val="20"/>
          <w:color w:val="auto"/>
        </w:rPr>
        <w:tab/>
      </w:r>
      <w:r>
        <w:rPr>
          <w:rFonts w:ascii="Arial" w:cs="Arial" w:eastAsia="Arial" w:hAnsi="Arial"/>
          <w:sz w:val="10"/>
          <w:szCs w:val="10"/>
          <w:b w:val="1"/>
          <w:bCs w:val="1"/>
          <w:color w:val="auto"/>
        </w:rPr>
        <w:t xml:space="preserve">Effective Date </w:t>
      </w:r>
      <w:r>
        <w:rPr>
          <w:rFonts w:ascii="Arial" w:cs="Arial" w:eastAsia="Arial" w:hAnsi="Arial"/>
          <w:sz w:val="10"/>
          <w:szCs w:val="10"/>
          <w:color w:val="auto"/>
        </w:rPr>
        <w:t>means January 1, 2017.</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0"/>
          <w:szCs w:val="10"/>
          <w:b w:val="1"/>
          <w:bCs w:val="1"/>
          <w:color w:val="auto"/>
        </w:rPr>
        <w:t xml:space="preserve">Eligible Employee </w:t>
      </w:r>
      <w:r>
        <w:rPr>
          <w:rFonts w:ascii="Arial" w:cs="Arial" w:eastAsia="Arial" w:hAnsi="Arial"/>
          <w:sz w:val="10"/>
          <w:szCs w:val="10"/>
          <w:color w:val="auto"/>
        </w:rPr>
        <w:t>means persons in the employment of the Plan Sponsor or its Affiliates who are classified as common law employees, excluding, however, the following classifications:</w:t>
      </w:r>
    </w:p>
    <w:p>
      <w:pPr>
        <w:spacing w:after="0" w:line="154" w:lineRule="exact"/>
        <w:rPr>
          <w:sz w:val="20"/>
          <w:szCs w:val="20"/>
          <w:color w:val="auto"/>
        </w:rPr>
      </w:pPr>
    </w:p>
    <w:p>
      <w:pPr>
        <w:ind w:left="1280" w:hanging="423"/>
        <w:spacing w:after="0"/>
        <w:tabs>
          <w:tab w:leader="none" w:pos="12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employees whose terms and conditions of employment are subject to a collective bargaining agreement,</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employees who are covered under other severance arrangements,</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employees who are employed outside the United States, and</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persons who are classified as part-time, temporary, leased, or contract and other similar classifications even if it is subsequently determined that the classification is incorrect.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7"/>
          <w:szCs w:val="7"/>
          <w:color w:val="auto"/>
        </w:rPr>
        <w:t>DMEAST #35732296 v3</w:t>
      </w:r>
    </w:p>
    <w:p>
      <w:pPr>
        <w:sectPr>
          <w:pgSz w:w="11900" w:h="16838" w:orient="portrait"/>
          <w:cols w:equalWidth="0" w:num="1">
            <w:col w:w="11480"/>
          </w:cols>
          <w:pgMar w:left="220" w:top="460" w:right="199" w:bottom="1440" w:gutter="0" w:footer="0" w:header="0"/>
        </w:sectPr>
      </w:pPr>
    </w:p>
    <w:bookmarkStart w:id="210" w:name="page211"/>
    <w:bookmarkEnd w:id="210"/>
    <w:p>
      <w:pPr>
        <w:ind w:firstLine="432"/>
        <w:spacing w:after="0" w:line="283"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b w:val="1"/>
          <w:bCs w:val="1"/>
          <w:color w:val="auto"/>
        </w:rPr>
        <w:t>ERISA</w:t>
      </w:r>
      <w:r>
        <w:rPr>
          <w:rFonts w:ascii="Arial" w:cs="Arial" w:eastAsia="Arial" w:hAnsi="Arial"/>
          <w:sz w:val="12"/>
          <w:szCs w:val="12"/>
          <w:color w:val="auto"/>
        </w:rPr>
        <w:t xml:space="preserve"> means the Employee Retirement Income Security Act of 1974, including applicable regulations for the specified section of ERISA. Any reference to a section of ERISA, including the applicable regulation, shall be considered also to mean and refer to any subsequent amendment or replacement of that section or regulation.</w:t>
      </w:r>
    </w:p>
    <w:p>
      <w:pPr>
        <w:spacing w:after="0" w:line="10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2.10.</w:t>
      </w:r>
      <w:r>
        <w:rPr>
          <w:sz w:val="20"/>
          <w:szCs w:val="20"/>
          <w:color w:val="auto"/>
        </w:rPr>
        <w:tab/>
      </w:r>
      <w:r>
        <w:rPr>
          <w:rFonts w:ascii="Arial" w:cs="Arial" w:eastAsia="Arial" w:hAnsi="Arial"/>
          <w:sz w:val="10"/>
          <w:szCs w:val="10"/>
          <w:b w:val="1"/>
          <w:bCs w:val="1"/>
          <w:color w:val="auto"/>
        </w:rPr>
        <w:t xml:space="preserve">Participant </w:t>
      </w:r>
      <w:r>
        <w:rPr>
          <w:rFonts w:ascii="Arial" w:cs="Arial" w:eastAsia="Arial" w:hAnsi="Arial"/>
          <w:sz w:val="10"/>
          <w:szCs w:val="10"/>
          <w:color w:val="auto"/>
        </w:rPr>
        <w:t>means an Eligible Employee who satisfies the participation requirements of the Plan in accordance with</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Article 3</w:t>
      </w:r>
      <w:r>
        <w:rPr>
          <w:rFonts w:ascii="Arial" w:cs="Arial" w:eastAsia="Arial" w:hAnsi="Arial"/>
          <w:sz w:val="10"/>
          <w:szCs w:val="10"/>
          <w:color w:val="auto"/>
        </w:rPr>
        <w:t>.</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2.11. </w:t>
      </w:r>
      <w:r>
        <w:rPr>
          <w:rFonts w:ascii="Arial" w:cs="Arial" w:eastAsia="Arial" w:hAnsi="Arial"/>
          <w:sz w:val="12"/>
          <w:szCs w:val="12"/>
          <w:b w:val="1"/>
          <w:bCs w:val="1"/>
          <w:color w:val="auto"/>
        </w:rPr>
        <w:t>Plan</w:t>
      </w:r>
      <w:r>
        <w:rPr>
          <w:rFonts w:ascii="Arial" w:cs="Arial" w:eastAsia="Arial" w:hAnsi="Arial"/>
          <w:sz w:val="12"/>
          <w:szCs w:val="12"/>
          <w:color w:val="auto"/>
        </w:rPr>
        <w:t xml:space="preserve"> means this unfunded welfare severance plan established by the Company for the benefit of employees whose positions are eliminated due to circumstances listed in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above or other similar circumstances, as set forth in this document and as amended from time to time. The Plan shall be known as the “Clearway Energy, Inc. Involuntary Severance Plan.”</w:t>
      </w:r>
    </w:p>
    <w:p>
      <w:pPr>
        <w:spacing w:after="0" w:line="107"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 xml:space="preserve">2.12. </w:t>
      </w:r>
      <w:r>
        <w:rPr>
          <w:rFonts w:ascii="Arial" w:cs="Arial" w:eastAsia="Arial" w:hAnsi="Arial"/>
          <w:sz w:val="12"/>
          <w:szCs w:val="12"/>
          <w:b w:val="1"/>
          <w:bCs w:val="1"/>
          <w:color w:val="auto"/>
        </w:rPr>
        <w:t>Period of Severance</w:t>
      </w:r>
      <w:r>
        <w:rPr>
          <w:rFonts w:ascii="Arial" w:cs="Arial" w:eastAsia="Arial" w:hAnsi="Arial"/>
          <w:sz w:val="12"/>
          <w:szCs w:val="12"/>
          <w:color w:val="auto"/>
        </w:rPr>
        <w:t xml:space="preserve"> means the period commencing on the Participant’s Termination Date and ending on the date on which the Participant receives the last severance payment. The duration of the Participant’s Period of Severance shall be determined by the number of Severance Weeks for that Participant.</w:t>
      </w:r>
    </w:p>
    <w:p>
      <w:pPr>
        <w:spacing w:after="0" w:line="10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2.13.</w:t>
      </w:r>
      <w:r>
        <w:rPr>
          <w:sz w:val="20"/>
          <w:szCs w:val="20"/>
          <w:color w:val="auto"/>
        </w:rPr>
        <w:tab/>
      </w:r>
      <w:r>
        <w:rPr>
          <w:rFonts w:ascii="Arial" w:cs="Arial" w:eastAsia="Arial" w:hAnsi="Arial"/>
          <w:sz w:val="10"/>
          <w:szCs w:val="10"/>
          <w:b w:val="1"/>
          <w:bCs w:val="1"/>
          <w:color w:val="auto"/>
        </w:rPr>
        <w:t xml:space="preserve">Plan Sponsor </w:t>
      </w:r>
      <w:r>
        <w:rPr>
          <w:rFonts w:ascii="Arial" w:cs="Arial" w:eastAsia="Arial" w:hAnsi="Arial"/>
          <w:sz w:val="10"/>
          <w:szCs w:val="10"/>
          <w:color w:val="auto"/>
        </w:rPr>
        <w:t>means Clearway Energy, Inc., a Delaware company, and any successor as provided in</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Article 9</w:t>
      </w:r>
      <w:r>
        <w:rPr>
          <w:rFonts w:ascii="Arial" w:cs="Arial" w:eastAsia="Arial" w:hAnsi="Arial"/>
          <w:sz w:val="10"/>
          <w:szCs w:val="10"/>
          <w:color w:val="auto"/>
        </w:rPr>
        <w:t>.</w:t>
      </w:r>
    </w:p>
    <w:p>
      <w:pPr>
        <w:spacing w:after="0" w:line="15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2.14.</w:t>
      </w:r>
      <w:r>
        <w:rPr>
          <w:sz w:val="20"/>
          <w:szCs w:val="20"/>
          <w:color w:val="auto"/>
        </w:rPr>
        <w:tab/>
      </w:r>
      <w:r>
        <w:rPr>
          <w:rFonts w:ascii="Arial" w:cs="Arial" w:eastAsia="Arial" w:hAnsi="Arial"/>
          <w:sz w:val="10"/>
          <w:szCs w:val="10"/>
          <w:b w:val="1"/>
          <w:bCs w:val="1"/>
          <w:color w:val="auto"/>
        </w:rPr>
        <w:t xml:space="preserve">Plan Year </w:t>
      </w:r>
      <w:r>
        <w:rPr>
          <w:rFonts w:ascii="Arial" w:cs="Arial" w:eastAsia="Arial" w:hAnsi="Arial"/>
          <w:sz w:val="10"/>
          <w:szCs w:val="10"/>
          <w:color w:val="auto"/>
        </w:rPr>
        <w:t>means the consecutive twelve-month period beginning each January 1 and ending the following December 31.</w:t>
      </w:r>
    </w:p>
    <w:p>
      <w:pPr>
        <w:spacing w:after="0" w:line="150"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 xml:space="preserve">2.15. </w:t>
      </w:r>
      <w:r>
        <w:rPr>
          <w:rFonts w:ascii="Arial" w:cs="Arial" w:eastAsia="Arial" w:hAnsi="Arial"/>
          <w:sz w:val="12"/>
          <w:szCs w:val="12"/>
          <w:b w:val="1"/>
          <w:bCs w:val="1"/>
          <w:color w:val="auto"/>
        </w:rPr>
        <w:t>Release</w:t>
      </w:r>
      <w:r>
        <w:rPr>
          <w:rFonts w:ascii="Arial" w:cs="Arial" w:eastAsia="Arial" w:hAnsi="Arial"/>
          <w:sz w:val="12"/>
          <w:szCs w:val="12"/>
          <w:color w:val="auto"/>
        </w:rPr>
        <w:t xml:space="preserve"> means a general waiver and release of claims in favor of the Company, in a form drafted by and acceptable to the Company, that must be executed by a Participant as a condition to receipt of severance benefits and payments under the Plan.</w:t>
      </w:r>
    </w:p>
    <w:p>
      <w:pPr>
        <w:spacing w:after="0" w:line="10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2.16.</w:t>
      </w:r>
      <w:r>
        <w:rPr>
          <w:sz w:val="20"/>
          <w:szCs w:val="20"/>
          <w:color w:val="auto"/>
        </w:rPr>
        <w:tab/>
      </w:r>
      <w:r>
        <w:rPr>
          <w:rFonts w:ascii="Arial" w:cs="Arial" w:eastAsia="Arial" w:hAnsi="Arial"/>
          <w:sz w:val="10"/>
          <w:szCs w:val="10"/>
          <w:b w:val="1"/>
          <w:bCs w:val="1"/>
          <w:color w:val="auto"/>
        </w:rPr>
        <w:t xml:space="preserve">Salary </w:t>
      </w:r>
      <w:r>
        <w:rPr>
          <w:rFonts w:ascii="Arial" w:cs="Arial" w:eastAsia="Arial" w:hAnsi="Arial"/>
          <w:sz w:val="10"/>
          <w:szCs w:val="10"/>
          <w:color w:val="auto"/>
        </w:rPr>
        <w:t>means the Participant’s annual base salary as of the Participant’s Termination Date. The following rules shall apply in determining the Participant’s annual base salary:</w:t>
      </w:r>
    </w:p>
    <w:p>
      <w:pPr>
        <w:spacing w:after="0" w:line="150" w:lineRule="exact"/>
        <w:rPr>
          <w:sz w:val="20"/>
          <w:szCs w:val="20"/>
          <w:color w:val="auto"/>
        </w:rPr>
      </w:pPr>
    </w:p>
    <w:p>
      <w:pPr>
        <w:jc w:val="both"/>
        <w:ind w:left="1280" w:hanging="423"/>
        <w:spacing w:after="0" w:line="261" w:lineRule="auto"/>
        <w:tabs>
          <w:tab w:leader="none" w:pos="1280" w:val="left"/>
        </w:tabs>
        <w:numPr>
          <w:ilvl w:val="0"/>
          <w:numId w:val="167"/>
        </w:numPr>
        <w:rPr>
          <w:rFonts w:ascii="Arial" w:cs="Arial" w:eastAsia="Arial" w:hAnsi="Arial"/>
          <w:sz w:val="12"/>
          <w:szCs w:val="12"/>
          <w:color w:val="auto"/>
        </w:rPr>
      </w:pPr>
      <w:r>
        <w:rPr>
          <w:rFonts w:ascii="Arial" w:cs="Arial" w:eastAsia="Arial" w:hAnsi="Arial"/>
          <w:sz w:val="12"/>
          <w:szCs w:val="12"/>
          <w:b w:val="1"/>
          <w:bCs w:val="1"/>
          <w:color w:val="auto"/>
        </w:rPr>
        <w:t>Excluded Items</w:t>
      </w:r>
      <w:r>
        <w:rPr>
          <w:rFonts w:ascii="Arial" w:cs="Arial" w:eastAsia="Arial" w:hAnsi="Arial"/>
          <w:sz w:val="12"/>
          <w:szCs w:val="12"/>
          <w:color w:val="auto"/>
        </w:rPr>
        <w:t>. In determining a Participant’s Salary, there shall be excluded all of the following: (i) overtime and shift differential pay, (ii) expense allowances, (iii) deferred compensation at the time it is paid,</w:t>
      </w:r>
      <w:r>
        <w:rPr>
          <w:rFonts w:ascii="Arial" w:cs="Arial" w:eastAsia="Arial" w:hAnsi="Arial"/>
          <w:sz w:val="12"/>
          <w:szCs w:val="12"/>
          <w:b w:val="1"/>
          <w:bCs w:val="1"/>
          <w:color w:val="auto"/>
        </w:rPr>
        <w:t xml:space="preserve"> </w:t>
      </w:r>
      <w:r>
        <w:rPr>
          <w:rFonts w:ascii="Arial" w:cs="Arial" w:eastAsia="Arial" w:hAnsi="Arial"/>
          <w:sz w:val="12"/>
          <w:szCs w:val="12"/>
          <w:color w:val="auto"/>
        </w:rPr>
        <w:t>or deferred, including pay for any accrued but unused Paid Time Off, (iv) long term disability pay, (v) bonus or other incentive, (vi) payments, discounts or grants under any stock purchase, stock option, phantom stock unit or restricted stock plan, (vii) severance pay, (viii) contributions or benefits under any other employee benefit or fringe benefit plan (except as provided in subsection (b)), (ix) tax gross-ups, or (x) other payments of a similar nature.</w:t>
      </w:r>
    </w:p>
    <w:p>
      <w:pPr>
        <w:spacing w:after="0" w:line="120" w:lineRule="exact"/>
        <w:rPr>
          <w:rFonts w:ascii="Arial" w:cs="Arial" w:eastAsia="Arial" w:hAnsi="Arial"/>
          <w:sz w:val="12"/>
          <w:szCs w:val="12"/>
          <w:color w:val="auto"/>
        </w:rPr>
      </w:pPr>
    </w:p>
    <w:p>
      <w:pPr>
        <w:ind w:left="1280" w:hanging="423"/>
        <w:spacing w:after="0" w:line="331" w:lineRule="auto"/>
        <w:tabs>
          <w:tab w:leader="none" w:pos="1280" w:val="left"/>
        </w:tabs>
        <w:numPr>
          <w:ilvl w:val="0"/>
          <w:numId w:val="167"/>
        </w:numPr>
        <w:rPr>
          <w:rFonts w:ascii="Arial" w:cs="Arial" w:eastAsia="Arial" w:hAnsi="Arial"/>
          <w:sz w:val="11"/>
          <w:szCs w:val="11"/>
          <w:color w:val="auto"/>
        </w:rPr>
      </w:pPr>
      <w:r>
        <w:rPr>
          <w:rFonts w:ascii="Arial" w:cs="Arial" w:eastAsia="Arial" w:hAnsi="Arial"/>
          <w:sz w:val="11"/>
          <w:szCs w:val="11"/>
          <w:b w:val="1"/>
          <w:bCs w:val="1"/>
          <w:color w:val="auto"/>
        </w:rPr>
        <w:t>Included Items</w:t>
      </w:r>
      <w:r>
        <w:rPr>
          <w:rFonts w:ascii="Arial" w:cs="Arial" w:eastAsia="Arial" w:hAnsi="Arial"/>
          <w:sz w:val="11"/>
          <w:szCs w:val="11"/>
          <w:color w:val="auto"/>
        </w:rPr>
        <w:t>. Elective contributions made by the Plan Sponsor or its Affiliates on behalf of a Participant that are not includable in gross income under Sections 125 or 402(e)(3) of the Code, including elective</w:t>
      </w:r>
      <w:r>
        <w:rPr>
          <w:rFonts w:ascii="Arial" w:cs="Arial" w:eastAsia="Arial" w:hAnsi="Arial"/>
          <w:sz w:val="11"/>
          <w:szCs w:val="11"/>
          <w:b w:val="1"/>
          <w:bCs w:val="1"/>
          <w:color w:val="auto"/>
        </w:rPr>
        <w:t xml:space="preserve"> </w:t>
      </w:r>
      <w:r>
        <w:rPr>
          <w:rFonts w:ascii="Arial" w:cs="Arial" w:eastAsia="Arial" w:hAnsi="Arial"/>
          <w:sz w:val="11"/>
          <w:szCs w:val="11"/>
          <w:color w:val="auto"/>
        </w:rPr>
        <w:t>contributions authorized by the Participant under a cafeteria plan or any qualified cash or deferred arrangement under Section 401(k) of the Code, and short term disability payments shall be included in Salary.</w:t>
      </w:r>
    </w:p>
    <w:p>
      <w:pPr>
        <w:spacing w:after="0" w:line="83" w:lineRule="exact"/>
        <w:rPr>
          <w:rFonts w:ascii="Arial" w:cs="Arial" w:eastAsia="Arial" w:hAnsi="Arial"/>
          <w:sz w:val="11"/>
          <w:szCs w:val="11"/>
          <w:color w:val="auto"/>
        </w:rPr>
      </w:pPr>
    </w:p>
    <w:p>
      <w:pPr>
        <w:ind w:left="1280" w:hanging="423"/>
        <w:spacing w:after="0"/>
        <w:tabs>
          <w:tab w:leader="none" w:pos="1280" w:val="left"/>
        </w:tabs>
        <w:numPr>
          <w:ilvl w:val="0"/>
          <w:numId w:val="167"/>
        </w:numPr>
        <w:rPr>
          <w:rFonts w:ascii="Arial" w:cs="Arial" w:eastAsia="Arial" w:hAnsi="Arial"/>
          <w:sz w:val="12"/>
          <w:szCs w:val="12"/>
          <w:color w:val="auto"/>
        </w:rPr>
      </w:pPr>
      <w:r>
        <w:rPr>
          <w:rFonts w:ascii="Arial" w:cs="Arial" w:eastAsia="Arial" w:hAnsi="Arial"/>
          <w:sz w:val="12"/>
          <w:szCs w:val="12"/>
          <w:b w:val="1"/>
          <w:bCs w:val="1"/>
          <w:color w:val="auto"/>
        </w:rPr>
        <w:t>Post-Termination Pay</w:t>
      </w:r>
      <w:r>
        <w:rPr>
          <w:rFonts w:ascii="Arial" w:cs="Arial" w:eastAsia="Arial" w:hAnsi="Arial"/>
          <w:sz w:val="12"/>
          <w:szCs w:val="12"/>
          <w:color w:val="auto"/>
        </w:rPr>
        <w:t>. Amounts received after the Participant’s Termination Date shall not be taken into account in determining a Participant’s Salary.</w:t>
      </w:r>
    </w:p>
    <w:p>
      <w:pPr>
        <w:spacing w:after="0" w:line="150"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2.17.</w:t>
      </w:r>
      <w:r>
        <w:rPr>
          <w:sz w:val="20"/>
          <w:szCs w:val="20"/>
          <w:color w:val="auto"/>
        </w:rPr>
        <w:tab/>
      </w:r>
      <w:r>
        <w:rPr>
          <w:rFonts w:ascii="Arial" w:cs="Arial" w:eastAsia="Arial" w:hAnsi="Arial"/>
          <w:sz w:val="10"/>
          <w:szCs w:val="10"/>
          <w:b w:val="1"/>
          <w:bCs w:val="1"/>
          <w:color w:val="auto"/>
        </w:rPr>
        <w:t xml:space="preserve">Severance Weeks </w:t>
      </w:r>
      <w:r>
        <w:rPr>
          <w:rFonts w:ascii="Arial" w:cs="Arial" w:eastAsia="Arial" w:hAnsi="Arial"/>
          <w:sz w:val="10"/>
          <w:szCs w:val="10"/>
          <w:color w:val="auto"/>
        </w:rPr>
        <w:t>means the number of weeks according to a Participant’s job level and personnel subarea, if applicable, as indicated in the Company’s human resources information systems, per the table below:</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80"/>
          </w:cols>
          <w:pgMar w:left="220" w:top="460" w:right="199" w:bottom="1440" w:gutter="0" w:footer="0" w:header="0"/>
        </w:sectPr>
      </w:pPr>
    </w:p>
    <w:bookmarkStart w:id="211" w:name="page212"/>
    <w:bookmarkEnd w:id="211"/>
    <w:tbl>
      <w:tblPr>
        <w:tblLayout w:type="fixed"/>
        <w:tblInd w:w="10" w:type="dxa"/>
        <w:tblCellMar>
          <w:top w:w="0" w:type="dxa"/>
          <w:left w:w="0" w:type="dxa"/>
          <w:bottom w:w="0" w:type="dxa"/>
          <w:right w:w="0" w:type="dxa"/>
        </w:tblCellMar>
      </w:tblPr>
      <w:tr>
        <w:trPr>
          <w:trHeight w:val="180"/>
        </w:trPr>
        <w:tc>
          <w:tcPr>
            <w:tcW w:w="4980" w:type="dxa"/>
            <w:vAlign w:val="bottom"/>
            <w:tcBorders>
              <w:top w:val="single" w:sz="8" w:color="00000A"/>
              <w:left w:val="single" w:sz="8" w:color="00000A"/>
              <w:bottom w:val="single" w:sz="8" w:color="00000A"/>
              <w:right w:val="single" w:sz="8" w:color="00000A"/>
            </w:tcBorders>
            <w:shd w:val="clear" w:color="auto" w:fill="CCCCCC"/>
          </w:tcPr>
          <w:p>
            <w:pPr>
              <w:ind w:left="20"/>
              <w:spacing w:after="0"/>
              <w:rPr>
                <w:sz w:val="20"/>
                <w:szCs w:val="20"/>
                <w:color w:val="auto"/>
              </w:rPr>
            </w:pPr>
            <w:r>
              <w:rPr>
                <w:rFonts w:ascii="Arial" w:cs="Arial" w:eastAsia="Arial" w:hAnsi="Arial"/>
                <w:sz w:val="12"/>
                <w:szCs w:val="12"/>
                <w:b w:val="1"/>
                <w:bCs w:val="1"/>
                <w:color w:val="auto"/>
              </w:rPr>
              <w:t>Assignment</w:t>
            </w:r>
          </w:p>
        </w:tc>
        <w:tc>
          <w:tcPr>
            <w:tcW w:w="6320" w:type="dxa"/>
            <w:vAlign w:val="bottom"/>
            <w:tcBorders>
              <w:top w:val="single" w:sz="8" w:color="00000A"/>
              <w:bottom w:val="single" w:sz="8" w:color="00000A"/>
              <w:right w:val="single" w:sz="8" w:color="00000A"/>
            </w:tcBorders>
            <w:shd w:val="clear" w:color="auto" w:fill="CCCCCC"/>
          </w:tcPr>
          <w:p>
            <w:pPr>
              <w:ind w:left="20"/>
              <w:spacing w:after="0"/>
              <w:rPr>
                <w:sz w:val="20"/>
                <w:szCs w:val="20"/>
                <w:color w:val="auto"/>
              </w:rPr>
            </w:pPr>
            <w:r>
              <w:rPr>
                <w:rFonts w:ascii="Arial" w:cs="Arial" w:eastAsia="Arial" w:hAnsi="Arial"/>
                <w:sz w:val="12"/>
                <w:szCs w:val="12"/>
                <w:b w:val="1"/>
                <w:bCs w:val="1"/>
                <w:color w:val="auto"/>
              </w:rPr>
              <w:t>Severance Weeks</w:t>
            </w:r>
          </w:p>
        </w:tc>
      </w:tr>
      <w:tr>
        <w:trPr>
          <w:trHeight w:val="151"/>
        </w:trPr>
        <w:tc>
          <w:tcPr>
            <w:tcW w:w="498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Job Level = Professional (Plant); or,</w:t>
            </w:r>
          </w:p>
        </w:tc>
        <w:tc>
          <w:tcPr>
            <w:tcW w:w="6320" w:type="dxa"/>
            <w:vAlign w:val="bottom"/>
            <w:tcBorders>
              <w:right w:val="single" w:sz="8" w:color="00000A"/>
            </w:tcBorders>
          </w:tcPr>
          <w:p>
            <w:pPr>
              <w:ind w:left="20"/>
              <w:spacing w:after="0"/>
              <w:rPr>
                <w:sz w:val="20"/>
                <w:szCs w:val="20"/>
                <w:color w:val="auto"/>
              </w:rPr>
            </w:pPr>
            <w:r>
              <w:rPr>
                <w:rFonts w:ascii="Arial" w:cs="Arial" w:eastAsia="Arial" w:hAnsi="Arial"/>
                <w:sz w:val="12"/>
                <w:szCs w:val="12"/>
                <w:color w:val="auto"/>
              </w:rPr>
              <w:t>The greater of 8 weeks of base pay or 1.5 weeks of base pay per Year of Service. Maximum 52 weeks</w:t>
            </w:r>
          </w:p>
        </w:tc>
      </w:tr>
      <w:tr>
        <w:trPr>
          <w:trHeight w:val="162"/>
        </w:trPr>
        <w:tc>
          <w:tcPr>
            <w:tcW w:w="498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Job Level = Professional and personnel subarea = Non-exempt</w:t>
            </w:r>
          </w:p>
        </w:tc>
        <w:tc>
          <w:tcPr>
            <w:tcW w:w="6320" w:type="dxa"/>
            <w:vAlign w:val="bottom"/>
            <w:tcBorders>
              <w:bottom w:val="single" w:sz="8" w:color="00000A"/>
              <w:right w:val="single" w:sz="8" w:color="00000A"/>
            </w:tcBorders>
          </w:tcPr>
          <w:p>
            <w:pPr>
              <w:spacing w:after="0"/>
              <w:rPr>
                <w:sz w:val="14"/>
                <w:szCs w:val="14"/>
                <w:color w:val="auto"/>
              </w:rPr>
            </w:pPr>
          </w:p>
        </w:tc>
      </w:tr>
      <w:tr>
        <w:trPr>
          <w:trHeight w:val="151"/>
        </w:trPr>
        <w:tc>
          <w:tcPr>
            <w:tcW w:w="498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Job Level = Professional</w:t>
            </w:r>
          </w:p>
        </w:tc>
        <w:tc>
          <w:tcPr>
            <w:tcW w:w="6320" w:type="dxa"/>
            <w:vAlign w:val="bottom"/>
            <w:tcBorders>
              <w:right w:val="single" w:sz="8" w:color="00000A"/>
            </w:tcBorders>
          </w:tcPr>
          <w:p>
            <w:pPr>
              <w:ind w:left="20"/>
              <w:spacing w:after="0"/>
              <w:rPr>
                <w:sz w:val="20"/>
                <w:szCs w:val="20"/>
                <w:color w:val="auto"/>
              </w:rPr>
            </w:pPr>
            <w:r>
              <w:rPr>
                <w:rFonts w:ascii="Arial" w:cs="Arial" w:eastAsia="Arial" w:hAnsi="Arial"/>
                <w:sz w:val="12"/>
                <w:szCs w:val="12"/>
                <w:color w:val="auto"/>
              </w:rPr>
              <w:t>The greater of 12 weeks of base pay or 1.5 weeks of base pay per Year of Service. Maximum 52 weeks.</w:t>
            </w:r>
          </w:p>
        </w:tc>
      </w:tr>
      <w:tr>
        <w:trPr>
          <w:trHeight w:val="162"/>
        </w:trPr>
        <w:tc>
          <w:tcPr>
            <w:tcW w:w="498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personnel subarea = Exempt</w:t>
            </w:r>
          </w:p>
        </w:tc>
        <w:tc>
          <w:tcPr>
            <w:tcW w:w="6320" w:type="dxa"/>
            <w:vAlign w:val="bottom"/>
            <w:tcBorders>
              <w:bottom w:val="single" w:sz="8" w:color="00000A"/>
              <w:right w:val="single" w:sz="8" w:color="00000A"/>
            </w:tcBorders>
          </w:tcPr>
          <w:p>
            <w:pPr>
              <w:spacing w:after="0"/>
              <w:rPr>
                <w:sz w:val="14"/>
                <w:szCs w:val="14"/>
                <w:color w:val="auto"/>
              </w:rPr>
            </w:pPr>
          </w:p>
        </w:tc>
      </w:tr>
      <w:tr>
        <w:trPr>
          <w:trHeight w:val="169"/>
        </w:trPr>
        <w:tc>
          <w:tcPr>
            <w:tcW w:w="498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Job Level = Manager or Senior Manager</w:t>
            </w:r>
          </w:p>
        </w:tc>
        <w:tc>
          <w:tcPr>
            <w:tcW w:w="63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The greater of 16 weeks of base pay or 1.5 weeks of base pay per Year of Service. Maximum 52 weeks.</w:t>
            </w:r>
          </w:p>
        </w:tc>
      </w:tr>
      <w:tr>
        <w:trPr>
          <w:trHeight w:val="169"/>
        </w:trPr>
        <w:tc>
          <w:tcPr>
            <w:tcW w:w="498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Job Level = Director</w:t>
            </w:r>
          </w:p>
        </w:tc>
        <w:tc>
          <w:tcPr>
            <w:tcW w:w="63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2"/>
                <w:szCs w:val="12"/>
                <w:color w:val="auto"/>
              </w:rPr>
              <w:t>The greater of 24 weeks of base pay or 1.5 weeks of base pay per Year of Service. Maximum 52 weeks.</w:t>
            </w:r>
          </w:p>
        </w:tc>
      </w:tr>
    </w:tbl>
    <w:p>
      <w:pPr>
        <w:ind w:left="420"/>
        <w:spacing w:after="0"/>
        <w:tabs>
          <w:tab w:leader="none" w:pos="760" w:val="left"/>
        </w:tabs>
        <w:rPr>
          <w:sz w:val="20"/>
          <w:szCs w:val="20"/>
          <w:color w:val="auto"/>
        </w:rPr>
      </w:pPr>
      <w:r>
        <w:rPr>
          <w:rFonts w:ascii="Arial" w:cs="Arial" w:eastAsia="Arial" w:hAnsi="Arial"/>
          <w:sz w:val="12"/>
          <w:szCs w:val="12"/>
          <w:color w:val="auto"/>
        </w:rPr>
        <w:t>2.18.</w:t>
      </w:r>
      <w:r>
        <w:rPr>
          <w:sz w:val="20"/>
          <w:szCs w:val="20"/>
          <w:color w:val="auto"/>
        </w:rPr>
        <w:tab/>
      </w:r>
      <w:r>
        <w:rPr>
          <w:rFonts w:ascii="Arial" w:cs="Arial" w:eastAsia="Arial" w:hAnsi="Arial"/>
          <w:sz w:val="10"/>
          <w:szCs w:val="10"/>
          <w:b w:val="1"/>
          <w:bCs w:val="1"/>
          <w:color w:val="auto"/>
        </w:rPr>
        <w:t xml:space="preserve">Termination Date </w:t>
      </w:r>
      <w:r>
        <w:rPr>
          <w:rFonts w:ascii="Arial" w:cs="Arial" w:eastAsia="Arial" w:hAnsi="Arial"/>
          <w:sz w:val="10"/>
          <w:szCs w:val="10"/>
          <w:color w:val="auto"/>
        </w:rPr>
        <w:t>means the date on which the Participant’s employment with the Company or its Affiliates terminates and such termination is also a “separation from service” for purposes of Code Section 409A.</w:t>
      </w:r>
    </w:p>
    <w:p>
      <w:pPr>
        <w:spacing w:after="0" w:line="137"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12"/>
          <w:szCs w:val="12"/>
          <w:color w:val="auto"/>
        </w:rPr>
        <w:t>2.19.</w:t>
      </w:r>
      <w:r>
        <w:rPr>
          <w:sz w:val="20"/>
          <w:szCs w:val="20"/>
          <w:color w:val="auto"/>
        </w:rPr>
        <w:tab/>
      </w:r>
      <w:r>
        <w:rPr>
          <w:rFonts w:ascii="Arial" w:cs="Arial" w:eastAsia="Arial" w:hAnsi="Arial"/>
          <w:sz w:val="11"/>
          <w:szCs w:val="11"/>
          <w:b w:val="1"/>
          <w:bCs w:val="1"/>
          <w:color w:val="auto"/>
        </w:rPr>
        <w:t xml:space="preserve">Weekly Compensation </w:t>
      </w:r>
      <w:r>
        <w:rPr>
          <w:rFonts w:ascii="Arial" w:cs="Arial" w:eastAsia="Arial" w:hAnsi="Arial"/>
          <w:sz w:val="11"/>
          <w:szCs w:val="11"/>
          <w:color w:val="auto"/>
        </w:rPr>
        <w:t>means the Participant’s Salary divided by fifty-two (52).</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 xml:space="preserve">2.20. </w:t>
      </w:r>
      <w:r>
        <w:rPr>
          <w:rFonts w:ascii="Arial" w:cs="Arial" w:eastAsia="Arial" w:hAnsi="Arial"/>
          <w:sz w:val="12"/>
          <w:szCs w:val="12"/>
          <w:b w:val="1"/>
          <w:bCs w:val="1"/>
          <w:color w:val="auto"/>
        </w:rPr>
        <w:t>Years of Service</w:t>
      </w:r>
      <w:r>
        <w:rPr>
          <w:rFonts w:ascii="Arial" w:cs="Arial" w:eastAsia="Arial" w:hAnsi="Arial"/>
          <w:sz w:val="12"/>
          <w:szCs w:val="12"/>
          <w:color w:val="auto"/>
        </w:rPr>
        <w:t xml:space="preserve"> means a Participant’s completed and partial calendar years of continuous service for the Company and its Affiliates. Years of Service shall include completed and partial calendar years of continuous service for NRG Energy, Inc. and its affiliates. Years of Service shall include time on any Company approved leave of absence. Years of Service shall not include any accrued but unused Paid Time Off benefits as of the employee’s Termination Date. Service as a temporary or temporary/part-time employee will not be considered a termination or interruption of employment, but will not count toward Years of Service. Years of Service will terminate on the employee’s Termination Date. An employee who terminates employment and is rehired by the Company or an Affiliate will not receive credit for any prior Years of Service.</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Article 3.</w:t>
      </w:r>
      <w:r>
        <w:rPr>
          <w:sz w:val="20"/>
          <w:szCs w:val="20"/>
          <w:color w:val="auto"/>
        </w:rPr>
        <w:tab/>
      </w:r>
      <w:r>
        <w:rPr>
          <w:rFonts w:ascii="Arial" w:cs="Arial" w:eastAsia="Arial" w:hAnsi="Arial"/>
          <w:sz w:val="11"/>
          <w:szCs w:val="11"/>
          <w:b w:val="1"/>
          <w:bCs w:val="1"/>
          <w:color w:val="auto"/>
        </w:rPr>
        <w:t>Eligibility and Participation.</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b w:val="1"/>
          <w:bCs w:val="1"/>
          <w:color w:val="auto"/>
        </w:rPr>
        <w:t>Eligibility</w:t>
      </w:r>
      <w:r>
        <w:rPr>
          <w:rFonts w:ascii="Arial" w:cs="Arial" w:eastAsia="Arial" w:hAnsi="Arial"/>
          <w:sz w:val="12"/>
          <w:szCs w:val="12"/>
          <w:color w:val="auto"/>
        </w:rPr>
        <w:t>. Persons eligible to participate in the Plan shall be limited to Eligible Employees whose positions are eliminated or consolidated with another position due to reductions in force or as a result of a Clearway Energy, Inc. restructuring and such position elimination also constitutes a “separation from service” for purposes of Code § 409A. No employee is eligible unless he or she has received a written notice from the Company informing him/her that he/she qualifies for benefits under this Plan. Furthermore, to become a Participant, an Eligible Employee must sign and not revoke an effective Release, and such Release shall no longer be subject to revocation, in each case within sixty (60) days of the Termination Date.</w:t>
      </w:r>
    </w:p>
    <w:p>
      <w:pPr>
        <w:spacing w:after="0" w:line="12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b w:val="1"/>
          <w:bCs w:val="1"/>
          <w:color w:val="auto"/>
        </w:rPr>
        <w:t>Commencement of Participation</w:t>
      </w:r>
      <w:r>
        <w:rPr>
          <w:rFonts w:ascii="Arial" w:cs="Arial" w:eastAsia="Arial" w:hAnsi="Arial"/>
          <w:sz w:val="12"/>
          <w:szCs w:val="12"/>
          <w:color w:val="auto"/>
        </w:rPr>
        <w:t>. An Eligible Employee shall commence participation in the Plan upon the later of the Eligible Employee’s Termination Date or the date the Eligible Employee’s signed Release becomes irrevocable.</w:t>
      </w:r>
    </w:p>
    <w:p>
      <w:pPr>
        <w:spacing w:after="0" w:line="107"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0"/>
          <w:szCs w:val="10"/>
          <w:b w:val="1"/>
          <w:bCs w:val="1"/>
          <w:color w:val="auto"/>
        </w:rPr>
        <w:t>Cessation of Participation</w:t>
      </w:r>
      <w:r>
        <w:rPr>
          <w:rFonts w:ascii="Arial" w:cs="Arial" w:eastAsia="Arial" w:hAnsi="Arial"/>
          <w:sz w:val="10"/>
          <w:szCs w:val="10"/>
          <w:color w:val="auto"/>
        </w:rPr>
        <w:t>. Participation in the Plan shall end on the earliest of:</w:t>
      </w:r>
    </w:p>
    <w:p>
      <w:pPr>
        <w:spacing w:after="0" w:line="154" w:lineRule="exact"/>
        <w:rPr>
          <w:sz w:val="20"/>
          <w:szCs w:val="20"/>
          <w:color w:val="auto"/>
        </w:rPr>
      </w:pPr>
    </w:p>
    <w:p>
      <w:pPr>
        <w:ind w:left="1280" w:hanging="423"/>
        <w:spacing w:after="0"/>
        <w:tabs>
          <w:tab w:leader="none" w:pos="12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when the Participant’s Period of Severance ends,</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when the Participant has received full payment of the Participant’s benefit under the Plan, or</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the Participant is rehired by the Company or Affiliate (whether directly, indirectly or through an employment agency or contractor).</w:t>
      </w:r>
    </w:p>
    <w:p>
      <w:pPr>
        <w:spacing w:after="0" w:line="146"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1"/>
          <w:szCs w:val="11"/>
          <w:b w:val="1"/>
          <w:bCs w:val="1"/>
          <w:color w:val="auto"/>
        </w:rPr>
        <w:t>Ineligibility</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80"/>
          </w:cols>
          <w:pgMar w:left="220" w:top="543" w:right="199" w:bottom="1440" w:gutter="0" w:footer="0" w:header="0"/>
        </w:sectPr>
      </w:pPr>
    </w:p>
    <w:bookmarkStart w:id="212" w:name="page213"/>
    <w:bookmarkEnd w:id="212"/>
    <w:p>
      <w:pPr>
        <w:jc w:val="both"/>
        <w:ind w:left="1280" w:hanging="423"/>
        <w:spacing w:after="0" w:line="259" w:lineRule="auto"/>
        <w:tabs>
          <w:tab w:leader="none" w:pos="12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 xml:space="preserve">Comparable Position. The Company may offer an employee a comparable position, may require an employee to apply for a comparable position with the Company or any Affiliate, or may reassign an employee to a new position or a reclassification of the employee’s current position;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such positions shall be located within reasonably the same geographic area where the employee is located on the Termination Date. The Company shall determine, in its sole and reasonable discretion, what constitutes a comparable position under this </w:t>
      </w:r>
      <w:r>
        <w:rPr>
          <w:rFonts w:ascii="Arial" w:cs="Arial" w:eastAsia="Arial" w:hAnsi="Arial"/>
          <w:sz w:val="12"/>
          <w:szCs w:val="12"/>
          <w:u w:val="single" w:color="auto"/>
          <w:color w:val="auto"/>
        </w:rPr>
        <w:t>Section 3.4(a)</w:t>
      </w:r>
      <w:r>
        <w:rPr>
          <w:rFonts w:ascii="Arial" w:cs="Arial" w:eastAsia="Arial" w:hAnsi="Arial"/>
          <w:sz w:val="12"/>
          <w:szCs w:val="12"/>
          <w:color w:val="auto"/>
        </w:rPr>
        <w:t>. The failure of an employee to accept the position, or apply for the position when required by the Company will render the employee ineligible for benefits under this Plan.</w:t>
      </w:r>
    </w:p>
    <w:p>
      <w:pPr>
        <w:spacing w:after="0" w:line="124" w:lineRule="exact"/>
        <w:rPr>
          <w:rFonts w:ascii="Arial" w:cs="Arial" w:eastAsia="Arial" w:hAnsi="Arial"/>
          <w:sz w:val="12"/>
          <w:szCs w:val="12"/>
          <w:color w:val="auto"/>
        </w:rPr>
      </w:pPr>
    </w:p>
    <w:p>
      <w:pPr>
        <w:jc w:val="both"/>
        <w:ind w:left="1280" w:hanging="423"/>
        <w:spacing w:after="0" w:line="280" w:lineRule="auto"/>
        <w:tabs>
          <w:tab w:leader="none" w:pos="1280" w:val="left"/>
        </w:tabs>
        <w:numPr>
          <w:ilvl w:val="0"/>
          <w:numId w:val="169"/>
        </w:numPr>
        <w:rPr>
          <w:rFonts w:ascii="Arial" w:cs="Arial" w:eastAsia="Arial" w:hAnsi="Arial"/>
          <w:sz w:val="11"/>
          <w:szCs w:val="11"/>
          <w:color w:val="auto"/>
        </w:rPr>
      </w:pPr>
      <w:r>
        <w:rPr>
          <w:rFonts w:ascii="Arial" w:cs="Arial" w:eastAsia="Arial" w:hAnsi="Arial"/>
          <w:sz w:val="11"/>
          <w:szCs w:val="11"/>
          <w:color w:val="auto"/>
        </w:rPr>
        <w:t>Other Circumstances. An employee shall also be ineligible for benefits under this Plan if the employee voluntarily terminates employment or retires prior to the position elimination effective date; is receiving long-term disability benefits under a Company sponsored long-term disability plan; is a rehired Company retiree; is entitled to any other compensation or benefit which is determined, in the Company’s sole discretion, to supersede the severance benefits offered under this Plan; is discharged under circumstances that the Company determines, in its sole discretion, to involve unacceptable performance or failure to perform, misconduct, negligence, dishonesty, violation of Company policy, or the inability (with or without reasonable accommodation) to perform the essential functions of the employee’s position; or is offered employment by a successor employer or by a purchaser in the event of a spin-off or sale of a subsidiary, business unit or business assets of the Company or its subsidiaries, whether or not the employee accepts or declines the offer of employment. For the avoidance of doubt, employees in positions that are transitioned to a third-party administrator, outsourcing partner, or strategic business partner where employment terms and conditions, in the aggregate, are of a substantially same or similar nature, and where employment is continuous and uninterrupted from the Company to a third-party administrator, outsourcing partner, or strategic business party are not eligible for benefits under the Plan.</w:t>
      </w:r>
    </w:p>
    <w:p>
      <w:pPr>
        <w:spacing w:after="0" w:line="11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b w:val="1"/>
          <w:bCs w:val="1"/>
          <w:color w:val="auto"/>
        </w:rPr>
        <w:t>No Duplication of Severance Benefits</w:t>
      </w:r>
      <w:r>
        <w:rPr>
          <w:rFonts w:ascii="Arial" w:cs="Arial" w:eastAsia="Arial" w:hAnsi="Arial"/>
          <w:sz w:val="12"/>
          <w:szCs w:val="12"/>
          <w:color w:val="auto"/>
        </w:rPr>
        <w:t>. For the avoidance of doubt, if a Participant is eligible for severance benefits under this Plan, such benefits shall be in lieu of all other severance benefits for which the Participant may be eligible under any other Company-related severance plans, programs, or other agreements</w:t>
      </w:r>
      <w:r>
        <w:rPr>
          <w:rFonts w:ascii="Arial" w:cs="Arial" w:eastAsia="Arial" w:hAnsi="Arial"/>
          <w:sz w:val="12"/>
          <w:szCs w:val="12"/>
          <w:b w:val="1"/>
          <w:bCs w:val="1"/>
          <w:color w:val="auto"/>
        </w:rPr>
        <w:t>.</w:t>
      </w:r>
    </w:p>
    <w:p>
      <w:pPr>
        <w:spacing w:after="0" w:line="107"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Article 4.</w:t>
      </w:r>
      <w:r>
        <w:rPr>
          <w:sz w:val="20"/>
          <w:szCs w:val="20"/>
          <w:color w:val="auto"/>
        </w:rPr>
        <w:tab/>
      </w:r>
      <w:r>
        <w:rPr>
          <w:rFonts w:ascii="Arial" w:cs="Arial" w:eastAsia="Arial" w:hAnsi="Arial"/>
          <w:sz w:val="10"/>
          <w:szCs w:val="10"/>
          <w:b w:val="1"/>
          <w:bCs w:val="1"/>
          <w:color w:val="auto"/>
        </w:rPr>
        <w:t>Severance Benefits.</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b w:val="1"/>
          <w:bCs w:val="1"/>
          <w:color w:val="auto"/>
        </w:rPr>
        <w:t>Lump Sum Payment</w:t>
      </w:r>
      <w:r>
        <w:rPr>
          <w:rFonts w:ascii="Arial" w:cs="Arial" w:eastAsia="Arial" w:hAnsi="Arial"/>
          <w:sz w:val="11"/>
          <w:szCs w:val="11"/>
          <w:color w:val="auto"/>
        </w:rPr>
        <w:t>. The Participant shall receive a lump sum payment, paid in the standard bi-weekly payroll cycle for the Participant (determined as of the Participant’s Termination Date), promptly after the Release is executed and no longer subject to revocation. Notwithstanding the foregoing, in the event the period during which the Participant may adopt the Release and its applicable revocation period cross calendar years, all payments under this Plan shall be made in the succeeding calendar year. The lump sum payment shall equal the Participant’s Weekly Compensation multiplied by the Participant’s number of Severance Weeks.</w:t>
      </w:r>
    </w:p>
    <w:p>
      <w:pPr>
        <w:spacing w:after="0" w:line="99" w:lineRule="exact"/>
        <w:rPr>
          <w:sz w:val="20"/>
          <w:szCs w:val="20"/>
          <w:color w:val="auto"/>
        </w:rPr>
      </w:pPr>
    </w:p>
    <w:p>
      <w:pPr>
        <w:jc w:val="both"/>
        <w:ind w:firstLine="432"/>
        <w:spacing w:after="0" w:line="331" w:lineRule="auto"/>
        <w:rPr>
          <w:sz w:val="20"/>
          <w:szCs w:val="20"/>
          <w:color w:val="auto"/>
        </w:rPr>
      </w:pPr>
      <w:r>
        <w:rPr>
          <w:rFonts w:ascii="Arial" w:cs="Arial" w:eastAsia="Arial" w:hAnsi="Arial"/>
          <w:sz w:val="11"/>
          <w:szCs w:val="11"/>
          <w:color w:val="auto"/>
        </w:rPr>
        <w:t xml:space="preserve">4.2. </w:t>
      </w:r>
      <w:r>
        <w:rPr>
          <w:rFonts w:ascii="Arial" w:cs="Arial" w:eastAsia="Arial" w:hAnsi="Arial"/>
          <w:sz w:val="11"/>
          <w:szCs w:val="11"/>
          <w:b w:val="1"/>
          <w:bCs w:val="1"/>
          <w:color w:val="auto"/>
        </w:rPr>
        <w:t>Death Benefit</w:t>
      </w:r>
      <w:r>
        <w:rPr>
          <w:rFonts w:ascii="Arial" w:cs="Arial" w:eastAsia="Arial" w:hAnsi="Arial"/>
          <w:sz w:val="11"/>
          <w:szCs w:val="11"/>
          <w:color w:val="auto"/>
        </w:rPr>
        <w:t>. An Eligible Employee who is otherwise eligible under Section 3.1 will cease to be eligible to receive severance benefits on the employee’s death, unless the death occurs after the date the Release is executed and not revoked, in which case the remaining benefits, if any, will be paid to the Eligible Employee in accordance with the Company’s regular payroll practices or to the Eligible Employee’s estate, as applicable.</w:t>
      </w:r>
    </w:p>
    <w:p>
      <w:pPr>
        <w:spacing w:after="0" w:line="83"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b w:val="1"/>
          <w:bCs w:val="1"/>
          <w:color w:val="auto"/>
        </w:rPr>
        <w:t>Outplacement Benefits</w:t>
      </w:r>
      <w:r>
        <w:rPr>
          <w:rFonts w:ascii="Arial" w:cs="Arial" w:eastAsia="Arial" w:hAnsi="Arial"/>
          <w:sz w:val="12"/>
          <w:szCs w:val="12"/>
          <w:color w:val="auto"/>
        </w:rPr>
        <w:t>. The Company shall provide Eligible Employees who are entitled to severance benefits with outplacement services through the Company’s contracted provider or one selected by the employee and approved in advance by the Company.</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b w:val="1"/>
          <w:bCs w:val="1"/>
          <w:color w:val="auto"/>
        </w:rPr>
        <w:t>Reduction of Other Benefits</w:t>
      </w:r>
      <w:r>
        <w:rPr>
          <w:rFonts w:ascii="Arial" w:cs="Arial" w:eastAsia="Arial" w:hAnsi="Arial"/>
          <w:sz w:val="12"/>
          <w:szCs w:val="12"/>
          <w:color w:val="auto"/>
        </w:rPr>
        <w:t>. Any benefits provided under this Plan will be reduced by the value of any severance benefit required to be paid to the employee under federal, state or local statute, ordinance or regulation, including any payments or extended periods of employment required to comply with any law governing plant closings,</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80"/>
          </w:cols>
          <w:pgMar w:left="220" w:top="464" w:right="199" w:bottom="1440" w:gutter="0" w:footer="0" w:header="0"/>
        </w:sectPr>
      </w:pPr>
    </w:p>
    <w:bookmarkStart w:id="213" w:name="page214"/>
    <w:bookmarkEnd w:id="213"/>
    <w:p>
      <w:pPr>
        <w:jc w:val="both"/>
        <w:ind w:left="8"/>
        <w:spacing w:after="0" w:line="263" w:lineRule="auto"/>
        <w:rPr>
          <w:sz w:val="20"/>
          <w:szCs w:val="20"/>
          <w:color w:val="auto"/>
        </w:rPr>
      </w:pPr>
      <w:r>
        <w:rPr>
          <w:rFonts w:ascii="Arial" w:cs="Arial" w:eastAsia="Arial" w:hAnsi="Arial"/>
          <w:sz w:val="12"/>
          <w:szCs w:val="12"/>
          <w:color w:val="auto"/>
        </w:rPr>
        <w:t>layoffs or similar events. If benefits are paid under this Plan, and, subsequent to such payment, an amount is determined to be payable to the employee which would under the terms of this section reduce the benefit payable under the Plan, the Company or Affiliate shall be entitled to recover from the employee the overpayment made under this Plan and shall, to the extent permitted by law, be entitled to offset such overpayment against any amount owed to the employee, provided that in no event shall an amount that constitutes “deferred compensation” for purposes of Code § 409A be offset.</w:t>
      </w:r>
    </w:p>
    <w:p>
      <w:pPr>
        <w:spacing w:after="0" w:line="11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b w:val="1"/>
          <w:bCs w:val="1"/>
          <w:color w:val="auto"/>
        </w:rPr>
        <w:t>Failure to Sign (or Revocation of) Release</w:t>
      </w:r>
      <w:r>
        <w:rPr>
          <w:rFonts w:ascii="Arial" w:cs="Arial" w:eastAsia="Arial" w:hAnsi="Arial"/>
          <w:sz w:val="12"/>
          <w:szCs w:val="12"/>
          <w:color w:val="auto"/>
        </w:rPr>
        <w:t>. An Eligible Employee who, for whatever reason, either fails to sign the Release form, or after signing the Release, revokes the Release within the time period prescribed by law, in each case such that the Release is not effective and irrevocable within sixty (60) days of the Termination Date, shall not be eligible for benefits under this Plan.</w:t>
      </w:r>
    </w:p>
    <w:p>
      <w:pPr>
        <w:spacing w:after="0" w:line="107" w:lineRule="exact"/>
        <w:rPr>
          <w:sz w:val="20"/>
          <w:szCs w:val="20"/>
          <w:color w:val="auto"/>
        </w:rPr>
      </w:pPr>
    </w:p>
    <w:p>
      <w:pPr>
        <w:ind w:left="428"/>
        <w:spacing w:after="0"/>
        <w:tabs>
          <w:tab w:leader="none" w:pos="708"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0"/>
          <w:szCs w:val="10"/>
          <w:b w:val="1"/>
          <w:bCs w:val="1"/>
          <w:color w:val="auto"/>
        </w:rPr>
        <w:t>Specified Employees</w:t>
      </w:r>
      <w:r>
        <w:rPr>
          <w:rFonts w:ascii="Arial" w:cs="Arial" w:eastAsia="Arial" w:hAnsi="Arial"/>
          <w:sz w:val="10"/>
          <w:szCs w:val="10"/>
          <w:color w:val="auto"/>
        </w:rPr>
        <w:t>. Notwithstanding any other payment schedule provided herein to the contrary, if the Participant is deemed on the date of termination to be a “specified employee” within the meaning of that term under</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Code Section 409A(a)(2)(B), then each of the following shall apply:</w:t>
      </w:r>
    </w:p>
    <w:p>
      <w:pPr>
        <w:spacing w:after="0" w:line="141" w:lineRule="exact"/>
        <w:rPr>
          <w:sz w:val="20"/>
          <w:szCs w:val="20"/>
          <w:color w:val="auto"/>
        </w:rPr>
      </w:pPr>
    </w:p>
    <w:p>
      <w:pPr>
        <w:ind w:left="868"/>
        <w:spacing w:after="0"/>
        <w:tabs>
          <w:tab w:leader="none" w:pos="1228" w:val="left"/>
        </w:tabs>
        <w:rPr>
          <w:sz w:val="20"/>
          <w:szCs w:val="20"/>
          <w:color w:val="auto"/>
        </w:rPr>
      </w:pPr>
      <w:r>
        <w:rPr>
          <w:rFonts w:ascii="Arial" w:cs="Arial" w:eastAsia="Arial" w:hAnsi="Arial"/>
          <w:sz w:val="12"/>
          <w:szCs w:val="12"/>
          <w:color w:val="auto"/>
        </w:rPr>
        <w:t>4.6.1</w:t>
      </w:r>
      <w:r>
        <w:rPr>
          <w:sz w:val="20"/>
          <w:szCs w:val="20"/>
          <w:color w:val="auto"/>
        </w:rPr>
        <w:tab/>
      </w:r>
      <w:r>
        <w:rPr>
          <w:rFonts w:ascii="Arial" w:cs="Arial" w:eastAsia="Arial" w:hAnsi="Arial"/>
          <w:sz w:val="11"/>
          <w:szCs w:val="11"/>
          <w:color w:val="auto"/>
        </w:rPr>
        <w:t>with regard to any payment that is considered deferred compensation under Code Section 409A payable on account of a “separation from service,” such payment shall be made on the date which is the earlier of</w:t>
      </w:r>
    </w:p>
    <w:p>
      <w:pPr>
        <w:spacing w:after="0" w:line="15" w:lineRule="exact"/>
        <w:rPr>
          <w:sz w:val="20"/>
          <w:szCs w:val="20"/>
          <w:color w:val="auto"/>
        </w:rPr>
      </w:pPr>
    </w:p>
    <w:p>
      <w:pPr>
        <w:ind w:left="8" w:right="20" w:hanging="8"/>
        <w:spacing w:after="0" w:line="261" w:lineRule="auto"/>
        <w:tabs>
          <w:tab w:leader="none" w:pos="21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expiration of the six (6)-month period measured from the date of such “separation from service” of the Participant, and (B) the date of the Participant’s death (the “</w:t>
      </w:r>
      <w:r>
        <w:rPr>
          <w:rFonts w:ascii="Arial" w:cs="Arial" w:eastAsia="Arial" w:hAnsi="Arial"/>
          <w:sz w:val="12"/>
          <w:szCs w:val="12"/>
          <w:u w:val="single" w:color="auto"/>
          <w:color w:val="auto"/>
        </w:rPr>
        <w:t>Delay Period</w:t>
      </w:r>
      <w:r>
        <w:rPr>
          <w:rFonts w:ascii="Arial" w:cs="Arial" w:eastAsia="Arial" w:hAnsi="Arial"/>
          <w:sz w:val="12"/>
          <w:szCs w:val="12"/>
          <w:color w:val="auto"/>
        </w:rPr>
        <w:t xml:space="preserve">”) to the extent required under Code Section 409A. Upon the expiration of the Delay Period, all payments delayed pursuant to this </w:t>
      </w:r>
      <w:r>
        <w:rPr>
          <w:rFonts w:ascii="Arial" w:cs="Arial" w:eastAsia="Arial" w:hAnsi="Arial"/>
          <w:sz w:val="12"/>
          <w:szCs w:val="12"/>
          <w:u w:val="single" w:color="auto"/>
          <w:color w:val="auto"/>
        </w:rPr>
        <w:t>Section 4.6.1</w:t>
      </w:r>
      <w:r>
        <w:rPr>
          <w:rFonts w:ascii="Arial" w:cs="Arial" w:eastAsia="Arial" w:hAnsi="Arial"/>
          <w:sz w:val="12"/>
          <w:szCs w:val="12"/>
          <w:color w:val="auto"/>
        </w:rPr>
        <w:t xml:space="preserve"> shall be paid to the Participant in a lump sum.</w:t>
      </w:r>
    </w:p>
    <w:p>
      <w:pPr>
        <w:spacing w:after="0" w:line="123" w:lineRule="exact"/>
        <w:rPr>
          <w:sz w:val="20"/>
          <w:szCs w:val="20"/>
          <w:color w:val="auto"/>
        </w:rPr>
      </w:pPr>
    </w:p>
    <w:p>
      <w:pPr>
        <w:jc w:val="both"/>
        <w:ind w:left="8" w:firstLine="865"/>
        <w:spacing w:after="0" w:line="259" w:lineRule="auto"/>
        <w:rPr>
          <w:sz w:val="20"/>
          <w:szCs w:val="20"/>
          <w:color w:val="auto"/>
        </w:rPr>
      </w:pPr>
      <w:r>
        <w:rPr>
          <w:rFonts w:ascii="Arial" w:cs="Arial" w:eastAsia="Arial" w:hAnsi="Arial"/>
          <w:sz w:val="12"/>
          <w:szCs w:val="12"/>
          <w:color w:val="auto"/>
        </w:rPr>
        <w:t>4.6.2 To the extent that any benefit to be provided during the Delay Period is considered deferred compensation under Code Section 409A provided on account of a “separation from service,” and such benefits are not otherwise exempt from Code Section 409A, the Participant shall pay the cost of such benefits during the Delay Period, and the Company shall reimburse the Participant, to the extent that such costs would otherwise have been paid by the Company or to the extent that such benefits would otherwise have been provided by the Company at no cost to the Participant, the Company’s share of the cost of such benefits upon expiration of the Delay Period, and any remaining benefits shall be reimbursed or provided by the Company in accordance with the procedures specified herein.</w:t>
      </w:r>
    </w:p>
    <w:p>
      <w:pPr>
        <w:spacing w:after="0" w:line="121"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auto"/>
        </w:rPr>
        <w:t>Article 5.</w:t>
      </w:r>
      <w:r>
        <w:rPr>
          <w:sz w:val="20"/>
          <w:szCs w:val="20"/>
          <w:color w:val="auto"/>
        </w:rPr>
        <w:tab/>
      </w:r>
      <w:r>
        <w:rPr>
          <w:rFonts w:ascii="Arial" w:cs="Arial" w:eastAsia="Arial" w:hAnsi="Arial"/>
          <w:sz w:val="10"/>
          <w:szCs w:val="10"/>
          <w:b w:val="1"/>
          <w:bCs w:val="1"/>
          <w:color w:val="auto"/>
        </w:rPr>
        <w:t>Continuation of Certain Welfare Benefits.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the event that the Participant is, and remains, eligible for COBRA continuation coverage and elects to receive such coverage, the Company shall pay for all or a portion of his or her cost to participate in COBRA medical and dental continuation coverage for the Participant’s Period of Severance following the Participant’s Termination Date, such that Participant maintains the same coverage level and cost, on an after tax basis, as in effect immediately prior to the Participant’s Termination Date.</w:t>
      </w:r>
    </w:p>
    <w:p>
      <w:pPr>
        <w:spacing w:after="0" w:line="123"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Notwithstanding the above, these medical benefits shall be discontinued prior to the end of the stated continuation period in the event the Participant receives substantially similar benefits from a subsequent employer, as determined solely by the Administrator in good faith. For purposes of enforcing this offset provision, the Participant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01"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auto"/>
        </w:rPr>
        <w:t>Article 6.</w:t>
      </w:r>
      <w:r>
        <w:rPr>
          <w:sz w:val="20"/>
          <w:szCs w:val="20"/>
          <w:color w:val="auto"/>
        </w:rPr>
        <w:tab/>
      </w:r>
      <w:r>
        <w:rPr>
          <w:rFonts w:ascii="Arial" w:cs="Arial" w:eastAsia="Arial" w:hAnsi="Arial"/>
          <w:sz w:val="10"/>
          <w:szCs w:val="10"/>
          <w:b w:val="1"/>
          <w:bCs w:val="1"/>
          <w:color w:val="auto"/>
        </w:rPr>
        <w:t>Taxes.</w:t>
      </w:r>
    </w:p>
    <w:p>
      <w:pPr>
        <w:spacing w:after="0" w:line="15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Company shall withhold from the Participant’s severance benefit payment an amount sufficient to satisfy any federal, state, and/or local tax withholding requirements. The intent of the parties is that payments and benefits under this Plan be exempt from Code Section 409A and the regulations and guidance promulgated thereunder and, accordingly, to the maximum extent permitted, in the event Code Section 409A applies to this Plan, this Plan shall be interpreted to be in compliance therewith. In no event whatsoever shall the Company be liable for any additional tax, interest or penalty that may be imposed on a Participant by Code Section 409A or damages for failing to comply with Code Section</w:t>
      </w:r>
    </w:p>
    <w:p>
      <w:pPr>
        <w:spacing w:after="0" w:line="370" w:lineRule="exact"/>
        <w:rPr>
          <w:sz w:val="20"/>
          <w:szCs w:val="20"/>
          <w:color w:val="auto"/>
        </w:rPr>
      </w:pPr>
    </w:p>
    <w:p>
      <w:pPr>
        <w:jc w:val="center"/>
        <w:ind w:right="-107"/>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88"/>
          </w:cols>
          <w:pgMar w:left="212" w:top="464" w:right="199" w:bottom="1440" w:gutter="0" w:footer="0" w:header="0"/>
        </w:sectPr>
      </w:pPr>
    </w:p>
    <w:bookmarkStart w:id="214" w:name="page215"/>
    <w:bookmarkEnd w:id="214"/>
    <w:p>
      <w:pPr>
        <w:jc w:val="both"/>
        <w:spacing w:after="0" w:line="263" w:lineRule="auto"/>
        <w:rPr>
          <w:sz w:val="20"/>
          <w:szCs w:val="20"/>
          <w:color w:val="auto"/>
        </w:rPr>
      </w:pPr>
      <w:r>
        <w:rPr>
          <w:rFonts w:ascii="Arial" w:cs="Arial" w:eastAsia="Arial" w:hAnsi="Arial"/>
          <w:sz w:val="12"/>
          <w:szCs w:val="12"/>
          <w:color w:val="auto"/>
        </w:rPr>
        <w:t>409A. For purposes of Code Section 409A, the Participant’s right to receive any installment payment pursuant to this Plan shall be treated as a right to receive a series of separate and distinct payments. Notwithstanding any other provision of this Plan to the contrary, in no event shall any payment under this Plan that constitutes “deferred compensation” for purposes of Code Section 409A be subject to offset, counterclaim or recoupment by any other amount payable to the Eligible Employee unless otherwise permitted by Code Section 409A.</w:t>
      </w:r>
    </w:p>
    <w:p>
      <w:pPr>
        <w:spacing w:after="0" w:line="11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Article 7.</w:t>
      </w:r>
      <w:r>
        <w:rPr>
          <w:sz w:val="20"/>
          <w:szCs w:val="20"/>
          <w:color w:val="auto"/>
        </w:rPr>
        <w:tab/>
      </w:r>
      <w:r>
        <w:rPr>
          <w:rFonts w:ascii="Arial" w:cs="Arial" w:eastAsia="Arial" w:hAnsi="Arial"/>
          <w:sz w:val="11"/>
          <w:szCs w:val="11"/>
          <w:b w:val="1"/>
          <w:bCs w:val="1"/>
          <w:color w:val="auto"/>
        </w:rPr>
        <w:t>Amendment and Termination.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Plan Sponsor reserves the rights to amend, modify, or terminate the Plan at any time, or for whatever reason, without advance notice. In the event the Plan Sponsor exercises its right to terminate the Plan, however, the Plan Sponsor shall use its best efforts to give notice of its intent to terminate to all Eligible Employees. No amendment or termination, however, shall in any manner adversely affect the severance benefits of any Participant who has become eligible for benefits under </w:t>
      </w:r>
      <w:r>
        <w:rPr>
          <w:rFonts w:ascii="Arial" w:cs="Arial" w:eastAsia="Arial" w:hAnsi="Arial"/>
          <w:sz w:val="12"/>
          <w:szCs w:val="12"/>
          <w:u w:val="single" w:color="auto"/>
          <w:color w:val="auto"/>
        </w:rPr>
        <w:t>Article 3</w:t>
      </w:r>
      <w:r>
        <w:rPr>
          <w:rFonts w:ascii="Arial" w:cs="Arial" w:eastAsia="Arial" w:hAnsi="Arial"/>
          <w:sz w:val="12"/>
          <w:szCs w:val="12"/>
          <w:color w:val="auto"/>
        </w:rPr>
        <w:t>.</w:t>
      </w:r>
    </w:p>
    <w:p>
      <w:pPr>
        <w:spacing w:after="0" w:line="11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Article 8.</w:t>
      </w:r>
      <w:r>
        <w:rPr>
          <w:sz w:val="20"/>
          <w:szCs w:val="20"/>
          <w:color w:val="auto"/>
        </w:rPr>
        <w:tab/>
      </w:r>
      <w:r>
        <w:rPr>
          <w:rFonts w:ascii="Arial" w:cs="Arial" w:eastAsia="Arial" w:hAnsi="Arial"/>
          <w:sz w:val="11"/>
          <w:szCs w:val="11"/>
          <w:b w:val="1"/>
          <w:bCs w:val="1"/>
          <w:color w:val="auto"/>
        </w:rPr>
        <w:t>Administration and Claims.</w:t>
      </w:r>
    </w:p>
    <w:p>
      <w:pPr>
        <w:spacing w:after="0" w:line="150"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1"/>
          <w:szCs w:val="11"/>
          <w:b w:val="1"/>
          <w:bCs w:val="1"/>
          <w:color w:val="auto"/>
        </w:rPr>
        <w:t>The Administrator</w:t>
      </w:r>
      <w:r>
        <w:rPr>
          <w:rFonts w:ascii="Arial" w:cs="Arial" w:eastAsia="Arial" w:hAnsi="Arial"/>
          <w:sz w:val="11"/>
          <w:szCs w:val="11"/>
          <w:color w:val="auto"/>
        </w:rPr>
        <w:t>. The Plan shall be administered by the Administrator. The Administrator may delegate any or all of its administrative responsibilities to employees of the Company or to third parties.</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color w:val="auto"/>
        </w:rPr>
        <w:t xml:space="preserve">8.2. </w:t>
      </w:r>
      <w:r>
        <w:rPr>
          <w:rFonts w:ascii="Arial" w:cs="Arial" w:eastAsia="Arial" w:hAnsi="Arial"/>
          <w:sz w:val="11"/>
          <w:szCs w:val="11"/>
          <w:b w:val="1"/>
          <w:bCs w:val="1"/>
          <w:color w:val="auto"/>
        </w:rPr>
        <w:t>Authority of the Administrator</w:t>
      </w:r>
      <w:r>
        <w:rPr>
          <w:rFonts w:ascii="Arial" w:cs="Arial" w:eastAsia="Arial" w:hAnsi="Arial"/>
          <w:sz w:val="11"/>
          <w:szCs w:val="11"/>
          <w:color w:val="auto"/>
        </w:rPr>
        <w:t>. The Administrator shall have the full power and discretion to determine the terms and conditions of each employee’s participation, to construe and interpret the Plan and any agreement or instrument entered into under the Plan, and to establish, amend, or waive procedures for the Plan’s administration. Further, the Administrator shall have full power and discretion to make any other determination that may be necessary or advisable for the Plan’s administration. The Administrator shall have the authority and responsibilities to assist with the administration of the Plan as may be designated by the Company.</w:t>
      </w:r>
    </w:p>
    <w:p>
      <w:pPr>
        <w:spacing w:after="0" w:line="9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b w:val="1"/>
          <w:bCs w:val="1"/>
          <w:color w:val="auto"/>
        </w:rPr>
        <w:t>Decisions Binding</w:t>
      </w:r>
      <w:r>
        <w:rPr>
          <w:rFonts w:ascii="Arial" w:cs="Arial" w:eastAsia="Arial" w:hAnsi="Arial"/>
          <w:sz w:val="12"/>
          <w:szCs w:val="12"/>
          <w:color w:val="auto"/>
        </w:rPr>
        <w:t>. All determinations and decisions made by the Administrator and all related orders or resolutions of the Administrator shall be final, conclusive, and binding on all persons, including the Company, its employees, the Participants, and their estates and beneficiaries.</w:t>
      </w:r>
    </w:p>
    <w:p>
      <w:pPr>
        <w:spacing w:after="0" w:line="107" w:lineRule="exact"/>
        <w:rPr>
          <w:sz w:val="20"/>
          <w:szCs w:val="20"/>
          <w:color w:val="auto"/>
        </w:rPr>
      </w:pPr>
    </w:p>
    <w:p>
      <w:pPr>
        <w:ind w:left="420"/>
        <w:spacing w:after="0"/>
        <w:tabs>
          <w:tab w:leader="none" w:pos="700" w:val="left"/>
        </w:tabs>
        <w:rPr>
          <w:sz w:val="20"/>
          <w:szCs w:val="20"/>
          <w:color w:val="auto"/>
        </w:rPr>
      </w:pPr>
      <w:r>
        <w:rPr>
          <w:rFonts w:ascii="Arial" w:cs="Arial" w:eastAsia="Arial" w:hAnsi="Arial"/>
          <w:sz w:val="12"/>
          <w:szCs w:val="12"/>
          <w:color w:val="auto"/>
        </w:rPr>
        <w:t>8.4.</w:t>
      </w:r>
      <w:r>
        <w:rPr>
          <w:sz w:val="20"/>
          <w:szCs w:val="20"/>
          <w:color w:val="auto"/>
        </w:rPr>
        <w:tab/>
      </w:r>
      <w:r>
        <w:rPr>
          <w:rFonts w:ascii="Arial" w:cs="Arial" w:eastAsia="Arial" w:hAnsi="Arial"/>
          <w:sz w:val="10"/>
          <w:szCs w:val="10"/>
          <w:b w:val="1"/>
          <w:bCs w:val="1"/>
          <w:color w:val="auto"/>
        </w:rPr>
        <w:t>Claims Procedure</w:t>
      </w:r>
      <w:r>
        <w:rPr>
          <w:rFonts w:ascii="Arial" w:cs="Arial" w:eastAsia="Arial" w:hAnsi="Arial"/>
          <w:sz w:val="10"/>
          <w:szCs w:val="10"/>
          <w:color w:val="auto"/>
        </w:rPr>
        <w:t>. Unless modified by the Administrator, the claims procedure set forth in this</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Section 8.4</w:t>
      </w:r>
      <w:r>
        <w:rPr>
          <w:rFonts w:ascii="Arial" w:cs="Arial" w:eastAsia="Arial" w:hAnsi="Arial"/>
          <w:sz w:val="10"/>
          <w:szCs w:val="10"/>
          <w:b w:val="1"/>
          <w:bCs w:val="1"/>
          <w:color w:val="auto"/>
        </w:rPr>
        <w:t xml:space="preserve"> </w:t>
      </w:r>
      <w:r>
        <w:rPr>
          <w:rFonts w:ascii="Arial" w:cs="Arial" w:eastAsia="Arial" w:hAnsi="Arial"/>
          <w:sz w:val="10"/>
          <w:szCs w:val="10"/>
          <w:color w:val="auto"/>
        </w:rPr>
        <w:t>shall be the exclusive procedure for the disposition of claims for benefits arising under the Plan.</w:t>
      </w:r>
    </w:p>
    <w:p>
      <w:pPr>
        <w:spacing w:after="0" w:line="154" w:lineRule="exact"/>
        <w:rPr>
          <w:sz w:val="20"/>
          <w:szCs w:val="20"/>
          <w:color w:val="auto"/>
        </w:rPr>
      </w:pPr>
    </w:p>
    <w:p>
      <w:pPr>
        <w:jc w:val="both"/>
        <w:ind w:firstLine="865"/>
        <w:spacing w:after="0" w:line="298" w:lineRule="auto"/>
        <w:rPr>
          <w:sz w:val="20"/>
          <w:szCs w:val="20"/>
          <w:color w:val="auto"/>
        </w:rPr>
      </w:pPr>
      <w:r>
        <w:rPr>
          <w:rFonts w:ascii="Arial" w:cs="Arial" w:eastAsia="Arial" w:hAnsi="Arial"/>
          <w:sz w:val="11"/>
          <w:szCs w:val="11"/>
          <w:color w:val="auto"/>
        </w:rPr>
        <w:t>8.4.1 Original Claim. Any employee or former employee may, if the person so desires, file with the Administrator a written claim for benefits under the Plan. Within ninety (90) days after the filing of the claim, the Administrator shall notify the claimant in writing whether the claim is upheld or denied in whole or in part or shall furnish the claimant a written notice describing specific special circumstances requiring a specified amount of additional time (but not more than one hundred eighty days from the date the claim was filed) to reach a decision on the claim. If the claim is denied in whole or in part, the Administrator shall state in writing:</w:t>
      </w:r>
    </w:p>
    <w:p>
      <w:pPr>
        <w:spacing w:after="0" w:line="105" w:lineRule="exact"/>
        <w:rPr>
          <w:sz w:val="20"/>
          <w:szCs w:val="20"/>
          <w:color w:val="auto"/>
        </w:rPr>
      </w:pPr>
    </w:p>
    <w:p>
      <w:pPr>
        <w:ind w:left="1280" w:hanging="423"/>
        <w:spacing w:after="0"/>
        <w:tabs>
          <w:tab w:leader="none" w:pos="12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specific reasons for the denial;</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specific references to the pertinent provision of the Plan document on which the denial is based;</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 description of any additional material or information necessary for the claimant to perfect the claim and an explanation of why the material or information is necessary; and</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an explanation of the claims review procedure set forth in </w:t>
      </w:r>
      <w:r>
        <w:rPr>
          <w:rFonts w:ascii="Arial" w:cs="Arial" w:eastAsia="Arial" w:hAnsi="Arial"/>
          <w:sz w:val="12"/>
          <w:szCs w:val="12"/>
          <w:u w:val="single" w:color="auto"/>
          <w:color w:val="auto"/>
        </w:rPr>
        <w:t>Section 8.4.2</w:t>
      </w:r>
      <w:r>
        <w:rPr>
          <w:rFonts w:ascii="Arial" w:cs="Arial" w:eastAsia="Arial" w:hAnsi="Arial"/>
          <w:sz w:val="12"/>
          <w:szCs w:val="12"/>
          <w:color w:val="auto"/>
        </w:rPr>
        <w:t>.</w:t>
      </w:r>
    </w:p>
    <w:p>
      <w:pPr>
        <w:spacing w:after="0" w:line="146" w:lineRule="exact"/>
        <w:rPr>
          <w:sz w:val="20"/>
          <w:szCs w:val="20"/>
          <w:color w:val="auto"/>
        </w:rPr>
      </w:pPr>
    </w:p>
    <w:p>
      <w:pPr>
        <w:ind w:firstLine="865"/>
        <w:spacing w:after="0" w:line="331" w:lineRule="auto"/>
        <w:rPr>
          <w:sz w:val="20"/>
          <w:szCs w:val="20"/>
          <w:color w:val="auto"/>
        </w:rPr>
      </w:pPr>
      <w:r>
        <w:rPr>
          <w:rFonts w:ascii="Arial" w:cs="Arial" w:eastAsia="Arial" w:hAnsi="Arial"/>
          <w:sz w:val="11"/>
          <w:szCs w:val="11"/>
          <w:color w:val="auto"/>
        </w:rPr>
        <w:t xml:space="preserve">8.4.2 </w:t>
      </w:r>
      <w:r>
        <w:rPr>
          <w:rFonts w:ascii="Arial" w:cs="Arial" w:eastAsia="Arial" w:hAnsi="Arial"/>
          <w:sz w:val="11"/>
          <w:szCs w:val="11"/>
          <w:b w:val="1"/>
          <w:bCs w:val="1"/>
          <w:color w:val="auto"/>
        </w:rPr>
        <w:t>Claims Review Procedure</w:t>
      </w:r>
      <w:r>
        <w:rPr>
          <w:rFonts w:ascii="Arial" w:cs="Arial" w:eastAsia="Arial" w:hAnsi="Arial"/>
          <w:sz w:val="11"/>
          <w:szCs w:val="11"/>
          <w:color w:val="auto"/>
        </w:rPr>
        <w:t>. Within sixty days after receipt of notice that the claim has been denied in whole or in part, the claimant may file with the Administrator a written request for a review and may, in conjunction with the filing, submit written issues and comments. Within sixty days after the filing of a request for review, the Administrator shall notify the claimant in writing whether, upon review, the claim was upheld or denied in</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80"/>
          </w:cols>
          <w:pgMar w:left="220" w:top="464" w:right="199" w:bottom="1440" w:gutter="0" w:footer="0" w:header="0"/>
        </w:sectPr>
      </w:pPr>
    </w:p>
    <w:bookmarkStart w:id="215" w:name="page216"/>
    <w:bookmarkEnd w:id="215"/>
    <w:p>
      <w:pPr>
        <w:spacing w:after="0" w:line="276" w:lineRule="auto"/>
        <w:rPr>
          <w:sz w:val="20"/>
          <w:szCs w:val="20"/>
          <w:color w:val="auto"/>
        </w:rPr>
      </w:pPr>
      <w:r>
        <w:rPr>
          <w:rFonts w:ascii="Arial" w:cs="Arial" w:eastAsia="Arial" w:hAnsi="Arial"/>
          <w:sz w:val="12"/>
          <w:szCs w:val="12"/>
          <w:color w:val="auto"/>
        </w:rPr>
        <w:t>whole or in part or shall furnish the claimant a written notice describing specific special circumstances requiring a specified amount of additional time (but not more than one hundred twenty (120) days from the date the request for review was filed) to reach a decision on the request for review.</w:t>
      </w:r>
    </w:p>
    <w:p>
      <w:pPr>
        <w:spacing w:after="0" w:line="111"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2"/>
          <w:szCs w:val="12"/>
          <w:color w:val="auto"/>
        </w:rPr>
        <w:t>8.4.3</w:t>
      </w:r>
      <w:r>
        <w:rPr>
          <w:sz w:val="20"/>
          <w:szCs w:val="20"/>
          <w:color w:val="auto"/>
        </w:rPr>
        <w:tab/>
      </w:r>
      <w:r>
        <w:rPr>
          <w:rFonts w:ascii="Arial" w:cs="Arial" w:eastAsia="Arial" w:hAnsi="Arial"/>
          <w:sz w:val="10"/>
          <w:szCs w:val="10"/>
          <w:b w:val="1"/>
          <w:bCs w:val="1"/>
          <w:color w:val="auto"/>
        </w:rPr>
        <w:t>General Rules</w:t>
      </w:r>
    </w:p>
    <w:p>
      <w:pPr>
        <w:spacing w:after="0" w:line="154" w:lineRule="exact"/>
        <w:rPr>
          <w:sz w:val="20"/>
          <w:szCs w:val="20"/>
          <w:color w:val="auto"/>
        </w:rPr>
      </w:pPr>
    </w:p>
    <w:p>
      <w:pPr>
        <w:ind w:left="1280" w:hanging="423"/>
        <w:spacing w:after="0" w:line="276" w:lineRule="auto"/>
        <w:tabs>
          <w:tab w:leader="none" w:pos="12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No inquiry or question shall be deemed to be a claim or a request for a review of a denied claim unless made in accordance with the claims procedure. The Administrator may require that any claim for benefits and any request for a review of a denied claim be filed on forms to be furnished by the Administrator upon request.</w:t>
      </w:r>
    </w:p>
    <w:p>
      <w:pPr>
        <w:spacing w:after="0" w:line="114" w:lineRule="exact"/>
        <w:rPr>
          <w:rFonts w:ascii="Arial" w:cs="Arial" w:eastAsia="Arial" w:hAnsi="Arial"/>
          <w:sz w:val="12"/>
          <w:szCs w:val="12"/>
          <w:color w:val="auto"/>
        </w:rPr>
      </w:pPr>
    </w:p>
    <w:p>
      <w:pPr>
        <w:ind w:left="1280" w:hanging="423"/>
        <w:spacing w:after="0"/>
        <w:tabs>
          <w:tab w:leader="none" w:pos="12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All decisions on claims and on requests for a review of denied claims shall be made by the Administrator.</w:t>
      </w:r>
    </w:p>
    <w:p>
      <w:pPr>
        <w:spacing w:after="0" w:line="150" w:lineRule="exact"/>
        <w:rPr>
          <w:rFonts w:ascii="Arial" w:cs="Arial" w:eastAsia="Arial" w:hAnsi="Arial"/>
          <w:sz w:val="12"/>
          <w:szCs w:val="12"/>
          <w:color w:val="auto"/>
        </w:rPr>
      </w:pPr>
    </w:p>
    <w:p>
      <w:pPr>
        <w:ind w:left="1280" w:hanging="423"/>
        <w:spacing w:after="0"/>
        <w:tabs>
          <w:tab w:leader="none" w:pos="12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Administrator may, in its discretion, hold one or more hearings on a claim or request for a review of a denied claim.</w:t>
      </w:r>
    </w:p>
    <w:p>
      <w:pPr>
        <w:spacing w:after="0" w:line="150" w:lineRule="exact"/>
        <w:rPr>
          <w:rFonts w:ascii="Arial" w:cs="Arial" w:eastAsia="Arial" w:hAnsi="Arial"/>
          <w:sz w:val="12"/>
          <w:szCs w:val="12"/>
          <w:color w:val="auto"/>
        </w:rPr>
      </w:pPr>
    </w:p>
    <w:p>
      <w:pPr>
        <w:ind w:left="1280" w:hanging="423"/>
        <w:spacing w:after="0" w:line="276" w:lineRule="auto"/>
        <w:tabs>
          <w:tab w:leader="none" w:pos="12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A claimant may be represented by a lawyer or other representative (at the claimant’s own expense), but the Administrator reserves the right to require the claimant to furnish written authorization. A claimant’s representative shall be entitled to copies of all notices given to the claimant.</w:t>
      </w:r>
    </w:p>
    <w:p>
      <w:pPr>
        <w:spacing w:after="0" w:line="114" w:lineRule="exact"/>
        <w:rPr>
          <w:rFonts w:ascii="Arial" w:cs="Arial" w:eastAsia="Arial" w:hAnsi="Arial"/>
          <w:sz w:val="12"/>
          <w:szCs w:val="12"/>
          <w:color w:val="auto"/>
        </w:rPr>
      </w:pPr>
    </w:p>
    <w:p>
      <w:pPr>
        <w:ind w:left="1280" w:hanging="423"/>
        <w:spacing w:after="0" w:line="276" w:lineRule="auto"/>
        <w:tabs>
          <w:tab w:leader="none" w:pos="12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decision of the Administrator on a claim and on a request for a review of a denied claim shall be served on the claimant in writing. If a claimant does not receive a decision or notice within the time specified, the claim or request for a review of a denied claim shall be deemed to have been denied.</w:t>
      </w:r>
    </w:p>
    <w:p>
      <w:pPr>
        <w:spacing w:after="0" w:line="114" w:lineRule="exact"/>
        <w:rPr>
          <w:rFonts w:ascii="Arial" w:cs="Arial" w:eastAsia="Arial" w:hAnsi="Arial"/>
          <w:sz w:val="12"/>
          <w:szCs w:val="12"/>
          <w:color w:val="auto"/>
        </w:rPr>
      </w:pPr>
    </w:p>
    <w:p>
      <w:pPr>
        <w:ind w:left="1280" w:right="20" w:hanging="423"/>
        <w:spacing w:after="0" w:line="276" w:lineRule="auto"/>
        <w:tabs>
          <w:tab w:leader="none" w:pos="12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Prior to filing a claim or a request for a review of a denied claim, the claimant or the claimant’s representative shall have a reasonable opportunity to review a copy of the Plan document and all other pertinent documents in the possession of the Administrator.</w:t>
      </w:r>
    </w:p>
    <w:p>
      <w:pPr>
        <w:spacing w:after="0" w:line="11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Article 9.</w:t>
      </w:r>
      <w:r>
        <w:rPr>
          <w:sz w:val="20"/>
          <w:szCs w:val="20"/>
          <w:color w:val="auto"/>
        </w:rPr>
        <w:tab/>
      </w:r>
      <w:r>
        <w:rPr>
          <w:rFonts w:ascii="Arial" w:cs="Arial" w:eastAsia="Arial" w:hAnsi="Arial"/>
          <w:sz w:val="10"/>
          <w:szCs w:val="10"/>
          <w:b w:val="1"/>
          <w:bCs w:val="1"/>
          <w:color w:val="auto"/>
        </w:rPr>
        <w:t>General Provisions.</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b w:val="1"/>
          <w:bCs w:val="1"/>
          <w:color w:val="auto"/>
        </w:rPr>
        <w:t>Unfunded Welfare Plan</w:t>
      </w:r>
      <w:r>
        <w:rPr>
          <w:rFonts w:ascii="Arial" w:cs="Arial" w:eastAsia="Arial" w:hAnsi="Arial"/>
          <w:sz w:val="12"/>
          <w:szCs w:val="12"/>
          <w:color w:val="auto"/>
        </w:rPr>
        <w:t>. The Plan is intended to be an unfunded welfare plan maintained to provide severance pay within the meaning of Title I of ERISA. Participants and their heirs, successors, and assigns shall have no secured legal or equitable rights, interest, or claims in any property or assets of the Company.</w:t>
      </w:r>
    </w:p>
    <w:p>
      <w:pPr>
        <w:spacing w:after="0" w:line="107"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b w:val="1"/>
          <w:bCs w:val="1"/>
          <w:color w:val="auto"/>
        </w:rPr>
        <w:t>No Assignment</w:t>
      </w:r>
      <w:r>
        <w:rPr>
          <w:rFonts w:ascii="Arial" w:cs="Arial" w:eastAsia="Arial" w:hAnsi="Arial"/>
          <w:sz w:val="12"/>
          <w:szCs w:val="12"/>
          <w:color w:val="auto"/>
        </w:rPr>
        <w:t>. Participants’ rights to benefits provided under the Plan may not be sold, transferred, assigned, or otherwise alienated or mortgaged. In no event shall the Company make any payment under the Plan to any assignee or creditor of a Participant.</w:t>
      </w:r>
    </w:p>
    <w:p>
      <w:pPr>
        <w:spacing w:after="0" w:line="107"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b w:val="1"/>
          <w:bCs w:val="1"/>
          <w:color w:val="auto"/>
        </w:rPr>
        <w:t>Successors</w:t>
      </w:r>
      <w:r>
        <w:rPr>
          <w:rFonts w:ascii="Arial" w:cs="Arial" w:eastAsia="Arial" w:hAnsi="Arial"/>
          <w:sz w:val="12"/>
          <w:szCs w:val="12"/>
          <w:color w:val="auto"/>
        </w:rPr>
        <w:t>. All obligations of the Company under the Plan shall be binding upon any successor to the Company, whether the existence of the successor is the result of a direct or indirect purchase, merger, consolidation, or otherwise, of all or substantially all of the business or assets of the Company.</w:t>
      </w:r>
    </w:p>
    <w:p>
      <w:pPr>
        <w:spacing w:after="0" w:line="107"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b w:val="1"/>
          <w:bCs w:val="1"/>
          <w:color w:val="auto"/>
        </w:rPr>
        <w:t>No Rights as Employee</w:t>
      </w:r>
      <w:r>
        <w:rPr>
          <w:rFonts w:ascii="Arial" w:cs="Arial" w:eastAsia="Arial" w:hAnsi="Arial"/>
          <w:sz w:val="12"/>
          <w:szCs w:val="12"/>
          <w:color w:val="auto"/>
        </w:rPr>
        <w:t>. Nothing in the Plan shall interfere with or limit in any way the right of the Company to terminate any Participant’s employment at any time or confer upon any Participant a right to continue in the employ of the Company.</w:t>
      </w:r>
    </w:p>
    <w:p>
      <w:pPr>
        <w:spacing w:after="0" w:line="107"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b w:val="1"/>
          <w:bCs w:val="1"/>
          <w:color w:val="auto"/>
        </w:rPr>
        <w:t>Severability</w:t>
      </w:r>
      <w:r>
        <w:rPr>
          <w:rFonts w:ascii="Arial" w:cs="Arial" w:eastAsia="Arial" w:hAnsi="Arial"/>
          <w:sz w:val="12"/>
          <w:szCs w:val="12"/>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80"/>
          </w:cols>
          <w:pgMar w:left="220" w:top="464" w:right="199" w:bottom="1440" w:gutter="0" w:footer="0" w:header="0"/>
        </w:sectPr>
      </w:pPr>
    </w:p>
    <w:bookmarkStart w:id="216" w:name="page217"/>
    <w:bookmarkEnd w:id="216"/>
    <w:p>
      <w:pPr>
        <w:ind w:left="420"/>
        <w:spacing w:after="0"/>
        <w:tabs>
          <w:tab w:leader="none" w:pos="700" w:val="left"/>
        </w:tabs>
        <w:rPr>
          <w:sz w:val="20"/>
          <w:szCs w:val="20"/>
          <w:color w:val="auto"/>
        </w:rPr>
      </w:pPr>
      <w:r>
        <w:rPr>
          <w:rFonts w:ascii="Arial" w:cs="Arial" w:eastAsia="Arial" w:hAnsi="Arial"/>
          <w:sz w:val="12"/>
          <w:szCs w:val="12"/>
          <w:color w:val="auto"/>
        </w:rPr>
        <w:t>9.6.</w:t>
      </w:r>
      <w:r>
        <w:rPr>
          <w:sz w:val="20"/>
          <w:szCs w:val="20"/>
          <w:color w:val="auto"/>
        </w:rPr>
        <w:tab/>
      </w:r>
      <w:r>
        <w:rPr>
          <w:rFonts w:ascii="Arial" w:cs="Arial" w:eastAsia="Arial" w:hAnsi="Arial"/>
          <w:sz w:val="10"/>
          <w:szCs w:val="10"/>
          <w:b w:val="1"/>
          <w:bCs w:val="1"/>
          <w:color w:val="auto"/>
        </w:rPr>
        <w:t>Applicable Law</w:t>
      </w:r>
      <w:r>
        <w:rPr>
          <w:rFonts w:ascii="Arial" w:cs="Arial" w:eastAsia="Arial" w:hAnsi="Arial"/>
          <w:sz w:val="10"/>
          <w:szCs w:val="10"/>
          <w:color w:val="auto"/>
        </w:rPr>
        <w:t>. To the extent not preempted by federal law, the Plan shall be governed by and construed in accordance with the laws of the state of New Jersey without giving effect to principles of conflicts of laws.</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b w:val="1"/>
          <w:bCs w:val="1"/>
          <w:color w:val="auto"/>
        </w:rPr>
        <w:t>Entire Agreement</w:t>
      </w:r>
      <w:r>
        <w:rPr>
          <w:rFonts w:ascii="Arial" w:cs="Arial" w:eastAsia="Arial" w:hAnsi="Arial"/>
          <w:sz w:val="12"/>
          <w:szCs w:val="12"/>
          <w:color w:val="auto"/>
        </w:rPr>
        <w:t>. This Plan constitutes the entire understanding and agreement with respect to the subject matter contained herein, and there are no agreements, understandings, restrictions, representations or warranties among any Participant and the Company other than those as set forth or provided for herein.</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460" w:right="2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2"/>
          <w:szCs w:val="12"/>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Change-in-Control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and General Severance Plan for Tier IA and Tier IIA Executives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(Amended and Restated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18" w:name="page219"/>
    <w:bookmarkEnd w:id="218"/>
    <w:p>
      <w:pPr>
        <w:spacing w:after="0"/>
        <w:rPr>
          <w:sz w:val="20"/>
          <w:szCs w:val="20"/>
          <w:color w:val="auto"/>
        </w:rPr>
      </w:pPr>
      <w:r>
        <w:rPr>
          <w:rFonts w:ascii="Arial" w:cs="Arial" w:eastAsia="Arial" w:hAnsi="Arial"/>
          <w:sz w:val="12"/>
          <w:szCs w:val="1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411480</wp:posOffset>
            </wp:positionV>
            <wp:extent cx="73177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1.</w:t>
      </w:r>
      <w:r>
        <w:rPr>
          <w:rFonts w:ascii="Arial" w:cs="Arial" w:eastAsia="Arial" w:hAnsi="Arial"/>
          <w:sz w:val="12"/>
          <w:szCs w:val="12"/>
          <w:b w:val="1"/>
          <w:bCs w:val="1"/>
          <w:color w:val="000000"/>
        </w:rPr>
        <w:t>Establishment and Term of the Plan 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2.</w:t>
      </w:r>
      <w:r>
        <w:rPr>
          <w:rFonts w:ascii="Arial" w:cs="Arial" w:eastAsia="Arial" w:hAnsi="Arial"/>
          <w:sz w:val="12"/>
          <w:szCs w:val="12"/>
          <w:b w:val="1"/>
          <w:bCs w:val="1"/>
          <w:color w:val="000000"/>
        </w:rPr>
        <w:t>Definitions 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3.</w:t>
      </w:r>
      <w:r>
        <w:rPr>
          <w:rFonts w:ascii="Arial" w:cs="Arial" w:eastAsia="Arial" w:hAnsi="Arial"/>
          <w:sz w:val="12"/>
          <w:szCs w:val="12"/>
          <w:b w:val="1"/>
          <w:bCs w:val="1"/>
          <w:color w:val="000000"/>
        </w:rPr>
        <w:t>Severance Benefits 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4.</w:t>
      </w:r>
      <w:r>
        <w:rPr>
          <w:rFonts w:ascii="Arial" w:cs="Arial" w:eastAsia="Arial" w:hAnsi="Arial"/>
          <w:sz w:val="12"/>
          <w:szCs w:val="12"/>
          <w:b w:val="1"/>
          <w:bCs w:val="1"/>
          <w:color w:val="000000"/>
        </w:rPr>
        <w:t>Ineligibility 10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5.</w:t>
      </w:r>
      <w:r>
        <w:rPr>
          <w:rFonts w:ascii="Arial" w:cs="Arial" w:eastAsia="Arial" w:hAnsi="Arial"/>
          <w:sz w:val="12"/>
          <w:szCs w:val="12"/>
          <w:b w:val="1"/>
          <w:bCs w:val="1"/>
          <w:color w:val="000000"/>
        </w:rPr>
        <w:t>Restrictive Covenants 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6.</w:t>
      </w:r>
      <w:r>
        <w:rPr>
          <w:rFonts w:ascii="Arial" w:cs="Arial" w:eastAsia="Arial" w:hAnsi="Arial"/>
          <w:sz w:val="12"/>
          <w:szCs w:val="12"/>
          <w:b w:val="1"/>
          <w:bCs w:val="1"/>
          <w:color w:val="000000"/>
        </w:rPr>
        <w:t>Certain Change in Control Payments 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7.</w:t>
      </w:r>
      <w:r>
        <w:rPr>
          <w:rFonts w:ascii="Arial" w:cs="Arial" w:eastAsia="Arial" w:hAnsi="Arial"/>
          <w:sz w:val="12"/>
          <w:szCs w:val="12"/>
          <w:b w:val="1"/>
          <w:bCs w:val="1"/>
          <w:color w:val="000000"/>
        </w:rPr>
        <w:t>Legal Fees and Notice 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8.</w:t>
      </w:r>
      <w:r>
        <w:rPr>
          <w:rFonts w:ascii="Arial" w:cs="Arial" w:eastAsia="Arial" w:hAnsi="Arial"/>
          <w:sz w:val="12"/>
          <w:szCs w:val="12"/>
          <w:b w:val="1"/>
          <w:bCs w:val="1"/>
          <w:color w:val="000000"/>
        </w:rPr>
        <w:t>Successors and Assignment 15</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9.</w:t>
      </w:r>
      <w:r>
        <w:rPr>
          <w:rFonts w:ascii="Arial" w:cs="Arial" w:eastAsia="Arial" w:hAnsi="Arial"/>
          <w:sz w:val="12"/>
          <w:szCs w:val="12"/>
          <w:b w:val="1"/>
          <w:bCs w:val="1"/>
          <w:color w:val="000000"/>
        </w:rPr>
        <w:t>Miscellaneous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539"/>
        <w:spacing w:after="0"/>
        <w:rPr>
          <w:sz w:val="20"/>
          <w:szCs w:val="20"/>
          <w:color w:val="auto"/>
        </w:rPr>
      </w:pPr>
      <w:r>
        <w:rPr>
          <w:rFonts w:ascii="Arial" w:cs="Arial" w:eastAsia="Arial" w:hAnsi="Arial"/>
          <w:sz w:val="14"/>
          <w:szCs w:val="14"/>
          <w:color w:val="auto"/>
        </w:rPr>
        <w:t>i</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0239"/>
          </w:cols>
          <w:pgMar w:left="220" w:top="460" w:right="1440" w:bottom="1440" w:gutter="0" w:footer="0" w:header="0"/>
        </w:sectPr>
      </w:pPr>
    </w:p>
    <w:bookmarkStart w:id="219" w:name="page220"/>
    <w:bookmarkEnd w:id="219"/>
    <w:p>
      <w:pPr>
        <w:spacing w:after="0"/>
        <w:rPr>
          <w:sz w:val="20"/>
          <w:szCs w:val="20"/>
          <w:color w:val="auto"/>
        </w:rPr>
      </w:pPr>
      <w:r>
        <w:rPr>
          <w:rFonts w:ascii="Arial" w:cs="Arial" w:eastAsia="Arial" w:hAnsi="Arial"/>
          <w:sz w:val="12"/>
          <w:szCs w:val="12"/>
          <w:b w:val="1"/>
          <w:bCs w:val="1"/>
          <w:color w:val="auto"/>
        </w:rPr>
        <w:t>Clearway Energy,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Change-in-Control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and General Severance Plan for Tier I and Tier II Executives</w:t>
      </w:r>
    </w:p>
    <w:p>
      <w:pPr>
        <w:spacing w:after="0" w:line="155"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010000"/>
        </w:rPr>
        <w:t>Article 1.</w:t>
      </w:r>
      <w:r>
        <w:rPr>
          <w:sz w:val="20"/>
          <w:szCs w:val="20"/>
          <w:color w:val="auto"/>
        </w:rPr>
        <w:tab/>
      </w:r>
      <w:r>
        <w:rPr>
          <w:rFonts w:ascii="Arial" w:cs="Arial" w:eastAsia="Arial" w:hAnsi="Arial"/>
          <w:sz w:val="10"/>
          <w:szCs w:val="10"/>
          <w:b w:val="1"/>
          <w:bCs w:val="1"/>
          <w:color w:val="auto"/>
        </w:rPr>
        <w:t>Establishment and Term of the Plan</w:t>
      </w:r>
    </w:p>
    <w:p>
      <w:pPr>
        <w:spacing w:after="0" w:line="15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010000"/>
        </w:rPr>
        <w:t xml:space="preserve">1.1 </w:t>
      </w:r>
      <w:r>
        <w:rPr>
          <w:rFonts w:ascii="Arial" w:cs="Arial" w:eastAsia="Arial" w:hAnsi="Arial"/>
          <w:sz w:val="12"/>
          <w:szCs w:val="12"/>
          <w:b w:val="1"/>
          <w:bCs w:val="1"/>
          <w:color w:val="000000"/>
        </w:rPr>
        <w:t>Establishment of the Plan</w:t>
      </w:r>
      <w:r>
        <w:rPr>
          <w:rFonts w:ascii="Arial" w:cs="Arial" w:eastAsia="Arial" w:hAnsi="Arial"/>
          <w:sz w:val="12"/>
          <w:szCs w:val="12"/>
          <w:color w:val="000000"/>
        </w:rPr>
        <w:t>. Clearway Energy, Inc. (hereinafter referred to as the “</w:t>
      </w:r>
      <w:r>
        <w:rPr>
          <w:rFonts w:ascii="Arial" w:cs="Arial" w:eastAsia="Arial" w:hAnsi="Arial"/>
          <w:sz w:val="12"/>
          <w:szCs w:val="12"/>
          <w:u w:val="single" w:color="auto"/>
          <w:color w:val="000000"/>
        </w:rPr>
        <w:t>Company</w:t>
      </w:r>
      <w:r>
        <w:rPr>
          <w:rFonts w:ascii="Arial" w:cs="Arial" w:eastAsia="Arial" w:hAnsi="Arial"/>
          <w:sz w:val="12"/>
          <w:szCs w:val="12"/>
          <w:color w:val="000000"/>
        </w:rPr>
        <w:t>”) originally adopted this plan known as the “Executive Change-in-Control and General Severance Plan for Tier I and Tier II</w:t>
      </w:r>
      <w:r>
        <w:rPr>
          <w:rFonts w:ascii="Arial" w:cs="Arial" w:eastAsia="Arial" w:hAnsi="Arial"/>
          <w:sz w:val="12"/>
          <w:szCs w:val="12"/>
          <w:b w:val="1"/>
          <w:bCs w:val="1"/>
          <w:color w:val="010000"/>
        </w:rPr>
        <w:t xml:space="preserve"> </w:t>
      </w:r>
      <w:r>
        <w:rPr>
          <w:rFonts w:ascii="Arial" w:cs="Arial" w:eastAsia="Arial" w:hAnsi="Arial"/>
          <w:sz w:val="12"/>
          <w:szCs w:val="12"/>
          <w:color w:val="000000"/>
        </w:rPr>
        <w:t>Executives” (the “</w:t>
      </w:r>
      <w:r>
        <w:rPr>
          <w:rFonts w:ascii="Arial" w:cs="Arial" w:eastAsia="Arial" w:hAnsi="Arial"/>
          <w:sz w:val="12"/>
          <w:szCs w:val="12"/>
          <w:u w:val="single" w:color="auto"/>
          <w:color w:val="000000"/>
        </w:rPr>
        <w:t>Plan</w:t>
      </w:r>
      <w:r>
        <w:rPr>
          <w:rFonts w:ascii="Arial" w:cs="Arial" w:eastAsia="Arial" w:hAnsi="Arial"/>
          <w:sz w:val="12"/>
          <w:szCs w:val="12"/>
          <w:color w:val="000000"/>
        </w:rPr>
        <w:t>”) effective January 1, 2017. The Plan was amended and restated by the Company as of January 1, 2018 and is hereby further amended and restated as of January 1, 2019. The Plan provides Severance Benefits to Tier IA Executives and Tier IIA Executives of the Company (each an “</w:t>
      </w:r>
      <w:r>
        <w:rPr>
          <w:rFonts w:ascii="Arial" w:cs="Arial" w:eastAsia="Arial" w:hAnsi="Arial"/>
          <w:sz w:val="12"/>
          <w:szCs w:val="12"/>
          <w:u w:val="single" w:color="auto"/>
          <w:color w:val="000000"/>
        </w:rPr>
        <w:t>Executive</w:t>
      </w:r>
      <w:r>
        <w:rPr>
          <w:rFonts w:ascii="Arial" w:cs="Arial" w:eastAsia="Arial" w:hAnsi="Arial"/>
          <w:sz w:val="12"/>
          <w:szCs w:val="12"/>
          <w:color w:val="000000"/>
        </w:rPr>
        <w:t>” and collectively the “</w:t>
      </w:r>
      <w:r>
        <w:rPr>
          <w:rFonts w:ascii="Arial" w:cs="Arial" w:eastAsia="Arial" w:hAnsi="Arial"/>
          <w:sz w:val="12"/>
          <w:szCs w:val="12"/>
          <w:u w:val="single" w:color="auto"/>
          <w:color w:val="000000"/>
        </w:rPr>
        <w:t>Executives</w:t>
      </w:r>
      <w:r>
        <w:rPr>
          <w:rFonts w:ascii="Arial" w:cs="Arial" w:eastAsia="Arial" w:hAnsi="Arial"/>
          <w:sz w:val="12"/>
          <w:szCs w:val="12"/>
          <w:color w:val="000000"/>
        </w:rPr>
        <w:t>”) upon certain terminations of employment from the Company.</w:t>
      </w:r>
    </w:p>
    <w:p>
      <w:pPr>
        <w:spacing w:after="0" w:line="12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11"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1.2</w:t>
      </w:r>
      <w:r>
        <w:rPr>
          <w:sz w:val="20"/>
          <w:szCs w:val="20"/>
          <w:color w:val="auto"/>
        </w:rPr>
        <w:tab/>
      </w:r>
      <w:r>
        <w:rPr>
          <w:rFonts w:ascii="Arial" w:cs="Arial" w:eastAsia="Arial" w:hAnsi="Arial"/>
          <w:sz w:val="11"/>
          <w:szCs w:val="11"/>
          <w:b w:val="1"/>
          <w:bCs w:val="1"/>
          <w:color w:val="auto"/>
        </w:rPr>
        <w:t>Initial Term</w:t>
      </w:r>
      <w:r>
        <w:rPr>
          <w:rFonts w:ascii="Arial" w:cs="Arial" w:eastAsia="Arial" w:hAnsi="Arial"/>
          <w:sz w:val="11"/>
          <w:szCs w:val="11"/>
          <w:color w:val="auto"/>
        </w:rPr>
        <w:t>. This Plan commenced on January 1, 2017 (the “</w:t>
      </w:r>
      <w:r>
        <w:rPr>
          <w:rFonts w:ascii="Arial" w:cs="Arial" w:eastAsia="Arial" w:hAnsi="Arial"/>
          <w:sz w:val="11"/>
          <w:szCs w:val="11"/>
          <w:u w:val="single" w:color="auto"/>
          <w:color w:val="auto"/>
        </w:rPr>
        <w:t>Effective Date</w:t>
      </w:r>
      <w:r>
        <w:rPr>
          <w:rFonts w:ascii="Arial" w:cs="Arial" w:eastAsia="Arial" w:hAnsi="Arial"/>
          <w:sz w:val="11"/>
          <w:szCs w:val="11"/>
          <w:color w:val="auto"/>
        </w:rPr>
        <w:t>”) and shall continue for a period of three (3) years (the “</w:t>
      </w:r>
      <w:r>
        <w:rPr>
          <w:rFonts w:ascii="Arial" w:cs="Arial" w:eastAsia="Arial" w:hAnsi="Arial"/>
          <w:sz w:val="11"/>
          <w:szCs w:val="11"/>
          <w:u w:val="single" w:color="auto"/>
          <w:color w:val="auto"/>
        </w:rPr>
        <w:t>Initial Term</w:t>
      </w:r>
      <w:r>
        <w:rPr>
          <w:rFonts w:ascii="Arial" w:cs="Arial" w:eastAsia="Arial" w:hAnsi="Arial"/>
          <w:sz w:val="11"/>
          <w:szCs w:val="11"/>
          <w:color w:val="auto"/>
        </w:rPr>
        <w:t>”).</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010000"/>
        </w:rPr>
        <w:t xml:space="preserve">1.3 </w:t>
      </w:r>
      <w:r>
        <w:rPr>
          <w:rFonts w:ascii="Arial" w:cs="Arial" w:eastAsia="Arial" w:hAnsi="Arial"/>
          <w:sz w:val="12"/>
          <w:szCs w:val="12"/>
          <w:b w:val="1"/>
          <w:bCs w:val="1"/>
          <w:color w:val="000000"/>
        </w:rPr>
        <w:t>Successive Periods</w:t>
      </w:r>
      <w:r>
        <w:rPr>
          <w:rFonts w:ascii="Arial" w:cs="Arial" w:eastAsia="Arial" w:hAnsi="Arial"/>
          <w:sz w:val="12"/>
          <w:szCs w:val="12"/>
          <w:color w:val="000000"/>
        </w:rPr>
        <w:t>. The term of this Plan shall automatically be extended for one (1) additional year at the end of the Initial Term, and then again after each successive one (1) year period thereafter (each such one (1) year</w:t>
      </w:r>
      <w:r>
        <w:rPr>
          <w:rFonts w:ascii="Arial" w:cs="Arial" w:eastAsia="Arial" w:hAnsi="Arial"/>
          <w:sz w:val="12"/>
          <w:szCs w:val="12"/>
          <w:b w:val="1"/>
          <w:bCs w:val="1"/>
          <w:color w:val="010000"/>
        </w:rPr>
        <w:t xml:space="preserve"> </w:t>
      </w:r>
      <w:r>
        <w:rPr>
          <w:rFonts w:ascii="Arial" w:cs="Arial" w:eastAsia="Arial" w:hAnsi="Arial"/>
          <w:sz w:val="12"/>
          <w:szCs w:val="12"/>
          <w:color w:val="000000"/>
        </w:rPr>
        <w:t>period following the Initial Term is referred to as a “</w:t>
      </w:r>
      <w:r>
        <w:rPr>
          <w:rFonts w:ascii="Arial" w:cs="Arial" w:eastAsia="Arial" w:hAnsi="Arial"/>
          <w:sz w:val="12"/>
          <w:szCs w:val="12"/>
          <w:u w:val="single" w:color="auto"/>
          <w:color w:val="000000"/>
        </w:rPr>
        <w:t>Successive Period</w:t>
      </w:r>
      <w:r>
        <w:rPr>
          <w:rFonts w:ascii="Arial" w:cs="Arial" w:eastAsia="Arial" w:hAnsi="Arial"/>
          <w:sz w:val="12"/>
          <w:szCs w:val="12"/>
          <w:color w:val="000000"/>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2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010000"/>
        </w:rPr>
        <w:t xml:space="preserve">1.4 </w:t>
      </w:r>
      <w:r>
        <w:rPr>
          <w:rFonts w:ascii="Arial" w:cs="Arial" w:eastAsia="Arial" w:hAnsi="Arial"/>
          <w:sz w:val="12"/>
          <w:szCs w:val="12"/>
          <w:b w:val="1"/>
          <w:bCs w:val="1"/>
          <w:color w:val="000000"/>
        </w:rPr>
        <w:t>Change-in-Control Renewal</w:t>
      </w:r>
      <w:r>
        <w:rPr>
          <w:rFonts w:ascii="Arial" w:cs="Arial" w:eastAsia="Arial" w:hAnsi="Arial"/>
          <w:sz w:val="12"/>
          <w:szCs w:val="12"/>
          <w:color w:val="000000"/>
        </w:rPr>
        <w:t>. Notwithstanding the provisions of</w:t>
      </w:r>
      <w:r>
        <w:rPr>
          <w:rFonts w:ascii="Arial" w:cs="Arial" w:eastAsia="Arial" w:hAnsi="Arial"/>
          <w:sz w:val="12"/>
          <w:szCs w:val="12"/>
          <w:b w:val="1"/>
          <w:bCs w:val="1"/>
          <w:color w:val="010000"/>
        </w:rPr>
        <w:t xml:space="preserve"> </w:t>
      </w:r>
      <w:r>
        <w:rPr>
          <w:rFonts w:ascii="Arial" w:cs="Arial" w:eastAsia="Arial" w:hAnsi="Arial"/>
          <w:sz w:val="12"/>
          <w:szCs w:val="12"/>
          <w:u w:val="single" w:color="auto"/>
          <w:color w:val="000000"/>
        </w:rPr>
        <w:t>Section 1.3</w:t>
      </w:r>
      <w:r>
        <w:rPr>
          <w:rFonts w:ascii="Arial" w:cs="Arial" w:eastAsia="Arial" w:hAnsi="Arial"/>
          <w:sz w:val="12"/>
          <w:szCs w:val="12"/>
          <w:b w:val="1"/>
          <w:bCs w:val="1"/>
          <w:color w:val="010000"/>
        </w:rPr>
        <w:t xml:space="preserve"> </w:t>
      </w:r>
      <w:r>
        <w:rPr>
          <w:rFonts w:ascii="Arial" w:cs="Arial" w:eastAsia="Arial" w:hAnsi="Arial"/>
          <w:sz w:val="12"/>
          <w:szCs w:val="12"/>
          <w:color w:val="000000"/>
        </w:rPr>
        <w:t>above, in the event that a Change in Control of the Company occurs during the Initial Term or any Successive Period, upon the effective date of</w:t>
      </w:r>
      <w:r>
        <w:rPr>
          <w:rFonts w:ascii="Arial" w:cs="Arial" w:eastAsia="Arial" w:hAnsi="Arial"/>
          <w:sz w:val="12"/>
          <w:szCs w:val="12"/>
          <w:b w:val="1"/>
          <w:bCs w:val="1"/>
          <w:color w:val="010000"/>
        </w:rPr>
        <w:t xml:space="preserve"> </w:t>
      </w:r>
      <w:r>
        <w:rPr>
          <w:rFonts w:ascii="Arial" w:cs="Arial" w:eastAsia="Arial" w:hAnsi="Arial"/>
          <w:sz w:val="12"/>
          <w:szCs w:val="12"/>
          <w:color w:val="000000"/>
        </w:rPr>
        <w:t xml:space="preserve">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12"/>
          <w:szCs w:val="12"/>
          <w:u w:val="single" w:color="auto"/>
          <w:color w:val="000000"/>
        </w:rPr>
        <w:t>Article 8</w:t>
      </w:r>
      <w:r>
        <w:rPr>
          <w:rFonts w:ascii="Arial" w:cs="Arial" w:eastAsia="Arial" w:hAnsi="Arial"/>
          <w:sz w:val="12"/>
          <w:szCs w:val="12"/>
          <w:color w:val="000000"/>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138"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010000"/>
        </w:rPr>
        <w:t>Article 2.</w:t>
      </w:r>
      <w:r>
        <w:rPr>
          <w:sz w:val="20"/>
          <w:szCs w:val="20"/>
          <w:color w:val="auto"/>
        </w:rPr>
        <w:tab/>
      </w:r>
      <w:r>
        <w:rPr>
          <w:rFonts w:ascii="Arial" w:cs="Arial" w:eastAsia="Arial" w:hAnsi="Arial"/>
          <w:sz w:val="11"/>
          <w:szCs w:val="11"/>
          <w:b w:val="1"/>
          <w:bCs w:val="1"/>
          <w:color w:val="auto"/>
        </w:rPr>
        <w:t>Definitions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Whenever used in this Plan, the following terms shall have the meanings set forth below and, when the meaning is intended, the initial letter of the word is capitalized.</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(a)</w:t>
      </w:r>
      <w:r>
        <w:rPr>
          <w:rFonts w:ascii="Arial" w:cs="Arial" w:eastAsia="Arial" w:hAnsi="Arial"/>
          <w:sz w:val="12"/>
          <w:szCs w:val="12"/>
          <w:color w:val="000000"/>
        </w:rPr>
        <w:t>“</w:t>
      </w:r>
      <w:r>
        <w:rPr>
          <w:rFonts w:ascii="Arial" w:cs="Arial" w:eastAsia="Arial" w:hAnsi="Arial"/>
          <w:sz w:val="12"/>
          <w:szCs w:val="12"/>
          <w:b w:val="1"/>
          <w:bCs w:val="1"/>
          <w:color w:val="000000"/>
        </w:rPr>
        <w:t>Accountants</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Article 6</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(b)</w:t>
      </w:r>
      <w:r>
        <w:rPr>
          <w:rFonts w:ascii="Arial" w:cs="Arial" w:eastAsia="Arial" w:hAnsi="Arial"/>
          <w:sz w:val="12"/>
          <w:szCs w:val="12"/>
          <w:color w:val="000000"/>
        </w:rPr>
        <w:t>“</w:t>
      </w:r>
      <w:r>
        <w:rPr>
          <w:rFonts w:ascii="Arial" w:cs="Arial" w:eastAsia="Arial" w:hAnsi="Arial"/>
          <w:sz w:val="12"/>
          <w:szCs w:val="12"/>
          <w:b w:val="1"/>
          <w:bCs w:val="1"/>
          <w:color w:val="000000"/>
        </w:rPr>
        <w:t>Base Salary</w:t>
      </w:r>
      <w:r>
        <w:rPr>
          <w:rFonts w:ascii="Arial" w:cs="Arial" w:eastAsia="Arial" w:hAnsi="Arial"/>
          <w:sz w:val="12"/>
          <w:szCs w:val="12"/>
          <w:color w:val="000000"/>
        </w:rPr>
        <w:t>” means the greater of the Executive’s annual rate of salary, whether or not deferred, at: (i) the Effective Date of Termination or (ii) at the date of the Change in Control.</w:t>
      </w: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1</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20" w:name="page221"/>
    <w:bookmarkEnd w:id="220"/>
    <w:p>
      <w:pPr>
        <w:ind w:left="420"/>
        <w:spacing w:after="0"/>
        <w:rPr>
          <w:sz w:val="20"/>
          <w:szCs w:val="20"/>
          <w:color w:val="auto"/>
        </w:rPr>
      </w:pPr>
      <w:r>
        <w:rPr>
          <w:rFonts w:ascii="Arial" w:cs="Arial" w:eastAsia="Arial" w:hAnsi="Arial"/>
          <w:sz w:val="12"/>
          <w:szCs w:val="12"/>
          <w:color w:val="010000"/>
        </w:rPr>
        <w:t>(c)</w:t>
      </w:r>
      <w:r>
        <w:rPr>
          <w:rFonts w:ascii="Arial" w:cs="Arial" w:eastAsia="Arial" w:hAnsi="Arial"/>
          <w:sz w:val="12"/>
          <w:szCs w:val="12"/>
          <w:color w:val="000000"/>
        </w:rPr>
        <w:t>“</w:t>
      </w:r>
      <w:r>
        <w:rPr>
          <w:rFonts w:ascii="Arial" w:cs="Arial" w:eastAsia="Arial" w:hAnsi="Arial"/>
          <w:sz w:val="12"/>
          <w:szCs w:val="12"/>
          <w:b w:val="1"/>
          <w:bCs w:val="1"/>
          <w:color w:val="000000"/>
        </w:rPr>
        <w:t>Beneficiary</w:t>
      </w:r>
      <w:r>
        <w:rPr>
          <w:rFonts w:ascii="Arial" w:cs="Arial" w:eastAsia="Arial" w:hAnsi="Arial"/>
          <w:sz w:val="12"/>
          <w:szCs w:val="12"/>
          <w:color w:val="000000"/>
        </w:rPr>
        <w:t>” means the persons or entities designated or deemed designated by the Executive pursuant to</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9.6</w:t>
      </w:r>
      <w:r>
        <w:rPr>
          <w:rFonts w:ascii="Arial" w:cs="Arial" w:eastAsia="Arial" w:hAnsi="Arial"/>
          <w:sz w:val="12"/>
          <w:szCs w:val="12"/>
          <w:color w:val="010000"/>
        </w:rPr>
        <w:t xml:space="preserve"> </w:t>
      </w:r>
      <w:r>
        <w:rPr>
          <w:rFonts w:ascii="Arial" w:cs="Arial" w:eastAsia="Arial" w:hAnsi="Arial"/>
          <w:sz w:val="12"/>
          <w:szCs w:val="12"/>
          <w:color w:val="000000"/>
        </w:rPr>
        <w:t>herein.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(d)</w:t>
      </w:r>
      <w:r>
        <w:rPr>
          <w:rFonts w:ascii="Arial" w:cs="Arial" w:eastAsia="Arial" w:hAnsi="Arial"/>
          <w:sz w:val="12"/>
          <w:szCs w:val="12"/>
          <w:color w:val="000000"/>
        </w:rPr>
        <w:t>“</w:t>
      </w:r>
      <w:r>
        <w:rPr>
          <w:rFonts w:ascii="Arial" w:cs="Arial" w:eastAsia="Arial" w:hAnsi="Arial"/>
          <w:sz w:val="12"/>
          <w:szCs w:val="12"/>
          <w:b w:val="1"/>
          <w:bCs w:val="1"/>
          <w:color w:val="000000"/>
        </w:rPr>
        <w:t>Board</w:t>
      </w:r>
      <w:r>
        <w:rPr>
          <w:rFonts w:ascii="Arial" w:cs="Arial" w:eastAsia="Arial" w:hAnsi="Arial"/>
          <w:sz w:val="12"/>
          <w:szCs w:val="12"/>
          <w:color w:val="000000"/>
        </w:rPr>
        <w:t>” means the Board of Directors of the Company.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(e)</w:t>
      </w:r>
      <w:r>
        <w:rPr>
          <w:rFonts w:ascii="Arial" w:cs="Arial" w:eastAsia="Arial" w:hAnsi="Arial"/>
          <w:sz w:val="12"/>
          <w:szCs w:val="12"/>
          <w:color w:val="000000"/>
        </w:rPr>
        <w:t>“</w:t>
      </w:r>
      <w:r>
        <w:rPr>
          <w:rFonts w:ascii="Arial" w:cs="Arial" w:eastAsia="Arial" w:hAnsi="Arial"/>
          <w:sz w:val="12"/>
          <w:szCs w:val="12"/>
          <w:b w:val="1"/>
          <w:bCs w:val="1"/>
          <w:color w:val="000000"/>
        </w:rPr>
        <w:t>Cause</w:t>
      </w:r>
      <w:r>
        <w:rPr>
          <w:rFonts w:ascii="Arial" w:cs="Arial" w:eastAsia="Arial" w:hAnsi="Arial"/>
          <w:sz w:val="12"/>
          <w:szCs w:val="12"/>
          <w:color w:val="000000"/>
        </w:rPr>
        <w:t>” shall mean one or more of the following: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010000"/>
        </w:rPr>
        <w:t>(i)</w:t>
      </w:r>
      <w:r>
        <w:rPr>
          <w:rFonts w:ascii="Arial" w:cs="Arial" w:eastAsia="Arial" w:hAnsi="Arial"/>
          <w:sz w:val="12"/>
          <w:szCs w:val="12"/>
          <w:color w:val="000000"/>
        </w:rPr>
        <w:t>the Executive’s willful misconduct or gross negligence in the performance of the Executive’s duties to the Company that has or could reasonably be expected to have an adverse effect on the Company;</w:t>
      </w:r>
    </w:p>
    <w:p>
      <w:pPr>
        <w:spacing w:after="0" w:line="150" w:lineRule="exact"/>
        <w:rPr>
          <w:sz w:val="20"/>
          <w:szCs w:val="20"/>
          <w:color w:val="auto"/>
        </w:rPr>
      </w:pPr>
    </w:p>
    <w:p>
      <w:pPr>
        <w:ind w:left="860" w:right="3400" w:hanging="3"/>
        <w:spacing w:after="0" w:line="501" w:lineRule="auto"/>
        <w:tabs>
          <w:tab w:leader="none" w:pos="1013" w:val="left"/>
        </w:tabs>
        <w:numPr>
          <w:ilvl w:val="0"/>
          <w:numId w:val="173"/>
        </w:numPr>
        <w:rPr>
          <w:rFonts w:ascii="Arial" w:cs="Arial" w:eastAsia="Arial" w:hAnsi="Arial"/>
          <w:sz w:val="12"/>
          <w:szCs w:val="12"/>
          <w:color w:val="010000"/>
        </w:rPr>
      </w:pPr>
      <w:r>
        <w:rPr>
          <w:rFonts w:ascii="Arial" w:cs="Arial" w:eastAsia="Arial" w:hAnsi="Arial"/>
          <w:sz w:val="12"/>
          <w:szCs w:val="12"/>
          <w:color w:val="auto"/>
        </w:rPr>
        <w:t xml:space="preserve">the Executive’s willful failure to perform the Executive’s duties to the Company (other than as a result of death or a physical or mental incapacity); </w:t>
      </w:r>
      <w:r>
        <w:rPr>
          <w:rFonts w:ascii="Arial" w:cs="Arial" w:eastAsia="Arial" w:hAnsi="Arial"/>
          <w:sz w:val="12"/>
          <w:szCs w:val="12"/>
          <w:color w:val="010000"/>
        </w:rPr>
        <w:t>(iii)</w:t>
      </w:r>
      <w:r>
        <w:rPr>
          <w:rFonts w:ascii="Arial" w:cs="Arial" w:eastAsia="Arial" w:hAnsi="Arial"/>
          <w:sz w:val="12"/>
          <w:szCs w:val="12"/>
          <w:color w:val="000000"/>
        </w:rPr>
        <w:t>indictment for, conviction of, or pleading of guilty or nolo contendere to, a felony or any crime involving moral turpitude;</w:t>
      </w:r>
    </w:p>
    <w:p>
      <w:pPr>
        <w:ind w:left="1040" w:hanging="183"/>
        <w:spacing w:after="0"/>
        <w:tabs>
          <w:tab w:leader="none" w:pos="1040" w:val="left"/>
        </w:tabs>
        <w:numPr>
          <w:ilvl w:val="0"/>
          <w:numId w:val="174"/>
        </w:numPr>
        <w:rPr>
          <w:rFonts w:ascii="Arial" w:cs="Arial" w:eastAsia="Arial" w:hAnsi="Arial"/>
          <w:sz w:val="12"/>
          <w:szCs w:val="12"/>
          <w:color w:val="010000"/>
        </w:rPr>
      </w:pPr>
      <w:r>
        <w:rPr>
          <w:rFonts w:ascii="Arial" w:cs="Arial" w:eastAsia="Arial" w:hAnsi="Arial"/>
          <w:sz w:val="12"/>
          <w:szCs w:val="12"/>
          <w:color w:val="auto"/>
        </w:rPr>
        <w:t>the Executive’s performance of any material act of theft, fraud, malfeasance or dishonesty in connection with the performance of the Executive’s duties to the Company;</w:t>
      </w:r>
    </w:p>
    <w:p>
      <w:pPr>
        <w:spacing w:after="0" w:line="150" w:lineRule="exact"/>
        <w:rPr>
          <w:rFonts w:ascii="Arial" w:cs="Arial" w:eastAsia="Arial" w:hAnsi="Arial"/>
          <w:sz w:val="12"/>
          <w:szCs w:val="12"/>
          <w:color w:val="010000"/>
        </w:rPr>
      </w:pPr>
    </w:p>
    <w:p>
      <w:pPr>
        <w:ind w:left="1000" w:hanging="143"/>
        <w:spacing w:after="0"/>
        <w:tabs>
          <w:tab w:leader="none" w:pos="1000" w:val="left"/>
        </w:tabs>
        <w:numPr>
          <w:ilvl w:val="0"/>
          <w:numId w:val="174"/>
        </w:numPr>
        <w:rPr>
          <w:rFonts w:ascii="Arial" w:cs="Arial" w:eastAsia="Arial" w:hAnsi="Arial"/>
          <w:sz w:val="12"/>
          <w:szCs w:val="12"/>
          <w:color w:val="010000"/>
        </w:rPr>
      </w:pPr>
      <w:r>
        <w:rPr>
          <w:rFonts w:ascii="Arial" w:cs="Arial" w:eastAsia="Arial" w:hAnsi="Arial"/>
          <w:sz w:val="12"/>
          <w:szCs w:val="12"/>
          <w:color w:val="auto"/>
        </w:rPr>
        <w:t>breach of any written agreement between the Executive and the Company, or a violation of the Company’s code of conduct or other written policy; or</w:t>
      </w:r>
    </w:p>
    <w:p>
      <w:pPr>
        <w:spacing w:after="0" w:line="150" w:lineRule="exact"/>
        <w:rPr>
          <w:rFonts w:ascii="Arial" w:cs="Arial" w:eastAsia="Arial" w:hAnsi="Arial"/>
          <w:sz w:val="12"/>
          <w:szCs w:val="12"/>
          <w:color w:val="010000"/>
        </w:rPr>
      </w:pPr>
    </w:p>
    <w:p>
      <w:pPr>
        <w:ind w:left="1040" w:hanging="183"/>
        <w:spacing w:after="0"/>
        <w:tabs>
          <w:tab w:leader="none" w:pos="1040" w:val="left"/>
        </w:tabs>
        <w:numPr>
          <w:ilvl w:val="0"/>
          <w:numId w:val="174"/>
        </w:numPr>
        <w:rPr>
          <w:rFonts w:ascii="Arial" w:cs="Arial" w:eastAsia="Arial" w:hAnsi="Arial"/>
          <w:sz w:val="12"/>
          <w:szCs w:val="12"/>
          <w:color w:val="010000"/>
        </w:rPr>
      </w:pPr>
      <w:r>
        <w:rPr>
          <w:rFonts w:ascii="Arial" w:cs="Arial" w:eastAsia="Arial" w:hAnsi="Arial"/>
          <w:sz w:val="12"/>
          <w:szCs w:val="12"/>
          <w:color w:val="auto"/>
        </w:rPr>
        <w:t xml:space="preserve">any other material breach of </w:t>
      </w:r>
      <w:r>
        <w:rPr>
          <w:rFonts w:ascii="Arial" w:cs="Arial" w:eastAsia="Arial" w:hAnsi="Arial"/>
          <w:sz w:val="12"/>
          <w:szCs w:val="12"/>
          <w:u w:val="single" w:color="auto"/>
          <w:color w:val="auto"/>
        </w:rPr>
        <w:t>Article 5</w:t>
      </w:r>
      <w:r>
        <w:rPr>
          <w:rFonts w:ascii="Arial" w:cs="Arial" w:eastAsia="Arial" w:hAnsi="Arial"/>
          <w:sz w:val="12"/>
          <w:szCs w:val="12"/>
          <w:color w:val="auto"/>
        </w:rPr>
        <w:t xml:space="preserve"> of this Plan.</w:t>
      </w:r>
    </w:p>
    <w:p>
      <w:pPr>
        <w:spacing w:after="0" w:line="150" w:lineRule="exact"/>
        <w:rPr>
          <w:sz w:val="20"/>
          <w:szCs w:val="20"/>
          <w:color w:val="auto"/>
        </w:rPr>
      </w:pPr>
    </w:p>
    <w:p>
      <w:pPr>
        <w:jc w:val="both"/>
        <w:ind w:left="1280" w:right="20"/>
        <w:spacing w:after="0" w:line="263" w:lineRule="auto"/>
        <w:rPr>
          <w:sz w:val="20"/>
          <w:szCs w:val="20"/>
          <w:color w:val="auto"/>
        </w:rPr>
      </w:pPr>
      <w:r>
        <w:rPr>
          <w:rFonts w:ascii="Arial" w:cs="Arial" w:eastAsia="Arial" w:hAnsi="Arial"/>
          <w:sz w:val="12"/>
          <w:szCs w:val="12"/>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19" w:lineRule="exact"/>
        <w:rPr>
          <w:sz w:val="20"/>
          <w:szCs w:val="20"/>
          <w:color w:val="auto"/>
        </w:rPr>
      </w:pPr>
    </w:p>
    <w:p>
      <w:pPr>
        <w:ind w:left="560" w:hanging="136"/>
        <w:spacing w:after="0"/>
        <w:tabs>
          <w:tab w:leader="none" w:pos="560" w:val="left"/>
        </w:tabs>
        <w:numPr>
          <w:ilvl w:val="0"/>
          <w:numId w:val="175"/>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Change-in-Control Severance Benefits</w:t>
      </w:r>
      <w:r>
        <w:rPr>
          <w:rFonts w:ascii="Arial" w:cs="Arial" w:eastAsia="Arial" w:hAnsi="Arial"/>
          <w:sz w:val="12"/>
          <w:szCs w:val="12"/>
          <w:color w:val="auto"/>
        </w:rPr>
        <w:t xml:space="preserve">” means the Severance Benefit described in </w:t>
      </w:r>
      <w:r>
        <w:rPr>
          <w:rFonts w:ascii="Arial" w:cs="Arial" w:eastAsia="Arial" w:hAnsi="Arial"/>
          <w:sz w:val="12"/>
          <w:szCs w:val="12"/>
          <w:u w:val="single" w:color="auto"/>
          <w:color w:val="auto"/>
        </w:rPr>
        <w:t>Section 3.2</w:t>
      </w:r>
      <w:r>
        <w:rPr>
          <w:rFonts w:ascii="Arial" w:cs="Arial" w:eastAsia="Arial" w:hAnsi="Arial"/>
          <w:sz w:val="12"/>
          <w:szCs w:val="12"/>
          <w:color w:val="auto"/>
        </w:rPr>
        <w:t>.</w:t>
      </w:r>
    </w:p>
    <w:p>
      <w:pPr>
        <w:spacing w:after="0" w:line="150" w:lineRule="exact"/>
        <w:rPr>
          <w:rFonts w:ascii="Arial" w:cs="Arial" w:eastAsia="Arial" w:hAnsi="Arial"/>
          <w:sz w:val="12"/>
          <w:szCs w:val="12"/>
          <w:color w:val="010000"/>
        </w:rPr>
      </w:pPr>
    </w:p>
    <w:p>
      <w:pPr>
        <w:ind w:left="560" w:hanging="136"/>
        <w:spacing w:after="0"/>
        <w:tabs>
          <w:tab w:leader="none" w:pos="560" w:val="left"/>
        </w:tabs>
        <w:numPr>
          <w:ilvl w:val="0"/>
          <w:numId w:val="175"/>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Change in Control</w:t>
      </w:r>
      <w:r>
        <w:rPr>
          <w:rFonts w:ascii="Arial" w:cs="Arial" w:eastAsia="Arial" w:hAnsi="Arial"/>
          <w:sz w:val="11"/>
          <w:szCs w:val="11"/>
          <w:color w:val="auto"/>
        </w:rPr>
        <w:t>” shall mean the first to occur of any of the following events:</w:t>
      </w:r>
    </w:p>
    <w:p>
      <w:pPr>
        <w:spacing w:after="0" w:line="166" w:lineRule="exact"/>
        <w:rPr>
          <w:sz w:val="20"/>
          <w:szCs w:val="20"/>
          <w:color w:val="auto"/>
        </w:rPr>
      </w:pPr>
    </w:p>
    <w:p>
      <w:pPr>
        <w:jc w:val="both"/>
        <w:ind w:left="1840" w:hanging="981"/>
        <w:spacing w:after="0" w:line="257" w:lineRule="auto"/>
        <w:rPr>
          <w:sz w:val="20"/>
          <w:szCs w:val="20"/>
          <w:color w:val="auto"/>
        </w:rPr>
      </w:pPr>
      <w:r>
        <w:rPr>
          <w:rFonts w:ascii="Arial" w:cs="Arial" w:eastAsia="Arial" w:hAnsi="Arial"/>
          <w:sz w:val="12"/>
          <w:szCs w:val="12"/>
          <w:color w:val="010000"/>
        </w:rPr>
        <w:t>(i)</w:t>
      </w:r>
      <w:r>
        <w:rPr>
          <w:rFonts w:ascii="Arial" w:cs="Arial" w:eastAsia="Arial" w:hAnsi="Arial"/>
          <w:sz w:val="12"/>
          <w:szCs w:val="12"/>
          <w:color w:val="000000"/>
        </w:rPr>
        <w:t>Any “person” (as that term is used in Sections 13 and 14(d)(2) of the Securities Exchange Act of 1934 (“Exchange Act”)) other than Clearway Energy Group LLC or one of its subsidiaries or affiliates (A) becomes the</w:t>
      </w:r>
      <w:r>
        <w:rPr>
          <w:rFonts w:ascii="Arial" w:cs="Arial" w:eastAsia="Arial" w:hAnsi="Arial"/>
          <w:sz w:val="12"/>
          <w:szCs w:val="12"/>
          <w:color w:val="010000"/>
        </w:rPr>
        <w:t xml:space="preserve"> </w:t>
      </w:r>
      <w:r>
        <w:rPr>
          <w:rFonts w:ascii="Arial" w:cs="Arial" w:eastAsia="Arial" w:hAnsi="Arial"/>
          <w:sz w:val="12"/>
          <w:szCs w:val="12"/>
          <w:color w:val="000000"/>
        </w:rPr>
        <w:t>“Beneficial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26" w:lineRule="exact"/>
        <w:rPr>
          <w:sz w:val="20"/>
          <w:szCs w:val="20"/>
          <w:color w:val="auto"/>
        </w:rPr>
      </w:pPr>
    </w:p>
    <w:p>
      <w:pPr>
        <w:ind w:left="1880" w:hanging="1023"/>
        <w:spacing w:after="0" w:line="263" w:lineRule="auto"/>
        <w:tabs>
          <w:tab w:leader="none" w:pos="1015" w:val="left"/>
        </w:tabs>
        <w:numPr>
          <w:ilvl w:val="0"/>
          <w:numId w:val="176"/>
        </w:numPr>
        <w:rPr>
          <w:rFonts w:ascii="Arial" w:cs="Arial" w:eastAsia="Arial" w:hAnsi="Arial"/>
          <w:sz w:val="12"/>
          <w:szCs w:val="12"/>
          <w:color w:val="010000"/>
        </w:rPr>
      </w:pPr>
      <w:r>
        <w:rPr>
          <w:rFonts w:ascii="Arial" w:cs="Arial" w:eastAsia="Arial" w:hAnsi="Arial"/>
          <w:sz w:val="12"/>
          <w:szCs w:val="12"/>
          <w:color w:val="auto"/>
        </w:rPr>
        <w:t>Persons who on the Effective Date constitute the Board (the “Incumbent Directors”) cease for any reason, including without limitation, as a result 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w:t>
      </w:r>
    </w:p>
    <w:p>
      <w:pPr>
        <w:spacing w:after="0" w:line="38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2</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21" w:name="page222"/>
    <w:bookmarkEnd w:id="221"/>
    <w:p>
      <w:pPr>
        <w:jc w:val="both"/>
        <w:ind w:left="1280"/>
        <w:spacing w:after="0" w:line="310" w:lineRule="auto"/>
        <w:rPr>
          <w:sz w:val="20"/>
          <w:szCs w:val="20"/>
          <w:color w:val="auto"/>
        </w:rPr>
      </w:pPr>
      <w:r>
        <w:rPr>
          <w:rFonts w:ascii="Arial" w:cs="Arial" w:eastAsia="Arial" w:hAnsi="Arial"/>
          <w:sz w:val="12"/>
          <w:szCs w:val="12"/>
          <w:color w:val="auto"/>
        </w:rPr>
        <w:t>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05" w:lineRule="exact"/>
        <w:rPr>
          <w:sz w:val="20"/>
          <w:szCs w:val="20"/>
          <w:color w:val="auto"/>
        </w:rPr>
      </w:pPr>
    </w:p>
    <w:p>
      <w:pPr>
        <w:jc w:val="both"/>
        <w:ind w:left="1900" w:hanging="1044"/>
        <w:spacing w:after="0" w:line="255" w:lineRule="auto"/>
        <w:rPr>
          <w:sz w:val="20"/>
          <w:szCs w:val="20"/>
          <w:color w:val="auto"/>
        </w:rPr>
      </w:pPr>
      <w:r>
        <w:rPr>
          <w:rFonts w:ascii="Arial" w:cs="Arial" w:eastAsia="Arial" w:hAnsi="Arial"/>
          <w:sz w:val="12"/>
          <w:szCs w:val="12"/>
          <w:color w:val="010000"/>
        </w:rPr>
        <w:t>(iii)</w:t>
      </w:r>
      <w:r>
        <w:rPr>
          <w:rFonts w:ascii="Arial" w:cs="Arial" w:eastAsia="Arial" w:hAnsi="Arial"/>
          <w:sz w:val="12"/>
          <w:szCs w:val="12"/>
          <w:color w:val="000000"/>
        </w:rPr>
        <w:t>Consummation of a reorganization, merger, consolidation, or sale or other disposition of all or substantially all of the assets of the Company (a “Business Combination”), in each case, unless, following such Business</w:t>
      </w:r>
      <w:r>
        <w:rPr>
          <w:rFonts w:ascii="Arial" w:cs="Arial" w:eastAsia="Arial" w:hAnsi="Arial"/>
          <w:sz w:val="12"/>
          <w:szCs w:val="12"/>
          <w:color w:val="010000"/>
        </w:rPr>
        <w:t xml:space="preserve"> </w:t>
      </w:r>
      <w:r>
        <w:rPr>
          <w:rFonts w:ascii="Arial" w:cs="Arial" w:eastAsia="Arial" w:hAnsi="Arial"/>
          <w:sz w:val="12"/>
          <w:szCs w:val="12"/>
          <w:color w:val="000000"/>
        </w:rPr>
        <w:t>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29" w:lineRule="exact"/>
        <w:rPr>
          <w:sz w:val="20"/>
          <w:szCs w:val="20"/>
          <w:color w:val="auto"/>
        </w:rPr>
      </w:pPr>
    </w:p>
    <w:p>
      <w:pPr>
        <w:ind w:left="1040" w:hanging="183"/>
        <w:spacing w:after="0"/>
        <w:tabs>
          <w:tab w:leader="none" w:pos="1040" w:val="left"/>
        </w:tabs>
        <w:numPr>
          <w:ilvl w:val="1"/>
          <w:numId w:val="177"/>
        </w:numPr>
        <w:rPr>
          <w:rFonts w:ascii="Arial" w:cs="Arial" w:eastAsia="Arial" w:hAnsi="Arial"/>
          <w:sz w:val="12"/>
          <w:szCs w:val="12"/>
          <w:color w:val="010000"/>
        </w:rPr>
      </w:pPr>
      <w:r>
        <w:rPr>
          <w:rFonts w:ascii="Arial" w:cs="Arial" w:eastAsia="Arial" w:hAnsi="Arial"/>
          <w:sz w:val="12"/>
          <w:szCs w:val="12"/>
          <w:color w:val="auto"/>
        </w:rPr>
        <w:t>The stockholders of the Company approve any plan or proposal for the liquidation or dissolution of the Company.</w:t>
      </w:r>
    </w:p>
    <w:p>
      <w:pPr>
        <w:spacing w:after="0" w:line="146" w:lineRule="exact"/>
        <w:rPr>
          <w:rFonts w:ascii="Arial" w:cs="Arial" w:eastAsia="Arial" w:hAnsi="Arial"/>
          <w:sz w:val="12"/>
          <w:szCs w:val="12"/>
          <w:color w:val="010000"/>
        </w:rPr>
      </w:pPr>
    </w:p>
    <w:p>
      <w:pPr>
        <w:ind w:left="560" w:hanging="136"/>
        <w:spacing w:after="0"/>
        <w:tabs>
          <w:tab w:leader="none" w:pos="560" w:val="left"/>
        </w:tabs>
        <w:numPr>
          <w:ilvl w:val="0"/>
          <w:numId w:val="178"/>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Code</w:t>
      </w:r>
      <w:r>
        <w:rPr>
          <w:rFonts w:ascii="Arial" w:cs="Arial" w:eastAsia="Arial" w:hAnsi="Arial"/>
          <w:sz w:val="11"/>
          <w:szCs w:val="11"/>
          <w:color w:val="auto"/>
        </w:rPr>
        <w:t>” means the United States Internal Revenue Code of 1986, as amended, and any successors thereto.</w:t>
      </w:r>
    </w:p>
    <w:p>
      <w:pPr>
        <w:spacing w:after="0" w:line="161" w:lineRule="exact"/>
        <w:rPr>
          <w:rFonts w:ascii="Arial" w:cs="Arial" w:eastAsia="Arial" w:hAnsi="Arial"/>
          <w:sz w:val="11"/>
          <w:szCs w:val="11"/>
          <w:color w:val="010000"/>
        </w:rPr>
      </w:pPr>
    </w:p>
    <w:p>
      <w:pPr>
        <w:ind w:left="540" w:hanging="116"/>
        <w:spacing w:after="0"/>
        <w:tabs>
          <w:tab w:leader="none" w:pos="540" w:val="left"/>
        </w:tabs>
        <w:numPr>
          <w:ilvl w:val="0"/>
          <w:numId w:val="17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Committee</w:t>
      </w:r>
      <w:r>
        <w:rPr>
          <w:rFonts w:ascii="Arial" w:cs="Arial" w:eastAsia="Arial" w:hAnsi="Arial"/>
          <w:sz w:val="12"/>
          <w:szCs w:val="12"/>
          <w:color w:val="auto"/>
        </w:rPr>
        <w:t>” means the Compensation Committee of the Board or any other committee appointed by the Board to perform the functions of the Compensation Committee.</w:t>
      </w:r>
    </w:p>
    <w:p>
      <w:pPr>
        <w:spacing w:after="0" w:line="150" w:lineRule="exact"/>
        <w:rPr>
          <w:rFonts w:ascii="Arial" w:cs="Arial" w:eastAsia="Arial" w:hAnsi="Arial"/>
          <w:sz w:val="12"/>
          <w:szCs w:val="12"/>
          <w:color w:val="010000"/>
        </w:rPr>
      </w:pPr>
    </w:p>
    <w:p>
      <w:pPr>
        <w:ind w:left="540" w:hanging="116"/>
        <w:spacing w:after="0"/>
        <w:tabs>
          <w:tab w:leader="none" w:pos="540" w:val="left"/>
        </w:tabs>
        <w:numPr>
          <w:ilvl w:val="0"/>
          <w:numId w:val="17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Company</w:t>
      </w:r>
      <w:r>
        <w:rPr>
          <w:rFonts w:ascii="Arial" w:cs="Arial" w:eastAsia="Arial" w:hAnsi="Arial"/>
          <w:sz w:val="12"/>
          <w:szCs w:val="12"/>
          <w:color w:val="auto"/>
        </w:rPr>
        <w:t xml:space="preserve">” means Clearway Energy, Inc., a Delaware corporation, or any successor thereto as provided in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herein.</w:t>
      </w:r>
    </w:p>
    <w:p>
      <w:pPr>
        <w:spacing w:after="0" w:line="150" w:lineRule="exact"/>
        <w:rPr>
          <w:rFonts w:ascii="Arial" w:cs="Arial" w:eastAsia="Arial" w:hAnsi="Arial"/>
          <w:sz w:val="12"/>
          <w:szCs w:val="12"/>
          <w:color w:val="010000"/>
        </w:rPr>
      </w:pPr>
    </w:p>
    <w:p>
      <w:pPr>
        <w:ind w:left="560" w:hanging="136"/>
        <w:spacing w:after="0"/>
        <w:tabs>
          <w:tab w:leader="none" w:pos="560" w:val="left"/>
        </w:tabs>
        <w:numPr>
          <w:ilvl w:val="0"/>
          <w:numId w:val="178"/>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Confidential Information</w:t>
      </w:r>
      <w:r>
        <w:rPr>
          <w:rFonts w:ascii="Arial" w:cs="Arial" w:eastAsia="Arial" w:hAnsi="Arial"/>
          <w:sz w:val="11"/>
          <w:szCs w:val="11"/>
          <w:color w:val="auto"/>
        </w:rPr>
        <w:t xml:space="preserve">” shall have the meaning set forth in </w:t>
      </w:r>
      <w:r>
        <w:rPr>
          <w:rFonts w:ascii="Arial" w:cs="Arial" w:eastAsia="Arial" w:hAnsi="Arial"/>
          <w:sz w:val="11"/>
          <w:szCs w:val="11"/>
          <w:u w:val="single" w:color="auto"/>
          <w:color w:val="auto"/>
        </w:rPr>
        <w:t>Article 5(a)</w:t>
      </w:r>
      <w:r>
        <w:rPr>
          <w:rFonts w:ascii="Arial" w:cs="Arial" w:eastAsia="Arial" w:hAnsi="Arial"/>
          <w:sz w:val="11"/>
          <w:szCs w:val="11"/>
          <w:color w:val="auto"/>
        </w:rPr>
        <w:t>.</w:t>
      </w:r>
    </w:p>
    <w:p>
      <w:pPr>
        <w:spacing w:after="0" w:line="161" w:lineRule="exact"/>
        <w:rPr>
          <w:rFonts w:ascii="Arial" w:cs="Arial" w:eastAsia="Arial" w:hAnsi="Arial"/>
          <w:sz w:val="11"/>
          <w:szCs w:val="11"/>
          <w:color w:val="010000"/>
        </w:rPr>
      </w:pPr>
    </w:p>
    <w:p>
      <w:pPr>
        <w:ind w:left="540" w:hanging="116"/>
        <w:spacing w:after="0"/>
        <w:tabs>
          <w:tab w:leader="none" w:pos="540" w:val="left"/>
        </w:tabs>
        <w:numPr>
          <w:ilvl w:val="0"/>
          <w:numId w:val="178"/>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Delay Period</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3.4(b)</w:t>
      </w:r>
      <w:r>
        <w:rPr>
          <w:rFonts w:ascii="Arial" w:cs="Arial" w:eastAsia="Arial" w:hAnsi="Arial"/>
          <w:sz w:val="12"/>
          <w:szCs w:val="12"/>
          <w:color w:val="auto"/>
        </w:rPr>
        <w:t>.</w:t>
      </w:r>
    </w:p>
    <w:p>
      <w:pPr>
        <w:spacing w:after="0" w:line="150" w:lineRule="exact"/>
        <w:rPr>
          <w:rFonts w:ascii="Arial" w:cs="Arial" w:eastAsia="Arial" w:hAnsi="Arial"/>
          <w:sz w:val="12"/>
          <w:szCs w:val="12"/>
          <w:color w:val="010000"/>
        </w:rPr>
      </w:pPr>
    </w:p>
    <w:p>
      <w:pPr>
        <w:ind w:left="600" w:hanging="176"/>
        <w:spacing w:after="0"/>
        <w:tabs>
          <w:tab w:leader="none" w:pos="600" w:val="left"/>
        </w:tabs>
        <w:numPr>
          <w:ilvl w:val="0"/>
          <w:numId w:val="178"/>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Disability</w:t>
      </w:r>
      <w:r>
        <w:rPr>
          <w:rFonts w:ascii="Arial" w:cs="Arial" w:eastAsia="Arial" w:hAnsi="Arial"/>
          <w:sz w:val="11"/>
          <w:szCs w:val="11"/>
          <w:color w:val="auto"/>
        </w:rPr>
        <w:t>” shall mean a disability that would entitle Executive to payment of monthly disability payments under any Company long-term disability plan.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(n)</w:t>
      </w:r>
      <w:r>
        <w:rPr>
          <w:rFonts w:ascii="Arial" w:cs="Arial" w:eastAsia="Arial" w:hAnsi="Arial"/>
          <w:sz w:val="12"/>
          <w:szCs w:val="12"/>
          <w:color w:val="000000"/>
        </w:rPr>
        <w:t>“</w:t>
      </w:r>
      <w:r>
        <w:rPr>
          <w:rFonts w:ascii="Arial" w:cs="Arial" w:eastAsia="Arial" w:hAnsi="Arial"/>
          <w:sz w:val="12"/>
          <w:szCs w:val="12"/>
          <w:b w:val="1"/>
          <w:bCs w:val="1"/>
          <w:color w:val="000000"/>
        </w:rPr>
        <w:t>Effective Date</w:t>
      </w:r>
      <w:r>
        <w:rPr>
          <w:rFonts w:ascii="Arial" w:cs="Arial" w:eastAsia="Arial" w:hAnsi="Arial"/>
          <w:sz w:val="12"/>
          <w:szCs w:val="12"/>
          <w:color w:val="000000"/>
        </w:rPr>
        <w:t>” means the commencement date of this Plan as specified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1.2</w:t>
      </w:r>
      <w:r>
        <w:rPr>
          <w:rFonts w:ascii="Arial" w:cs="Arial" w:eastAsia="Arial" w:hAnsi="Arial"/>
          <w:sz w:val="12"/>
          <w:szCs w:val="12"/>
          <w:color w:val="010000"/>
        </w:rPr>
        <w:t xml:space="preserve"> </w:t>
      </w:r>
      <w:r>
        <w:rPr>
          <w:rFonts w:ascii="Arial" w:cs="Arial" w:eastAsia="Arial" w:hAnsi="Arial"/>
          <w:sz w:val="12"/>
          <w:szCs w:val="12"/>
          <w:color w:val="000000"/>
        </w:rPr>
        <w:t>of this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(o)</w:t>
      </w:r>
      <w:r>
        <w:rPr>
          <w:rFonts w:ascii="Arial" w:cs="Arial" w:eastAsia="Arial" w:hAnsi="Arial"/>
          <w:sz w:val="12"/>
          <w:szCs w:val="12"/>
          <w:color w:val="000000"/>
        </w:rPr>
        <w:t>“</w:t>
      </w:r>
      <w:r>
        <w:rPr>
          <w:rFonts w:ascii="Arial" w:cs="Arial" w:eastAsia="Arial" w:hAnsi="Arial"/>
          <w:sz w:val="12"/>
          <w:szCs w:val="12"/>
          <w:b w:val="1"/>
          <w:bCs w:val="1"/>
          <w:color w:val="000000"/>
        </w:rPr>
        <w:t>Effective Date of Termination</w:t>
      </w:r>
      <w:r>
        <w:rPr>
          <w:rFonts w:ascii="Arial" w:cs="Arial" w:eastAsia="Arial" w:hAnsi="Arial"/>
          <w:sz w:val="12"/>
          <w:szCs w:val="12"/>
          <w:color w:val="000000"/>
        </w:rPr>
        <w:t>” means the date on which a Qualifying Termination occurs, as defined hereunder, which triggers the payment of Severance Benefits 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(p)</w:t>
      </w:r>
      <w:r>
        <w:rPr>
          <w:rFonts w:ascii="Arial" w:cs="Arial" w:eastAsia="Arial" w:hAnsi="Arial"/>
          <w:sz w:val="12"/>
          <w:szCs w:val="12"/>
          <w:color w:val="000000"/>
        </w:rPr>
        <w:t>“</w:t>
      </w:r>
      <w:r>
        <w:rPr>
          <w:rFonts w:ascii="Arial" w:cs="Arial" w:eastAsia="Arial" w:hAnsi="Arial"/>
          <w:sz w:val="12"/>
          <w:szCs w:val="12"/>
          <w:b w:val="1"/>
          <w:bCs w:val="1"/>
          <w:color w:val="000000"/>
        </w:rPr>
        <w:t>Executive</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1.1</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(q)</w:t>
      </w:r>
      <w:r>
        <w:rPr>
          <w:rFonts w:ascii="Arial" w:cs="Arial" w:eastAsia="Arial" w:hAnsi="Arial"/>
          <w:sz w:val="12"/>
          <w:szCs w:val="12"/>
          <w:color w:val="000000"/>
        </w:rPr>
        <w:t>“</w:t>
      </w:r>
      <w:r>
        <w:rPr>
          <w:rFonts w:ascii="Arial" w:cs="Arial" w:eastAsia="Arial" w:hAnsi="Arial"/>
          <w:sz w:val="12"/>
          <w:szCs w:val="12"/>
          <w:b w:val="1"/>
          <w:bCs w:val="1"/>
          <w:color w:val="000000"/>
        </w:rPr>
        <w:t>Former Parent Company</w:t>
      </w:r>
      <w:r>
        <w:rPr>
          <w:rFonts w:ascii="Arial" w:cs="Arial" w:eastAsia="Arial" w:hAnsi="Arial"/>
          <w:sz w:val="12"/>
          <w:szCs w:val="12"/>
          <w:color w:val="000000"/>
        </w:rPr>
        <w:t>” means, collectively NRG Energy, Inc., a Delaware corporation, Xcel Energy, Inc., a Minnesota corporation, and their affiliates and any successors thereto.</w:t>
      </w:r>
    </w:p>
    <w:p>
      <w:pPr>
        <w:spacing w:after="0" w:line="150" w:lineRule="exact"/>
        <w:rPr>
          <w:sz w:val="20"/>
          <w:szCs w:val="20"/>
          <w:color w:val="auto"/>
        </w:rPr>
      </w:pPr>
    </w:p>
    <w:p>
      <w:pPr>
        <w:ind w:left="560" w:hanging="136"/>
        <w:spacing w:after="0"/>
        <w:tabs>
          <w:tab w:leader="none" w:pos="560" w:val="left"/>
        </w:tabs>
        <w:numPr>
          <w:ilvl w:val="0"/>
          <w:numId w:val="179"/>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General Severance Benefits</w:t>
      </w:r>
      <w:r>
        <w:rPr>
          <w:rFonts w:ascii="Arial" w:cs="Arial" w:eastAsia="Arial" w:hAnsi="Arial"/>
          <w:sz w:val="12"/>
          <w:szCs w:val="12"/>
          <w:color w:val="auto"/>
        </w:rPr>
        <w:t xml:space="preserve">” means the Severance Benefit described in </w:t>
      </w:r>
      <w:r>
        <w:rPr>
          <w:rFonts w:ascii="Arial" w:cs="Arial" w:eastAsia="Arial" w:hAnsi="Arial"/>
          <w:sz w:val="12"/>
          <w:szCs w:val="12"/>
          <w:u w:val="single" w:color="auto"/>
          <w:color w:val="auto"/>
        </w:rPr>
        <w:t>Section 3.3</w:t>
      </w:r>
      <w:r>
        <w:rPr>
          <w:rFonts w:ascii="Arial" w:cs="Arial" w:eastAsia="Arial" w:hAnsi="Arial"/>
          <w:sz w:val="12"/>
          <w:szCs w:val="12"/>
          <w:color w:val="auto"/>
        </w:rPr>
        <w:t>.</w:t>
      </w:r>
    </w:p>
    <w:p>
      <w:pPr>
        <w:spacing w:after="0" w:line="150" w:lineRule="exact"/>
        <w:rPr>
          <w:rFonts w:ascii="Arial" w:cs="Arial" w:eastAsia="Arial" w:hAnsi="Arial"/>
          <w:sz w:val="12"/>
          <w:szCs w:val="12"/>
          <w:color w:val="010000"/>
        </w:rPr>
      </w:pPr>
    </w:p>
    <w:p>
      <w:pPr>
        <w:ind w:left="560" w:hanging="136"/>
        <w:spacing w:after="0"/>
        <w:tabs>
          <w:tab w:leader="none" w:pos="560" w:val="left"/>
        </w:tabs>
        <w:numPr>
          <w:ilvl w:val="0"/>
          <w:numId w:val="179"/>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Good Reason</w:t>
      </w:r>
      <w:r>
        <w:rPr>
          <w:rFonts w:ascii="Arial" w:cs="Arial" w:eastAsia="Arial" w:hAnsi="Arial"/>
          <w:sz w:val="11"/>
          <w:szCs w:val="11"/>
          <w:color w:val="auto"/>
        </w:rPr>
        <w:t>” shall mean without the Executive’s express written consent the occurrence of any one or more of the following:</w:t>
      </w:r>
    </w:p>
    <w:p>
      <w:pPr>
        <w:spacing w:after="0" w:line="200" w:lineRule="exact"/>
        <w:rPr>
          <w:sz w:val="20"/>
          <w:szCs w:val="20"/>
          <w:color w:val="auto"/>
        </w:rPr>
      </w:pPr>
    </w:p>
    <w:p>
      <w:pPr>
        <w:spacing w:after="0" w:line="23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3</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82" w:right="199" w:bottom="1440" w:gutter="0" w:footer="0" w:header="0"/>
        </w:sectPr>
      </w:pPr>
    </w:p>
    <w:bookmarkStart w:id="222" w:name="page223"/>
    <w:bookmarkEnd w:id="222"/>
    <w:p>
      <w:pPr>
        <w:ind w:left="860"/>
        <w:spacing w:after="0"/>
        <w:rPr>
          <w:sz w:val="20"/>
          <w:szCs w:val="20"/>
          <w:color w:val="auto"/>
        </w:rPr>
      </w:pPr>
      <w:r>
        <w:rPr>
          <w:rFonts w:ascii="Arial" w:cs="Arial" w:eastAsia="Arial" w:hAnsi="Arial"/>
          <w:sz w:val="12"/>
          <w:szCs w:val="12"/>
          <w:color w:val="010000"/>
        </w:rPr>
        <w:t>(i)</w:t>
      </w:r>
      <w:r>
        <w:rPr>
          <w:rFonts w:ascii="Arial" w:cs="Arial" w:eastAsia="Arial" w:hAnsi="Arial"/>
          <w:sz w:val="12"/>
          <w:szCs w:val="12"/>
          <w:color w:val="000000"/>
        </w:rPr>
        <w:t>The Company materially reduces the amount of the Executive’s then current Base Salary or the target for his annual bonus; or</w:t>
      </w:r>
    </w:p>
    <w:p>
      <w:pPr>
        <w:spacing w:after="0" w:line="150" w:lineRule="exact"/>
        <w:rPr>
          <w:sz w:val="20"/>
          <w:szCs w:val="20"/>
          <w:color w:val="auto"/>
        </w:rPr>
      </w:pPr>
    </w:p>
    <w:p>
      <w:pPr>
        <w:ind w:left="1880" w:right="20" w:hanging="1017"/>
        <w:spacing w:after="0" w:line="276" w:lineRule="auto"/>
        <w:rPr>
          <w:sz w:val="20"/>
          <w:szCs w:val="20"/>
          <w:color w:val="auto"/>
        </w:rPr>
      </w:pPr>
      <w:r>
        <w:rPr>
          <w:rFonts w:ascii="Arial" w:cs="Arial" w:eastAsia="Arial" w:hAnsi="Arial"/>
          <w:sz w:val="12"/>
          <w:szCs w:val="12"/>
          <w:color w:val="010000"/>
        </w:rPr>
        <w:t>(ii)</w:t>
      </w:r>
      <w:r>
        <w:rPr>
          <w:rFonts w:ascii="Arial" w:cs="Arial" w:eastAsia="Arial" w:hAnsi="Arial"/>
          <w:sz w:val="12"/>
          <w:szCs w:val="12"/>
          <w:color w:val="000000"/>
        </w:rPr>
        <w:t>A material reduction in the Executive’s benefits under or relative level of participation in the Company’s employee benefit or retirement plans, policies, practices, or arrangements in which the Executive participates as</w:t>
      </w:r>
      <w:r>
        <w:rPr>
          <w:rFonts w:ascii="Arial" w:cs="Arial" w:eastAsia="Arial" w:hAnsi="Arial"/>
          <w:sz w:val="12"/>
          <w:szCs w:val="12"/>
          <w:color w:val="010000"/>
        </w:rPr>
        <w:t xml:space="preserve"> </w:t>
      </w:r>
      <w:r>
        <w:rPr>
          <w:rFonts w:ascii="Arial" w:cs="Arial" w:eastAsia="Arial" w:hAnsi="Arial"/>
          <w:sz w:val="12"/>
          <w:szCs w:val="12"/>
          <w:color w:val="000000"/>
        </w:rPr>
        <w:t>of the Effective Date of this Plan; or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010000"/>
        </w:rPr>
        <w:t>(iii)</w:t>
      </w:r>
      <w:r>
        <w:rPr>
          <w:rFonts w:ascii="Arial" w:cs="Arial" w:eastAsia="Arial" w:hAnsi="Arial"/>
          <w:sz w:val="12"/>
          <w:szCs w:val="12"/>
          <w:color w:val="000000"/>
        </w:rPr>
        <w:t>A material diminution in the Executive’s title, authority, duties, or responsibilities or the assignment of duties to the Executive which are materially inconsistent with his position; or</w:t>
      </w:r>
    </w:p>
    <w:p>
      <w:pPr>
        <w:spacing w:after="0" w:line="150" w:lineRule="exact"/>
        <w:rPr>
          <w:sz w:val="20"/>
          <w:szCs w:val="20"/>
          <w:color w:val="auto"/>
        </w:rPr>
      </w:pPr>
    </w:p>
    <w:p>
      <w:pPr>
        <w:ind w:left="1900" w:hanging="1043"/>
        <w:spacing w:after="0" w:line="276" w:lineRule="auto"/>
        <w:tabs>
          <w:tab w:leader="none" w:pos="1035" w:val="left"/>
        </w:tabs>
        <w:numPr>
          <w:ilvl w:val="0"/>
          <w:numId w:val="180"/>
        </w:numPr>
        <w:rPr>
          <w:rFonts w:ascii="Arial" w:cs="Arial" w:eastAsia="Arial" w:hAnsi="Arial"/>
          <w:sz w:val="12"/>
          <w:szCs w:val="12"/>
          <w:color w:val="010000"/>
        </w:rPr>
      </w:pPr>
      <w:r>
        <w:rPr>
          <w:rFonts w:ascii="Arial" w:cs="Arial" w:eastAsia="Arial" w:hAnsi="Arial"/>
          <w:sz w:val="12"/>
          <w:szCs w:val="12"/>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15"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For purposes of this Plan, the Executive is not entitled to assert that his termination is for Good Reason unless the Executive gives the Board written notice of the event or events which are the basis for such claim within ninety (90) days after the event or events occur, describing such claim in reasonably sufficient detail to allow the Board to address the event or events and a period of not less than thirty (30) days after to cure or fully remedy the alleged condition.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(t)</w:t>
      </w:r>
      <w:r>
        <w:rPr>
          <w:rFonts w:ascii="Arial" w:cs="Arial" w:eastAsia="Arial" w:hAnsi="Arial"/>
          <w:sz w:val="12"/>
          <w:szCs w:val="12"/>
          <w:color w:val="000000"/>
        </w:rPr>
        <w:t>“</w:t>
      </w:r>
      <w:r>
        <w:rPr>
          <w:rFonts w:ascii="Arial" w:cs="Arial" w:eastAsia="Arial" w:hAnsi="Arial"/>
          <w:sz w:val="12"/>
          <w:szCs w:val="12"/>
          <w:b w:val="1"/>
          <w:bCs w:val="1"/>
          <w:color w:val="000000"/>
        </w:rPr>
        <w:t>Initial Term</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1.2</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(u)</w:t>
      </w:r>
      <w:r>
        <w:rPr>
          <w:rFonts w:ascii="Arial" w:cs="Arial" w:eastAsia="Arial" w:hAnsi="Arial"/>
          <w:sz w:val="12"/>
          <w:szCs w:val="12"/>
          <w:color w:val="000000"/>
        </w:rPr>
        <w:t>“</w:t>
      </w:r>
      <w:r>
        <w:rPr>
          <w:rFonts w:ascii="Arial" w:cs="Arial" w:eastAsia="Arial" w:hAnsi="Arial"/>
          <w:sz w:val="12"/>
          <w:szCs w:val="12"/>
          <w:b w:val="1"/>
          <w:bCs w:val="1"/>
          <w:color w:val="000000"/>
        </w:rPr>
        <w:t>Noncompete Period</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Article 5(c)</w:t>
      </w:r>
      <w:r>
        <w:rPr>
          <w:rFonts w:ascii="Arial" w:cs="Arial" w:eastAsia="Arial" w:hAnsi="Arial"/>
          <w:sz w:val="12"/>
          <w:szCs w:val="12"/>
          <w:color w:val="000000"/>
        </w:rPr>
        <w:t>.</w:t>
      </w:r>
    </w:p>
    <w:p>
      <w:pPr>
        <w:spacing w:after="0" w:line="150" w:lineRule="exact"/>
        <w:rPr>
          <w:sz w:val="20"/>
          <w:szCs w:val="20"/>
          <w:color w:val="auto"/>
        </w:rPr>
      </w:pPr>
    </w:p>
    <w:p>
      <w:pPr>
        <w:ind w:left="1000" w:hanging="575"/>
        <w:spacing w:after="0" w:line="283" w:lineRule="auto"/>
        <w:rPr>
          <w:sz w:val="20"/>
          <w:szCs w:val="20"/>
          <w:color w:val="auto"/>
        </w:rPr>
      </w:pPr>
      <w:r>
        <w:rPr>
          <w:rFonts w:ascii="Arial" w:cs="Arial" w:eastAsia="Arial" w:hAnsi="Arial"/>
          <w:sz w:val="12"/>
          <w:szCs w:val="12"/>
          <w:color w:val="010000"/>
        </w:rPr>
        <w:t>(v)</w:t>
      </w:r>
      <w:r>
        <w:rPr>
          <w:rFonts w:ascii="Arial" w:cs="Arial" w:eastAsia="Arial" w:hAnsi="Arial"/>
          <w:sz w:val="12"/>
          <w:szCs w:val="12"/>
          <w:color w:val="000000"/>
        </w:rPr>
        <w:t>“</w:t>
      </w:r>
      <w:r>
        <w:rPr>
          <w:rFonts w:ascii="Arial" w:cs="Arial" w:eastAsia="Arial" w:hAnsi="Arial"/>
          <w:sz w:val="12"/>
          <w:szCs w:val="12"/>
          <w:b w:val="1"/>
          <w:bCs w:val="1"/>
          <w:color w:val="000000"/>
        </w:rPr>
        <w:t>Notice of Termination</w:t>
      </w:r>
      <w:r>
        <w:rPr>
          <w:rFonts w:ascii="Arial" w:cs="Arial" w:eastAsia="Arial" w:hAnsi="Arial"/>
          <w:sz w:val="12"/>
          <w:szCs w:val="12"/>
          <w:color w:val="000000"/>
        </w:rPr>
        <w:t>” shall mean a written notice which shall indicate the specific termination provision in this Plan relied upon, and shall set forth in reasonable detail the facts and circumstances claimed to provide a basis</w:t>
      </w:r>
      <w:r>
        <w:rPr>
          <w:rFonts w:ascii="Arial" w:cs="Arial" w:eastAsia="Arial" w:hAnsi="Arial"/>
          <w:sz w:val="12"/>
          <w:szCs w:val="12"/>
          <w:color w:val="010000"/>
        </w:rPr>
        <w:t xml:space="preserve"> </w:t>
      </w:r>
      <w:r>
        <w:rPr>
          <w:rFonts w:ascii="Arial" w:cs="Arial" w:eastAsia="Arial" w:hAnsi="Arial"/>
          <w:sz w:val="12"/>
          <w:szCs w:val="12"/>
          <w:color w:val="000000"/>
        </w:rPr>
        <w:t>for termination of the Executive’s employment under the provision so indicated.</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(w)</w:t>
      </w:r>
      <w:r>
        <w:rPr>
          <w:rFonts w:ascii="Arial" w:cs="Arial" w:eastAsia="Arial" w:hAnsi="Arial"/>
          <w:sz w:val="12"/>
          <w:szCs w:val="12"/>
          <w:color w:val="000000"/>
        </w:rPr>
        <w:t>“</w:t>
      </w:r>
      <w:r>
        <w:rPr>
          <w:rFonts w:ascii="Arial" w:cs="Arial" w:eastAsia="Arial" w:hAnsi="Arial"/>
          <w:sz w:val="12"/>
          <w:szCs w:val="12"/>
          <w:b w:val="1"/>
          <w:bCs w:val="1"/>
          <w:color w:val="000000"/>
        </w:rPr>
        <w:t>Parachute Payment Ratio</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Article 6</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(x)</w:t>
      </w:r>
      <w:r>
        <w:rPr>
          <w:rFonts w:ascii="Arial" w:cs="Arial" w:eastAsia="Arial" w:hAnsi="Arial"/>
          <w:sz w:val="12"/>
          <w:szCs w:val="12"/>
          <w:color w:val="000000"/>
        </w:rPr>
        <w:t>“</w:t>
      </w:r>
      <w:r>
        <w:rPr>
          <w:rFonts w:ascii="Arial" w:cs="Arial" w:eastAsia="Arial" w:hAnsi="Arial"/>
          <w:sz w:val="12"/>
          <w:szCs w:val="12"/>
          <w:b w:val="1"/>
          <w:bCs w:val="1"/>
          <w:color w:val="000000"/>
        </w:rPr>
        <w:t>Plan</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1.1</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(y)</w:t>
      </w:r>
      <w:r>
        <w:rPr>
          <w:rFonts w:ascii="Arial" w:cs="Arial" w:eastAsia="Arial" w:hAnsi="Arial"/>
          <w:sz w:val="12"/>
          <w:szCs w:val="12"/>
          <w:color w:val="000000"/>
        </w:rPr>
        <w:t>“</w:t>
      </w:r>
      <w:r>
        <w:rPr>
          <w:rFonts w:ascii="Arial" w:cs="Arial" w:eastAsia="Arial" w:hAnsi="Arial"/>
          <w:sz w:val="12"/>
          <w:szCs w:val="12"/>
          <w:b w:val="1"/>
          <w:bCs w:val="1"/>
          <w:color w:val="000000"/>
        </w:rPr>
        <w:t>Qualifying Termination</w:t>
      </w:r>
      <w:r>
        <w:rPr>
          <w:rFonts w:ascii="Arial" w:cs="Arial" w:eastAsia="Arial" w:hAnsi="Arial"/>
          <w:sz w:val="12"/>
          <w:szCs w:val="12"/>
          <w:color w:val="000000"/>
        </w:rPr>
        <w:t>” means: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color w:val="010000"/>
        </w:rPr>
        <w:t>(i)</w:t>
      </w:r>
      <w:r>
        <w:rPr>
          <w:rFonts w:ascii="Arial" w:cs="Arial" w:eastAsia="Arial" w:hAnsi="Arial"/>
          <w:sz w:val="12"/>
          <w:szCs w:val="12"/>
          <w:color w:val="000000"/>
        </w:rPr>
        <w:t>If such event occurs within the time period that is six (6) months immediately prior to, or twelve (12) months immediately following a Change in Control:</w:t>
      </w:r>
    </w:p>
    <w:p>
      <w:pPr>
        <w:spacing w:after="0" w:line="150" w:lineRule="exact"/>
        <w:rPr>
          <w:sz w:val="20"/>
          <w:szCs w:val="20"/>
          <w:color w:val="auto"/>
        </w:rPr>
      </w:pPr>
    </w:p>
    <w:p>
      <w:pPr>
        <w:ind w:left="2760" w:hanging="1467"/>
        <w:spacing w:after="0" w:line="276" w:lineRule="auto"/>
        <w:rPr>
          <w:sz w:val="20"/>
          <w:szCs w:val="20"/>
          <w:color w:val="auto"/>
        </w:rPr>
      </w:pPr>
      <w:r>
        <w:rPr>
          <w:rFonts w:ascii="Arial" w:cs="Arial" w:eastAsia="Arial" w:hAnsi="Arial"/>
          <w:sz w:val="12"/>
          <w:szCs w:val="12"/>
          <w:color w:val="010000"/>
        </w:rPr>
        <w:t>(A)</w:t>
      </w:r>
      <w:r>
        <w:rPr>
          <w:rFonts w:ascii="Arial" w:cs="Arial" w:eastAsia="Arial" w:hAnsi="Arial"/>
          <w:sz w:val="12"/>
          <w:szCs w:val="12"/>
          <w:color w:val="000000"/>
        </w:rPr>
        <w:t>An involuntary termination of the Executive’s employment by the Company for reasons other than Cause, death, or Disability pursuant to a Notice of Termination delivered to the Executive by the Company;</w:t>
      </w:r>
      <w:r>
        <w:rPr>
          <w:rFonts w:ascii="Arial" w:cs="Arial" w:eastAsia="Arial" w:hAnsi="Arial"/>
          <w:sz w:val="12"/>
          <w:szCs w:val="12"/>
          <w:color w:val="010000"/>
        </w:rPr>
        <w:t xml:space="preserve"> </w:t>
      </w:r>
      <w:r>
        <w:rPr>
          <w:rFonts w:ascii="Arial" w:cs="Arial" w:eastAsia="Arial" w:hAnsi="Arial"/>
          <w:sz w:val="12"/>
          <w:szCs w:val="12"/>
          <w:color w:val="000000"/>
        </w:rPr>
        <w:t>or</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010000"/>
        </w:rPr>
        <w:t>(B)</w:t>
      </w:r>
      <w:r>
        <w:rPr>
          <w:rFonts w:ascii="Arial" w:cs="Arial" w:eastAsia="Arial" w:hAnsi="Arial"/>
          <w:sz w:val="12"/>
          <w:szCs w:val="12"/>
          <w:color w:val="000000"/>
        </w:rPr>
        <w:t>A voluntary termination by the Executive for Good Reason pursuant to a Notice of Termination delivered to the Company by the Executive; or</w:t>
      </w:r>
    </w:p>
    <w:p>
      <w:pPr>
        <w:spacing w:after="0" w:line="150" w:lineRule="exact"/>
        <w:rPr>
          <w:sz w:val="20"/>
          <w:szCs w:val="20"/>
          <w:color w:val="auto"/>
        </w:rPr>
      </w:pPr>
    </w:p>
    <w:p>
      <w:pPr>
        <w:ind w:left="1000" w:hanging="143"/>
        <w:spacing w:after="0"/>
        <w:tabs>
          <w:tab w:leader="none" w:pos="1000" w:val="left"/>
        </w:tabs>
        <w:numPr>
          <w:ilvl w:val="0"/>
          <w:numId w:val="181"/>
        </w:numPr>
        <w:rPr>
          <w:rFonts w:ascii="Arial" w:cs="Arial" w:eastAsia="Arial" w:hAnsi="Arial"/>
          <w:sz w:val="12"/>
          <w:szCs w:val="12"/>
          <w:color w:val="010000"/>
        </w:rPr>
      </w:pPr>
      <w:r>
        <w:rPr>
          <w:rFonts w:ascii="Arial" w:cs="Arial" w:eastAsia="Arial" w:hAnsi="Arial"/>
          <w:sz w:val="12"/>
          <w:szCs w:val="12"/>
          <w:color w:val="auto"/>
        </w:rPr>
        <w:t>If such event occurs at any other time:</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An involuntary termination of the Executive’s employment by the Company for reasons other than Cause, death, or Disability pursuant to a Notice of Termination delivered to the Executive by the Company.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(z)</w:t>
      </w:r>
      <w:r>
        <w:rPr>
          <w:rFonts w:ascii="Arial" w:cs="Arial" w:eastAsia="Arial" w:hAnsi="Arial"/>
          <w:sz w:val="12"/>
          <w:szCs w:val="12"/>
          <w:color w:val="000000"/>
        </w:rPr>
        <w:t>“</w:t>
      </w:r>
      <w:r>
        <w:rPr>
          <w:rFonts w:ascii="Arial" w:cs="Arial" w:eastAsia="Arial" w:hAnsi="Arial"/>
          <w:sz w:val="12"/>
          <w:szCs w:val="12"/>
          <w:b w:val="1"/>
          <w:bCs w:val="1"/>
          <w:color w:val="000000"/>
        </w:rPr>
        <w:t>Release Effective Date</w:t>
      </w:r>
      <w:r>
        <w:rPr>
          <w:rFonts w:ascii="Arial" w:cs="Arial" w:eastAsia="Arial" w:hAnsi="Arial"/>
          <w:sz w:val="12"/>
          <w:szCs w:val="12"/>
          <w:color w:val="000000"/>
        </w:rPr>
        <w:t>” shall have the meaning set forth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3.1(d)</w:t>
      </w:r>
      <w:r>
        <w:rPr>
          <w:rFonts w:ascii="Arial" w:cs="Arial" w:eastAsia="Arial" w:hAnsi="Arial"/>
          <w:sz w:val="12"/>
          <w:szCs w:val="12"/>
          <w:color w:val="000000"/>
        </w:rPr>
        <w:t>.</w:t>
      </w: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4</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4" w:right="199" w:bottom="1440" w:gutter="0" w:footer="0" w:header="0"/>
        </w:sectPr>
      </w:pPr>
    </w:p>
    <w:bookmarkStart w:id="223" w:name="page224"/>
    <w:bookmarkEnd w:id="223"/>
    <w:p>
      <w:pPr>
        <w:ind w:left="420"/>
        <w:spacing w:after="0"/>
        <w:rPr>
          <w:sz w:val="20"/>
          <w:szCs w:val="20"/>
          <w:color w:val="auto"/>
        </w:rPr>
      </w:pPr>
      <w:r>
        <w:rPr>
          <w:rFonts w:ascii="Arial" w:cs="Arial" w:eastAsia="Arial" w:hAnsi="Arial"/>
          <w:sz w:val="12"/>
          <w:szCs w:val="12"/>
          <w:color w:val="010000"/>
        </w:rPr>
        <w:t>(aa)</w:t>
      </w:r>
      <w:r>
        <w:rPr>
          <w:rFonts w:ascii="Arial" w:cs="Arial" w:eastAsia="Arial" w:hAnsi="Arial"/>
          <w:sz w:val="12"/>
          <w:szCs w:val="12"/>
          <w:color w:val="000000"/>
        </w:rPr>
        <w:t>“</w:t>
      </w:r>
      <w:r>
        <w:rPr>
          <w:rFonts w:ascii="Arial" w:cs="Arial" w:eastAsia="Arial" w:hAnsi="Arial"/>
          <w:sz w:val="12"/>
          <w:szCs w:val="12"/>
          <w:b w:val="1"/>
          <w:bCs w:val="1"/>
          <w:color w:val="000000"/>
        </w:rPr>
        <w:t>Severance Benefits</w:t>
      </w:r>
      <w:r>
        <w:rPr>
          <w:rFonts w:ascii="Arial" w:cs="Arial" w:eastAsia="Arial" w:hAnsi="Arial"/>
          <w:sz w:val="12"/>
          <w:szCs w:val="12"/>
          <w:color w:val="000000"/>
        </w:rPr>
        <w:t>” means the payment of Change-in-Control or General (as appropriate) Severance compensation as provided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Article 3</w:t>
      </w:r>
      <w:r>
        <w:rPr>
          <w:rFonts w:ascii="Arial" w:cs="Arial" w:eastAsia="Arial" w:hAnsi="Arial"/>
          <w:sz w:val="12"/>
          <w:szCs w:val="12"/>
          <w:color w:val="010000"/>
        </w:rPr>
        <w:t xml:space="preserve"> </w:t>
      </w:r>
      <w:r>
        <w:rPr>
          <w:rFonts w:ascii="Arial" w:cs="Arial" w:eastAsia="Arial" w:hAnsi="Arial"/>
          <w:sz w:val="12"/>
          <w:szCs w:val="12"/>
          <w:color w:val="000000"/>
        </w:rPr>
        <w:t>herein.</w:t>
      </w:r>
    </w:p>
    <w:p>
      <w:pPr>
        <w:spacing w:after="0" w:line="150" w:lineRule="exact"/>
        <w:rPr>
          <w:sz w:val="20"/>
          <w:szCs w:val="20"/>
          <w:color w:val="auto"/>
        </w:rPr>
      </w:pPr>
    </w:p>
    <w:p>
      <w:pPr>
        <w:ind w:left="640" w:hanging="216"/>
        <w:spacing w:after="0"/>
        <w:tabs>
          <w:tab w:leader="none" w:pos="640" w:val="left"/>
        </w:tabs>
        <w:numPr>
          <w:ilvl w:val="0"/>
          <w:numId w:val="182"/>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Specified Employee</w:t>
      </w:r>
      <w:r>
        <w:rPr>
          <w:rFonts w:ascii="Arial" w:cs="Arial" w:eastAsia="Arial" w:hAnsi="Arial"/>
          <w:sz w:val="12"/>
          <w:szCs w:val="12"/>
          <w:color w:val="auto"/>
        </w:rPr>
        <w:t>” means any Executive described in Section 409A(a)(2)(B)(i) of the Code.</w:t>
      </w:r>
    </w:p>
    <w:p>
      <w:pPr>
        <w:spacing w:after="0" w:line="150" w:lineRule="exact"/>
        <w:rPr>
          <w:rFonts w:ascii="Arial" w:cs="Arial" w:eastAsia="Arial" w:hAnsi="Arial"/>
          <w:sz w:val="12"/>
          <w:szCs w:val="12"/>
          <w:color w:val="010000"/>
        </w:rPr>
      </w:pPr>
    </w:p>
    <w:p>
      <w:pPr>
        <w:ind w:left="620" w:hanging="196"/>
        <w:spacing w:after="0"/>
        <w:tabs>
          <w:tab w:leader="none" w:pos="620" w:val="left"/>
        </w:tabs>
        <w:numPr>
          <w:ilvl w:val="0"/>
          <w:numId w:val="182"/>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Successive Period</w:t>
      </w:r>
      <w:r>
        <w:rPr>
          <w:rFonts w:ascii="Arial" w:cs="Arial" w:eastAsia="Arial" w:hAnsi="Arial"/>
          <w:sz w:val="11"/>
          <w:szCs w:val="11"/>
          <w:color w:val="auto"/>
        </w:rPr>
        <w:t xml:space="preserve">” shall have the meaning set forth in </w:t>
      </w:r>
      <w:r>
        <w:rPr>
          <w:rFonts w:ascii="Arial" w:cs="Arial" w:eastAsia="Arial" w:hAnsi="Arial"/>
          <w:sz w:val="11"/>
          <w:szCs w:val="11"/>
          <w:u w:val="single" w:color="auto"/>
          <w:color w:val="auto"/>
        </w:rPr>
        <w:t>Section 1.3</w:t>
      </w:r>
      <w:r>
        <w:rPr>
          <w:rFonts w:ascii="Arial" w:cs="Arial" w:eastAsia="Arial" w:hAnsi="Arial"/>
          <w:sz w:val="11"/>
          <w:szCs w:val="11"/>
          <w:color w:val="auto"/>
        </w:rPr>
        <w:t>.</w:t>
      </w:r>
    </w:p>
    <w:p>
      <w:pPr>
        <w:spacing w:after="0" w:line="161" w:lineRule="exact"/>
        <w:rPr>
          <w:rFonts w:ascii="Arial" w:cs="Arial" w:eastAsia="Arial" w:hAnsi="Arial"/>
          <w:sz w:val="11"/>
          <w:szCs w:val="11"/>
          <w:color w:val="010000"/>
        </w:rPr>
      </w:pPr>
    </w:p>
    <w:p>
      <w:pPr>
        <w:ind w:left="640" w:hanging="216"/>
        <w:spacing w:after="0"/>
        <w:tabs>
          <w:tab w:leader="none" w:pos="640" w:val="left"/>
        </w:tabs>
        <w:numPr>
          <w:ilvl w:val="0"/>
          <w:numId w:val="182"/>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Third Party Information</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Article 5(a)</w:t>
      </w:r>
      <w:r>
        <w:rPr>
          <w:rFonts w:ascii="Arial" w:cs="Arial" w:eastAsia="Arial" w:hAnsi="Arial"/>
          <w:sz w:val="12"/>
          <w:szCs w:val="12"/>
          <w:color w:val="auto"/>
        </w:rPr>
        <w:t>.</w:t>
      </w:r>
    </w:p>
    <w:p>
      <w:pPr>
        <w:spacing w:after="0" w:line="150" w:lineRule="exact"/>
        <w:rPr>
          <w:sz w:val="20"/>
          <w:szCs w:val="20"/>
          <w:color w:val="auto"/>
        </w:rPr>
      </w:pPr>
    </w:p>
    <w:p>
      <w:pPr>
        <w:ind w:left="1040" w:hanging="620"/>
        <w:spacing w:after="0" w:line="283" w:lineRule="auto"/>
        <w:rPr>
          <w:sz w:val="20"/>
          <w:szCs w:val="20"/>
          <w:color w:val="auto"/>
        </w:rPr>
      </w:pPr>
      <w:r>
        <w:rPr>
          <w:rFonts w:ascii="Arial" w:cs="Arial" w:eastAsia="Arial" w:hAnsi="Arial"/>
          <w:sz w:val="12"/>
          <w:szCs w:val="12"/>
          <w:color w:val="010000"/>
        </w:rPr>
        <w:t>(ee)</w:t>
      </w:r>
      <w:r>
        <w:rPr>
          <w:rFonts w:ascii="Arial" w:cs="Arial" w:eastAsia="Arial" w:hAnsi="Arial"/>
          <w:sz w:val="12"/>
          <w:szCs w:val="12"/>
          <w:color w:val="000000"/>
        </w:rPr>
        <w:t>“</w:t>
      </w:r>
      <w:r>
        <w:rPr>
          <w:rFonts w:ascii="Arial" w:cs="Arial" w:eastAsia="Arial" w:hAnsi="Arial"/>
          <w:sz w:val="12"/>
          <w:szCs w:val="12"/>
          <w:b w:val="1"/>
          <w:bCs w:val="1"/>
          <w:color w:val="000000"/>
        </w:rPr>
        <w:t>Tier IA Executives</w:t>
      </w:r>
      <w:r>
        <w:rPr>
          <w:rFonts w:ascii="Arial" w:cs="Arial" w:eastAsia="Arial" w:hAnsi="Arial"/>
          <w:sz w:val="12"/>
          <w:szCs w:val="12"/>
          <w:color w:val="000000"/>
        </w:rPr>
        <w:t>” shall include those employees of the Company with the Job Level of EVP prior to the Change in Control, or such other employee who is designated as a Tier IA Executive in the Company’s human</w:t>
      </w:r>
      <w:r>
        <w:rPr>
          <w:rFonts w:ascii="Arial" w:cs="Arial" w:eastAsia="Arial" w:hAnsi="Arial"/>
          <w:sz w:val="12"/>
          <w:szCs w:val="12"/>
          <w:color w:val="010000"/>
        </w:rPr>
        <w:t xml:space="preserve"> </w:t>
      </w:r>
      <w:r>
        <w:rPr>
          <w:rFonts w:ascii="Arial" w:cs="Arial" w:eastAsia="Arial" w:hAnsi="Arial"/>
          <w:sz w:val="12"/>
          <w:szCs w:val="12"/>
          <w:color w:val="000000"/>
        </w:rPr>
        <w:t>resources information system immediately prior to the Change in Control other than the CEO.</w:t>
      </w:r>
    </w:p>
    <w:p>
      <w:pPr>
        <w:spacing w:after="0" w:line="107" w:lineRule="exact"/>
        <w:rPr>
          <w:sz w:val="20"/>
          <w:szCs w:val="20"/>
          <w:color w:val="auto"/>
        </w:rPr>
      </w:pPr>
    </w:p>
    <w:p>
      <w:pPr>
        <w:ind w:left="1020" w:hanging="593"/>
        <w:spacing w:after="0" w:line="283" w:lineRule="auto"/>
        <w:rPr>
          <w:sz w:val="20"/>
          <w:szCs w:val="20"/>
          <w:color w:val="auto"/>
        </w:rPr>
      </w:pPr>
      <w:r>
        <w:rPr>
          <w:rFonts w:ascii="Arial" w:cs="Arial" w:eastAsia="Arial" w:hAnsi="Arial"/>
          <w:sz w:val="12"/>
          <w:szCs w:val="12"/>
          <w:color w:val="010000"/>
        </w:rPr>
        <w:t>(ff)</w:t>
      </w:r>
      <w:r>
        <w:rPr>
          <w:rFonts w:ascii="Arial" w:cs="Arial" w:eastAsia="Arial" w:hAnsi="Arial"/>
          <w:sz w:val="12"/>
          <w:szCs w:val="12"/>
          <w:color w:val="000000"/>
        </w:rPr>
        <w:t>“</w:t>
      </w:r>
      <w:r>
        <w:rPr>
          <w:rFonts w:ascii="Arial" w:cs="Arial" w:eastAsia="Arial" w:hAnsi="Arial"/>
          <w:sz w:val="12"/>
          <w:szCs w:val="12"/>
          <w:b w:val="1"/>
          <w:bCs w:val="1"/>
          <w:color w:val="000000"/>
        </w:rPr>
        <w:t>Tier IIA Executives</w:t>
      </w:r>
      <w:r>
        <w:rPr>
          <w:rFonts w:ascii="Arial" w:cs="Arial" w:eastAsia="Arial" w:hAnsi="Arial"/>
          <w:sz w:val="12"/>
          <w:szCs w:val="12"/>
          <w:color w:val="000000"/>
        </w:rPr>
        <w:t>” shall include those employees of the Company with the Job Level of SVP prior to the Change in Control, or such other employee who is designated as a Tier IIA Executive in the Company’s human</w:t>
      </w:r>
      <w:r>
        <w:rPr>
          <w:rFonts w:ascii="Arial" w:cs="Arial" w:eastAsia="Arial" w:hAnsi="Arial"/>
          <w:sz w:val="12"/>
          <w:szCs w:val="12"/>
          <w:color w:val="010000"/>
        </w:rPr>
        <w:t xml:space="preserve"> </w:t>
      </w:r>
      <w:r>
        <w:rPr>
          <w:rFonts w:ascii="Arial" w:cs="Arial" w:eastAsia="Arial" w:hAnsi="Arial"/>
          <w:sz w:val="12"/>
          <w:szCs w:val="12"/>
          <w:color w:val="000000"/>
        </w:rPr>
        <w:t>resources information system immediately prior to the Change in Control.</w:t>
      </w:r>
    </w:p>
    <w:p>
      <w:pPr>
        <w:spacing w:after="0" w:line="107" w:lineRule="exact"/>
        <w:rPr>
          <w:sz w:val="20"/>
          <w:szCs w:val="20"/>
          <w:color w:val="auto"/>
        </w:rPr>
      </w:pPr>
    </w:p>
    <w:p>
      <w:pPr>
        <w:ind w:left="640" w:hanging="216"/>
        <w:spacing w:after="0"/>
        <w:tabs>
          <w:tab w:leader="none" w:pos="640" w:val="left"/>
        </w:tabs>
        <w:numPr>
          <w:ilvl w:val="0"/>
          <w:numId w:val="183"/>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Total Payments</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Article 6</w:t>
      </w:r>
      <w:r>
        <w:rPr>
          <w:rFonts w:ascii="Arial" w:cs="Arial" w:eastAsia="Arial" w:hAnsi="Arial"/>
          <w:sz w:val="12"/>
          <w:szCs w:val="12"/>
          <w:color w:val="auto"/>
        </w:rPr>
        <w:t>.</w:t>
      </w:r>
    </w:p>
    <w:p>
      <w:pPr>
        <w:spacing w:after="0" w:line="150" w:lineRule="exact"/>
        <w:rPr>
          <w:rFonts w:ascii="Arial" w:cs="Arial" w:eastAsia="Arial" w:hAnsi="Arial"/>
          <w:sz w:val="12"/>
          <w:szCs w:val="12"/>
          <w:color w:val="010000"/>
        </w:rPr>
      </w:pPr>
    </w:p>
    <w:p>
      <w:pPr>
        <w:ind w:left="640" w:hanging="216"/>
        <w:spacing w:after="0"/>
        <w:tabs>
          <w:tab w:leader="none" w:pos="640" w:val="left"/>
        </w:tabs>
        <w:numPr>
          <w:ilvl w:val="0"/>
          <w:numId w:val="183"/>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Work Product</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Article 5(b)</w:t>
      </w:r>
      <w:r>
        <w:rPr>
          <w:rFonts w:ascii="Arial" w:cs="Arial" w:eastAsia="Arial" w:hAnsi="Arial"/>
          <w:sz w:val="12"/>
          <w:szCs w:val="12"/>
          <w:color w:val="auto"/>
        </w:rPr>
        <w:t>.</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010000"/>
        </w:rPr>
        <w:t>Article 3.</w:t>
      </w:r>
      <w:r>
        <w:rPr>
          <w:sz w:val="20"/>
          <w:szCs w:val="20"/>
          <w:color w:val="auto"/>
        </w:rPr>
        <w:tab/>
      </w:r>
      <w:r>
        <w:rPr>
          <w:rFonts w:ascii="Arial" w:cs="Arial" w:eastAsia="Arial" w:hAnsi="Arial"/>
          <w:sz w:val="10"/>
          <w:szCs w:val="10"/>
          <w:b w:val="1"/>
          <w:bCs w:val="1"/>
          <w:color w:val="auto"/>
        </w:rPr>
        <w:t>Severance Benefits</w:t>
      </w:r>
    </w:p>
    <w:p>
      <w:pPr>
        <w:spacing w:after="0" w:line="150"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3.1</w:t>
      </w:r>
      <w:r>
        <w:rPr>
          <w:sz w:val="20"/>
          <w:szCs w:val="20"/>
          <w:color w:val="auto"/>
        </w:rPr>
        <w:tab/>
      </w:r>
      <w:r>
        <w:rPr>
          <w:rFonts w:ascii="Arial" w:cs="Arial" w:eastAsia="Arial" w:hAnsi="Arial"/>
          <w:sz w:val="10"/>
          <w:szCs w:val="10"/>
          <w:b w:val="1"/>
          <w:bCs w:val="1"/>
          <w:color w:val="auto"/>
        </w:rPr>
        <w:t>Right to Severance Benefits</w:t>
      </w:r>
    </w:p>
    <w:p>
      <w:pPr>
        <w:spacing w:after="0" w:line="150" w:lineRule="exact"/>
        <w:rPr>
          <w:sz w:val="20"/>
          <w:szCs w:val="20"/>
          <w:color w:val="auto"/>
        </w:rPr>
      </w:pPr>
    </w:p>
    <w:p>
      <w:pPr>
        <w:jc w:val="both"/>
        <w:ind w:left="1000" w:hanging="566"/>
        <w:spacing w:after="0" w:line="283" w:lineRule="auto"/>
        <w:rPr>
          <w:sz w:val="20"/>
          <w:szCs w:val="20"/>
          <w:color w:val="auto"/>
        </w:rPr>
      </w:pPr>
      <w:r>
        <w:rPr>
          <w:rFonts w:ascii="Arial" w:cs="Arial" w:eastAsia="Arial" w:hAnsi="Arial"/>
          <w:sz w:val="12"/>
          <w:szCs w:val="12"/>
          <w:color w:val="010000"/>
        </w:rPr>
        <w:t>(a)</w:t>
      </w:r>
      <w:r>
        <w:rPr>
          <w:rFonts w:ascii="Arial" w:cs="Arial" w:eastAsia="Arial" w:hAnsi="Arial"/>
          <w:sz w:val="12"/>
          <w:szCs w:val="12"/>
          <w:b w:val="1"/>
          <w:bCs w:val="1"/>
          <w:color w:val="000000"/>
        </w:rPr>
        <w:t>Change-in-Control Severance Benefits.</w:t>
      </w:r>
      <w:r>
        <w:rPr>
          <w:rFonts w:ascii="Arial" w:cs="Arial" w:eastAsia="Arial" w:hAnsi="Arial"/>
          <w:sz w:val="12"/>
          <w:szCs w:val="12"/>
          <w:color w:val="010000"/>
        </w:rPr>
        <w:t xml:space="preserve"> </w:t>
      </w:r>
      <w:r>
        <w:rPr>
          <w:rFonts w:ascii="Arial" w:cs="Arial" w:eastAsia="Arial" w:hAnsi="Arial"/>
          <w:sz w:val="12"/>
          <w:szCs w:val="12"/>
          <w:color w:val="000000"/>
        </w:rPr>
        <w:t>The Executive shall be entitled to receive from the Company Change-in-Control Severance Benefits, as described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3.2</w:t>
      </w:r>
      <w:r>
        <w:rPr>
          <w:rFonts w:ascii="Arial" w:cs="Arial" w:eastAsia="Arial" w:hAnsi="Arial"/>
          <w:sz w:val="12"/>
          <w:szCs w:val="12"/>
          <w:color w:val="010000"/>
        </w:rPr>
        <w:t xml:space="preserve"> </w:t>
      </w:r>
      <w:r>
        <w:rPr>
          <w:rFonts w:ascii="Arial" w:cs="Arial" w:eastAsia="Arial" w:hAnsi="Arial"/>
          <w:sz w:val="12"/>
          <w:szCs w:val="12"/>
          <w:color w:val="000000"/>
        </w:rPr>
        <w:t>herein, if a Qualifying Termination of the Executive’s</w:t>
      </w:r>
      <w:r>
        <w:rPr>
          <w:rFonts w:ascii="Arial" w:cs="Arial" w:eastAsia="Arial" w:hAnsi="Arial"/>
          <w:sz w:val="12"/>
          <w:szCs w:val="12"/>
          <w:color w:val="010000"/>
        </w:rPr>
        <w:t xml:space="preserve"> </w:t>
      </w:r>
      <w:r>
        <w:rPr>
          <w:rFonts w:ascii="Arial" w:cs="Arial" w:eastAsia="Arial" w:hAnsi="Arial"/>
          <w:sz w:val="12"/>
          <w:szCs w:val="12"/>
          <w:color w:val="000000"/>
        </w:rPr>
        <w:t>employment has occurred within six (6) months immediately prior to or twelve (12) months immediately following a Change in Control of the Company.</w:t>
      </w:r>
    </w:p>
    <w:p>
      <w:pPr>
        <w:spacing w:after="0" w:line="107" w:lineRule="exact"/>
        <w:rPr>
          <w:sz w:val="20"/>
          <w:szCs w:val="20"/>
          <w:color w:val="auto"/>
        </w:rPr>
      </w:pPr>
    </w:p>
    <w:p>
      <w:pPr>
        <w:jc w:val="both"/>
        <w:ind w:left="1000" w:hanging="575"/>
        <w:spacing w:after="0" w:line="283" w:lineRule="auto"/>
        <w:rPr>
          <w:sz w:val="20"/>
          <w:szCs w:val="20"/>
          <w:color w:val="auto"/>
        </w:rPr>
      </w:pPr>
      <w:r>
        <w:rPr>
          <w:rFonts w:ascii="Arial" w:cs="Arial" w:eastAsia="Arial" w:hAnsi="Arial"/>
          <w:sz w:val="12"/>
          <w:szCs w:val="12"/>
          <w:color w:val="010000"/>
        </w:rPr>
        <w:t>(b)</w:t>
      </w:r>
      <w:r>
        <w:rPr>
          <w:rFonts w:ascii="Arial" w:cs="Arial" w:eastAsia="Arial" w:hAnsi="Arial"/>
          <w:sz w:val="12"/>
          <w:szCs w:val="12"/>
          <w:b w:val="1"/>
          <w:bCs w:val="1"/>
          <w:color w:val="000000"/>
        </w:rPr>
        <w:t>General Severance Benefits</w:t>
      </w:r>
      <w:r>
        <w:rPr>
          <w:rFonts w:ascii="Arial" w:cs="Arial" w:eastAsia="Arial" w:hAnsi="Arial"/>
          <w:sz w:val="12"/>
          <w:szCs w:val="12"/>
          <w:color w:val="000000"/>
        </w:rPr>
        <w:t>. The Executive shall be entitled to receive from the Company General Severance Benefits, as described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3.3</w:t>
      </w:r>
      <w:r>
        <w:rPr>
          <w:rFonts w:ascii="Arial" w:cs="Arial" w:eastAsia="Arial" w:hAnsi="Arial"/>
          <w:sz w:val="12"/>
          <w:szCs w:val="12"/>
          <w:color w:val="010000"/>
        </w:rPr>
        <w:t xml:space="preserve"> </w:t>
      </w:r>
      <w:r>
        <w:rPr>
          <w:rFonts w:ascii="Arial" w:cs="Arial" w:eastAsia="Arial" w:hAnsi="Arial"/>
          <w:sz w:val="12"/>
          <w:szCs w:val="12"/>
          <w:color w:val="000000"/>
        </w:rPr>
        <w:t>herein, if a Qualifying Termination of the Executive’s employment has</w:t>
      </w:r>
      <w:r>
        <w:rPr>
          <w:rFonts w:ascii="Arial" w:cs="Arial" w:eastAsia="Arial" w:hAnsi="Arial"/>
          <w:sz w:val="12"/>
          <w:szCs w:val="12"/>
          <w:color w:val="010000"/>
        </w:rPr>
        <w:t xml:space="preserve"> </w:t>
      </w:r>
      <w:r>
        <w:rPr>
          <w:rFonts w:ascii="Arial" w:cs="Arial" w:eastAsia="Arial" w:hAnsi="Arial"/>
          <w:sz w:val="12"/>
          <w:szCs w:val="12"/>
          <w:color w:val="000000"/>
        </w:rPr>
        <w:t>occurred other than during the six (6) months immediately prior to or twelve (12) months immediately following a Change in Control.</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(c)</w:t>
      </w:r>
      <w:r>
        <w:rPr>
          <w:rFonts w:ascii="Arial" w:cs="Arial" w:eastAsia="Arial" w:hAnsi="Arial"/>
          <w:sz w:val="12"/>
          <w:szCs w:val="12"/>
          <w:b w:val="1"/>
          <w:bCs w:val="1"/>
          <w:color w:val="000000"/>
        </w:rPr>
        <w:t>No Severance Benefits</w:t>
      </w:r>
      <w:r>
        <w:rPr>
          <w:rFonts w:ascii="Arial" w:cs="Arial" w:eastAsia="Arial" w:hAnsi="Arial"/>
          <w:sz w:val="12"/>
          <w:szCs w:val="12"/>
          <w:color w:val="000000"/>
        </w:rPr>
        <w:t>. The Executive shall not be entitled to receive Severance Benefits if the Executive’s employment with the Company ends for reasons other than a Qualifying Termination.</w:t>
      </w:r>
    </w:p>
    <w:p>
      <w:pPr>
        <w:spacing w:after="0" w:line="150" w:lineRule="exact"/>
        <w:rPr>
          <w:sz w:val="20"/>
          <w:szCs w:val="20"/>
          <w:color w:val="auto"/>
        </w:rPr>
      </w:pPr>
    </w:p>
    <w:p>
      <w:pPr>
        <w:jc w:val="both"/>
        <w:ind w:left="1000" w:hanging="575"/>
        <w:spacing w:after="0" w:line="285" w:lineRule="auto"/>
        <w:rPr>
          <w:sz w:val="20"/>
          <w:szCs w:val="20"/>
          <w:color w:val="auto"/>
        </w:rPr>
      </w:pPr>
      <w:r>
        <w:rPr>
          <w:rFonts w:ascii="Arial" w:cs="Arial" w:eastAsia="Arial" w:hAnsi="Arial"/>
          <w:sz w:val="11"/>
          <w:szCs w:val="11"/>
          <w:color w:val="010000"/>
        </w:rPr>
        <w:t>(d)</w:t>
      </w:r>
      <w:r>
        <w:rPr>
          <w:rFonts w:ascii="Arial" w:cs="Arial" w:eastAsia="Arial" w:hAnsi="Arial"/>
          <w:sz w:val="11"/>
          <w:szCs w:val="11"/>
          <w:b w:val="1"/>
          <w:bCs w:val="1"/>
          <w:color w:val="000000"/>
        </w:rPr>
        <w:t>General Release and Acknowledgement of Restrictive Covenants</w:t>
      </w:r>
      <w:r>
        <w:rPr>
          <w:rFonts w:ascii="Arial" w:cs="Arial" w:eastAsia="Arial" w:hAnsi="Arial"/>
          <w:sz w:val="11"/>
          <w:szCs w:val="11"/>
          <w:color w:val="000000"/>
        </w:rPr>
        <w:t>. As a condition to receiving Severance Benefits under either</w:t>
      </w:r>
      <w:r>
        <w:rPr>
          <w:rFonts w:ascii="Arial" w:cs="Arial" w:eastAsia="Arial" w:hAnsi="Arial"/>
          <w:sz w:val="11"/>
          <w:szCs w:val="11"/>
          <w:color w:val="010000"/>
        </w:rPr>
        <w:t xml:space="preserve"> </w:t>
      </w:r>
      <w:r>
        <w:rPr>
          <w:rFonts w:ascii="Arial" w:cs="Arial" w:eastAsia="Arial" w:hAnsi="Arial"/>
          <w:sz w:val="11"/>
          <w:szCs w:val="11"/>
          <w:u w:val="single" w:color="auto"/>
          <w:color w:val="000000"/>
        </w:rPr>
        <w:t>Section 3.2</w:t>
      </w:r>
      <w:r>
        <w:rPr>
          <w:rFonts w:ascii="Arial" w:cs="Arial" w:eastAsia="Arial" w:hAnsi="Arial"/>
          <w:sz w:val="11"/>
          <w:szCs w:val="11"/>
          <w:color w:val="010000"/>
        </w:rPr>
        <w:t xml:space="preserve"> </w:t>
      </w:r>
      <w:r>
        <w:rPr>
          <w:rFonts w:ascii="Arial" w:cs="Arial" w:eastAsia="Arial" w:hAnsi="Arial"/>
          <w:sz w:val="11"/>
          <w:szCs w:val="11"/>
          <w:color w:val="000000"/>
        </w:rPr>
        <w:t>or</w:t>
      </w:r>
      <w:r>
        <w:rPr>
          <w:rFonts w:ascii="Arial" w:cs="Arial" w:eastAsia="Arial" w:hAnsi="Arial"/>
          <w:sz w:val="11"/>
          <w:szCs w:val="11"/>
          <w:color w:val="010000"/>
        </w:rPr>
        <w:t xml:space="preserve"> </w:t>
      </w:r>
      <w:r>
        <w:rPr>
          <w:rFonts w:ascii="Arial" w:cs="Arial" w:eastAsia="Arial" w:hAnsi="Arial"/>
          <w:sz w:val="11"/>
          <w:szCs w:val="11"/>
          <w:u w:val="single" w:color="auto"/>
          <w:color w:val="000000"/>
        </w:rPr>
        <w:t>3.3</w:t>
      </w:r>
      <w:r>
        <w:rPr>
          <w:rFonts w:ascii="Arial" w:cs="Arial" w:eastAsia="Arial" w:hAnsi="Arial"/>
          <w:sz w:val="11"/>
          <w:szCs w:val="11"/>
          <w:color w:val="010000"/>
        </w:rPr>
        <w:t xml:space="preserve"> </w:t>
      </w:r>
      <w:r>
        <w:rPr>
          <w:rFonts w:ascii="Arial" w:cs="Arial" w:eastAsia="Arial" w:hAnsi="Arial"/>
          <w:sz w:val="11"/>
          <w:szCs w:val="11"/>
          <w:color w:val="000000"/>
        </w:rPr>
        <w:t>herein, the Executive shall be obligated to execute a general waiver and</w:t>
      </w:r>
      <w:r>
        <w:rPr>
          <w:rFonts w:ascii="Arial" w:cs="Arial" w:eastAsia="Arial" w:hAnsi="Arial"/>
          <w:sz w:val="11"/>
          <w:szCs w:val="11"/>
          <w:color w:val="010000"/>
        </w:rPr>
        <w:t xml:space="preserve"> </w:t>
      </w:r>
      <w:r>
        <w:rPr>
          <w:rFonts w:ascii="Arial" w:cs="Arial" w:eastAsia="Arial" w:hAnsi="Arial"/>
          <w:sz w:val="11"/>
          <w:szCs w:val="11"/>
          <w:color w:val="000000"/>
        </w:rPr>
        <w:t>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Arial" w:cs="Arial" w:eastAsia="Arial" w:hAnsi="Arial"/>
          <w:sz w:val="11"/>
          <w:szCs w:val="11"/>
          <w:u w:val="single" w:color="auto"/>
          <w:color w:val="000000"/>
        </w:rPr>
        <w:t>Release Effective Date</w:t>
      </w:r>
      <w:r>
        <w:rPr>
          <w:rFonts w:ascii="Arial" w:cs="Arial" w:eastAsia="Arial" w:hAnsi="Arial"/>
          <w:sz w:val="11"/>
          <w:szCs w:val="11"/>
          <w:color w:val="000000"/>
        </w:rPr>
        <w:t xml:space="preserve">”. The Executive must also execute a notice acknowledging the restrictive covenants in </w:t>
      </w:r>
      <w:r>
        <w:rPr>
          <w:rFonts w:ascii="Arial" w:cs="Arial" w:eastAsia="Arial" w:hAnsi="Arial"/>
          <w:sz w:val="11"/>
          <w:szCs w:val="11"/>
          <w:u w:val="single" w:color="auto"/>
          <w:color w:val="000000"/>
        </w:rPr>
        <w:t>Article 5</w:t>
      </w:r>
      <w:r>
        <w:rPr>
          <w:rFonts w:ascii="Arial" w:cs="Arial" w:eastAsia="Arial" w:hAnsi="Arial"/>
          <w:sz w:val="11"/>
          <w:szCs w:val="11"/>
          <w:color w:val="000000"/>
        </w:rPr>
        <w:t xml:space="preserve"> within sixty (60) days of the date of termination. Any payments under </w:t>
      </w:r>
      <w:r>
        <w:rPr>
          <w:rFonts w:ascii="Arial" w:cs="Arial" w:eastAsia="Arial" w:hAnsi="Arial"/>
          <w:sz w:val="11"/>
          <w:szCs w:val="11"/>
          <w:u w:val="single" w:color="auto"/>
          <w:color w:val="000000"/>
        </w:rPr>
        <w:t>Section 3.2</w:t>
      </w:r>
      <w:r>
        <w:rPr>
          <w:rFonts w:ascii="Arial" w:cs="Arial" w:eastAsia="Arial" w:hAnsi="Arial"/>
          <w:sz w:val="11"/>
          <w:szCs w:val="11"/>
          <w:color w:val="000000"/>
        </w:rPr>
        <w:t xml:space="preserve"> or </w:t>
      </w:r>
      <w:r>
        <w:rPr>
          <w:rFonts w:ascii="Arial" w:cs="Arial" w:eastAsia="Arial" w:hAnsi="Arial"/>
          <w:sz w:val="11"/>
          <w:szCs w:val="11"/>
          <w:u w:val="single" w:color="auto"/>
          <w:color w:val="000000"/>
        </w:rPr>
        <w:t>3.3</w:t>
      </w:r>
      <w:r>
        <w:rPr>
          <w:rFonts w:ascii="Arial" w:cs="Arial" w:eastAsia="Arial" w:hAnsi="Arial"/>
          <w:sz w:val="11"/>
          <w:szCs w:val="11"/>
          <w:color w:val="000000"/>
        </w:rPr>
        <w:t xml:space="preserve"> shall commence only after execution of the release and acknowledgement, and in the manner provided in </w:t>
      </w:r>
      <w:r>
        <w:rPr>
          <w:rFonts w:ascii="Arial" w:cs="Arial" w:eastAsia="Arial" w:hAnsi="Arial"/>
          <w:sz w:val="11"/>
          <w:szCs w:val="11"/>
          <w:u w:val="single" w:color="auto"/>
          <w:color w:val="000000"/>
        </w:rPr>
        <w:t>Section 3.4</w:t>
      </w:r>
      <w:r>
        <w:rPr>
          <w:rFonts w:ascii="Arial" w:cs="Arial" w:eastAsia="Arial" w:hAnsi="Arial"/>
          <w:sz w:val="11"/>
          <w:szCs w:val="11"/>
          <w:color w:val="000000"/>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37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5</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24" w:name="page225"/>
    <w:bookmarkEnd w:id="224"/>
    <w:p>
      <w:pPr>
        <w:jc w:val="both"/>
        <w:ind w:left="1000" w:hanging="566"/>
        <w:spacing w:after="0" w:line="258" w:lineRule="auto"/>
        <w:rPr>
          <w:sz w:val="20"/>
          <w:szCs w:val="20"/>
          <w:color w:val="auto"/>
        </w:rPr>
      </w:pPr>
      <w:r>
        <w:rPr>
          <w:rFonts w:ascii="Arial" w:cs="Arial" w:eastAsia="Arial" w:hAnsi="Arial"/>
          <w:sz w:val="12"/>
          <w:szCs w:val="12"/>
          <w:color w:val="010000"/>
        </w:rPr>
        <w:t>(e)</w:t>
      </w:r>
      <w:r>
        <w:rPr>
          <w:rFonts w:ascii="Arial" w:cs="Arial" w:eastAsia="Arial" w:hAnsi="Arial"/>
          <w:sz w:val="12"/>
          <w:szCs w:val="12"/>
          <w:b w:val="1"/>
          <w:bCs w:val="1"/>
          <w:color w:val="000000"/>
        </w:rPr>
        <w:t>No Duplication of Severance Benefits</w:t>
      </w:r>
      <w:r>
        <w:rPr>
          <w:rFonts w:ascii="Arial" w:cs="Arial" w:eastAsia="Arial" w:hAnsi="Arial"/>
          <w:sz w:val="12"/>
          <w:szCs w:val="12"/>
          <w:color w:val="000000"/>
        </w:rPr>
        <w:t>. If the Executive becomes entitled to Change-in-Control Severance Benefits, the Severance Benefits provided for under</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3.2</w:t>
      </w:r>
      <w:r>
        <w:rPr>
          <w:rFonts w:ascii="Arial" w:cs="Arial" w:eastAsia="Arial" w:hAnsi="Arial"/>
          <w:sz w:val="12"/>
          <w:szCs w:val="12"/>
          <w:color w:val="010000"/>
        </w:rPr>
        <w:t xml:space="preserve"> </w:t>
      </w:r>
      <w:r>
        <w:rPr>
          <w:rFonts w:ascii="Arial" w:cs="Arial" w:eastAsia="Arial" w:hAnsi="Arial"/>
          <w:sz w:val="12"/>
          <w:szCs w:val="12"/>
          <w:color w:val="000000"/>
        </w:rPr>
        <w:t>hereunder shall be in lieu of all other Severance</w:t>
      </w:r>
      <w:r>
        <w:rPr>
          <w:rFonts w:ascii="Arial" w:cs="Arial" w:eastAsia="Arial" w:hAnsi="Arial"/>
          <w:sz w:val="12"/>
          <w:szCs w:val="12"/>
          <w:color w:val="010000"/>
        </w:rPr>
        <w:t xml:space="preserve"> </w:t>
      </w:r>
      <w:r>
        <w:rPr>
          <w:rFonts w:ascii="Arial" w:cs="Arial" w:eastAsia="Arial" w:hAnsi="Arial"/>
          <w:sz w:val="12"/>
          <w:szCs w:val="12"/>
          <w:color w:val="000000"/>
        </w:rPr>
        <w:t xml:space="preserve">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12"/>
          <w:szCs w:val="12"/>
          <w:u w:val="single" w:color="auto"/>
          <w:color w:val="000000"/>
        </w:rPr>
        <w:t>Section 3.3</w:t>
      </w:r>
      <w:r>
        <w:rPr>
          <w:rFonts w:ascii="Arial" w:cs="Arial" w:eastAsia="Arial" w:hAnsi="Arial"/>
          <w:sz w:val="12"/>
          <w:szCs w:val="12"/>
          <w:color w:val="000000"/>
        </w:rPr>
        <w:t xml:space="preserve"> herein. Likewise, if the Executive becomes entitled to General Severance Benefits, the Severance Benefits provided under </w:t>
      </w:r>
      <w:r>
        <w:rPr>
          <w:rFonts w:ascii="Arial" w:cs="Arial" w:eastAsia="Arial" w:hAnsi="Arial"/>
          <w:sz w:val="12"/>
          <w:szCs w:val="12"/>
          <w:u w:val="single" w:color="auto"/>
          <w:color w:val="000000"/>
        </w:rPr>
        <w:t>Section 3.3</w:t>
      </w:r>
      <w:r>
        <w:rPr>
          <w:rFonts w:ascii="Arial" w:cs="Arial" w:eastAsia="Arial" w:hAnsi="Arial"/>
          <w:sz w:val="12"/>
          <w:szCs w:val="12"/>
          <w:color w:val="000000"/>
        </w:rPr>
        <w:t xml:space="preserve"> hereunder shall be in lieu of all other Severance Benefits provided to the Executive under the provisions of this Plan and any other Company-related severance plans, programs, or other agreements including, but not limited to, the Severance Benefits under </w:t>
      </w:r>
      <w:r>
        <w:rPr>
          <w:rFonts w:ascii="Arial" w:cs="Arial" w:eastAsia="Arial" w:hAnsi="Arial"/>
          <w:sz w:val="12"/>
          <w:szCs w:val="12"/>
          <w:u w:val="single" w:color="auto"/>
          <w:color w:val="000000"/>
        </w:rPr>
        <w:t>Section 3.2</w:t>
      </w:r>
      <w:r>
        <w:rPr>
          <w:rFonts w:ascii="Arial" w:cs="Arial" w:eastAsia="Arial" w:hAnsi="Arial"/>
          <w:sz w:val="12"/>
          <w:szCs w:val="12"/>
          <w:color w:val="000000"/>
        </w:rPr>
        <w:t xml:space="preserve"> herein</w:t>
      </w:r>
      <w:r>
        <w:rPr>
          <w:rFonts w:ascii="Arial" w:cs="Arial" w:eastAsia="Arial" w:hAnsi="Arial"/>
          <w:sz w:val="12"/>
          <w:szCs w:val="12"/>
          <w:b w:val="1"/>
          <w:bCs w:val="1"/>
          <w:color w:val="000000"/>
        </w:rPr>
        <w:t>.</w:t>
      </w:r>
    </w:p>
    <w:p>
      <w:pPr>
        <w:spacing w:after="0" w:line="123"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2"/>
          <w:szCs w:val="12"/>
          <w:b w:val="1"/>
          <w:bCs w:val="1"/>
          <w:color w:val="010000"/>
        </w:rPr>
        <w:t>3.2</w:t>
      </w:r>
      <w:r>
        <w:rPr>
          <w:sz w:val="20"/>
          <w:szCs w:val="20"/>
          <w:color w:val="auto"/>
        </w:rPr>
        <w:tab/>
      </w:r>
      <w:r>
        <w:rPr>
          <w:rFonts w:ascii="Arial" w:cs="Arial" w:eastAsia="Arial" w:hAnsi="Arial"/>
          <w:sz w:val="11"/>
          <w:szCs w:val="11"/>
          <w:b w:val="1"/>
          <w:bCs w:val="1"/>
          <w:color w:val="auto"/>
        </w:rPr>
        <w:t xml:space="preserve">Description of Change-in-Control Severance Benefits. </w:t>
      </w:r>
      <w:r>
        <w:rPr>
          <w:rFonts w:ascii="Arial" w:cs="Arial" w:eastAsia="Arial" w:hAnsi="Arial"/>
          <w:sz w:val="11"/>
          <w:szCs w:val="11"/>
          <w:color w:val="auto"/>
        </w:rPr>
        <w:t>In the event the Executive becomes entitled to receive Change-in-Control Severance Benefits, as provided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3.1</w:t>
      </w:r>
      <w:r>
        <w:rPr>
          <w:rFonts w:ascii="Arial" w:cs="Arial" w:eastAsia="Arial" w:hAnsi="Arial"/>
          <w:sz w:val="11"/>
          <w:szCs w:val="11"/>
          <w:b w:val="1"/>
          <w:bCs w:val="1"/>
          <w:color w:val="auto"/>
        </w:rPr>
        <w:t xml:space="preserve"> </w:t>
      </w:r>
      <w:r>
        <w:rPr>
          <w:rFonts w:ascii="Arial" w:cs="Arial" w:eastAsia="Arial" w:hAnsi="Arial"/>
          <w:sz w:val="11"/>
          <w:szCs w:val="11"/>
          <w:color w:val="auto"/>
        </w:rPr>
        <w:t>herein, the Company shall provide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Executive with the following:</w:t>
      </w:r>
    </w:p>
    <w:p>
      <w:pPr>
        <w:spacing w:after="0" w:line="141" w:lineRule="exact"/>
        <w:rPr>
          <w:sz w:val="20"/>
          <w:szCs w:val="20"/>
          <w:color w:val="auto"/>
        </w:rPr>
      </w:pPr>
    </w:p>
    <w:p>
      <w:pPr>
        <w:jc w:val="both"/>
        <w:ind w:left="1000" w:hanging="566"/>
        <w:spacing w:after="0" w:line="290"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A lump-sum amount, paid upon the date that is sixty (60) calendar days following the Effective Date of Termination, equal to the Executive’s unpaid Base Salary, accrued vacation pay, unreimbursed business expenses, and all</w:t>
      </w:r>
      <w:r>
        <w:rPr>
          <w:rFonts w:ascii="Arial" w:cs="Arial" w:eastAsia="Arial" w:hAnsi="Arial"/>
          <w:sz w:val="11"/>
          <w:szCs w:val="11"/>
          <w:color w:val="010000"/>
        </w:rPr>
        <w:t xml:space="preserve"> </w:t>
      </w:r>
      <w:r>
        <w:rPr>
          <w:rFonts w:ascii="Arial" w:cs="Arial" w:eastAsia="Arial" w:hAnsi="Arial"/>
          <w:sz w:val="11"/>
          <w:szCs w:val="11"/>
          <w:color w:val="000000"/>
        </w:rPr>
        <w:t xml:space="preserve">other items earned by and owed to the Executive through and including the Effective Date of Termination, provided that to the extent the payment of any amounts pursuant to this </w:t>
      </w:r>
      <w:r>
        <w:rPr>
          <w:rFonts w:ascii="Arial" w:cs="Arial" w:eastAsia="Arial" w:hAnsi="Arial"/>
          <w:sz w:val="11"/>
          <w:szCs w:val="11"/>
          <w:u w:val="single" w:color="auto"/>
          <w:color w:val="000000"/>
        </w:rPr>
        <w:t>Section 3.2(a)</w:t>
      </w:r>
      <w:r>
        <w:rPr>
          <w:rFonts w:ascii="Arial" w:cs="Arial" w:eastAsia="Arial" w:hAnsi="Arial"/>
          <w:sz w:val="11"/>
          <w:szCs w:val="11"/>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09" w:lineRule="exact"/>
        <w:rPr>
          <w:sz w:val="20"/>
          <w:szCs w:val="20"/>
          <w:color w:val="auto"/>
        </w:rPr>
      </w:pPr>
    </w:p>
    <w:p>
      <w:pPr>
        <w:jc w:val="both"/>
        <w:ind w:left="1000" w:hanging="575"/>
        <w:spacing w:after="0" w:line="290"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A lump-sum amount, paid upon the date that is sixty (60) calendar days following the Effective Date of Termination, equal to: (i) two and ninety-nine one-hundredths (2.99) for Tier I Executives, or (ii) two (2) for Tier II</w:t>
      </w:r>
      <w:r>
        <w:rPr>
          <w:rFonts w:ascii="Arial" w:cs="Arial" w:eastAsia="Arial" w:hAnsi="Arial"/>
          <w:sz w:val="11"/>
          <w:szCs w:val="11"/>
          <w:color w:val="010000"/>
        </w:rPr>
        <w:t xml:space="preserve"> </w:t>
      </w:r>
      <w:r>
        <w:rPr>
          <w:rFonts w:ascii="Arial" w:cs="Arial" w:eastAsia="Arial" w:hAnsi="Arial"/>
          <w:sz w:val="11"/>
          <w:szCs w:val="11"/>
          <w:color w:val="000000"/>
        </w:rPr>
        <w:t xml:space="preserve">Executives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11"/>
          <w:szCs w:val="11"/>
          <w:u w:val="single" w:color="auto"/>
          <w:color w:val="000000"/>
        </w:rPr>
        <w:t>Section 3.2(b)</w:t>
      </w:r>
      <w:r>
        <w:rPr>
          <w:rFonts w:ascii="Arial" w:cs="Arial" w:eastAsia="Arial" w:hAnsi="Arial"/>
          <w:sz w:val="11"/>
          <w:szCs w:val="11"/>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09" w:lineRule="exact"/>
        <w:rPr>
          <w:sz w:val="20"/>
          <w:szCs w:val="20"/>
          <w:color w:val="auto"/>
        </w:rPr>
      </w:pPr>
    </w:p>
    <w:p>
      <w:pPr>
        <w:jc w:val="both"/>
        <w:ind w:left="1000" w:hanging="566"/>
        <w:spacing w:after="0" w:line="257" w:lineRule="auto"/>
        <w:rPr>
          <w:sz w:val="20"/>
          <w:szCs w:val="20"/>
          <w:color w:val="auto"/>
        </w:rPr>
      </w:pPr>
      <w:r>
        <w:rPr>
          <w:rFonts w:ascii="Arial" w:cs="Arial" w:eastAsia="Arial" w:hAnsi="Arial"/>
          <w:sz w:val="12"/>
          <w:szCs w:val="12"/>
          <w:color w:val="010000"/>
        </w:rPr>
        <w:t>(c)</w:t>
      </w:r>
      <w:r>
        <w:rPr>
          <w:rFonts w:ascii="Arial" w:cs="Arial" w:eastAsia="Arial" w:hAnsi="Arial"/>
          <w:sz w:val="12"/>
          <w:szCs w:val="12"/>
          <w:color w:val="000000"/>
        </w:rPr>
        <w:t>A lump-sum amount, paid upon the date that is sixty (60) calendar days following the Effective Date of Termination, equal to the Executive’s then current target bonus opportunity established under the bonus plan in which the</w:t>
      </w:r>
      <w:r>
        <w:rPr>
          <w:rFonts w:ascii="Arial" w:cs="Arial" w:eastAsia="Arial" w:hAnsi="Arial"/>
          <w:sz w:val="12"/>
          <w:szCs w:val="12"/>
          <w:color w:val="010000"/>
        </w:rPr>
        <w:t xml:space="preserve"> </w:t>
      </w:r>
      <w:r>
        <w:rPr>
          <w:rFonts w:ascii="Arial" w:cs="Arial" w:eastAsia="Arial" w:hAnsi="Arial"/>
          <w:sz w:val="12"/>
          <w:szCs w:val="12"/>
          <w:color w:val="000000"/>
        </w:rPr>
        <w:t xml:space="preserve">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12"/>
          <w:szCs w:val="12"/>
          <w:u w:val="single" w:color="auto"/>
          <w:color w:val="000000"/>
        </w:rPr>
        <w:t>Section 3.2(c)</w:t>
      </w:r>
      <w:r>
        <w:rPr>
          <w:rFonts w:ascii="Arial" w:cs="Arial" w:eastAsia="Arial" w:hAnsi="Arial"/>
          <w:sz w:val="12"/>
          <w:szCs w:val="12"/>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26" w:lineRule="exact"/>
        <w:rPr>
          <w:sz w:val="20"/>
          <w:szCs w:val="20"/>
          <w:color w:val="auto"/>
        </w:rPr>
      </w:pPr>
    </w:p>
    <w:p>
      <w:pPr>
        <w:jc w:val="both"/>
        <w:ind w:left="1000" w:right="20" w:hanging="575"/>
        <w:spacing w:after="0" w:line="276" w:lineRule="auto"/>
        <w:rPr>
          <w:sz w:val="20"/>
          <w:szCs w:val="20"/>
          <w:color w:val="auto"/>
        </w:rPr>
      </w:pPr>
      <w:r>
        <w:rPr>
          <w:rFonts w:ascii="Arial" w:cs="Arial" w:eastAsia="Arial" w:hAnsi="Arial"/>
          <w:sz w:val="12"/>
          <w:szCs w:val="12"/>
          <w:color w:val="010000"/>
        </w:rPr>
        <w:t>(d)</w:t>
      </w:r>
      <w:r>
        <w:rPr>
          <w:rFonts w:ascii="Arial" w:cs="Arial" w:eastAsia="Arial" w:hAnsi="Arial"/>
          <w:sz w:val="12"/>
          <w:szCs w:val="12"/>
          <w:color w:val="000000"/>
        </w:rPr>
        <w:t>Payment of all or a portion of the Executive’s cost to participate in COBRA medical and dental continuation coverage for eighteen (18) months following the Executive’s Effective Date of Termination, such that Executive</w:t>
      </w:r>
      <w:r>
        <w:rPr>
          <w:rFonts w:ascii="Arial" w:cs="Arial" w:eastAsia="Arial" w:hAnsi="Arial"/>
          <w:sz w:val="12"/>
          <w:szCs w:val="12"/>
          <w:color w:val="010000"/>
        </w:rPr>
        <w:t xml:space="preserve"> </w:t>
      </w:r>
      <w:r>
        <w:rPr>
          <w:rFonts w:ascii="Arial" w:cs="Arial" w:eastAsia="Arial" w:hAnsi="Arial"/>
          <w:sz w:val="12"/>
          <w:szCs w:val="12"/>
          <w:color w:val="000000"/>
        </w:rPr>
        <w:t>maintains the same coverage level and cost, on an after tax basis, as in effect immediately prior to the Executive’s Effective Date of Termination.</w:t>
      </w:r>
    </w:p>
    <w:p>
      <w:pPr>
        <w:spacing w:after="0" w:line="115" w:lineRule="exact"/>
        <w:rPr>
          <w:sz w:val="20"/>
          <w:szCs w:val="20"/>
          <w:color w:val="auto"/>
        </w:rPr>
      </w:pPr>
    </w:p>
    <w:p>
      <w:pPr>
        <w:ind w:left="860"/>
        <w:spacing w:after="0" w:line="276" w:lineRule="auto"/>
        <w:rPr>
          <w:sz w:val="20"/>
          <w:szCs w:val="20"/>
          <w:color w:val="auto"/>
        </w:rPr>
      </w:pPr>
      <w:r>
        <w:rPr>
          <w:rFonts w:ascii="Arial" w:cs="Arial" w:eastAsia="Arial" w:hAnsi="Arial"/>
          <w:sz w:val="12"/>
          <w:szCs w:val="12"/>
          <w:color w:val="auto"/>
        </w:rPr>
        <w:t>Notwithstanding the above, these medical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w:t>
      </w:r>
    </w:p>
    <w:p>
      <w:pPr>
        <w:spacing w:after="0" w:line="38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6</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25" w:name="page226"/>
    <w:bookmarkEnd w:id="225"/>
    <w:p>
      <w:pPr>
        <w:ind w:left="860" w:right="20"/>
        <w:spacing w:after="0" w:line="276" w:lineRule="auto"/>
        <w:rPr>
          <w:sz w:val="20"/>
          <w:szCs w:val="20"/>
          <w:color w:val="auto"/>
        </w:rPr>
      </w:pPr>
      <w:r>
        <w:rPr>
          <w:rFonts w:ascii="Arial" w:cs="Arial" w:eastAsia="Arial" w:hAnsi="Arial"/>
          <w:sz w:val="12"/>
          <w:szCs w:val="12"/>
          <w:color w:val="auto"/>
        </w:rPr>
        <w:t>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(e)</w:t>
      </w:r>
      <w:r>
        <w:rPr>
          <w:rFonts w:ascii="Arial" w:cs="Arial" w:eastAsia="Arial" w:hAnsi="Arial"/>
          <w:sz w:val="12"/>
          <w:szCs w:val="12"/>
          <w:color w:val="000000"/>
        </w:rPr>
        <w:t>Treatment of outstanding long-term incentives shall be in accordance with the governing plan document and award agreements, if any.</w:t>
      </w:r>
    </w:p>
    <w:p>
      <w:pPr>
        <w:spacing w:after="0" w:line="146"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b w:val="1"/>
          <w:bCs w:val="1"/>
          <w:color w:val="010000"/>
        </w:rPr>
        <w:t xml:space="preserve">3.3 </w:t>
      </w:r>
      <w:r>
        <w:rPr>
          <w:rFonts w:ascii="Arial" w:cs="Arial" w:eastAsia="Arial" w:hAnsi="Arial"/>
          <w:sz w:val="12"/>
          <w:szCs w:val="12"/>
          <w:b w:val="1"/>
          <w:bCs w:val="1"/>
          <w:color w:val="000000"/>
        </w:rPr>
        <w:t>Description of General Severance Benefits</w:t>
      </w:r>
      <w:r>
        <w:rPr>
          <w:rFonts w:ascii="Arial" w:cs="Arial" w:eastAsia="Arial" w:hAnsi="Arial"/>
          <w:sz w:val="12"/>
          <w:szCs w:val="12"/>
          <w:color w:val="000000"/>
        </w:rPr>
        <w:t>. In the event the Executive becomes entitled to receive General Severance Benefits as provided in</w:t>
      </w:r>
      <w:r>
        <w:rPr>
          <w:rFonts w:ascii="Arial" w:cs="Arial" w:eastAsia="Arial" w:hAnsi="Arial"/>
          <w:sz w:val="12"/>
          <w:szCs w:val="12"/>
          <w:b w:val="1"/>
          <w:bCs w:val="1"/>
          <w:color w:val="010000"/>
        </w:rPr>
        <w:t xml:space="preserve"> </w:t>
      </w:r>
      <w:r>
        <w:rPr>
          <w:rFonts w:ascii="Arial" w:cs="Arial" w:eastAsia="Arial" w:hAnsi="Arial"/>
          <w:sz w:val="12"/>
          <w:szCs w:val="12"/>
          <w:u w:val="single" w:color="auto"/>
          <w:color w:val="000000"/>
        </w:rPr>
        <w:t>Section 3.1(b)</w:t>
      </w:r>
      <w:r>
        <w:rPr>
          <w:rFonts w:ascii="Arial" w:cs="Arial" w:eastAsia="Arial" w:hAnsi="Arial"/>
          <w:sz w:val="12"/>
          <w:szCs w:val="12"/>
          <w:b w:val="1"/>
          <w:bCs w:val="1"/>
          <w:color w:val="010000"/>
        </w:rPr>
        <w:t xml:space="preserve"> </w:t>
      </w:r>
      <w:r>
        <w:rPr>
          <w:rFonts w:ascii="Arial" w:cs="Arial" w:eastAsia="Arial" w:hAnsi="Arial"/>
          <w:sz w:val="12"/>
          <w:szCs w:val="12"/>
          <w:color w:val="000000"/>
        </w:rPr>
        <w:t>herein, the Company shall provide the Executive with the</w:t>
      </w:r>
      <w:r>
        <w:rPr>
          <w:rFonts w:ascii="Arial" w:cs="Arial" w:eastAsia="Arial" w:hAnsi="Arial"/>
          <w:sz w:val="12"/>
          <w:szCs w:val="12"/>
          <w:b w:val="1"/>
          <w:bCs w:val="1"/>
          <w:color w:val="010000"/>
        </w:rPr>
        <w:t xml:space="preserve"> </w:t>
      </w:r>
      <w:r>
        <w:rPr>
          <w:rFonts w:ascii="Arial" w:cs="Arial" w:eastAsia="Arial" w:hAnsi="Arial"/>
          <w:sz w:val="12"/>
          <w:szCs w:val="12"/>
          <w:color w:val="000000"/>
        </w:rPr>
        <w:t>following:</w:t>
      </w:r>
    </w:p>
    <w:p>
      <w:pPr>
        <w:spacing w:after="0" w:line="111" w:lineRule="exact"/>
        <w:rPr>
          <w:sz w:val="20"/>
          <w:szCs w:val="20"/>
          <w:color w:val="auto"/>
        </w:rPr>
      </w:pPr>
    </w:p>
    <w:p>
      <w:pPr>
        <w:jc w:val="both"/>
        <w:ind w:left="1000" w:hanging="566"/>
        <w:spacing w:after="0" w:line="290"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A lump-sum amount, paid upon the date that is sixty (60) calendar days following the Effective Date of Termination, equal to the Executive’s unpaid Base Salary, accrued vacation pay, unreimbursed business expenses, and all</w:t>
      </w:r>
      <w:r>
        <w:rPr>
          <w:rFonts w:ascii="Arial" w:cs="Arial" w:eastAsia="Arial" w:hAnsi="Arial"/>
          <w:sz w:val="11"/>
          <w:szCs w:val="11"/>
          <w:color w:val="010000"/>
        </w:rPr>
        <w:t xml:space="preserve"> </w:t>
      </w:r>
      <w:r>
        <w:rPr>
          <w:rFonts w:ascii="Arial" w:cs="Arial" w:eastAsia="Arial" w:hAnsi="Arial"/>
          <w:sz w:val="11"/>
          <w:szCs w:val="11"/>
          <w:color w:val="000000"/>
        </w:rPr>
        <w:t xml:space="preserve">other items earned by and owed to the Executive through and including the Effective Date of Termination; provided that to the extent the payment of any amounts pursuant to this </w:t>
      </w:r>
      <w:r>
        <w:rPr>
          <w:rFonts w:ascii="Arial" w:cs="Arial" w:eastAsia="Arial" w:hAnsi="Arial"/>
          <w:sz w:val="11"/>
          <w:szCs w:val="11"/>
          <w:u w:val="single" w:color="auto"/>
          <w:color w:val="000000"/>
        </w:rPr>
        <w:t>Section 3.3(a)</w:t>
      </w:r>
      <w:r>
        <w:rPr>
          <w:rFonts w:ascii="Arial" w:cs="Arial" w:eastAsia="Arial" w:hAnsi="Arial"/>
          <w:sz w:val="11"/>
          <w:szCs w:val="11"/>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09" w:lineRule="exact"/>
        <w:rPr>
          <w:sz w:val="20"/>
          <w:szCs w:val="20"/>
          <w:color w:val="auto"/>
        </w:rPr>
      </w:pPr>
    </w:p>
    <w:p>
      <w:pPr>
        <w:jc w:val="both"/>
        <w:ind w:left="1000" w:hanging="575"/>
        <w:spacing w:after="0" w:line="340" w:lineRule="auto"/>
        <w:rPr>
          <w:sz w:val="20"/>
          <w:szCs w:val="20"/>
          <w:color w:val="auto"/>
        </w:rPr>
      </w:pPr>
      <w:r>
        <w:rPr>
          <w:rFonts w:ascii="Arial" w:cs="Arial" w:eastAsia="Arial" w:hAnsi="Arial"/>
          <w:sz w:val="10"/>
          <w:szCs w:val="10"/>
          <w:color w:val="010000"/>
        </w:rPr>
        <w:t>(b)</w:t>
      </w:r>
      <w:r>
        <w:rPr>
          <w:rFonts w:ascii="Arial" w:cs="Arial" w:eastAsia="Arial" w:hAnsi="Arial"/>
          <w:sz w:val="10"/>
          <w:szCs w:val="10"/>
          <w:color w:val="000000"/>
        </w:rPr>
        <w:t>A lump-sum amount, paid upon the date that is sixty (60) calendar days following the Effective Date of Termination, equal to one and one-half (1.5) times the Executive’s Base Salary; provided that to the extent the payment of</w:t>
      </w:r>
      <w:r>
        <w:rPr>
          <w:rFonts w:ascii="Arial" w:cs="Arial" w:eastAsia="Arial" w:hAnsi="Arial"/>
          <w:sz w:val="10"/>
          <w:szCs w:val="10"/>
          <w:color w:val="010000"/>
        </w:rPr>
        <w:t xml:space="preserve"> </w:t>
      </w:r>
      <w:r>
        <w:rPr>
          <w:rFonts w:ascii="Arial" w:cs="Arial" w:eastAsia="Arial" w:hAnsi="Arial"/>
          <w:sz w:val="10"/>
          <w:szCs w:val="10"/>
          <w:color w:val="000000"/>
        </w:rPr>
        <w:t xml:space="preserve">any amounts pursuant to this </w:t>
      </w:r>
      <w:r>
        <w:rPr>
          <w:rFonts w:ascii="Arial" w:cs="Arial" w:eastAsia="Arial" w:hAnsi="Arial"/>
          <w:sz w:val="10"/>
          <w:szCs w:val="10"/>
          <w:u w:val="single" w:color="auto"/>
          <w:color w:val="000000"/>
        </w:rPr>
        <w:t>Section 3.3(b)</w:t>
      </w:r>
      <w:r>
        <w:rPr>
          <w:rFonts w:ascii="Arial" w:cs="Arial" w:eastAsia="Arial" w:hAnsi="Arial"/>
          <w:sz w:val="10"/>
          <w:szCs w:val="10"/>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88" w:lineRule="exact"/>
        <w:rPr>
          <w:sz w:val="20"/>
          <w:szCs w:val="20"/>
          <w:color w:val="auto"/>
        </w:rPr>
      </w:pPr>
    </w:p>
    <w:p>
      <w:pPr>
        <w:jc w:val="both"/>
        <w:ind w:left="1000" w:right="20" w:hanging="566"/>
        <w:spacing w:after="0" w:line="276" w:lineRule="auto"/>
        <w:rPr>
          <w:sz w:val="20"/>
          <w:szCs w:val="20"/>
          <w:color w:val="auto"/>
        </w:rPr>
      </w:pPr>
      <w:r>
        <w:rPr>
          <w:rFonts w:ascii="Arial" w:cs="Arial" w:eastAsia="Arial" w:hAnsi="Arial"/>
          <w:sz w:val="12"/>
          <w:szCs w:val="12"/>
          <w:color w:val="010000"/>
        </w:rPr>
        <w:t>(c)</w:t>
      </w:r>
      <w:r>
        <w:rPr>
          <w:rFonts w:ascii="Arial" w:cs="Arial" w:eastAsia="Arial" w:hAnsi="Arial"/>
          <w:sz w:val="12"/>
          <w:szCs w:val="12"/>
          <w:color w:val="000000"/>
        </w:rPr>
        <w:t>Payment of all or a portion of the Executive’s cost to participate in COBRA medical and dental continuation coverage for eighteen (18) months following the Executive’s Effective Date of Termination, such that Executive</w:t>
      </w:r>
      <w:r>
        <w:rPr>
          <w:rFonts w:ascii="Arial" w:cs="Arial" w:eastAsia="Arial" w:hAnsi="Arial"/>
          <w:sz w:val="12"/>
          <w:szCs w:val="12"/>
          <w:color w:val="010000"/>
        </w:rPr>
        <w:t xml:space="preserve"> </w:t>
      </w:r>
      <w:r>
        <w:rPr>
          <w:rFonts w:ascii="Arial" w:cs="Arial" w:eastAsia="Arial" w:hAnsi="Arial"/>
          <w:sz w:val="12"/>
          <w:szCs w:val="12"/>
          <w:color w:val="000000"/>
        </w:rPr>
        <w:t>maintains the same coverage level and cost, on an after tax basis, as in effect immediately prior to the Executive’s Effective Date of Termination.</w:t>
      </w:r>
    </w:p>
    <w:p>
      <w:pPr>
        <w:spacing w:after="0" w:line="115" w:lineRule="exact"/>
        <w:rPr>
          <w:sz w:val="20"/>
          <w:szCs w:val="20"/>
          <w:color w:val="auto"/>
        </w:rPr>
      </w:pPr>
    </w:p>
    <w:p>
      <w:pPr>
        <w:jc w:val="both"/>
        <w:ind w:left="860"/>
        <w:spacing w:after="0" w:line="259" w:lineRule="auto"/>
        <w:rPr>
          <w:sz w:val="20"/>
          <w:szCs w:val="20"/>
          <w:color w:val="auto"/>
        </w:rPr>
      </w:pPr>
      <w:r>
        <w:rPr>
          <w:rFonts w:ascii="Arial" w:cs="Arial" w:eastAsia="Arial" w:hAnsi="Arial"/>
          <w:sz w:val="12"/>
          <w:szCs w:val="12"/>
          <w:color w:val="auto"/>
        </w:rPr>
        <w:t>Notwithstanding the above, these medical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(d)</w:t>
      </w:r>
      <w:r>
        <w:rPr>
          <w:rFonts w:ascii="Arial" w:cs="Arial" w:eastAsia="Arial" w:hAnsi="Arial"/>
          <w:sz w:val="12"/>
          <w:szCs w:val="12"/>
          <w:color w:val="000000"/>
        </w:rPr>
        <w:t>Treatment of outstanding long-term incentives shall be in accordance with the governing plan document and award agreements, if any.</w:t>
      </w:r>
    </w:p>
    <w:p>
      <w:pPr>
        <w:spacing w:after="0" w:line="146"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3.4</w:t>
      </w:r>
      <w:r>
        <w:rPr>
          <w:sz w:val="20"/>
          <w:szCs w:val="20"/>
          <w:color w:val="auto"/>
        </w:rPr>
        <w:tab/>
      </w:r>
      <w:r>
        <w:rPr>
          <w:rFonts w:ascii="Arial" w:cs="Arial" w:eastAsia="Arial" w:hAnsi="Arial"/>
          <w:sz w:val="10"/>
          <w:szCs w:val="10"/>
          <w:b w:val="1"/>
          <w:bCs w:val="1"/>
          <w:color w:val="auto"/>
        </w:rPr>
        <w:t>Coordination with Release and Delay Required by Code Section 409A</w:t>
      </w:r>
      <w:r>
        <w:rPr>
          <w:rFonts w:ascii="Arial" w:cs="Arial" w:eastAsia="Arial" w:hAnsi="Arial"/>
          <w:sz w:val="10"/>
          <w:szCs w:val="10"/>
          <w:color w:val="auto"/>
        </w:rPr>
        <w:t>.</w:t>
      </w:r>
    </w:p>
    <w:p>
      <w:pPr>
        <w:spacing w:after="0" w:line="154" w:lineRule="exact"/>
        <w:rPr>
          <w:sz w:val="20"/>
          <w:szCs w:val="20"/>
          <w:color w:val="auto"/>
        </w:rPr>
      </w:pPr>
    </w:p>
    <w:p>
      <w:pPr>
        <w:jc w:val="both"/>
        <w:ind w:left="1000" w:hanging="566"/>
        <w:spacing w:after="0" w:line="298"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To the extent any continuing benefit (or reimbursement thereof) to be provided is not “deferred compensation” for purposes of Code Section 409A, then such benefit shall commence or be made immediately after the Release</w:t>
      </w:r>
      <w:r>
        <w:rPr>
          <w:rFonts w:ascii="Arial" w:cs="Arial" w:eastAsia="Arial" w:hAnsi="Arial"/>
          <w:sz w:val="11"/>
          <w:szCs w:val="11"/>
          <w:color w:val="010000"/>
        </w:rPr>
        <w:t xml:space="preserve"> </w:t>
      </w:r>
      <w:r>
        <w:rPr>
          <w:rFonts w:ascii="Arial" w:cs="Arial" w:eastAsia="Arial" w:hAnsi="Arial"/>
          <w:sz w:val="11"/>
          <w:szCs w:val="11"/>
          <w:color w:val="000000"/>
        </w:rPr>
        <w:t>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w:t>
      </w:r>
    </w:p>
    <w:p>
      <w:pPr>
        <w:spacing w:after="0" w:line="37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7</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4" w:right="199" w:bottom="1440" w:gutter="0" w:footer="0" w:header="0"/>
        </w:sectPr>
      </w:pPr>
    </w:p>
    <w:bookmarkStart w:id="226" w:name="page227"/>
    <w:bookmarkEnd w:id="226"/>
    <w:p>
      <w:pPr>
        <w:ind w:left="860"/>
        <w:spacing w:after="0"/>
        <w:rPr>
          <w:sz w:val="20"/>
          <w:szCs w:val="20"/>
          <w:color w:val="auto"/>
        </w:rPr>
      </w:pPr>
      <w:r>
        <w:rPr>
          <w:rFonts w:ascii="Arial" w:cs="Arial" w:eastAsia="Arial" w:hAnsi="Arial"/>
          <w:sz w:val="12"/>
          <w:szCs w:val="12"/>
          <w:color w:val="auto"/>
        </w:rPr>
        <w:t>would have expired had the benefits commenced immediately upon Executive’s termination of employment.</w:t>
      </w:r>
    </w:p>
    <w:p>
      <w:pPr>
        <w:spacing w:after="0" w:line="159" w:lineRule="exact"/>
        <w:rPr>
          <w:sz w:val="20"/>
          <w:szCs w:val="20"/>
          <w:color w:val="auto"/>
        </w:rPr>
      </w:pPr>
    </w:p>
    <w:p>
      <w:pPr>
        <w:jc w:val="both"/>
        <w:ind w:left="1000" w:hanging="575"/>
        <w:spacing w:after="0" w:line="255" w:lineRule="auto"/>
        <w:rPr>
          <w:sz w:val="20"/>
          <w:szCs w:val="20"/>
          <w:color w:val="auto"/>
        </w:rPr>
      </w:pPr>
      <w:r>
        <w:rPr>
          <w:rFonts w:ascii="Arial" w:cs="Arial" w:eastAsia="Arial" w:hAnsi="Arial"/>
          <w:sz w:val="12"/>
          <w:szCs w:val="12"/>
          <w:color w:val="010000"/>
        </w:rPr>
        <w:t>(b)</w:t>
      </w:r>
      <w:r>
        <w:rPr>
          <w:rFonts w:ascii="Arial" w:cs="Arial" w:eastAsia="Arial" w:hAnsi="Arial"/>
          <w:sz w:val="12"/>
          <w:szCs w:val="12"/>
          <w:color w:val="000000"/>
        </w:rPr>
        <w:t>Notwithstanding any other payment schedule provided herein to the contrary, if the Executive is deemed on the date of termination to be a Specified Employee, then, once the release and acknowledgement required by</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3.1(d)</w:t>
      </w:r>
      <w:r>
        <w:rPr>
          <w:rFonts w:ascii="Arial" w:cs="Arial" w:eastAsia="Arial" w:hAnsi="Arial"/>
          <w:sz w:val="12"/>
          <w:szCs w:val="12"/>
          <w:color w:val="000000"/>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Arial" w:cs="Arial" w:eastAsia="Arial" w:hAnsi="Arial"/>
          <w:sz w:val="12"/>
          <w:szCs w:val="12"/>
          <w:u w:val="single" w:color="auto"/>
          <w:color w:val="000000"/>
        </w:rPr>
        <w:t>Delay</w:t>
      </w:r>
      <w:r>
        <w:rPr>
          <w:rFonts w:ascii="Arial" w:cs="Arial" w:eastAsia="Arial" w:hAnsi="Arial"/>
          <w:sz w:val="12"/>
          <w:szCs w:val="12"/>
          <w:color w:val="000000"/>
        </w:rPr>
        <w:t xml:space="preserve"> </w:t>
      </w:r>
      <w:r>
        <w:rPr>
          <w:rFonts w:ascii="Arial" w:cs="Arial" w:eastAsia="Arial" w:hAnsi="Arial"/>
          <w:sz w:val="12"/>
          <w:szCs w:val="12"/>
          <w:u w:val="single" w:color="auto"/>
          <w:color w:val="000000"/>
        </w:rPr>
        <w:t>Period</w:t>
      </w:r>
      <w:r>
        <w:rPr>
          <w:rFonts w:ascii="Arial" w:cs="Arial" w:eastAsia="Arial" w:hAnsi="Arial"/>
          <w:sz w:val="12"/>
          <w:szCs w:val="12"/>
          <w:color w:val="000000"/>
        </w:rPr>
        <w:t xml:space="preserve">”) to the extent required under Code Section 409A. Upon the expiration of the Delay Period, all payments delayed pursuant to this </w:t>
      </w:r>
      <w:r>
        <w:rPr>
          <w:rFonts w:ascii="Arial" w:cs="Arial" w:eastAsia="Arial" w:hAnsi="Arial"/>
          <w:sz w:val="12"/>
          <w:szCs w:val="12"/>
          <w:u w:val="single" w:color="auto"/>
          <w:color w:val="000000"/>
        </w:rPr>
        <w:t>Section 3.4(b)</w:t>
      </w:r>
      <w:r>
        <w:rPr>
          <w:rFonts w:ascii="Arial" w:cs="Arial" w:eastAsia="Arial" w:hAnsi="Arial"/>
          <w:sz w:val="12"/>
          <w:szCs w:val="12"/>
          <w:color w:val="000000"/>
        </w:rPr>
        <w:t xml:space="preserve"> (whether they would have otherwise been 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010000"/>
        </w:rPr>
        <w:t>Article 4.</w:t>
      </w:r>
      <w:r>
        <w:rPr>
          <w:sz w:val="20"/>
          <w:szCs w:val="20"/>
          <w:color w:val="auto"/>
        </w:rPr>
        <w:tab/>
      </w:r>
      <w:r>
        <w:rPr>
          <w:rFonts w:ascii="Arial" w:cs="Arial" w:eastAsia="Arial" w:hAnsi="Arial"/>
          <w:sz w:val="11"/>
          <w:szCs w:val="11"/>
          <w:b w:val="1"/>
          <w:bCs w:val="1"/>
          <w:color w:val="auto"/>
        </w:rPr>
        <w:t>Ineligibility</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010000"/>
        </w:rPr>
        <w:t xml:space="preserve">4.1 </w:t>
      </w:r>
      <w:r>
        <w:rPr>
          <w:rFonts w:ascii="Arial" w:cs="Arial" w:eastAsia="Arial" w:hAnsi="Arial"/>
          <w:sz w:val="12"/>
          <w:szCs w:val="12"/>
          <w:b w:val="1"/>
          <w:bCs w:val="1"/>
          <w:color w:val="000000"/>
        </w:rPr>
        <w:t>Comparable Position.</w:t>
      </w:r>
      <w:r>
        <w:rPr>
          <w:rFonts w:ascii="Arial" w:cs="Arial" w:eastAsia="Arial" w:hAnsi="Arial"/>
          <w:sz w:val="12"/>
          <w:szCs w:val="12"/>
          <w:b w:val="1"/>
          <w:bCs w:val="1"/>
          <w:color w:val="010000"/>
        </w:rPr>
        <w:t xml:space="preserve"> </w:t>
      </w:r>
      <w:r>
        <w:rPr>
          <w:rFonts w:ascii="Arial" w:cs="Arial" w:eastAsia="Arial" w:hAnsi="Arial"/>
          <w:sz w:val="12"/>
          <w:szCs w:val="12"/>
          <w:color w:val="000000"/>
        </w:rPr>
        <w:t>Subject to the provisions of</w:t>
      </w:r>
      <w:r>
        <w:rPr>
          <w:rFonts w:ascii="Arial" w:cs="Arial" w:eastAsia="Arial" w:hAnsi="Arial"/>
          <w:sz w:val="12"/>
          <w:szCs w:val="12"/>
          <w:b w:val="1"/>
          <w:bCs w:val="1"/>
          <w:color w:val="010000"/>
        </w:rPr>
        <w:t xml:space="preserve"> </w:t>
      </w:r>
      <w:r>
        <w:rPr>
          <w:rFonts w:ascii="Arial" w:cs="Arial" w:eastAsia="Arial" w:hAnsi="Arial"/>
          <w:sz w:val="12"/>
          <w:szCs w:val="12"/>
          <w:u w:val="single" w:color="auto"/>
          <w:color w:val="000000"/>
        </w:rPr>
        <w:t>Article 2(y)(i)(B)</w:t>
      </w:r>
      <w:r>
        <w:rPr>
          <w:rFonts w:ascii="Arial" w:cs="Arial" w:eastAsia="Arial" w:hAnsi="Arial"/>
          <w:sz w:val="12"/>
          <w:szCs w:val="12"/>
          <w:color w:val="000000"/>
        </w:rPr>
        <w:t>, the Company may offer an Executive a comparable position, may require an Executive to apply for a comparable position with the Company or any</w:t>
      </w:r>
      <w:r>
        <w:rPr>
          <w:rFonts w:ascii="Arial" w:cs="Arial" w:eastAsia="Arial" w:hAnsi="Arial"/>
          <w:sz w:val="12"/>
          <w:szCs w:val="12"/>
          <w:b w:val="1"/>
          <w:bCs w:val="1"/>
          <w:color w:val="010000"/>
        </w:rPr>
        <w:t xml:space="preserve"> </w:t>
      </w:r>
      <w:r>
        <w:rPr>
          <w:rFonts w:ascii="Arial" w:cs="Arial" w:eastAsia="Arial" w:hAnsi="Arial"/>
          <w:sz w:val="12"/>
          <w:szCs w:val="12"/>
          <w:color w:val="000000"/>
        </w:rPr>
        <w:t xml:space="preserve">affiliate, or may reassign an Executive to a new position or a reclassification of the Executive’s current position; </w:t>
      </w:r>
      <w:r>
        <w:rPr>
          <w:rFonts w:ascii="Arial" w:cs="Arial" w:eastAsia="Arial" w:hAnsi="Arial"/>
          <w:sz w:val="12"/>
          <w:szCs w:val="12"/>
          <w:u w:val="single" w:color="auto"/>
          <w:color w:val="000000"/>
        </w:rPr>
        <w:t>provided,</w:t>
      </w:r>
      <w:r>
        <w:rPr>
          <w:rFonts w:ascii="Arial" w:cs="Arial" w:eastAsia="Arial" w:hAnsi="Arial"/>
          <w:sz w:val="12"/>
          <w:szCs w:val="12"/>
          <w:color w:val="000000"/>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12"/>
          <w:szCs w:val="12"/>
          <w:u w:val="single" w:color="auto"/>
          <w:color w:val="000000"/>
        </w:rPr>
        <w:t>Section 4.1</w:t>
      </w:r>
      <w:r>
        <w:rPr>
          <w:rFonts w:ascii="Arial" w:cs="Arial" w:eastAsia="Arial" w:hAnsi="Arial"/>
          <w:sz w:val="12"/>
          <w:szCs w:val="12"/>
          <w:color w:val="000000"/>
        </w:rPr>
        <w:t>. The failure of an Executive to accept the position, or apply for the position when required by the Company will render the Executive ineligible for benefits under this Plan.</w:t>
      </w:r>
    </w:p>
    <w:p>
      <w:pPr>
        <w:spacing w:after="0" w:line="120"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4.2</w:t>
      </w:r>
      <w:r>
        <w:rPr>
          <w:sz w:val="20"/>
          <w:szCs w:val="20"/>
          <w:color w:val="auto"/>
        </w:rPr>
        <w:tab/>
      </w:r>
      <w:r>
        <w:rPr>
          <w:rFonts w:ascii="Arial" w:cs="Arial" w:eastAsia="Arial" w:hAnsi="Arial"/>
          <w:sz w:val="10"/>
          <w:szCs w:val="10"/>
          <w:b w:val="1"/>
          <w:bCs w:val="1"/>
          <w:color w:val="auto"/>
        </w:rPr>
        <w:t xml:space="preserve">Other Circumstances. </w:t>
      </w:r>
      <w:r>
        <w:rPr>
          <w:rFonts w:ascii="Arial" w:cs="Arial" w:eastAsia="Arial" w:hAnsi="Arial"/>
          <w:sz w:val="10"/>
          <w:szCs w:val="10"/>
          <w:color w:val="auto"/>
        </w:rPr>
        <w:t>Unless otherwise determined by the Committee, an Executive shall also be ineligible for benefits under this Plan if the Executive: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(a)</w:t>
      </w:r>
      <w:r>
        <w:rPr>
          <w:rFonts w:ascii="Arial" w:cs="Arial" w:eastAsia="Arial" w:hAnsi="Arial"/>
          <w:sz w:val="12"/>
          <w:szCs w:val="12"/>
          <w:color w:val="000000"/>
        </w:rPr>
        <w:t>voluntarily terminates employment or retires prior to the Qualifying Termination;</w:t>
      </w:r>
    </w:p>
    <w:p>
      <w:pPr>
        <w:spacing w:after="0" w:line="150" w:lineRule="exact"/>
        <w:rPr>
          <w:sz w:val="20"/>
          <w:szCs w:val="20"/>
          <w:color w:val="auto"/>
        </w:rPr>
      </w:pPr>
    </w:p>
    <w:p>
      <w:pPr>
        <w:ind w:left="560" w:hanging="136"/>
        <w:spacing w:after="0"/>
        <w:tabs>
          <w:tab w:leader="none" w:pos="560" w:val="left"/>
        </w:tabs>
        <w:numPr>
          <w:ilvl w:val="0"/>
          <w:numId w:val="184"/>
        </w:numPr>
        <w:rPr>
          <w:rFonts w:ascii="Arial" w:cs="Arial" w:eastAsia="Arial" w:hAnsi="Arial"/>
          <w:sz w:val="11"/>
          <w:szCs w:val="11"/>
          <w:color w:val="010000"/>
        </w:rPr>
      </w:pPr>
      <w:r>
        <w:rPr>
          <w:rFonts w:ascii="Arial" w:cs="Arial" w:eastAsia="Arial" w:hAnsi="Arial"/>
          <w:sz w:val="11"/>
          <w:szCs w:val="11"/>
          <w:color w:val="auto"/>
        </w:rPr>
        <w:t>is receiving long-term Disability benefits;</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8</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82" w:right="199" w:bottom="1440" w:gutter="0" w:footer="0" w:header="0"/>
        </w:sectPr>
      </w:pPr>
    </w:p>
    <w:bookmarkStart w:id="227" w:name="page228"/>
    <w:bookmarkEnd w:id="227"/>
    <w:p>
      <w:pPr>
        <w:ind w:left="420"/>
        <w:spacing w:after="0"/>
        <w:rPr>
          <w:sz w:val="20"/>
          <w:szCs w:val="20"/>
          <w:color w:val="auto"/>
        </w:rPr>
      </w:pPr>
      <w:r>
        <w:rPr>
          <w:rFonts w:ascii="Arial" w:cs="Arial" w:eastAsia="Arial" w:hAnsi="Arial"/>
          <w:sz w:val="12"/>
          <w:szCs w:val="12"/>
          <w:color w:val="010000"/>
        </w:rPr>
        <w:t>(c)</w:t>
      </w:r>
      <w:r>
        <w:rPr>
          <w:rFonts w:ascii="Arial" w:cs="Arial" w:eastAsia="Arial" w:hAnsi="Arial"/>
          <w:sz w:val="12"/>
          <w:szCs w:val="12"/>
          <w:color w:val="000000"/>
        </w:rPr>
        <w:t>is entitled to any other compensation or benefit which is determined, in the Company’s sole discretion, to supersede the Severance Benefits offered under this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(d)</w:t>
      </w:r>
      <w:r>
        <w:rPr>
          <w:rFonts w:ascii="Arial" w:cs="Arial" w:eastAsia="Arial" w:hAnsi="Arial"/>
          <w:sz w:val="12"/>
          <w:szCs w:val="12"/>
          <w:color w:val="000000"/>
        </w:rPr>
        <w:t>was discharged for Cause; and</w:t>
      </w:r>
    </w:p>
    <w:p>
      <w:pPr>
        <w:spacing w:after="0" w:line="150" w:lineRule="exact"/>
        <w:rPr>
          <w:sz w:val="20"/>
          <w:szCs w:val="20"/>
          <w:color w:val="auto"/>
        </w:rPr>
      </w:pPr>
    </w:p>
    <w:p>
      <w:pPr>
        <w:jc w:val="both"/>
        <w:ind w:left="1000" w:right="20" w:hanging="566"/>
        <w:spacing w:after="0" w:line="276" w:lineRule="auto"/>
        <w:rPr>
          <w:sz w:val="20"/>
          <w:szCs w:val="20"/>
          <w:color w:val="auto"/>
        </w:rPr>
      </w:pPr>
      <w:r>
        <w:rPr>
          <w:rFonts w:ascii="Arial" w:cs="Arial" w:eastAsia="Arial" w:hAnsi="Arial"/>
          <w:sz w:val="12"/>
          <w:szCs w:val="12"/>
          <w:color w:val="010000"/>
        </w:rPr>
        <w:t>(e)</w:t>
      </w:r>
      <w:r>
        <w:rPr>
          <w:rFonts w:ascii="Arial" w:cs="Arial" w:eastAsia="Arial" w:hAnsi="Arial"/>
          <w:sz w:val="12"/>
          <w:szCs w:val="12"/>
          <w:color w:val="000000"/>
        </w:rPr>
        <w:t>was offered employment by a successor employer or by a purchaser in the event of a spin-off or sale of a subsidiary, business unit or business assets of the Company or its subsidiaries, whether or not the Executive accepts or</w:t>
      </w:r>
      <w:r>
        <w:rPr>
          <w:rFonts w:ascii="Arial" w:cs="Arial" w:eastAsia="Arial" w:hAnsi="Arial"/>
          <w:sz w:val="12"/>
          <w:szCs w:val="12"/>
          <w:color w:val="010000"/>
        </w:rPr>
        <w:t xml:space="preserve"> </w:t>
      </w:r>
      <w:r>
        <w:rPr>
          <w:rFonts w:ascii="Arial" w:cs="Arial" w:eastAsia="Arial" w:hAnsi="Arial"/>
          <w:sz w:val="12"/>
          <w:szCs w:val="12"/>
          <w:color w:val="000000"/>
        </w:rPr>
        <w:t>declines the offer of employment.</w:t>
      </w:r>
    </w:p>
    <w:p>
      <w:pPr>
        <w:spacing w:after="0" w:line="11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010000"/>
        </w:rPr>
        <w:t>Article 5.</w:t>
      </w:r>
      <w:r>
        <w:rPr>
          <w:sz w:val="20"/>
          <w:szCs w:val="20"/>
          <w:color w:val="auto"/>
        </w:rPr>
        <w:tab/>
      </w:r>
      <w:r>
        <w:rPr>
          <w:rFonts w:ascii="Arial" w:cs="Arial" w:eastAsia="Arial" w:hAnsi="Arial"/>
          <w:sz w:val="10"/>
          <w:szCs w:val="10"/>
          <w:b w:val="1"/>
          <w:bCs w:val="1"/>
          <w:color w:val="auto"/>
        </w:rPr>
        <w:t>Restrictive Covenants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In the event the Executive becomes entitled to receive Change-in-Control Severance Benefits as provided in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herein or General Severance Benefits as provided in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herein, the following shall apply:</w:t>
      </w:r>
    </w:p>
    <w:p>
      <w:pPr>
        <w:spacing w:after="0" w:line="158" w:lineRule="exact"/>
        <w:rPr>
          <w:sz w:val="20"/>
          <w:szCs w:val="20"/>
          <w:color w:val="auto"/>
        </w:rPr>
      </w:pPr>
    </w:p>
    <w:p>
      <w:pPr>
        <w:jc w:val="both"/>
        <w:ind w:left="1000" w:hanging="566"/>
        <w:spacing w:after="0" w:line="280" w:lineRule="auto"/>
        <w:rPr>
          <w:sz w:val="20"/>
          <w:szCs w:val="20"/>
          <w:color w:val="auto"/>
        </w:rPr>
      </w:pPr>
      <w:r>
        <w:rPr>
          <w:rFonts w:ascii="Arial" w:cs="Arial" w:eastAsia="Arial" w:hAnsi="Arial"/>
          <w:sz w:val="11"/>
          <w:szCs w:val="11"/>
          <w:color w:val="010000"/>
        </w:rPr>
        <w:t>(a)</w:t>
      </w:r>
      <w:r>
        <w:rPr>
          <w:rFonts w:ascii="Arial" w:cs="Arial" w:eastAsia="Arial" w:hAnsi="Arial"/>
          <w:sz w:val="11"/>
          <w:szCs w:val="11"/>
          <w:b w:val="1"/>
          <w:bCs w:val="1"/>
          <w:color w:val="000000"/>
        </w:rPr>
        <w:t>Confidential Information</w:t>
      </w:r>
      <w:r>
        <w:rPr>
          <w:rFonts w:ascii="Arial" w:cs="Arial" w:eastAsia="Arial" w:hAnsi="Arial"/>
          <w:sz w:val="11"/>
          <w:szCs w:val="11"/>
          <w:color w:val="000000"/>
        </w:rPr>
        <w:t>. The Executive acknowledges that the information, observations, and data (including trade secrets) obtained by him while employed by the Company concerning the business or affairs of the</w:t>
      </w:r>
      <w:r>
        <w:rPr>
          <w:rFonts w:ascii="Arial" w:cs="Arial" w:eastAsia="Arial" w:hAnsi="Arial"/>
          <w:sz w:val="11"/>
          <w:szCs w:val="11"/>
          <w:color w:val="010000"/>
        </w:rPr>
        <w:t xml:space="preserve"> </w:t>
      </w:r>
      <w:r>
        <w:rPr>
          <w:rFonts w:ascii="Arial" w:cs="Arial" w:eastAsia="Arial" w:hAnsi="Arial"/>
          <w:sz w:val="11"/>
          <w:szCs w:val="11"/>
          <w:color w:val="000000"/>
        </w:rPr>
        <w:t>Company or any of its affiliates (“</w:t>
      </w:r>
      <w:r>
        <w:rPr>
          <w:rFonts w:ascii="Arial" w:cs="Arial" w:eastAsia="Arial" w:hAnsi="Arial"/>
          <w:sz w:val="11"/>
          <w:szCs w:val="11"/>
          <w:u w:val="single" w:color="auto"/>
          <w:color w:val="000000"/>
        </w:rPr>
        <w:t>Confidential Information</w:t>
      </w:r>
      <w:r>
        <w:rPr>
          <w:rFonts w:ascii="Arial" w:cs="Arial" w:eastAsia="Arial" w:hAnsi="Arial"/>
          <w:sz w:val="11"/>
          <w:szCs w:val="11"/>
          <w:color w:val="000000"/>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Arial" w:cs="Arial" w:eastAsia="Arial" w:hAnsi="Arial"/>
          <w:sz w:val="11"/>
          <w:szCs w:val="11"/>
          <w:u w:val="single" w:color="auto"/>
          <w:color w:val="000000"/>
        </w:rPr>
        <w:t>Third Party Information</w:t>
      </w:r>
      <w:r>
        <w:rPr>
          <w:rFonts w:ascii="Arial" w:cs="Arial" w:eastAsia="Arial" w:hAnsi="Arial"/>
          <w:sz w:val="11"/>
          <w:szCs w:val="11"/>
          <w:color w:val="000000"/>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13" w:lineRule="exact"/>
        <w:rPr>
          <w:sz w:val="20"/>
          <w:szCs w:val="20"/>
          <w:color w:val="auto"/>
        </w:rPr>
      </w:pPr>
    </w:p>
    <w:p>
      <w:pPr>
        <w:jc w:val="both"/>
        <w:ind w:left="1000" w:hanging="575"/>
        <w:spacing w:after="0" w:line="281" w:lineRule="auto"/>
        <w:rPr>
          <w:sz w:val="20"/>
          <w:szCs w:val="20"/>
          <w:color w:val="auto"/>
        </w:rPr>
      </w:pPr>
      <w:r>
        <w:rPr>
          <w:rFonts w:ascii="Arial" w:cs="Arial" w:eastAsia="Arial" w:hAnsi="Arial"/>
          <w:sz w:val="11"/>
          <w:szCs w:val="11"/>
          <w:color w:val="010000"/>
        </w:rPr>
        <w:t>(b)</w:t>
      </w:r>
      <w:r>
        <w:rPr>
          <w:rFonts w:ascii="Arial" w:cs="Arial" w:eastAsia="Arial" w:hAnsi="Arial"/>
          <w:sz w:val="11"/>
          <w:szCs w:val="11"/>
          <w:b w:val="1"/>
          <w:bCs w:val="1"/>
          <w:color w:val="000000"/>
        </w:rPr>
        <w:t>Intellectual Property, Inventions, and Patents</w:t>
      </w:r>
      <w:r>
        <w:rPr>
          <w:rFonts w:ascii="Arial" w:cs="Arial" w:eastAsia="Arial" w:hAnsi="Arial"/>
          <w:sz w:val="11"/>
          <w:szCs w:val="11"/>
          <w:color w:val="000000"/>
        </w:rPr>
        <w:t>. The Executive acknowledges that all discoveries, concepts, ideas, inventions, innovations, improvements, developments, methods, trade secrets, designs, analyses, drawings,</w:t>
      </w:r>
      <w:r>
        <w:rPr>
          <w:rFonts w:ascii="Arial" w:cs="Arial" w:eastAsia="Arial" w:hAnsi="Arial"/>
          <w:sz w:val="11"/>
          <w:szCs w:val="11"/>
          <w:color w:val="010000"/>
        </w:rPr>
        <w:t xml:space="preserve"> </w:t>
      </w:r>
      <w:r>
        <w:rPr>
          <w:rFonts w:ascii="Arial" w:cs="Arial" w:eastAsia="Arial" w:hAnsi="Arial"/>
          <w:sz w:val="11"/>
          <w:szCs w:val="11"/>
          <w:color w:val="000000"/>
        </w:rPr>
        <w:t>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Arial" w:cs="Arial" w:eastAsia="Arial" w:hAnsi="Arial"/>
          <w:sz w:val="11"/>
          <w:szCs w:val="11"/>
          <w:u w:val="single" w:color="auto"/>
          <w:color w:val="000000"/>
        </w:rPr>
        <w:t>Work Product</w:t>
      </w:r>
      <w:r>
        <w:rPr>
          <w:rFonts w:ascii="Arial" w:cs="Arial" w:eastAsia="Arial" w:hAnsi="Arial"/>
          <w:sz w:val="11"/>
          <w:szCs w:val="11"/>
          <w:color w:val="000000"/>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Executive is hereby advised that the above paragraph regarding the Company’s and its affiliates’ ownership of Work Product does not apply to any invention for which no equipment, supplies,</w:t>
      </w: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9</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4" w:right="199" w:bottom="1440" w:gutter="0" w:footer="0" w:header="0"/>
        </w:sectPr>
      </w:pPr>
    </w:p>
    <w:bookmarkStart w:id="228" w:name="page229"/>
    <w:bookmarkEnd w:id="228"/>
    <w:p>
      <w:pPr>
        <w:ind w:left="860"/>
        <w:spacing w:after="0" w:line="323" w:lineRule="auto"/>
        <w:rPr>
          <w:sz w:val="20"/>
          <w:szCs w:val="20"/>
          <w:color w:val="auto"/>
        </w:rPr>
      </w:pPr>
      <w:r>
        <w:rPr>
          <w:rFonts w:ascii="Arial" w:cs="Arial" w:eastAsia="Arial" w:hAnsi="Arial"/>
          <w:sz w:val="11"/>
          <w:szCs w:val="11"/>
          <w:color w:val="auto"/>
        </w:rPr>
        <w:t>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88" w:lineRule="exact"/>
        <w:rPr>
          <w:sz w:val="20"/>
          <w:szCs w:val="20"/>
          <w:color w:val="auto"/>
        </w:rPr>
      </w:pPr>
    </w:p>
    <w:p>
      <w:pPr>
        <w:jc w:val="both"/>
        <w:ind w:left="1000" w:hanging="566"/>
        <w:spacing w:after="0" w:line="311" w:lineRule="auto"/>
        <w:rPr>
          <w:sz w:val="20"/>
          <w:szCs w:val="20"/>
          <w:color w:val="auto"/>
        </w:rPr>
      </w:pPr>
      <w:r>
        <w:rPr>
          <w:rFonts w:ascii="Arial" w:cs="Arial" w:eastAsia="Arial" w:hAnsi="Arial"/>
          <w:sz w:val="10"/>
          <w:szCs w:val="10"/>
          <w:color w:val="010000"/>
        </w:rPr>
        <w:t>(c)</w:t>
      </w:r>
      <w:r>
        <w:rPr>
          <w:rFonts w:ascii="Arial" w:cs="Arial" w:eastAsia="Arial" w:hAnsi="Arial"/>
          <w:sz w:val="10"/>
          <w:szCs w:val="10"/>
          <w:b w:val="1"/>
          <w:bCs w:val="1"/>
          <w:color w:val="000000"/>
        </w:rPr>
        <w:t>Noncompete</w:t>
      </w:r>
      <w:r>
        <w:rPr>
          <w:rFonts w:ascii="Arial" w:cs="Arial" w:eastAsia="Arial" w:hAnsi="Arial"/>
          <w:sz w:val="10"/>
          <w:szCs w:val="10"/>
          <w:color w:val="000000"/>
        </w:rPr>
        <w:t>. In further consideration of the compensation to be paid to the Executive hereunder, the Executive acknowledges that during the course of his employment with the Company and its affiliates he shall become</w:t>
      </w:r>
      <w:r>
        <w:rPr>
          <w:rFonts w:ascii="Arial" w:cs="Arial" w:eastAsia="Arial" w:hAnsi="Arial"/>
          <w:sz w:val="10"/>
          <w:szCs w:val="10"/>
          <w:color w:val="010000"/>
        </w:rPr>
        <w:t xml:space="preserve"> </w:t>
      </w:r>
      <w:r>
        <w:rPr>
          <w:rFonts w:ascii="Arial" w:cs="Arial" w:eastAsia="Arial" w:hAnsi="Arial"/>
          <w:sz w:val="10"/>
          <w:szCs w:val="10"/>
          <w:color w:val="000000"/>
        </w:rPr>
        <w:t>familiar with the Company’s trade secrets and with other Confidential Information concerning the Company and its affiliates and that his services shall be of special, unique, and extraordinary value to the Company and its affiliates, and therefore, the Executive agrees that, during the Executive’s employment with the Company and for one (1) year thereafter (the “</w:t>
      </w:r>
      <w:r>
        <w:rPr>
          <w:rFonts w:ascii="Arial" w:cs="Arial" w:eastAsia="Arial" w:hAnsi="Arial"/>
          <w:sz w:val="10"/>
          <w:szCs w:val="10"/>
          <w:u w:val="single" w:color="auto"/>
          <w:color w:val="000000"/>
        </w:rPr>
        <w:t>Noncompete Period</w:t>
      </w:r>
      <w:r>
        <w:rPr>
          <w:rFonts w:ascii="Arial" w:cs="Arial" w:eastAsia="Arial" w:hAnsi="Arial"/>
          <w:sz w:val="10"/>
          <w:szCs w:val="10"/>
          <w:color w:val="000000"/>
        </w:rPr>
        <w:t xml:space="preserve">”), the Executive shall not directly or indirectly own any interest in, manage, control, participate in, consult with, render services for, be employed in an executive, managerial, or administrative capacity by, or in any manner engage in any company engaged in the business of wholesale or retail power generation, or any other business which competes with the businesses of the Company or its affiliates, as such businesses exist or are in process during the Executive’s employment with the Company, within any geographical area in which the Company or its affiliates engage or have definitive plans to engage in such businesses. Nothing herein shall prohibit the Executive from being a passive owner of not more than two percent (2%) of the outstanding stock of any class of a corporation which is publicly traded, so long as the Executive has no active participation in the business of such corporation. Notwithstanding the foregoing, the provisions of this </w:t>
      </w:r>
      <w:r>
        <w:rPr>
          <w:rFonts w:ascii="Arial" w:cs="Arial" w:eastAsia="Arial" w:hAnsi="Arial"/>
          <w:sz w:val="10"/>
          <w:szCs w:val="10"/>
          <w:u w:val="single" w:color="auto"/>
          <w:color w:val="000000"/>
        </w:rPr>
        <w:t>Article 5(c)</w:t>
      </w:r>
      <w:r>
        <w:rPr>
          <w:rFonts w:ascii="Arial" w:cs="Arial" w:eastAsia="Arial" w:hAnsi="Arial"/>
          <w:sz w:val="10"/>
          <w:szCs w:val="10"/>
          <w:color w:val="000000"/>
        </w:rPr>
        <w:t xml:space="preserve"> shall not apply in the case of termination of the Executive’s employment pursuant to any material breach of the Company’s obligations under </w:t>
      </w:r>
      <w:r>
        <w:rPr>
          <w:rFonts w:ascii="Arial" w:cs="Arial" w:eastAsia="Arial" w:hAnsi="Arial"/>
          <w:sz w:val="10"/>
          <w:szCs w:val="10"/>
          <w:u w:val="single" w:color="auto"/>
          <w:color w:val="000000"/>
        </w:rPr>
        <w:t>Article 3</w:t>
      </w:r>
      <w:r>
        <w:rPr>
          <w:rFonts w:ascii="Arial" w:cs="Arial" w:eastAsia="Arial" w:hAnsi="Arial"/>
          <w:sz w:val="10"/>
          <w:szCs w:val="10"/>
          <w:color w:val="000000"/>
        </w:rPr>
        <w:t xml:space="preserve"> which remains uncured for more than twenty (20) days after notice is received from the Executive of such breach, which such notice shall include a detailed description of the grounds constituting such breach.</w:t>
      </w:r>
    </w:p>
    <w:p>
      <w:pPr>
        <w:spacing w:after="0" w:line="100" w:lineRule="exact"/>
        <w:rPr>
          <w:sz w:val="20"/>
          <w:szCs w:val="20"/>
          <w:color w:val="auto"/>
        </w:rPr>
      </w:pPr>
    </w:p>
    <w:p>
      <w:pPr>
        <w:jc w:val="both"/>
        <w:ind w:left="1000" w:hanging="575"/>
        <w:spacing w:after="0" w:line="287" w:lineRule="auto"/>
        <w:rPr>
          <w:sz w:val="20"/>
          <w:szCs w:val="20"/>
          <w:color w:val="auto"/>
        </w:rPr>
      </w:pPr>
      <w:r>
        <w:rPr>
          <w:rFonts w:ascii="Arial" w:cs="Arial" w:eastAsia="Arial" w:hAnsi="Arial"/>
          <w:sz w:val="11"/>
          <w:szCs w:val="11"/>
          <w:color w:val="010000"/>
        </w:rPr>
        <w:t>(d)</w:t>
      </w:r>
      <w:r>
        <w:rPr>
          <w:rFonts w:ascii="Arial" w:cs="Arial" w:eastAsia="Arial" w:hAnsi="Arial"/>
          <w:sz w:val="11"/>
          <w:szCs w:val="11"/>
          <w:b w:val="1"/>
          <w:bCs w:val="1"/>
          <w:color w:val="000000"/>
        </w:rPr>
        <w:t>Nonsolicitation</w:t>
      </w:r>
      <w:r>
        <w:rPr>
          <w:rFonts w:ascii="Arial" w:cs="Arial" w:eastAsia="Arial" w:hAnsi="Arial"/>
          <w:sz w:val="11"/>
          <w:szCs w:val="11"/>
          <w:color w:val="000000"/>
        </w:rPr>
        <w:t>. During the Noncompete Period, the Executive shall not directly or indirectly through another person or entity: (i) induce or attempt to induce any employee of the Company or any of its affiliates to leave the</w:t>
      </w:r>
      <w:r>
        <w:rPr>
          <w:rFonts w:ascii="Arial" w:cs="Arial" w:eastAsia="Arial" w:hAnsi="Arial"/>
          <w:sz w:val="11"/>
          <w:szCs w:val="11"/>
          <w:color w:val="010000"/>
        </w:rPr>
        <w:t xml:space="preserve"> </w:t>
      </w:r>
      <w:r>
        <w:rPr>
          <w:rFonts w:ascii="Arial" w:cs="Arial" w:eastAsia="Arial" w:hAnsi="Arial"/>
          <w:sz w:val="11"/>
          <w:szCs w:val="11"/>
          <w:color w:val="000000"/>
        </w:rPr>
        <w:t>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108" w:lineRule="exact"/>
        <w:rPr>
          <w:sz w:val="20"/>
          <w:szCs w:val="20"/>
          <w:color w:val="auto"/>
        </w:rPr>
      </w:pPr>
    </w:p>
    <w:p>
      <w:pPr>
        <w:jc w:val="both"/>
        <w:ind w:left="1000" w:hanging="566"/>
        <w:spacing w:after="0" w:line="283" w:lineRule="auto"/>
        <w:rPr>
          <w:sz w:val="20"/>
          <w:szCs w:val="20"/>
          <w:color w:val="auto"/>
        </w:rPr>
      </w:pPr>
      <w:r>
        <w:rPr>
          <w:rFonts w:ascii="Arial" w:cs="Arial" w:eastAsia="Arial" w:hAnsi="Arial"/>
          <w:sz w:val="11"/>
          <w:szCs w:val="11"/>
          <w:color w:val="010000"/>
        </w:rPr>
        <w:t>(e)</w:t>
      </w:r>
      <w:r>
        <w:rPr>
          <w:rFonts w:ascii="Arial" w:cs="Arial" w:eastAsia="Arial" w:hAnsi="Arial"/>
          <w:sz w:val="11"/>
          <w:szCs w:val="11"/>
          <w:b w:val="1"/>
          <w:bCs w:val="1"/>
          <w:color w:val="000000"/>
        </w:rPr>
        <w:t>Nondisparagement.</w:t>
      </w:r>
      <w:r>
        <w:rPr>
          <w:rFonts w:ascii="Arial" w:cs="Arial" w:eastAsia="Arial" w:hAnsi="Arial"/>
          <w:sz w:val="11"/>
          <w:szCs w:val="11"/>
          <w:color w:val="010000"/>
        </w:rPr>
        <w:t xml:space="preserve"> </w:t>
      </w:r>
      <w:r>
        <w:rPr>
          <w:rFonts w:ascii="Arial" w:cs="Arial" w:eastAsia="Arial" w:hAnsi="Arial"/>
          <w:sz w:val="11"/>
          <w:szCs w:val="11"/>
          <w:color w:val="000000"/>
        </w:rPr>
        <w:t>During the Noncompete Period, Executive shall not disparage the Company, its subsidiaries and parents, and their respective officers, managers and employees, or make any public statement (whether</w:t>
      </w:r>
      <w:r>
        <w:rPr>
          <w:rFonts w:ascii="Arial" w:cs="Arial" w:eastAsia="Arial" w:hAnsi="Arial"/>
          <w:sz w:val="11"/>
          <w:szCs w:val="11"/>
          <w:color w:val="010000"/>
        </w:rPr>
        <w:t xml:space="preserve"> </w:t>
      </w:r>
      <w:r>
        <w:rPr>
          <w:rFonts w:ascii="Arial" w:cs="Arial" w:eastAsia="Arial" w:hAnsi="Arial"/>
          <w:sz w:val="11"/>
          <w:szCs w:val="11"/>
          <w:color w:val="000000"/>
        </w:rPr>
        <w:t xml:space="preserve">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Noncompete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Arial" w:cs="Arial" w:eastAsia="Arial" w:hAnsi="Arial"/>
          <w:sz w:val="11"/>
          <w:szCs w:val="11"/>
          <w:u w:val="single" w:color="auto"/>
          <w:color w:val="000000"/>
        </w:rPr>
        <w:t>Article 5(e)</w:t>
      </w:r>
      <w:r>
        <w:rPr>
          <w:rFonts w:ascii="Arial" w:cs="Arial" w:eastAsia="Arial" w:hAnsi="Arial"/>
          <w:sz w:val="11"/>
          <w:szCs w:val="11"/>
          <w:color w:val="000000"/>
        </w:rPr>
        <w:t xml:space="preserve"> shall restrict either party's ability to: (i) consult with counsel, (ii) make truthful statements under</w:t>
      </w:r>
    </w:p>
    <w:p>
      <w:pPr>
        <w:spacing w:after="0" w:line="37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10</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4" w:right="199" w:bottom="1440" w:gutter="0" w:footer="0" w:header="0"/>
        </w:sectPr>
      </w:pPr>
    </w:p>
    <w:bookmarkStart w:id="229" w:name="page230"/>
    <w:bookmarkEnd w:id="229"/>
    <w:p>
      <w:pPr>
        <w:ind w:left="860"/>
        <w:spacing w:after="0"/>
        <w:rPr>
          <w:sz w:val="20"/>
          <w:szCs w:val="20"/>
          <w:color w:val="auto"/>
        </w:rPr>
      </w:pPr>
      <w:r>
        <w:rPr>
          <w:rFonts w:ascii="Arial" w:cs="Arial" w:eastAsia="Arial" w:hAnsi="Arial"/>
          <w:sz w:val="12"/>
          <w:szCs w:val="12"/>
          <w:color w:val="auto"/>
        </w:rPr>
        <w:t>oath or to a government agency or official, or (iii) take any legal action with respect to his employment or termination of employment with the Company.</w:t>
      </w:r>
    </w:p>
    <w:p>
      <w:pPr>
        <w:spacing w:after="0" w:line="155" w:lineRule="exact"/>
        <w:rPr>
          <w:sz w:val="20"/>
          <w:szCs w:val="20"/>
          <w:color w:val="auto"/>
        </w:rPr>
      </w:pPr>
    </w:p>
    <w:p>
      <w:pPr>
        <w:ind w:left="980" w:hanging="556"/>
        <w:spacing w:after="0" w:line="267" w:lineRule="auto"/>
        <w:tabs>
          <w:tab w:leader="none" w:pos="548" w:val="left"/>
        </w:tabs>
        <w:numPr>
          <w:ilvl w:val="0"/>
          <w:numId w:val="185"/>
        </w:numPr>
        <w:rPr>
          <w:rFonts w:ascii="Arial" w:cs="Arial" w:eastAsia="Arial" w:hAnsi="Arial"/>
          <w:sz w:val="12"/>
          <w:szCs w:val="12"/>
          <w:color w:val="010000"/>
        </w:rPr>
      </w:pPr>
      <w:r>
        <w:rPr>
          <w:rFonts w:ascii="Arial" w:cs="Arial" w:eastAsia="Arial" w:hAnsi="Arial"/>
          <w:sz w:val="12"/>
          <w:szCs w:val="12"/>
          <w:b w:val="1"/>
          <w:bCs w:val="1"/>
          <w:color w:val="auto"/>
        </w:rPr>
        <w:t>Duration, Scope, or Area</w:t>
      </w:r>
      <w:r>
        <w:rPr>
          <w:rFonts w:ascii="Arial" w:cs="Arial" w:eastAsia="Arial" w:hAnsi="Arial"/>
          <w:sz w:val="12"/>
          <w:szCs w:val="12"/>
          <w:color w:val="auto"/>
        </w:rPr>
        <w:t>. If, at the time of enforcement of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5</w:t>
      </w:r>
      <w:r>
        <w:rPr>
          <w:rFonts w:ascii="Arial" w:cs="Arial" w:eastAsia="Arial" w:hAnsi="Arial"/>
          <w:sz w:val="12"/>
          <w:szCs w:val="12"/>
          <w:color w:val="auto"/>
        </w:rPr>
        <w:t>, a court shall hold that the duration, scope, or area restrictions stated herein are unreasonable under circumstances then existing, the parties agree that the</w:t>
      </w:r>
      <w:r>
        <w:rPr>
          <w:rFonts w:ascii="Arial" w:cs="Arial" w:eastAsia="Arial" w:hAnsi="Arial"/>
          <w:sz w:val="12"/>
          <w:szCs w:val="12"/>
          <w:b w:val="1"/>
          <w:bCs w:val="1"/>
          <w:color w:val="auto"/>
        </w:rPr>
        <w:t xml:space="preserve"> </w:t>
      </w:r>
      <w:r>
        <w:rPr>
          <w:rFonts w:ascii="Arial" w:cs="Arial" w:eastAsia="Arial" w:hAnsi="Arial"/>
          <w:sz w:val="12"/>
          <w:szCs w:val="12"/>
          <w:color w:val="auto"/>
        </w:rPr>
        <w:t>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38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11</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82" w:right="199" w:bottom="1440" w:gutter="0" w:footer="0" w:header="0"/>
        </w:sectPr>
      </w:pPr>
    </w:p>
    <w:bookmarkStart w:id="230" w:name="page231"/>
    <w:bookmarkEnd w:id="230"/>
    <w:p>
      <w:pPr>
        <w:ind w:left="868"/>
        <w:spacing w:after="0"/>
        <w:rPr>
          <w:sz w:val="20"/>
          <w:szCs w:val="20"/>
          <w:color w:val="auto"/>
        </w:rPr>
      </w:pPr>
      <w:r>
        <w:rPr>
          <w:rFonts w:ascii="Arial" w:cs="Arial" w:eastAsia="Arial" w:hAnsi="Arial"/>
          <w:sz w:val="12"/>
          <w:szCs w:val="12"/>
          <w:u w:val="single" w:color="auto"/>
          <w:color w:val="auto"/>
        </w:rPr>
        <w:t>Article 5(c)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5(d)</w:t>
      </w:r>
      <w:r>
        <w:rPr>
          <w:rFonts w:ascii="Arial" w:cs="Arial" w:eastAsia="Arial" w:hAnsi="Arial"/>
          <w:sz w:val="12"/>
          <w:szCs w:val="12"/>
          <w:color w:val="auto"/>
        </w:rPr>
        <w:t xml:space="preserve"> shall not apply to any Executive whose principal work location for the Company at the time of termination was in the State of California.</w:t>
      </w:r>
    </w:p>
    <w:p>
      <w:pPr>
        <w:spacing w:after="0" w:line="155" w:lineRule="exact"/>
        <w:rPr>
          <w:sz w:val="20"/>
          <w:szCs w:val="20"/>
          <w:color w:val="auto"/>
        </w:rPr>
      </w:pPr>
    </w:p>
    <w:p>
      <w:pPr>
        <w:jc w:val="both"/>
        <w:ind w:left="1008" w:hanging="575"/>
        <w:spacing w:after="0" w:line="261" w:lineRule="auto"/>
        <w:rPr>
          <w:sz w:val="20"/>
          <w:szCs w:val="20"/>
          <w:color w:val="auto"/>
        </w:rPr>
      </w:pPr>
      <w:r>
        <w:rPr>
          <w:rFonts w:ascii="Arial" w:cs="Arial" w:eastAsia="Arial" w:hAnsi="Arial"/>
          <w:sz w:val="12"/>
          <w:szCs w:val="12"/>
          <w:color w:val="010000"/>
        </w:rPr>
        <w:t>(g)</w:t>
      </w:r>
      <w:r>
        <w:rPr>
          <w:rFonts w:ascii="Arial" w:cs="Arial" w:eastAsia="Arial" w:hAnsi="Arial"/>
          <w:sz w:val="12"/>
          <w:szCs w:val="12"/>
          <w:b w:val="1"/>
          <w:bCs w:val="1"/>
          <w:color w:val="000000"/>
        </w:rPr>
        <w:t>Company Enforcement</w:t>
      </w:r>
      <w:r>
        <w:rPr>
          <w:rFonts w:ascii="Arial" w:cs="Arial" w:eastAsia="Arial" w:hAnsi="Arial"/>
          <w:sz w:val="12"/>
          <w:szCs w:val="12"/>
          <w:color w:val="000000"/>
        </w:rPr>
        <w:t>. In the event of a breach or a threatened breach by the Executive of any of the provisions of this</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Article 5</w:t>
      </w:r>
      <w:r>
        <w:rPr>
          <w:rFonts w:ascii="Arial" w:cs="Arial" w:eastAsia="Arial" w:hAnsi="Arial"/>
          <w:sz w:val="12"/>
          <w:szCs w:val="12"/>
          <w:color w:val="000000"/>
        </w:rPr>
        <w:t>, the Company would suffer irreparable harm, and in addition and supplementary to other rights</w:t>
      </w:r>
      <w:r>
        <w:rPr>
          <w:rFonts w:ascii="Arial" w:cs="Arial" w:eastAsia="Arial" w:hAnsi="Arial"/>
          <w:sz w:val="12"/>
          <w:szCs w:val="12"/>
          <w:color w:val="010000"/>
        </w:rPr>
        <w:t xml:space="preserve"> </w:t>
      </w:r>
      <w:r>
        <w:rPr>
          <w:rFonts w:ascii="Arial" w:cs="Arial" w:eastAsia="Arial" w:hAnsi="Arial"/>
          <w:sz w:val="12"/>
          <w:szCs w:val="12"/>
          <w:color w:val="000000"/>
        </w:rPr>
        <w:t xml:space="preserve">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the Executive of </w:t>
      </w:r>
      <w:r>
        <w:rPr>
          <w:rFonts w:ascii="Arial" w:cs="Arial" w:eastAsia="Arial" w:hAnsi="Arial"/>
          <w:sz w:val="12"/>
          <w:szCs w:val="12"/>
          <w:u w:val="single" w:color="auto"/>
          <w:color w:val="000000"/>
        </w:rPr>
        <w:t>Article 5(c)</w:t>
      </w:r>
      <w:r>
        <w:rPr>
          <w:rFonts w:ascii="Arial" w:cs="Arial" w:eastAsia="Arial" w:hAnsi="Arial"/>
          <w:sz w:val="12"/>
          <w:szCs w:val="12"/>
          <w:color w:val="000000"/>
        </w:rPr>
        <w:t>, the Noncompete Period shall be automatically extended by the amount of time between the initial occurrence of the breach or violation and when such breach or violation has been duly cured.</w:t>
      </w:r>
    </w:p>
    <w:p>
      <w:pPr>
        <w:spacing w:after="0" w:line="120"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010000"/>
        </w:rPr>
        <w:t>Article 6.</w:t>
      </w:r>
      <w:r>
        <w:rPr>
          <w:sz w:val="20"/>
          <w:szCs w:val="20"/>
          <w:color w:val="auto"/>
        </w:rPr>
        <w:tab/>
      </w:r>
      <w:r>
        <w:rPr>
          <w:rFonts w:ascii="Arial" w:cs="Arial" w:eastAsia="Arial" w:hAnsi="Arial"/>
          <w:sz w:val="11"/>
          <w:szCs w:val="11"/>
          <w:b w:val="1"/>
          <w:bCs w:val="1"/>
          <w:color w:val="auto"/>
        </w:rPr>
        <w:t>Certain Change in Control Payments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1"/>
          <w:szCs w:val="11"/>
          <w:u w:val="single" w:color="auto"/>
          <w:color w:val="auto"/>
        </w:rPr>
        <w:t>Total Payments</w:t>
      </w:r>
      <w:r>
        <w:rPr>
          <w:rFonts w:ascii="Arial" w:cs="Arial" w:eastAsia="Arial" w:hAnsi="Arial"/>
          <w:sz w:val="11"/>
          <w:szCs w:val="11"/>
          <w:color w:val="auto"/>
        </w:rPr>
        <w:t>”)</w:t>
      </w:r>
    </w:p>
    <w:p>
      <w:pPr>
        <w:spacing w:after="0" w:line="26" w:lineRule="exact"/>
        <w:rPr>
          <w:sz w:val="20"/>
          <w:szCs w:val="20"/>
          <w:color w:val="auto"/>
        </w:rPr>
      </w:pPr>
    </w:p>
    <w:p>
      <w:pPr>
        <w:jc w:val="both"/>
        <w:ind w:left="8" w:hanging="8"/>
        <w:spacing w:after="0" w:line="276" w:lineRule="auto"/>
        <w:tabs>
          <w:tab w:leader="none" w:pos="176" w:val="left"/>
        </w:tabs>
        <w:numPr>
          <w:ilvl w:val="0"/>
          <w:numId w:val="186"/>
        </w:numPr>
        <w:rPr>
          <w:rFonts w:ascii="Arial" w:cs="Arial" w:eastAsia="Arial" w:hAnsi="Arial"/>
          <w:sz w:val="11"/>
          <w:szCs w:val="11"/>
          <w:color w:val="auto"/>
        </w:rPr>
      </w:pPr>
      <w:r>
        <w:rPr>
          <w:rFonts w:ascii="Arial" w:cs="Arial" w:eastAsia="Arial" w:hAnsi="Arial"/>
          <w:sz w:val="11"/>
          <w:szCs w:val="11"/>
          <w:color w:val="auto"/>
        </w:rPr>
        <w:t xml:space="preserve">constitute “parachute payments” within the meaning of Section 280G of the Code, and (b) but for this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would be subject to the excise tax imposed by Section 4999 of the Code, then such Executive will be entitled to receive either (i) the full amount of the Total Payments or (ii) a portion of the Total Payments having a value equal to One Dollar ($1) less than three (3) times such individual’s “base amount” (as such term is defined in Section 280G(b)(3)(A) of the Code), whichever of (i) and (ii), after taking into account applicable federal, state, and local income taxes and the excise tax imposed by Section 4999 of the Code, results in the receipt by such employee on an after-tax basis, of the greatest portion of the Total Payments. Any determination required under this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shall be made in writing by the Company’s independent certified public accountants appointed prior to any change in ownership (as defined under Section 280G(b)(2) of the Code) or tax counsel selected by such accountants (the “</w:t>
      </w:r>
      <w:r>
        <w:rPr>
          <w:rFonts w:ascii="Arial" w:cs="Arial" w:eastAsia="Arial" w:hAnsi="Arial"/>
          <w:sz w:val="11"/>
          <w:szCs w:val="11"/>
          <w:u w:val="single" w:color="auto"/>
          <w:color w:val="auto"/>
        </w:rPr>
        <w:t>Accountants</w:t>
      </w:r>
      <w:r>
        <w:rPr>
          <w:rFonts w:ascii="Arial" w:cs="Arial" w:eastAsia="Arial" w:hAnsi="Arial"/>
          <w:sz w:val="11"/>
          <w:szCs w:val="11"/>
          <w:color w:val="auto"/>
        </w:rPr>
        <w:t xml:space="preserve">”), whose determination shall be conclusive and binding for all purposes upon the applicable Executive. For purposes of making the calculations required by this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the Accountants may make reasonable assumptions and approximations concerning applicable taxes and may rely on reasonable, good-faith interpretations concerning the application of Sections 280G and 4999 of the Code. If there is a reduction pursuant to this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1"/>
          <w:szCs w:val="11"/>
          <w:u w:val="single" w:color="auto"/>
          <w:color w:val="auto"/>
        </w:rPr>
        <w:t>Parachute Payment Ratio</w:t>
      </w:r>
      <w:r>
        <w:rPr>
          <w:rFonts w:ascii="Arial" w:cs="Arial" w:eastAsia="Arial" w:hAnsi="Arial"/>
          <w:sz w:val="11"/>
          <w:szCs w:val="11"/>
          <w:color w:val="auto"/>
        </w:rPr>
        <w:t>” shall mean a fraction the numerator of which is the value of the applicable “parachute payment” for purposes of Section 280G of the Code and the denominator of which is the actual present value of such payment.</w:t>
      </w:r>
    </w:p>
    <w:p>
      <w:pPr>
        <w:spacing w:after="0" w:line="115"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010000"/>
        </w:rPr>
        <w:t>Article 7.</w:t>
      </w:r>
      <w:r>
        <w:rPr>
          <w:sz w:val="20"/>
          <w:szCs w:val="20"/>
          <w:color w:val="auto"/>
        </w:rPr>
        <w:tab/>
      </w:r>
      <w:r>
        <w:rPr>
          <w:rFonts w:ascii="Arial" w:cs="Arial" w:eastAsia="Arial" w:hAnsi="Arial"/>
          <w:sz w:val="10"/>
          <w:szCs w:val="10"/>
          <w:b w:val="1"/>
          <w:bCs w:val="1"/>
          <w:color w:val="auto"/>
        </w:rPr>
        <w:t>Legal Fees and Notice</w:t>
      </w:r>
    </w:p>
    <w:p>
      <w:pPr>
        <w:spacing w:after="0" w:line="150"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b w:val="1"/>
          <w:bCs w:val="1"/>
          <w:color w:val="010000"/>
        </w:rPr>
        <w:t xml:space="preserve">7.1 </w:t>
      </w:r>
      <w:r>
        <w:rPr>
          <w:rFonts w:ascii="Arial" w:cs="Arial" w:eastAsia="Arial" w:hAnsi="Arial"/>
          <w:sz w:val="12"/>
          <w:szCs w:val="12"/>
          <w:b w:val="1"/>
          <w:bCs w:val="1"/>
          <w:color w:val="000000"/>
        </w:rPr>
        <w:t>Payment of Legal Fees</w:t>
      </w:r>
      <w:r>
        <w:rPr>
          <w:rFonts w:ascii="Arial" w:cs="Arial" w:eastAsia="Arial" w:hAnsi="Arial"/>
          <w:sz w:val="12"/>
          <w:szCs w:val="12"/>
          <w:color w:val="000000"/>
        </w:rPr>
        <w:t>. Except as otherwise agreed to by the parties, the Company shall pay the Executive for costs of litigation or other disputes including, without limitation, reasonable attorneys’ fees incurred by the</w:t>
      </w:r>
      <w:r>
        <w:rPr>
          <w:rFonts w:ascii="Arial" w:cs="Arial" w:eastAsia="Arial" w:hAnsi="Arial"/>
          <w:sz w:val="12"/>
          <w:szCs w:val="12"/>
          <w:b w:val="1"/>
          <w:bCs w:val="1"/>
          <w:color w:val="010000"/>
        </w:rPr>
        <w:t xml:space="preserve"> </w:t>
      </w:r>
      <w:r>
        <w:rPr>
          <w:rFonts w:ascii="Arial" w:cs="Arial" w:eastAsia="Arial" w:hAnsi="Arial"/>
          <w:sz w:val="12"/>
          <w:szCs w:val="12"/>
          <w:color w:val="000000"/>
        </w:rPr>
        <w:t>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16" w:lineRule="exact"/>
        <w:rPr>
          <w:sz w:val="20"/>
          <w:szCs w:val="20"/>
          <w:color w:val="auto"/>
        </w:rPr>
      </w:pPr>
    </w:p>
    <w:p>
      <w:pPr>
        <w:jc w:val="both"/>
        <w:ind w:left="8" w:right="20" w:firstLine="432"/>
        <w:spacing w:after="0" w:line="283" w:lineRule="auto"/>
        <w:rPr>
          <w:sz w:val="20"/>
          <w:szCs w:val="20"/>
          <w:color w:val="auto"/>
        </w:rPr>
      </w:pPr>
      <w:r>
        <w:rPr>
          <w:rFonts w:ascii="Arial" w:cs="Arial" w:eastAsia="Arial" w:hAnsi="Arial"/>
          <w:sz w:val="12"/>
          <w:szCs w:val="12"/>
          <w:b w:val="1"/>
          <w:bCs w:val="1"/>
          <w:color w:val="010000"/>
        </w:rPr>
        <w:t xml:space="preserve">7.2 </w:t>
      </w:r>
      <w:r>
        <w:rPr>
          <w:rFonts w:ascii="Arial" w:cs="Arial" w:eastAsia="Arial" w:hAnsi="Arial"/>
          <w:sz w:val="12"/>
          <w:szCs w:val="12"/>
          <w:b w:val="1"/>
          <w:bCs w:val="1"/>
          <w:color w:val="000000"/>
        </w:rPr>
        <w:t>Notice</w:t>
      </w:r>
      <w:r>
        <w:rPr>
          <w:rFonts w:ascii="Arial" w:cs="Arial" w:eastAsia="Arial" w:hAnsi="Arial"/>
          <w:sz w:val="12"/>
          <w:szCs w:val="12"/>
          <w:color w:val="000000"/>
        </w:rPr>
        <w:t>. Any notices, requests, demands, or other communications provided for by this Plan shall be sufficient if in writing and if sent by registered or certified mail to the Executive at the last address he or she has filed in</w:t>
      </w:r>
      <w:r>
        <w:rPr>
          <w:rFonts w:ascii="Arial" w:cs="Arial" w:eastAsia="Arial" w:hAnsi="Arial"/>
          <w:sz w:val="12"/>
          <w:szCs w:val="12"/>
          <w:b w:val="1"/>
          <w:bCs w:val="1"/>
          <w:color w:val="010000"/>
        </w:rPr>
        <w:t xml:space="preserve"> </w:t>
      </w:r>
      <w:r>
        <w:rPr>
          <w:rFonts w:ascii="Arial" w:cs="Arial" w:eastAsia="Arial" w:hAnsi="Arial"/>
          <w:sz w:val="12"/>
          <w:szCs w:val="12"/>
          <w:color w:val="000000"/>
        </w:rPr>
        <w:t>writing with the Company or, in the case of the Company, at its principal offices.</w:t>
      </w:r>
    </w:p>
    <w:p>
      <w:pPr>
        <w:spacing w:after="0" w:line="107"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010000"/>
        </w:rPr>
        <w:t>Article 8.</w:t>
      </w:r>
      <w:r>
        <w:rPr>
          <w:sz w:val="20"/>
          <w:szCs w:val="20"/>
          <w:color w:val="auto"/>
        </w:rPr>
        <w:tab/>
      </w:r>
      <w:r>
        <w:rPr>
          <w:rFonts w:ascii="Arial" w:cs="Arial" w:eastAsia="Arial" w:hAnsi="Arial"/>
          <w:sz w:val="10"/>
          <w:szCs w:val="10"/>
          <w:b w:val="1"/>
          <w:bCs w:val="1"/>
          <w:color w:val="auto"/>
        </w:rPr>
        <w:t>Successors and Assignment</w:t>
      </w:r>
    </w:p>
    <w:p>
      <w:pPr>
        <w:spacing w:after="0" w:line="200" w:lineRule="exact"/>
        <w:rPr>
          <w:sz w:val="20"/>
          <w:szCs w:val="20"/>
          <w:color w:val="auto"/>
        </w:rPr>
      </w:pPr>
    </w:p>
    <w:p>
      <w:pPr>
        <w:spacing w:after="0" w:line="219" w:lineRule="exact"/>
        <w:rPr>
          <w:sz w:val="20"/>
          <w:szCs w:val="20"/>
          <w:color w:val="auto"/>
        </w:rPr>
      </w:pPr>
    </w:p>
    <w:p>
      <w:pPr>
        <w:jc w:val="center"/>
        <w:ind w:right="112"/>
        <w:spacing w:after="0"/>
        <w:rPr>
          <w:sz w:val="20"/>
          <w:szCs w:val="20"/>
          <w:color w:val="auto"/>
        </w:rPr>
      </w:pPr>
      <w:r>
        <w:rPr>
          <w:rFonts w:ascii="Arial" w:cs="Arial" w:eastAsia="Arial" w:hAnsi="Arial"/>
          <w:sz w:val="14"/>
          <w:szCs w:val="14"/>
          <w:color w:val="auto"/>
        </w:rPr>
        <w:t>12</w:t>
      </w:r>
    </w:p>
    <w:p>
      <w:pPr>
        <w:spacing w:after="0" w:line="251" w:lineRule="exact"/>
        <w:rPr>
          <w:sz w:val="20"/>
          <w:szCs w:val="20"/>
          <w:color w:val="auto"/>
        </w:rPr>
      </w:pPr>
    </w:p>
    <w:p>
      <w:pPr>
        <w:ind w:left="8"/>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8"/>
          </w:cols>
          <w:pgMar w:left="212" w:top="482" w:right="199" w:bottom="1440" w:gutter="0" w:footer="0" w:header="0"/>
        </w:sectPr>
      </w:pPr>
    </w:p>
    <w:bookmarkStart w:id="231" w:name="page232"/>
    <w:bookmarkEnd w:id="231"/>
    <w:p>
      <w:pPr>
        <w:jc w:val="both"/>
        <w:ind w:firstLine="432"/>
        <w:spacing w:after="0" w:line="261" w:lineRule="auto"/>
        <w:rPr>
          <w:sz w:val="20"/>
          <w:szCs w:val="20"/>
          <w:color w:val="auto"/>
        </w:rPr>
      </w:pPr>
      <w:r>
        <w:rPr>
          <w:rFonts w:ascii="Arial" w:cs="Arial" w:eastAsia="Arial" w:hAnsi="Arial"/>
          <w:sz w:val="12"/>
          <w:szCs w:val="12"/>
          <w:b w:val="1"/>
          <w:bCs w:val="1"/>
          <w:color w:val="010000"/>
        </w:rPr>
        <w:t xml:space="preserve">8.1 </w:t>
      </w:r>
      <w:r>
        <w:rPr>
          <w:rFonts w:ascii="Arial" w:cs="Arial" w:eastAsia="Arial" w:hAnsi="Arial"/>
          <w:sz w:val="12"/>
          <w:szCs w:val="12"/>
          <w:b w:val="1"/>
          <w:bCs w:val="1"/>
          <w:color w:val="000000"/>
        </w:rPr>
        <w:t>Successors to the Company</w:t>
      </w:r>
      <w:r>
        <w:rPr>
          <w:rFonts w:ascii="Arial" w:cs="Arial" w:eastAsia="Arial" w:hAnsi="Arial"/>
          <w:sz w:val="12"/>
          <w:szCs w:val="12"/>
          <w:color w:val="000000"/>
        </w:rPr>
        <w:t>. The Company shall require any successor (whether direct or indirect, by purchase, merger, reorganization, consolidation, acquisition of property or stock, liquidation, or otherwise) of all or a</w:t>
      </w:r>
      <w:r>
        <w:rPr>
          <w:rFonts w:ascii="Arial" w:cs="Arial" w:eastAsia="Arial" w:hAnsi="Arial"/>
          <w:sz w:val="12"/>
          <w:szCs w:val="12"/>
          <w:b w:val="1"/>
          <w:bCs w:val="1"/>
          <w:color w:val="010000"/>
        </w:rPr>
        <w:t xml:space="preserve"> </w:t>
      </w:r>
      <w:r>
        <w:rPr>
          <w:rFonts w:ascii="Arial" w:cs="Arial" w:eastAsia="Arial" w:hAnsi="Arial"/>
          <w:sz w:val="12"/>
          <w:szCs w:val="12"/>
          <w:color w:val="000000"/>
        </w:rPr>
        <w:t>significant portion of the assets of the Company by agreement, in form and substance 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2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010000"/>
        </w:rPr>
        <w:t xml:space="preserve">8.2 </w:t>
      </w:r>
      <w:r>
        <w:rPr>
          <w:rFonts w:ascii="Arial" w:cs="Arial" w:eastAsia="Arial" w:hAnsi="Arial"/>
          <w:sz w:val="11"/>
          <w:szCs w:val="11"/>
          <w:b w:val="1"/>
          <w:bCs w:val="1"/>
          <w:color w:val="000000"/>
        </w:rPr>
        <w:t>Assignment by the Executive</w:t>
      </w:r>
      <w:r>
        <w:rPr>
          <w:rFonts w:ascii="Arial" w:cs="Arial" w:eastAsia="Arial" w:hAnsi="Arial"/>
          <w:sz w:val="11"/>
          <w:szCs w:val="11"/>
          <w:color w:val="000000"/>
        </w:rPr>
        <w:t>. This Plan shall inure to the benefit of and be enforceable by the Executive’s personal or legal representatives, executors, administrators, successors, heirs, distributees, devisees, and legatees. If</w:t>
      </w:r>
      <w:r>
        <w:rPr>
          <w:rFonts w:ascii="Arial" w:cs="Arial" w:eastAsia="Arial" w:hAnsi="Arial"/>
          <w:sz w:val="11"/>
          <w:szCs w:val="11"/>
          <w:b w:val="1"/>
          <w:bCs w:val="1"/>
          <w:color w:val="010000"/>
        </w:rPr>
        <w:t xml:space="preserve"> </w:t>
      </w:r>
      <w:r>
        <w:rPr>
          <w:rFonts w:ascii="Arial" w:cs="Arial" w:eastAsia="Arial" w:hAnsi="Arial"/>
          <w:sz w:val="11"/>
          <w:szCs w:val="11"/>
          <w:color w:val="000000"/>
        </w:rPr>
        <w:t>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9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010000"/>
        </w:rPr>
        <w:t>Article 9.</w:t>
      </w:r>
      <w:r>
        <w:rPr>
          <w:sz w:val="20"/>
          <w:szCs w:val="20"/>
          <w:color w:val="auto"/>
        </w:rPr>
        <w:tab/>
      </w:r>
      <w:r>
        <w:rPr>
          <w:rFonts w:ascii="Arial" w:cs="Arial" w:eastAsia="Arial" w:hAnsi="Arial"/>
          <w:sz w:val="10"/>
          <w:szCs w:val="10"/>
          <w:b w:val="1"/>
          <w:bCs w:val="1"/>
          <w:color w:val="auto"/>
        </w:rPr>
        <w:t>Miscellaneous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010000"/>
        </w:rPr>
        <w:t xml:space="preserve">9.1 </w:t>
      </w:r>
      <w:r>
        <w:rPr>
          <w:rFonts w:ascii="Arial" w:cs="Arial" w:eastAsia="Arial" w:hAnsi="Arial"/>
          <w:sz w:val="12"/>
          <w:szCs w:val="12"/>
          <w:b w:val="1"/>
          <w:bCs w:val="1"/>
          <w:color w:val="000000"/>
        </w:rPr>
        <w:t>Employment Status</w:t>
      </w:r>
      <w:r>
        <w:rPr>
          <w:rFonts w:ascii="Arial" w:cs="Arial" w:eastAsia="Arial" w:hAnsi="Arial"/>
          <w:sz w:val="12"/>
          <w:szCs w:val="12"/>
          <w:color w:val="000000"/>
        </w:rPr>
        <w:t>. Except as may be provided under any other agreement between the Executive and the Company, the employment of the Executive by the Company is “at will” and may be terminated by either the</w:t>
      </w:r>
      <w:r>
        <w:rPr>
          <w:rFonts w:ascii="Arial" w:cs="Arial" w:eastAsia="Arial" w:hAnsi="Arial"/>
          <w:sz w:val="12"/>
          <w:szCs w:val="12"/>
          <w:b w:val="1"/>
          <w:bCs w:val="1"/>
          <w:color w:val="010000"/>
        </w:rPr>
        <w:t xml:space="preserve"> </w:t>
      </w:r>
      <w:r>
        <w:rPr>
          <w:rFonts w:ascii="Arial" w:cs="Arial" w:eastAsia="Arial" w:hAnsi="Arial"/>
          <w:sz w:val="12"/>
          <w:szCs w:val="12"/>
          <w:color w:val="000000"/>
        </w:rPr>
        <w:t>Executive or the Company at any time, subject to applicable law.</w:t>
      </w:r>
    </w:p>
    <w:p>
      <w:pPr>
        <w:spacing w:after="0" w:line="107"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9.2</w:t>
      </w:r>
      <w:r>
        <w:rPr>
          <w:sz w:val="20"/>
          <w:szCs w:val="20"/>
          <w:color w:val="auto"/>
        </w:rPr>
        <w:tab/>
      </w:r>
      <w:r>
        <w:rPr>
          <w:rFonts w:ascii="Arial" w:cs="Arial" w:eastAsia="Arial" w:hAnsi="Arial"/>
          <w:sz w:val="10"/>
          <w:szCs w:val="10"/>
          <w:b w:val="1"/>
          <w:bCs w:val="1"/>
          <w:color w:val="auto"/>
        </w:rPr>
        <w:t>Code Section 409A</w:t>
      </w:r>
      <w:r>
        <w:rPr>
          <w:rFonts w:ascii="Arial" w:cs="Arial" w:eastAsia="Arial" w:hAnsi="Arial"/>
          <w:sz w:val="10"/>
          <w:szCs w:val="10"/>
          <w:color w:val="auto"/>
        </w:rPr>
        <w:t>.</w:t>
      </w:r>
    </w:p>
    <w:p>
      <w:pPr>
        <w:spacing w:after="0" w:line="154" w:lineRule="exact"/>
        <w:rPr>
          <w:sz w:val="20"/>
          <w:szCs w:val="20"/>
          <w:color w:val="auto"/>
        </w:rPr>
      </w:pPr>
    </w:p>
    <w:p>
      <w:pPr>
        <w:jc w:val="both"/>
        <w:ind w:left="1000" w:hanging="566"/>
        <w:spacing w:after="0" w:line="298"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All expenses or other reimbursements under this Plan shall be made on or prior to the last day of the taxable year following the taxable year in which such expenses were incurred by the Executive (provided that if any such</w:t>
      </w:r>
      <w:r>
        <w:rPr>
          <w:rFonts w:ascii="Arial" w:cs="Arial" w:eastAsia="Arial" w:hAnsi="Arial"/>
          <w:sz w:val="11"/>
          <w:szCs w:val="11"/>
          <w:color w:val="010000"/>
        </w:rPr>
        <w:t xml:space="preserve"> </w:t>
      </w:r>
      <w:r>
        <w:rPr>
          <w:rFonts w:ascii="Arial" w:cs="Arial" w:eastAsia="Arial" w:hAnsi="Arial"/>
          <w:sz w:val="11"/>
          <w:szCs w:val="11"/>
          <w:color w:val="000000"/>
        </w:rPr>
        <w:t>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010000"/>
        </w:rPr>
        <w:t>(b)</w:t>
      </w:r>
      <w:r>
        <w:rPr>
          <w:rFonts w:ascii="Arial" w:cs="Arial" w:eastAsia="Arial" w:hAnsi="Arial"/>
          <w:sz w:val="12"/>
          <w:szCs w:val="12"/>
          <w:color w:val="000000"/>
        </w:rPr>
        <w:t>For purposes of Code Section 409A, the Executive’s right to receive any installment payment pursuant to this Plan shall be treated as a right to receive a series of separate and distinct payments.</w:t>
      </w:r>
    </w:p>
    <w:p>
      <w:pPr>
        <w:spacing w:after="0" w:line="150" w:lineRule="exact"/>
        <w:rPr>
          <w:sz w:val="20"/>
          <w:szCs w:val="20"/>
          <w:color w:val="auto"/>
        </w:rPr>
      </w:pPr>
    </w:p>
    <w:p>
      <w:pPr>
        <w:jc w:val="both"/>
        <w:ind w:left="1000" w:hanging="566"/>
        <w:spacing w:after="0" w:line="276" w:lineRule="auto"/>
        <w:rPr>
          <w:sz w:val="20"/>
          <w:szCs w:val="20"/>
          <w:color w:val="auto"/>
        </w:rPr>
      </w:pPr>
      <w:r>
        <w:rPr>
          <w:rFonts w:ascii="Arial" w:cs="Arial" w:eastAsia="Arial" w:hAnsi="Arial"/>
          <w:sz w:val="12"/>
          <w:szCs w:val="12"/>
          <w:color w:val="010000"/>
        </w:rPr>
        <w:t>(c)</w:t>
      </w:r>
      <w:r>
        <w:rPr>
          <w:rFonts w:ascii="Arial" w:cs="Arial" w:eastAsia="Arial" w:hAnsi="Arial"/>
          <w:sz w:val="12"/>
          <w:szCs w:val="12"/>
          <w:color w:val="000000"/>
        </w:rPr>
        <w:t>Whenever a payment under this Plan specifies a payment period with reference to a number of days (</w:t>
      </w:r>
      <w:r>
        <w:rPr>
          <w:rFonts w:ascii="Arial" w:cs="Arial" w:eastAsia="Arial" w:hAnsi="Arial"/>
          <w:sz w:val="12"/>
          <w:szCs w:val="12"/>
          <w:u w:val="single" w:color="auto"/>
          <w:color w:val="000000"/>
        </w:rPr>
        <w:t>e.g.</w:t>
      </w:r>
      <w:r>
        <w:rPr>
          <w:rFonts w:ascii="Arial" w:cs="Arial" w:eastAsia="Arial" w:hAnsi="Arial"/>
          <w:sz w:val="12"/>
          <w:szCs w:val="12"/>
          <w:color w:val="000000"/>
        </w:rPr>
        <w:t>, “payment shall be made within thirty (30) days following the date of termination”), the actual date of payment within the</w:t>
      </w:r>
      <w:r>
        <w:rPr>
          <w:rFonts w:ascii="Arial" w:cs="Arial" w:eastAsia="Arial" w:hAnsi="Arial"/>
          <w:sz w:val="12"/>
          <w:szCs w:val="12"/>
          <w:color w:val="010000"/>
        </w:rPr>
        <w:t xml:space="preserve"> </w:t>
      </w:r>
      <w:r>
        <w:rPr>
          <w:rFonts w:ascii="Arial" w:cs="Arial" w:eastAsia="Arial" w:hAnsi="Arial"/>
          <w:sz w:val="12"/>
          <w:szCs w:val="12"/>
          <w:color w:val="000000"/>
        </w:rPr>
        <w:t>specified period shall be within the sole discretion of the Company.</w:t>
      </w:r>
    </w:p>
    <w:p>
      <w:pPr>
        <w:spacing w:after="0" w:line="115" w:lineRule="exact"/>
        <w:rPr>
          <w:sz w:val="20"/>
          <w:szCs w:val="20"/>
          <w:color w:val="auto"/>
        </w:rPr>
      </w:pPr>
    </w:p>
    <w:p>
      <w:pPr>
        <w:jc w:val="both"/>
        <w:ind w:left="1000" w:hanging="575"/>
        <w:spacing w:after="0" w:line="263" w:lineRule="auto"/>
        <w:rPr>
          <w:sz w:val="20"/>
          <w:szCs w:val="20"/>
          <w:color w:val="auto"/>
        </w:rPr>
      </w:pPr>
      <w:r>
        <w:rPr>
          <w:rFonts w:ascii="Arial" w:cs="Arial" w:eastAsia="Arial" w:hAnsi="Arial"/>
          <w:sz w:val="12"/>
          <w:szCs w:val="12"/>
          <w:color w:val="010000"/>
        </w:rPr>
        <w:t>(d)</w:t>
      </w:r>
      <w:r>
        <w:rPr>
          <w:rFonts w:ascii="Arial" w:cs="Arial" w:eastAsia="Arial" w:hAnsi="Arial"/>
          <w:sz w:val="12"/>
          <w:szCs w:val="12"/>
          <w:color w:val="000000"/>
        </w:rPr>
        <w:t>A termination of employment shall not be deemed to have occurred for purposes of any provision of this Plan providing for the payment of any amounts or benefits upon or following a termination of employment unless such</w:t>
      </w:r>
      <w:r>
        <w:rPr>
          <w:rFonts w:ascii="Arial" w:cs="Arial" w:eastAsia="Arial" w:hAnsi="Arial"/>
          <w:sz w:val="12"/>
          <w:szCs w:val="12"/>
          <w:color w:val="010000"/>
        </w:rPr>
        <w:t xml:space="preserve"> </w:t>
      </w:r>
      <w:r>
        <w:rPr>
          <w:rFonts w:ascii="Arial" w:cs="Arial" w:eastAsia="Arial" w:hAnsi="Arial"/>
          <w:sz w:val="12"/>
          <w:szCs w:val="12"/>
          <w:color w:val="000000"/>
        </w:rPr>
        <w:t>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23" w:lineRule="exact"/>
        <w:rPr>
          <w:sz w:val="20"/>
          <w:szCs w:val="20"/>
          <w:color w:val="auto"/>
        </w:rPr>
      </w:pPr>
    </w:p>
    <w:p>
      <w:pPr>
        <w:jc w:val="both"/>
        <w:ind w:left="1000" w:hanging="566"/>
        <w:spacing w:after="0" w:line="276" w:lineRule="auto"/>
        <w:rPr>
          <w:sz w:val="20"/>
          <w:szCs w:val="20"/>
          <w:color w:val="auto"/>
        </w:rPr>
      </w:pPr>
      <w:r>
        <w:rPr>
          <w:rFonts w:ascii="Arial" w:cs="Arial" w:eastAsia="Arial" w:hAnsi="Arial"/>
          <w:sz w:val="12"/>
          <w:szCs w:val="12"/>
          <w:color w:val="010000"/>
        </w:rPr>
        <w:t>(e)</w:t>
      </w:r>
      <w:r>
        <w:rPr>
          <w:rFonts w:ascii="Arial" w:cs="Arial" w:eastAsia="Arial" w:hAnsi="Arial"/>
          <w:sz w:val="12"/>
          <w:szCs w:val="12"/>
          <w:color w:val="000000"/>
        </w:rPr>
        <w:t>Notwithstanding any other provision of this Plan to the contrary, in no event shall any payment under this Plan that constitutes “deferred compensation” for purposes of Code Section 409A be subject to offset unless otherwise</w:t>
      </w:r>
      <w:r>
        <w:rPr>
          <w:rFonts w:ascii="Arial" w:cs="Arial" w:eastAsia="Arial" w:hAnsi="Arial"/>
          <w:sz w:val="12"/>
          <w:szCs w:val="12"/>
          <w:color w:val="010000"/>
        </w:rPr>
        <w:t xml:space="preserve"> </w:t>
      </w:r>
      <w:r>
        <w:rPr>
          <w:rFonts w:ascii="Arial" w:cs="Arial" w:eastAsia="Arial" w:hAnsi="Arial"/>
          <w:sz w:val="12"/>
          <w:szCs w:val="12"/>
          <w:color w:val="000000"/>
        </w:rPr>
        <w:t>permitted by Code Section 409A.</w:t>
      </w:r>
    </w:p>
    <w:p>
      <w:pPr>
        <w:spacing w:after="0" w:line="115" w:lineRule="exact"/>
        <w:rPr>
          <w:sz w:val="20"/>
          <w:szCs w:val="20"/>
          <w:color w:val="auto"/>
        </w:rPr>
      </w:pPr>
    </w:p>
    <w:p>
      <w:pPr>
        <w:ind w:left="980" w:right="20" w:hanging="556"/>
        <w:spacing w:after="0" w:line="276" w:lineRule="auto"/>
        <w:tabs>
          <w:tab w:leader="none" w:pos="548" w:val="left"/>
        </w:tabs>
        <w:numPr>
          <w:ilvl w:val="0"/>
          <w:numId w:val="187"/>
        </w:numPr>
        <w:rPr>
          <w:rFonts w:ascii="Arial" w:cs="Arial" w:eastAsia="Arial" w:hAnsi="Arial"/>
          <w:sz w:val="12"/>
          <w:szCs w:val="12"/>
          <w:color w:val="010000"/>
        </w:rPr>
      </w:pPr>
      <w:r>
        <w:rPr>
          <w:rFonts w:ascii="Arial" w:cs="Arial" w:eastAsia="Arial" w:hAnsi="Arial"/>
          <w:sz w:val="12"/>
          <w:szCs w:val="12"/>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38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13</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32" w:name="page233"/>
    <w:bookmarkEnd w:id="232"/>
    <w:p>
      <w:pPr>
        <w:jc w:val="both"/>
        <w:ind w:firstLine="432"/>
        <w:spacing w:after="0" w:line="261" w:lineRule="auto"/>
        <w:rPr>
          <w:sz w:val="20"/>
          <w:szCs w:val="20"/>
          <w:color w:val="auto"/>
        </w:rPr>
      </w:pPr>
      <w:r>
        <w:rPr>
          <w:rFonts w:ascii="Arial" w:cs="Arial" w:eastAsia="Arial" w:hAnsi="Arial"/>
          <w:sz w:val="12"/>
          <w:szCs w:val="12"/>
          <w:b w:val="1"/>
          <w:bCs w:val="1"/>
          <w:color w:val="010000"/>
        </w:rPr>
        <w:t xml:space="preserve">9.3 </w:t>
      </w:r>
      <w:r>
        <w:rPr>
          <w:rFonts w:ascii="Arial" w:cs="Arial" w:eastAsia="Arial" w:hAnsi="Arial"/>
          <w:sz w:val="12"/>
          <w:szCs w:val="12"/>
          <w:b w:val="1"/>
          <w:bCs w:val="1"/>
          <w:color w:val="000000"/>
        </w:rPr>
        <w:t>Entire Plan</w:t>
      </w:r>
      <w:r>
        <w:rPr>
          <w:rFonts w:ascii="Arial" w:cs="Arial" w:eastAsia="Arial" w:hAnsi="Arial"/>
          <w:sz w:val="12"/>
          <w:szCs w:val="12"/>
          <w:color w:val="000000"/>
        </w:rPr>
        <w:t>. This Plan supersedes any prior agreements or understandings, oral or written, between the parties hereto, with respect to the subject matter hereof, and constitutes the entire agreement of the parties with respect</w:t>
      </w:r>
      <w:r>
        <w:rPr>
          <w:rFonts w:ascii="Arial" w:cs="Arial" w:eastAsia="Arial" w:hAnsi="Arial"/>
          <w:sz w:val="12"/>
          <w:szCs w:val="12"/>
          <w:b w:val="1"/>
          <w:bCs w:val="1"/>
          <w:color w:val="010000"/>
        </w:rPr>
        <w:t xml:space="preserve"> </w:t>
      </w:r>
      <w:r>
        <w:rPr>
          <w:rFonts w:ascii="Arial" w:cs="Arial" w:eastAsia="Arial" w:hAnsi="Arial"/>
          <w:sz w:val="12"/>
          <w:szCs w:val="12"/>
          <w:color w:val="000000"/>
        </w:rPr>
        <w:t>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2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010000"/>
        </w:rPr>
        <w:t xml:space="preserve">9.4 </w:t>
      </w:r>
      <w:r>
        <w:rPr>
          <w:rFonts w:ascii="Arial" w:cs="Arial" w:eastAsia="Arial" w:hAnsi="Arial"/>
          <w:sz w:val="12"/>
          <w:szCs w:val="12"/>
          <w:b w:val="1"/>
          <w:bCs w:val="1"/>
          <w:color w:val="000000"/>
        </w:rPr>
        <w:t>Severability</w:t>
      </w:r>
      <w:r>
        <w:rPr>
          <w:rFonts w:ascii="Arial" w:cs="Arial" w:eastAsia="Arial" w:hAnsi="Arial"/>
          <w:sz w:val="12"/>
          <w:szCs w:val="12"/>
          <w:color w:val="000000"/>
        </w:rPr>
        <w:t>. In the event that any provision or portion of this Plan shall be determined to be invalid or unenforceable for any reason, the remaining provisions of this Plan shall be unaffected thereby and shall remain in full</w:t>
      </w:r>
      <w:r>
        <w:rPr>
          <w:rFonts w:ascii="Arial" w:cs="Arial" w:eastAsia="Arial" w:hAnsi="Arial"/>
          <w:sz w:val="12"/>
          <w:szCs w:val="12"/>
          <w:b w:val="1"/>
          <w:bCs w:val="1"/>
          <w:color w:val="010000"/>
        </w:rPr>
        <w:t xml:space="preserve"> </w:t>
      </w:r>
      <w:r>
        <w:rPr>
          <w:rFonts w:ascii="Arial" w:cs="Arial" w:eastAsia="Arial" w:hAnsi="Arial"/>
          <w:sz w:val="12"/>
          <w:szCs w:val="12"/>
          <w:color w:val="000000"/>
        </w:rPr>
        <w:t>force and effect.</w:t>
      </w:r>
    </w:p>
    <w:p>
      <w:pPr>
        <w:spacing w:after="0" w:line="107"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9.5</w:t>
      </w:r>
      <w:r>
        <w:rPr>
          <w:sz w:val="20"/>
          <w:szCs w:val="20"/>
          <w:color w:val="auto"/>
        </w:rPr>
        <w:tab/>
      </w:r>
      <w:r>
        <w:rPr>
          <w:rFonts w:ascii="Arial" w:cs="Arial" w:eastAsia="Arial" w:hAnsi="Arial"/>
          <w:sz w:val="10"/>
          <w:szCs w:val="10"/>
          <w:b w:val="1"/>
          <w:bCs w:val="1"/>
          <w:color w:val="auto"/>
        </w:rPr>
        <w:t>Tax Withholding</w:t>
      </w:r>
      <w:r>
        <w:rPr>
          <w:rFonts w:ascii="Arial" w:cs="Arial" w:eastAsia="Arial" w:hAnsi="Arial"/>
          <w:sz w:val="10"/>
          <w:szCs w:val="10"/>
          <w:color w:val="auto"/>
        </w:rPr>
        <w:t>. The Company may withhold from any benefits payable under this Plan all federal, state, city, or other taxes as may be required pursuant to any law or governmental regulation or ruling.</w:t>
      </w:r>
    </w:p>
    <w:p>
      <w:pPr>
        <w:spacing w:after="0" w:line="150"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b w:val="1"/>
          <w:bCs w:val="1"/>
          <w:color w:val="010000"/>
        </w:rPr>
        <w:t>9.6</w:t>
      </w:r>
      <w:r>
        <w:rPr>
          <w:sz w:val="20"/>
          <w:szCs w:val="20"/>
          <w:color w:val="auto"/>
        </w:rPr>
        <w:tab/>
      </w:r>
      <w:r>
        <w:rPr>
          <w:rFonts w:ascii="Arial" w:cs="Arial" w:eastAsia="Arial" w:hAnsi="Arial"/>
          <w:sz w:val="10"/>
          <w:szCs w:val="10"/>
          <w:b w:val="1"/>
          <w:bCs w:val="1"/>
          <w:color w:val="auto"/>
        </w:rPr>
        <w:t>Beneficiaries</w:t>
      </w:r>
      <w:r>
        <w:rPr>
          <w:rFonts w:ascii="Arial" w:cs="Arial" w:eastAsia="Arial" w:hAnsi="Arial"/>
          <w:sz w:val="10"/>
          <w:szCs w:val="10"/>
          <w:color w:val="auto"/>
        </w:rPr>
        <w:t>. The Executive may designate one (1) or more persons or entities as the primary and/or contingent beneficiaries of any amounts to be received under this Plan.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Such designation must be in the form of a signed writing acceptable to the Board or the Board’s designee. The Executive may make or change such designation at any time.</w:t>
      </w:r>
    </w:p>
    <w:p>
      <w:pPr>
        <w:spacing w:after="0" w:line="14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010000"/>
        </w:rPr>
        <w:t xml:space="preserve">9.7 </w:t>
      </w:r>
      <w:r>
        <w:rPr>
          <w:rFonts w:ascii="Arial" w:cs="Arial" w:eastAsia="Arial" w:hAnsi="Arial"/>
          <w:sz w:val="12"/>
          <w:szCs w:val="12"/>
          <w:b w:val="1"/>
          <w:bCs w:val="1"/>
          <w:color w:val="000000"/>
        </w:rPr>
        <w:t>Payment Obligation Absolute</w:t>
      </w:r>
      <w:r>
        <w:rPr>
          <w:rFonts w:ascii="Arial" w:cs="Arial" w:eastAsia="Arial" w:hAnsi="Arial"/>
          <w:sz w:val="12"/>
          <w:szCs w:val="12"/>
          <w:color w:val="000000"/>
        </w:rPr>
        <w:t>. The Company’s obligation to make the payments provided for herein shall be absolute and unconditional, and shall not be affected by any circumstances, including, without limitation, any</w:t>
      </w:r>
      <w:r>
        <w:rPr>
          <w:rFonts w:ascii="Arial" w:cs="Arial" w:eastAsia="Arial" w:hAnsi="Arial"/>
          <w:sz w:val="12"/>
          <w:szCs w:val="12"/>
          <w:b w:val="1"/>
          <w:bCs w:val="1"/>
          <w:color w:val="010000"/>
        </w:rPr>
        <w:t xml:space="preserve"> </w:t>
      </w:r>
      <w:r>
        <w:rPr>
          <w:rFonts w:ascii="Arial" w:cs="Arial" w:eastAsia="Arial" w:hAnsi="Arial"/>
          <w:sz w:val="12"/>
          <w:szCs w:val="12"/>
          <w:color w:val="000000"/>
        </w:rPr>
        <w:t>offset, counterclaim, recoupment, defense, or other right which the Company may have against the Executive or anyone else.</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as provided in Article 3 of this Plan, the Executive shall not be obligated to seek other employment in mitigation of the amounts payable or arrangements made under any provision of this Plan, and the obtaining of any such other employment shall in no event effect any reduction of the Company’s obligations to make the payments and arrangements required to be made under this Plan.</w:t>
      </w:r>
    </w:p>
    <w:p>
      <w:pPr>
        <w:spacing w:after="0" w:line="11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010000"/>
        </w:rPr>
        <w:t xml:space="preserve">9.8 </w:t>
      </w:r>
      <w:r>
        <w:rPr>
          <w:rFonts w:ascii="Arial" w:cs="Arial" w:eastAsia="Arial" w:hAnsi="Arial"/>
          <w:sz w:val="12"/>
          <w:szCs w:val="12"/>
          <w:b w:val="1"/>
          <w:bCs w:val="1"/>
          <w:color w:val="000000"/>
        </w:rPr>
        <w:t>Contractual Rights to Benefits</w:t>
      </w:r>
      <w:r>
        <w:rPr>
          <w:rFonts w:ascii="Arial" w:cs="Arial" w:eastAsia="Arial" w:hAnsi="Arial"/>
          <w:sz w:val="12"/>
          <w:szCs w:val="12"/>
          <w:color w:val="000000"/>
        </w:rPr>
        <w:t>. Subject to approval and ratification by the Board, this Plan establishes and vests in the Executive a contractual right to the benefits to which he or she is entitled hereunder. However, nothing</w:t>
      </w:r>
      <w:r>
        <w:rPr>
          <w:rFonts w:ascii="Arial" w:cs="Arial" w:eastAsia="Arial" w:hAnsi="Arial"/>
          <w:sz w:val="12"/>
          <w:szCs w:val="12"/>
          <w:b w:val="1"/>
          <w:bCs w:val="1"/>
          <w:color w:val="010000"/>
        </w:rPr>
        <w:t xml:space="preserve"> </w:t>
      </w:r>
      <w:r>
        <w:rPr>
          <w:rFonts w:ascii="Arial" w:cs="Arial" w:eastAsia="Arial" w:hAnsi="Arial"/>
          <w:sz w:val="12"/>
          <w:szCs w:val="12"/>
          <w:color w:val="000000"/>
        </w:rPr>
        <w:t>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1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010000"/>
        </w:rPr>
        <w:t xml:space="preserve">9.9 </w:t>
      </w:r>
      <w:r>
        <w:rPr>
          <w:rFonts w:ascii="Arial" w:cs="Arial" w:eastAsia="Arial" w:hAnsi="Arial"/>
          <w:sz w:val="12"/>
          <w:szCs w:val="12"/>
          <w:b w:val="1"/>
          <w:bCs w:val="1"/>
          <w:color w:val="000000"/>
        </w:rPr>
        <w:t>Modification</w:t>
      </w:r>
      <w:r>
        <w:rPr>
          <w:rFonts w:ascii="Arial" w:cs="Arial" w:eastAsia="Arial" w:hAnsi="Arial"/>
          <w:sz w:val="12"/>
          <w:szCs w:val="12"/>
          <w:color w:val="000000"/>
        </w:rPr>
        <w:t>. No provision of this Plan may be modified, waived, or discharged with respect to any particular Executive unless such modification, waiver, or discharge is agreed to in writing and signed by such Executive</w:t>
      </w:r>
      <w:r>
        <w:rPr>
          <w:rFonts w:ascii="Arial" w:cs="Arial" w:eastAsia="Arial" w:hAnsi="Arial"/>
          <w:sz w:val="12"/>
          <w:szCs w:val="12"/>
          <w:b w:val="1"/>
          <w:bCs w:val="1"/>
          <w:color w:val="010000"/>
        </w:rPr>
        <w:t xml:space="preserve"> </w:t>
      </w:r>
      <w:r>
        <w:rPr>
          <w:rFonts w:ascii="Arial" w:cs="Arial" w:eastAsia="Arial" w:hAnsi="Arial"/>
          <w:sz w:val="12"/>
          <w:szCs w:val="12"/>
          <w:color w:val="000000"/>
        </w:rPr>
        <w:t>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116"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b w:val="1"/>
          <w:bCs w:val="1"/>
          <w:color w:val="010000"/>
        </w:rPr>
        <w:t>9.10</w:t>
      </w:r>
      <w:r>
        <w:rPr>
          <w:sz w:val="20"/>
          <w:szCs w:val="20"/>
          <w:color w:val="auto"/>
        </w:rPr>
        <w:tab/>
      </w:r>
      <w:r>
        <w:rPr>
          <w:rFonts w:ascii="Arial" w:cs="Arial" w:eastAsia="Arial" w:hAnsi="Arial"/>
          <w:sz w:val="10"/>
          <w:szCs w:val="10"/>
          <w:b w:val="1"/>
          <w:bCs w:val="1"/>
          <w:color w:val="auto"/>
        </w:rPr>
        <w:t>Gender and Number</w:t>
      </w:r>
      <w:r>
        <w:rPr>
          <w:rFonts w:ascii="Arial" w:cs="Arial" w:eastAsia="Arial" w:hAnsi="Arial"/>
          <w:sz w:val="10"/>
          <w:szCs w:val="10"/>
          <w:color w:val="auto"/>
        </w:rPr>
        <w:t>. Except where otherwise indicated by the context, any masculine term used herein also shall include the feminine; the plural shall include the singular and the singular shall include the plural.</w:t>
      </w:r>
    </w:p>
    <w:p>
      <w:pPr>
        <w:spacing w:after="0" w:line="15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2"/>
          <w:szCs w:val="12"/>
          <w:b w:val="1"/>
          <w:bCs w:val="1"/>
          <w:color w:val="010000"/>
        </w:rPr>
        <w:t>9.11</w:t>
      </w:r>
      <w:r>
        <w:rPr>
          <w:sz w:val="20"/>
          <w:szCs w:val="20"/>
          <w:color w:val="auto"/>
        </w:rPr>
        <w:tab/>
      </w:r>
      <w:r>
        <w:rPr>
          <w:rFonts w:ascii="Arial" w:cs="Arial" w:eastAsia="Arial" w:hAnsi="Arial"/>
          <w:sz w:val="10"/>
          <w:szCs w:val="10"/>
          <w:b w:val="1"/>
          <w:bCs w:val="1"/>
          <w:color w:val="auto"/>
        </w:rPr>
        <w:t>Applicable Law</w:t>
      </w:r>
      <w:r>
        <w:rPr>
          <w:rFonts w:ascii="Arial" w:cs="Arial" w:eastAsia="Arial" w:hAnsi="Arial"/>
          <w:sz w:val="10"/>
          <w:szCs w:val="10"/>
          <w:color w:val="auto"/>
        </w:rPr>
        <w:t>. 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363"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14</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#35732405 v2</w:t>
      </w:r>
    </w:p>
    <w:p>
      <w:pPr>
        <w:sectPr>
          <w:pgSz w:w="11900" w:h="16838" w:orient="portrait"/>
          <w:cols w:equalWidth="0" w:num="1">
            <w:col w:w="11480"/>
          </w:cols>
          <w:pgMar w:left="220" w:top="460" w:right="199" w:bottom="1440" w:gutter="0" w:footer="0" w:header="0"/>
        </w:sectPr>
      </w:pPr>
    </w:p>
    <w:bookmarkStart w:id="233" w:name="page234"/>
    <w:bookmarkEnd w:id="233"/>
    <w:p>
      <w:pPr>
        <w:jc w:val="right"/>
        <w:spacing w:after="0"/>
        <w:rPr>
          <w:sz w:val="20"/>
          <w:szCs w:val="20"/>
          <w:color w:val="auto"/>
        </w:rPr>
      </w:pPr>
      <w:r>
        <w:rPr>
          <w:rFonts w:ascii="Arial" w:cs="Arial" w:eastAsia="Arial" w:hAnsi="Arial"/>
          <w:sz w:val="12"/>
          <w:szCs w:val="12"/>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Clearway Energy,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&amp; Key Management Change-in-Control and General Severance Plan for Tier III and Tier IV Executives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(Amended and Restated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7"/>
          <w:szCs w:val="7"/>
          <w:color w:val="auto"/>
        </w:rPr>
        <w:t>DMEAST #35732408 v3</w:t>
      </w:r>
    </w:p>
    <w:p>
      <w:pPr>
        <w:sectPr>
          <w:pgSz w:w="11900" w:h="16838" w:orient="portrait"/>
          <w:cols w:equalWidth="0" w:num="1">
            <w:col w:w="11480"/>
          </w:cols>
          <w:pgMar w:left="220" w:top="460" w:right="199" w:bottom="1440" w:gutter="0" w:footer="0" w:header="0"/>
        </w:sectPr>
      </w:pPr>
    </w:p>
    <w:bookmarkStart w:id="234" w:name="page235"/>
    <w:bookmarkEnd w:id="234"/>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of Contents</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1.</w:t>
      </w:r>
      <w:r>
        <w:rPr>
          <w:rFonts w:ascii="Arial" w:cs="Arial" w:eastAsia="Arial" w:hAnsi="Arial"/>
          <w:sz w:val="12"/>
          <w:szCs w:val="12"/>
          <w:b w:val="1"/>
          <w:bCs w:val="1"/>
          <w:color w:val="000000"/>
        </w:rPr>
        <w:t>Establishment and Term of the Plan 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2.</w:t>
      </w:r>
      <w:r>
        <w:rPr>
          <w:rFonts w:ascii="Arial" w:cs="Arial" w:eastAsia="Arial" w:hAnsi="Arial"/>
          <w:sz w:val="12"/>
          <w:szCs w:val="12"/>
          <w:b w:val="1"/>
          <w:bCs w:val="1"/>
          <w:color w:val="000000"/>
        </w:rPr>
        <w:t>Definitions 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3.</w:t>
      </w:r>
      <w:r>
        <w:rPr>
          <w:rFonts w:ascii="Arial" w:cs="Arial" w:eastAsia="Arial" w:hAnsi="Arial"/>
          <w:sz w:val="12"/>
          <w:szCs w:val="12"/>
          <w:b w:val="1"/>
          <w:bCs w:val="1"/>
          <w:color w:val="000000"/>
        </w:rPr>
        <w:t>Severance Benefits 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4.</w:t>
      </w:r>
      <w:r>
        <w:rPr>
          <w:rFonts w:ascii="Arial" w:cs="Arial" w:eastAsia="Arial" w:hAnsi="Arial"/>
          <w:sz w:val="12"/>
          <w:szCs w:val="12"/>
          <w:b w:val="1"/>
          <w:bCs w:val="1"/>
          <w:color w:val="000000"/>
        </w:rPr>
        <w:t>Ineligibility 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5.</w:t>
      </w:r>
      <w:r>
        <w:rPr>
          <w:rFonts w:ascii="Arial" w:cs="Arial" w:eastAsia="Arial" w:hAnsi="Arial"/>
          <w:sz w:val="12"/>
          <w:szCs w:val="12"/>
          <w:b w:val="1"/>
          <w:bCs w:val="1"/>
          <w:color w:val="000000"/>
        </w:rPr>
        <w:t>Restrictive Covenants 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6.</w:t>
      </w:r>
      <w:r>
        <w:rPr>
          <w:rFonts w:ascii="Arial" w:cs="Arial" w:eastAsia="Arial" w:hAnsi="Arial"/>
          <w:sz w:val="12"/>
          <w:szCs w:val="12"/>
          <w:b w:val="1"/>
          <w:bCs w:val="1"/>
          <w:color w:val="000000"/>
        </w:rPr>
        <w:t>Certain Change in Control Payments 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7.</w:t>
      </w:r>
      <w:r>
        <w:rPr>
          <w:rFonts w:ascii="Arial" w:cs="Arial" w:eastAsia="Arial" w:hAnsi="Arial"/>
          <w:sz w:val="12"/>
          <w:szCs w:val="12"/>
          <w:b w:val="1"/>
          <w:bCs w:val="1"/>
          <w:color w:val="000000"/>
        </w:rPr>
        <w:t>Legal Fees and Notice 15</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8.</w:t>
      </w:r>
      <w:r>
        <w:rPr>
          <w:rFonts w:ascii="Arial" w:cs="Arial" w:eastAsia="Arial" w:hAnsi="Arial"/>
          <w:sz w:val="12"/>
          <w:szCs w:val="12"/>
          <w:b w:val="1"/>
          <w:bCs w:val="1"/>
          <w:color w:val="000000"/>
        </w:rPr>
        <w:t>Successors and Assignment 15</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10000"/>
        </w:rPr>
        <w:t>Article 9.</w:t>
      </w:r>
      <w:r>
        <w:rPr>
          <w:rFonts w:ascii="Arial" w:cs="Arial" w:eastAsia="Arial" w:hAnsi="Arial"/>
          <w:sz w:val="12"/>
          <w:szCs w:val="12"/>
          <w:b w:val="1"/>
          <w:bCs w:val="1"/>
          <w:color w:val="000000"/>
        </w:rPr>
        <w:t>Miscellaneous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Clearway Energy,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&amp; Key Management Change-in-Control and General Severance Plan for Tier III and Tier IV Executives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1.</w:t>
      </w:r>
      <w:r>
        <w:rPr>
          <w:rFonts w:ascii="Arial" w:cs="Arial" w:eastAsia="Arial" w:hAnsi="Arial"/>
          <w:sz w:val="14"/>
          <w:szCs w:val="14"/>
          <w:b w:val="1"/>
          <w:bCs w:val="1"/>
          <w:color w:val="000000"/>
        </w:rPr>
        <w:t>Establishment and Term of the Plan</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b w:val="1"/>
          <w:bCs w:val="1"/>
          <w:color w:val="auto"/>
        </w:rPr>
        <w:t>Establishment of the Plan</w:t>
      </w:r>
    </w:p>
    <w:p>
      <w:pPr>
        <w:spacing w:after="0" w:line="158"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Clearway Energy, Inc. (hereinafter referred to as the “</w:t>
      </w:r>
      <w:r>
        <w:rPr>
          <w:rFonts w:ascii="Arial" w:cs="Arial" w:eastAsia="Arial" w:hAnsi="Arial"/>
          <w:sz w:val="14"/>
          <w:szCs w:val="14"/>
          <w:u w:val="single" w:color="auto"/>
          <w:color w:val="auto"/>
        </w:rPr>
        <w:t>Company</w:t>
      </w:r>
      <w:r>
        <w:rPr>
          <w:rFonts w:ascii="Arial" w:cs="Arial" w:eastAsia="Arial" w:hAnsi="Arial"/>
          <w:sz w:val="14"/>
          <w:szCs w:val="14"/>
          <w:color w:val="auto"/>
        </w:rPr>
        <w:t>”) originally adopted this Executive &amp; Key Management Change-in-Control &amp; General Severance Plan for Tier III and Tier IV Executives (the “</w:t>
      </w:r>
      <w:r>
        <w:rPr>
          <w:rFonts w:ascii="Arial" w:cs="Arial" w:eastAsia="Arial" w:hAnsi="Arial"/>
          <w:sz w:val="14"/>
          <w:szCs w:val="14"/>
          <w:u w:val="single" w:color="auto"/>
          <w:color w:val="auto"/>
        </w:rPr>
        <w:t>Plan</w:t>
      </w:r>
      <w:r>
        <w:rPr>
          <w:rFonts w:ascii="Arial" w:cs="Arial" w:eastAsia="Arial" w:hAnsi="Arial"/>
          <w:sz w:val="14"/>
          <w:szCs w:val="14"/>
          <w:color w:val="auto"/>
        </w:rPr>
        <w:t>”) effective January 1, 2017. The Plan was amended and restated by the Company as of January 1, 2018 and is hereby further amended and restated as of January 1, 2019. The Plan provides Severance Benefits to Tier III Executives and Tier IV Executives of the Company (each an “</w:t>
      </w:r>
      <w:r>
        <w:rPr>
          <w:rFonts w:ascii="Arial" w:cs="Arial" w:eastAsia="Arial" w:hAnsi="Arial"/>
          <w:sz w:val="14"/>
          <w:szCs w:val="14"/>
          <w:u w:val="single" w:color="auto"/>
          <w:color w:val="auto"/>
        </w:rPr>
        <w:t>Executive</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Executives</w:t>
      </w:r>
      <w:r>
        <w:rPr>
          <w:rFonts w:ascii="Arial" w:cs="Arial" w:eastAsia="Arial" w:hAnsi="Arial"/>
          <w:sz w:val="14"/>
          <w:szCs w:val="14"/>
          <w:color w:val="auto"/>
        </w:rPr>
        <w:t>”) upon certain terminations of employment from the Company.</w:t>
      </w:r>
    </w:p>
    <w:p>
      <w:pPr>
        <w:spacing w:after="0" w:line="118"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3"/>
          <w:szCs w:val="13"/>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9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4"/>
          <w:szCs w:val="14"/>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9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b w:val="1"/>
          <w:bCs w:val="1"/>
          <w:color w:val="auto"/>
        </w:rPr>
        <w:t>Initial Term</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Plan commenced on January 1, 2017 (the “</w:t>
      </w:r>
      <w:r>
        <w:rPr>
          <w:rFonts w:ascii="Arial" w:cs="Arial" w:eastAsia="Arial" w:hAnsi="Arial"/>
          <w:sz w:val="14"/>
          <w:szCs w:val="14"/>
          <w:u w:val="single" w:color="auto"/>
          <w:color w:val="auto"/>
        </w:rPr>
        <w:t>Effective Date</w:t>
      </w:r>
      <w:r>
        <w:rPr>
          <w:rFonts w:ascii="Arial" w:cs="Arial" w:eastAsia="Arial" w:hAnsi="Arial"/>
          <w:sz w:val="14"/>
          <w:szCs w:val="14"/>
          <w:color w:val="auto"/>
        </w:rPr>
        <w:t>”) and shall continue in effect for a period of three (3) years (the “</w:t>
      </w:r>
      <w:r>
        <w:rPr>
          <w:rFonts w:ascii="Arial" w:cs="Arial" w:eastAsia="Arial" w:hAnsi="Arial"/>
          <w:sz w:val="14"/>
          <w:szCs w:val="14"/>
          <w:u w:val="single" w:color="auto"/>
          <w:color w:val="auto"/>
        </w:rPr>
        <w:t>Initial Term</w:t>
      </w:r>
      <w:r>
        <w:rPr>
          <w:rFonts w:ascii="Arial" w:cs="Arial" w:eastAsia="Arial" w:hAnsi="Arial"/>
          <w:sz w:val="14"/>
          <w:szCs w:val="14"/>
          <w:color w:val="auto"/>
        </w:rPr>
        <w:t>”).</w:t>
      </w:r>
    </w:p>
    <w:p>
      <w:pPr>
        <w:spacing w:after="0" w:line="15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b w:val="1"/>
          <w:bCs w:val="1"/>
          <w:color w:val="auto"/>
        </w:rPr>
        <w:t>Successive Periods</w:t>
      </w:r>
    </w:p>
    <w:p>
      <w:pPr>
        <w:spacing w:after="0" w:line="158"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3"/>
          <w:szCs w:val="13"/>
          <w:color w:val="auto"/>
        </w:rPr>
        <w:t>The term of this Plan shall automatically be extended for one (1) additional year at the end of the Initial Term, and then again after each successive one (1) year period thereafter (each such one (1) year period following the Initial Term is referred to as a “</w:t>
      </w:r>
      <w:r>
        <w:rPr>
          <w:rFonts w:ascii="Arial" w:cs="Arial" w:eastAsia="Arial" w:hAnsi="Arial"/>
          <w:sz w:val="13"/>
          <w:szCs w:val="13"/>
          <w:u w:val="single" w:color="auto"/>
          <w:color w:val="auto"/>
        </w:rPr>
        <w:t>Successive Period</w:t>
      </w:r>
      <w:r>
        <w:rPr>
          <w:rFonts w:ascii="Arial" w:cs="Arial" w:eastAsia="Arial" w:hAnsi="Arial"/>
          <w:sz w:val="13"/>
          <w:szCs w:val="13"/>
          <w:color w:val="auto"/>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9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b w:val="1"/>
          <w:bCs w:val="1"/>
          <w:color w:val="auto"/>
        </w:rPr>
        <w:t>Change-in-Control Renewal</w:t>
      </w:r>
    </w:p>
    <w:p>
      <w:pPr>
        <w:spacing w:after="0" w:line="158"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3"/>
          <w:szCs w:val="13"/>
          <w:color w:val="auto"/>
        </w:rPr>
        <w:t xml:space="preserve">Notwithstanding the provisions of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above, in the event that a Change in Control of the Company occurs during the Initial Term or any Successive Period, upon the 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2.</w:t>
      </w:r>
      <w:r>
        <w:rPr>
          <w:rFonts w:ascii="Arial" w:cs="Arial" w:eastAsia="Arial" w:hAnsi="Arial"/>
          <w:sz w:val="14"/>
          <w:szCs w:val="14"/>
          <w:b w:val="1"/>
          <w:bCs w:val="1"/>
          <w:color w:val="000000"/>
        </w:rPr>
        <w:t>Definitions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Whenever used in this Plan, the following terms shall have the meanings set forth below and, when the meaning is intended, the initial letter of the word is capitalized.</w:t>
      </w:r>
    </w:p>
    <w:p>
      <w:pPr>
        <w:spacing w:after="0" w:line="150" w:lineRule="exact"/>
        <w:rPr>
          <w:sz w:val="20"/>
          <w:szCs w:val="20"/>
          <w:color w:val="auto"/>
        </w:rPr>
      </w:pPr>
    </w:p>
    <w:p>
      <w:pPr>
        <w:ind w:left="860" w:hanging="436"/>
        <w:spacing w:after="0"/>
        <w:tabs>
          <w:tab w:leader="none" w:pos="860" w:val="left"/>
        </w:tabs>
        <w:numPr>
          <w:ilvl w:val="0"/>
          <w:numId w:val="188"/>
        </w:numPr>
        <w:rPr>
          <w:rFonts w:ascii="Arial" w:cs="Arial" w:eastAsia="Arial" w:hAnsi="Arial"/>
          <w:sz w:val="14"/>
          <w:szCs w:val="14"/>
          <w:color w:val="010000"/>
        </w:rPr>
      </w:pPr>
      <w:r>
        <w:rPr>
          <w:rFonts w:ascii="Arial" w:cs="Arial" w:eastAsia="Arial" w:hAnsi="Arial"/>
          <w:sz w:val="14"/>
          <w:szCs w:val="14"/>
          <w:b w:val="1"/>
          <w:bCs w:val="1"/>
          <w:color w:val="auto"/>
        </w:rPr>
        <w:t xml:space="preserve">“Accountants”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860" w:hanging="436"/>
        <w:spacing w:after="0"/>
        <w:tabs>
          <w:tab w:leader="none" w:pos="860" w:val="left"/>
        </w:tabs>
        <w:numPr>
          <w:ilvl w:val="0"/>
          <w:numId w:val="188"/>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Base Salary</w:t>
      </w:r>
      <w:r>
        <w:rPr>
          <w:rFonts w:ascii="Arial" w:cs="Arial" w:eastAsia="Arial" w:hAnsi="Arial"/>
          <w:sz w:val="13"/>
          <w:szCs w:val="13"/>
          <w:color w:val="auto"/>
        </w:rPr>
        <w:t>” means the greater of the Executive’s annual rate of salary, whether or not deferred, at: (i) the Effective Date of Termination or (ii) at the date of the Change in Control.</w:t>
      </w:r>
    </w:p>
    <w:p>
      <w:pPr>
        <w:spacing w:after="0" w:line="165" w:lineRule="exact"/>
        <w:rPr>
          <w:rFonts w:ascii="Arial" w:cs="Arial" w:eastAsia="Arial" w:hAnsi="Arial"/>
          <w:sz w:val="13"/>
          <w:szCs w:val="13"/>
          <w:color w:val="010000"/>
        </w:rPr>
      </w:pPr>
    </w:p>
    <w:p>
      <w:pPr>
        <w:ind w:left="860" w:hanging="436"/>
        <w:spacing w:after="0"/>
        <w:tabs>
          <w:tab w:leader="none" w:pos="860"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Beneficiary</w:t>
      </w:r>
      <w:r>
        <w:rPr>
          <w:rFonts w:ascii="Arial" w:cs="Arial" w:eastAsia="Arial" w:hAnsi="Arial"/>
          <w:sz w:val="14"/>
          <w:szCs w:val="14"/>
          <w:color w:val="auto"/>
        </w:rPr>
        <w:t xml:space="preserve">” means the persons or entities designated or deemed designated by the Executive pursuant to </w:t>
      </w:r>
      <w:r>
        <w:rPr>
          <w:rFonts w:ascii="Arial" w:cs="Arial" w:eastAsia="Arial" w:hAnsi="Arial"/>
          <w:sz w:val="14"/>
          <w:szCs w:val="14"/>
          <w:u w:val="single" w:color="auto"/>
          <w:color w:val="auto"/>
        </w:rPr>
        <w:t>Section 9.6</w:t>
      </w:r>
      <w:r>
        <w:rPr>
          <w:rFonts w:ascii="Arial" w:cs="Arial" w:eastAsia="Arial" w:hAnsi="Arial"/>
          <w:sz w:val="14"/>
          <w:szCs w:val="14"/>
          <w:color w:val="auto"/>
        </w:rPr>
        <w:t xml:space="preserve"> herein.</w:t>
      </w:r>
    </w:p>
    <w:p>
      <w:pPr>
        <w:spacing w:after="0" w:line="154" w:lineRule="exact"/>
        <w:rPr>
          <w:rFonts w:ascii="Arial" w:cs="Arial" w:eastAsia="Arial" w:hAnsi="Arial"/>
          <w:sz w:val="14"/>
          <w:szCs w:val="14"/>
          <w:color w:val="010000"/>
        </w:rPr>
      </w:pPr>
    </w:p>
    <w:p>
      <w:pPr>
        <w:ind w:left="860" w:hanging="436"/>
        <w:spacing w:after="0"/>
        <w:tabs>
          <w:tab w:leader="none" w:pos="860"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the Board of Directors of the Company.</w:t>
      </w:r>
    </w:p>
    <w:p>
      <w:pPr>
        <w:spacing w:after="0" w:line="154" w:lineRule="exact"/>
        <w:rPr>
          <w:rFonts w:ascii="Arial" w:cs="Arial" w:eastAsia="Arial" w:hAnsi="Arial"/>
          <w:sz w:val="14"/>
          <w:szCs w:val="14"/>
          <w:color w:val="010000"/>
        </w:rPr>
      </w:pPr>
    </w:p>
    <w:p>
      <w:pPr>
        <w:ind w:left="860" w:hanging="436"/>
        <w:spacing w:after="0"/>
        <w:tabs>
          <w:tab w:leader="none" w:pos="860"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shall mean one or more of the following:</w:t>
      </w:r>
    </w:p>
    <w:p>
      <w:pPr>
        <w:spacing w:after="0" w:line="158" w:lineRule="exact"/>
        <w:rPr>
          <w:sz w:val="20"/>
          <w:szCs w:val="20"/>
          <w:color w:val="auto"/>
        </w:rPr>
      </w:pPr>
    </w:p>
    <w:p>
      <w:pPr>
        <w:ind w:left="1860" w:hanging="1003"/>
        <w:spacing w:after="0" w:line="287" w:lineRule="auto"/>
        <w:tabs>
          <w:tab w:leader="none" w:pos="995"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the Executive’s willful misconduct or gross negligence in the performance of the Executive’s duties to the Company that has or could reasonably be expected to have an adverse effect on the Company;</w:t>
      </w:r>
    </w:p>
    <w:p>
      <w:pPr>
        <w:spacing w:after="0" w:line="101" w:lineRule="exact"/>
        <w:rPr>
          <w:sz w:val="20"/>
          <w:szCs w:val="20"/>
          <w:color w:val="auto"/>
        </w:rPr>
      </w:pPr>
    </w:p>
    <w:p>
      <w:pPr>
        <w:ind w:left="860" w:right="1960"/>
        <w:spacing w:after="0" w:line="469" w:lineRule="auto"/>
        <w:rPr>
          <w:sz w:val="20"/>
          <w:szCs w:val="20"/>
          <w:color w:val="auto"/>
        </w:rPr>
      </w:pPr>
      <w:r>
        <w:rPr>
          <w:rFonts w:ascii="Arial" w:cs="Arial" w:eastAsia="Arial" w:hAnsi="Arial"/>
          <w:sz w:val="14"/>
          <w:szCs w:val="14"/>
          <w:color w:val="010000"/>
        </w:rPr>
        <w:t>(ii)</w:t>
      </w:r>
      <w:r>
        <w:rPr>
          <w:rFonts w:ascii="Arial" w:cs="Arial" w:eastAsia="Arial" w:hAnsi="Arial"/>
          <w:sz w:val="14"/>
          <w:szCs w:val="14"/>
          <w:color w:val="000000"/>
        </w:rPr>
        <w:t>the Executive’s willful failure to perform the Executive’s duties to the Company (other than as a result of death or a physical or mental incapacity);</w:t>
      </w:r>
      <w:r>
        <w:rPr>
          <w:rFonts w:ascii="Arial" w:cs="Arial" w:eastAsia="Arial" w:hAnsi="Arial"/>
          <w:sz w:val="14"/>
          <w:szCs w:val="14"/>
          <w:color w:val="010000"/>
        </w:rPr>
        <w:t xml:space="preserve"> (iii)</w:t>
      </w:r>
      <w:r>
        <w:rPr>
          <w:rFonts w:ascii="Arial" w:cs="Arial" w:eastAsia="Arial" w:hAnsi="Arial"/>
          <w:sz w:val="14"/>
          <w:szCs w:val="14"/>
          <w:color w:val="000000"/>
        </w:rPr>
        <w:t>indictment for, conviction of, or pleading of guilty or nolo contendere to, a felony or any crime involving moral turpitude;</w:t>
      </w:r>
    </w:p>
    <w:p>
      <w:pPr>
        <w:spacing w:after="0" w:line="1" w:lineRule="exact"/>
        <w:rPr>
          <w:sz w:val="20"/>
          <w:szCs w:val="20"/>
          <w:color w:val="auto"/>
        </w:rPr>
      </w:pPr>
    </w:p>
    <w:p>
      <w:pPr>
        <w:ind w:left="1080" w:hanging="223"/>
        <w:spacing w:after="0"/>
        <w:tabs>
          <w:tab w:leader="none" w:pos="1080" w:val="left"/>
        </w:tabs>
        <w:numPr>
          <w:ilvl w:val="0"/>
          <w:numId w:val="190"/>
        </w:numPr>
        <w:rPr>
          <w:rFonts w:ascii="Arial" w:cs="Arial" w:eastAsia="Arial" w:hAnsi="Arial"/>
          <w:sz w:val="14"/>
          <w:szCs w:val="14"/>
          <w:color w:val="010000"/>
        </w:rPr>
      </w:pPr>
      <w:r>
        <w:rPr>
          <w:rFonts w:ascii="Arial" w:cs="Arial" w:eastAsia="Arial" w:hAnsi="Arial"/>
          <w:sz w:val="14"/>
          <w:szCs w:val="14"/>
          <w:color w:val="auto"/>
        </w:rPr>
        <w:t>the Executive’s performance of any material act of theft, fraud, malfeasance or dishonesty in connection with the performance of the Executive’s duties to the Company;</w:t>
      </w:r>
    </w:p>
    <w:p>
      <w:pPr>
        <w:spacing w:after="0" w:line="154" w:lineRule="exact"/>
        <w:rPr>
          <w:rFonts w:ascii="Arial" w:cs="Arial" w:eastAsia="Arial" w:hAnsi="Arial"/>
          <w:sz w:val="14"/>
          <w:szCs w:val="14"/>
          <w:color w:val="010000"/>
        </w:rPr>
      </w:pPr>
    </w:p>
    <w:p>
      <w:pPr>
        <w:ind w:left="1020" w:hanging="163"/>
        <w:spacing w:after="0"/>
        <w:tabs>
          <w:tab w:leader="none" w:pos="1020" w:val="left"/>
        </w:tabs>
        <w:numPr>
          <w:ilvl w:val="0"/>
          <w:numId w:val="190"/>
        </w:numPr>
        <w:rPr>
          <w:rFonts w:ascii="Arial" w:cs="Arial" w:eastAsia="Arial" w:hAnsi="Arial"/>
          <w:sz w:val="13"/>
          <w:szCs w:val="13"/>
          <w:color w:val="010000"/>
        </w:rPr>
      </w:pPr>
      <w:r>
        <w:rPr>
          <w:rFonts w:ascii="Arial" w:cs="Arial" w:eastAsia="Arial" w:hAnsi="Arial"/>
          <w:sz w:val="13"/>
          <w:szCs w:val="13"/>
          <w:color w:val="auto"/>
        </w:rPr>
        <w:t>breach of any written agreement between the Executive and the Company, or a violation of the Company’s code of conduct or other written policy; or</w:t>
      </w:r>
    </w:p>
    <w:p>
      <w:pPr>
        <w:spacing w:after="0" w:line="166" w:lineRule="exact"/>
        <w:rPr>
          <w:sz w:val="20"/>
          <w:szCs w:val="20"/>
          <w:color w:val="auto"/>
        </w:rPr>
      </w:pPr>
    </w:p>
    <w:p>
      <w:pPr>
        <w:ind w:left="1280" w:hanging="423"/>
        <w:spacing w:after="0"/>
        <w:tabs>
          <w:tab w:leader="none" w:pos="1280" w:val="left"/>
        </w:tabs>
        <w:numPr>
          <w:ilvl w:val="0"/>
          <w:numId w:val="191"/>
        </w:numPr>
        <w:rPr>
          <w:rFonts w:ascii="Arial" w:cs="Arial" w:eastAsia="Arial" w:hAnsi="Arial"/>
          <w:sz w:val="14"/>
          <w:szCs w:val="14"/>
          <w:color w:val="010000"/>
        </w:rPr>
      </w:pPr>
      <w:r>
        <w:rPr>
          <w:rFonts w:ascii="Arial" w:cs="Arial" w:eastAsia="Arial" w:hAnsi="Arial"/>
          <w:sz w:val="14"/>
          <w:szCs w:val="14"/>
          <w:color w:val="auto"/>
        </w:rPr>
        <w:t xml:space="preserve">any other material breach of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of this Plan.</w:t>
      </w:r>
    </w:p>
    <w:p>
      <w:pPr>
        <w:spacing w:after="0" w:line="154" w:lineRule="exact"/>
        <w:rPr>
          <w:rFonts w:ascii="Arial" w:cs="Arial" w:eastAsia="Arial" w:hAnsi="Arial"/>
          <w:sz w:val="14"/>
          <w:szCs w:val="14"/>
          <w:color w:val="010000"/>
        </w:rPr>
      </w:pPr>
    </w:p>
    <w:p>
      <w:pPr>
        <w:jc w:val="both"/>
        <w:ind w:left="1280"/>
        <w:spacing w:after="0" w:line="327" w:lineRule="auto"/>
        <w:rPr>
          <w:rFonts w:ascii="Arial" w:cs="Arial" w:eastAsia="Arial" w:hAnsi="Arial"/>
          <w:sz w:val="14"/>
          <w:szCs w:val="14"/>
          <w:color w:val="010000"/>
        </w:rPr>
      </w:pPr>
      <w:r>
        <w:rPr>
          <w:rFonts w:ascii="Arial" w:cs="Arial" w:eastAsia="Arial" w:hAnsi="Arial"/>
          <w:sz w:val="13"/>
          <w:szCs w:val="13"/>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w:t>
      </w:r>
    </w:p>
    <w:p>
      <w:pPr>
        <w:sectPr>
          <w:pgSz w:w="11900" w:h="16973" w:orient="portrait"/>
          <w:cols w:equalWidth="0" w:num="1">
            <w:col w:w="11480"/>
          </w:cols>
          <w:pgMar w:left="220" w:top="460" w:right="199" w:bottom="0" w:gutter="0" w:footer="0" w:header="0"/>
        </w:sectPr>
      </w:pPr>
    </w:p>
    <w:bookmarkStart w:id="235" w:name="page236"/>
    <w:bookmarkEnd w:id="235"/>
    <w:p>
      <w:pPr>
        <w:spacing w:after="0" w:line="55" w:lineRule="exact"/>
        <w:rPr>
          <w:sz w:val="20"/>
          <w:szCs w:val="20"/>
          <w:color w:val="auto"/>
        </w:rPr>
      </w:pPr>
    </w:p>
    <w:p>
      <w:pPr>
        <w:ind w:left="856"/>
        <w:spacing w:after="0" w:line="287" w:lineRule="auto"/>
        <w:rPr>
          <w:sz w:val="20"/>
          <w:szCs w:val="20"/>
          <w:color w:val="auto"/>
        </w:rPr>
      </w:pPr>
      <w:r>
        <w:rPr>
          <w:rFonts w:ascii="Arial" w:cs="Arial" w:eastAsia="Arial" w:hAnsi="Arial"/>
          <w:sz w:val="14"/>
          <w:szCs w:val="14"/>
          <w:color w:val="auto"/>
        </w:rPr>
        <w:t>days to fully cure and remedy the neglect or conduct that is the basis of such claim, provided that the Executive’s right to cure shall not apply if there are egregious, habitual or repeated breaches by the Executive.</w:t>
      </w:r>
    </w:p>
    <w:p>
      <w:pPr>
        <w:spacing w:after="0" w:line="97" w:lineRule="exact"/>
        <w:rPr>
          <w:sz w:val="20"/>
          <w:szCs w:val="20"/>
          <w:color w:val="auto"/>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b w:val="1"/>
          <w:bCs w:val="1"/>
          <w:color w:val="auto"/>
        </w:rPr>
        <w:t xml:space="preserve">“Change-in-Control Severance Benefits” </w:t>
      </w:r>
      <w:r>
        <w:rPr>
          <w:rFonts w:ascii="Arial" w:cs="Arial" w:eastAsia="Arial" w:hAnsi="Arial"/>
          <w:sz w:val="14"/>
          <w:szCs w:val="14"/>
          <w:color w:val="auto"/>
        </w:rPr>
        <w:t>means the Severance Benefit described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3.2</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first to occur of any of the following events:</w:t>
      </w:r>
    </w:p>
    <w:p>
      <w:pPr>
        <w:spacing w:after="0" w:line="158" w:lineRule="exact"/>
        <w:rPr>
          <w:rFonts w:ascii="Arial" w:cs="Arial" w:eastAsia="Arial" w:hAnsi="Arial"/>
          <w:sz w:val="14"/>
          <w:szCs w:val="14"/>
          <w:color w:val="010000"/>
        </w:rPr>
      </w:pPr>
    </w:p>
    <w:p>
      <w:pPr>
        <w:jc w:val="both"/>
        <w:ind w:left="856" w:hanging="423"/>
        <w:spacing w:after="0" w:line="287" w:lineRule="auto"/>
        <w:tabs>
          <w:tab w:leader="none" w:pos="856" w:val="left"/>
        </w:tabs>
        <w:numPr>
          <w:ilvl w:val="1"/>
          <w:numId w:val="192"/>
        </w:numPr>
        <w:rPr>
          <w:rFonts w:ascii="Arial" w:cs="Arial" w:eastAsia="Arial" w:hAnsi="Arial"/>
          <w:sz w:val="13"/>
          <w:szCs w:val="13"/>
          <w:color w:val="010000"/>
        </w:rPr>
      </w:pPr>
      <w:r>
        <w:rPr>
          <w:rFonts w:ascii="Arial" w:cs="Arial" w:eastAsia="Arial" w:hAnsi="Arial"/>
          <w:sz w:val="13"/>
          <w:szCs w:val="13"/>
          <w:color w:val="auto"/>
        </w:rPr>
        <w:t>Any “person” (as that term is used in Sections 13 and 14(d)(2) of the Securities Exchange Act of 1934 (“Exchange Act”)) other than Clearway Energy Group LLC or one of its subsidiaries or affiliates (A) 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05" w:lineRule="exact"/>
        <w:rPr>
          <w:rFonts w:ascii="Arial" w:cs="Arial" w:eastAsia="Arial" w:hAnsi="Arial"/>
          <w:sz w:val="13"/>
          <w:szCs w:val="13"/>
          <w:color w:val="010000"/>
        </w:rPr>
      </w:pPr>
    </w:p>
    <w:p>
      <w:pPr>
        <w:jc w:val="both"/>
        <w:ind w:left="856" w:hanging="423"/>
        <w:spacing w:after="0" w:line="285" w:lineRule="auto"/>
        <w:tabs>
          <w:tab w:leader="none" w:pos="856" w:val="left"/>
        </w:tabs>
        <w:numPr>
          <w:ilvl w:val="1"/>
          <w:numId w:val="192"/>
        </w:numPr>
        <w:rPr>
          <w:rFonts w:ascii="Arial" w:cs="Arial" w:eastAsia="Arial" w:hAnsi="Arial"/>
          <w:sz w:val="13"/>
          <w:szCs w:val="13"/>
          <w:color w:val="010000"/>
        </w:rPr>
      </w:pPr>
      <w:r>
        <w:rPr>
          <w:rFonts w:ascii="Arial" w:cs="Arial" w:eastAsia="Arial" w:hAnsi="Arial"/>
          <w:sz w:val="13"/>
          <w:szCs w:val="13"/>
          <w:color w:val="auto"/>
        </w:rPr>
        <w:t>Persons who on the Effective Date constitute the Board (the “Incumbent Directors”) cease for any reason, including without limitation, as a result 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05" w:lineRule="exact"/>
        <w:rPr>
          <w:rFonts w:ascii="Arial" w:cs="Arial" w:eastAsia="Arial" w:hAnsi="Arial"/>
          <w:sz w:val="13"/>
          <w:szCs w:val="13"/>
          <w:color w:val="010000"/>
        </w:rPr>
      </w:pPr>
    </w:p>
    <w:p>
      <w:pPr>
        <w:jc w:val="both"/>
        <w:ind w:left="856" w:hanging="423"/>
        <w:spacing w:after="0" w:line="285" w:lineRule="auto"/>
        <w:tabs>
          <w:tab w:leader="none" w:pos="856" w:val="left"/>
        </w:tabs>
        <w:numPr>
          <w:ilvl w:val="1"/>
          <w:numId w:val="192"/>
        </w:numPr>
        <w:rPr>
          <w:rFonts w:ascii="Arial" w:cs="Arial" w:eastAsia="Arial" w:hAnsi="Arial"/>
          <w:sz w:val="13"/>
          <w:szCs w:val="13"/>
          <w:color w:val="010000"/>
        </w:rPr>
      </w:pPr>
      <w:r>
        <w:rPr>
          <w:rFonts w:ascii="Arial" w:cs="Arial" w:eastAsia="Arial" w:hAnsi="Arial"/>
          <w:sz w:val="13"/>
          <w:szCs w:val="13"/>
          <w:color w:val="auto"/>
        </w:rPr>
        <w:t>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05" w:lineRule="exact"/>
        <w:rPr>
          <w:rFonts w:ascii="Arial" w:cs="Arial" w:eastAsia="Arial" w:hAnsi="Arial"/>
          <w:sz w:val="13"/>
          <w:szCs w:val="13"/>
          <w:color w:val="010000"/>
        </w:rPr>
      </w:pPr>
    </w:p>
    <w:p>
      <w:pPr>
        <w:ind w:left="856" w:hanging="423"/>
        <w:spacing w:after="0"/>
        <w:tabs>
          <w:tab w:leader="none" w:pos="856" w:val="left"/>
        </w:tabs>
        <w:numPr>
          <w:ilvl w:val="1"/>
          <w:numId w:val="192"/>
        </w:numPr>
        <w:rPr>
          <w:rFonts w:ascii="Arial" w:cs="Arial" w:eastAsia="Arial" w:hAnsi="Arial"/>
          <w:sz w:val="14"/>
          <w:szCs w:val="14"/>
          <w:color w:val="010000"/>
        </w:rPr>
      </w:pPr>
      <w:r>
        <w:rPr>
          <w:rFonts w:ascii="Arial" w:cs="Arial" w:eastAsia="Arial" w:hAnsi="Arial"/>
          <w:sz w:val="14"/>
          <w:szCs w:val="14"/>
          <w:color w:val="auto"/>
        </w:rPr>
        <w:t>The stockholders of the Company approve any plan or proposal for the liquidation or dissolution of the Company.</w:t>
      </w:r>
    </w:p>
    <w:p>
      <w:pPr>
        <w:spacing w:after="0" w:line="150"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 and the treasury regulations and other official guidance promulgated thereunder.</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Committee</w:t>
      </w:r>
      <w:r>
        <w:rPr>
          <w:rFonts w:ascii="Arial" w:cs="Arial" w:eastAsia="Arial" w:hAnsi="Arial"/>
          <w:sz w:val="14"/>
          <w:szCs w:val="14"/>
          <w:color w:val="auto"/>
        </w:rPr>
        <w:t>” means the Compensation Committee of the Board or any other committee appointed by the Board to perform the functions of the Compensation Committee.</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xml:space="preserve">” means Clearway Energy, Inc., a Delaware corporation, or any successor thereto as provided in </w:t>
      </w:r>
      <w:r>
        <w:rPr>
          <w:rFonts w:ascii="Arial" w:cs="Arial" w:eastAsia="Arial" w:hAnsi="Arial"/>
          <w:sz w:val="14"/>
          <w:szCs w:val="14"/>
          <w:u w:val="single" w:color="auto"/>
          <w:color w:val="auto"/>
        </w:rPr>
        <w:t>Article 8</w:t>
      </w:r>
      <w:r>
        <w:rPr>
          <w:rFonts w:ascii="Arial" w:cs="Arial" w:eastAsia="Arial" w:hAnsi="Arial"/>
          <w:sz w:val="14"/>
          <w:szCs w:val="14"/>
          <w:color w:val="auto"/>
        </w:rPr>
        <w:t xml:space="preserve"> herein.</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b w:val="1"/>
          <w:bCs w:val="1"/>
          <w:color w:val="auto"/>
        </w:rPr>
        <w:t xml:space="preserve">“Confidential Information”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5(a)</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b w:val="1"/>
          <w:bCs w:val="1"/>
          <w:color w:val="auto"/>
        </w:rPr>
        <w:t xml:space="preserve">“Delay Period”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3.4(b)</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shall mean a disability that would entitle Executive to payment of monthly disability payments under any Company long-term disability plan.</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means the commencement date of this Plan as specified in </w:t>
      </w:r>
      <w:r>
        <w:rPr>
          <w:rFonts w:ascii="Arial" w:cs="Arial" w:eastAsia="Arial" w:hAnsi="Arial"/>
          <w:sz w:val="14"/>
          <w:szCs w:val="14"/>
          <w:u w:val="single" w:color="auto"/>
          <w:color w:val="auto"/>
        </w:rPr>
        <w:t>Section 1.2</w:t>
      </w:r>
      <w:r>
        <w:rPr>
          <w:rFonts w:ascii="Arial" w:cs="Arial" w:eastAsia="Arial" w:hAnsi="Arial"/>
          <w:sz w:val="14"/>
          <w:szCs w:val="14"/>
          <w:color w:val="auto"/>
        </w:rPr>
        <w:t xml:space="preserve"> of this Plan.</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Effective Date of Termination</w:t>
      </w:r>
      <w:r>
        <w:rPr>
          <w:rFonts w:ascii="Arial" w:cs="Arial" w:eastAsia="Arial" w:hAnsi="Arial"/>
          <w:sz w:val="13"/>
          <w:szCs w:val="13"/>
          <w:color w:val="auto"/>
        </w:rPr>
        <w:t>” means the date on which a Qualifying Termination occurs, as defined hereunder, which triggers the payment of Severance Benefits hereunder.</w:t>
      </w:r>
    </w:p>
    <w:p>
      <w:pPr>
        <w:spacing w:after="0" w:line="165" w:lineRule="exact"/>
        <w:rPr>
          <w:rFonts w:ascii="Arial" w:cs="Arial" w:eastAsia="Arial" w:hAnsi="Arial"/>
          <w:sz w:val="13"/>
          <w:szCs w:val="13"/>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b w:val="1"/>
          <w:bCs w:val="1"/>
          <w:color w:val="auto"/>
        </w:rPr>
        <w:t xml:space="preserve">“Executive”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1.1</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right="20" w:hanging="436"/>
        <w:spacing w:after="0" w:line="292" w:lineRule="auto"/>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Former Parent Company</w:t>
      </w:r>
      <w:r>
        <w:rPr>
          <w:rFonts w:ascii="Arial" w:cs="Arial" w:eastAsia="Arial" w:hAnsi="Arial"/>
          <w:sz w:val="14"/>
          <w:szCs w:val="14"/>
          <w:color w:val="auto"/>
        </w:rPr>
        <w:t>” means, collectively, NRG Energy, Inc., a Delaware Corporation, Xcel Energy, Inc., a Minnesota corporation, and their affiliates and any successors thereto.</w:t>
      </w:r>
    </w:p>
    <w:p>
      <w:pPr>
        <w:spacing w:after="0" w:line="9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b w:val="1"/>
          <w:bCs w:val="1"/>
          <w:color w:val="auto"/>
        </w:rPr>
        <w:t xml:space="preserve">“General Severance Benefits” </w:t>
      </w:r>
      <w:r>
        <w:rPr>
          <w:rFonts w:ascii="Arial" w:cs="Arial" w:eastAsia="Arial" w:hAnsi="Arial"/>
          <w:sz w:val="14"/>
          <w:szCs w:val="14"/>
          <w:color w:val="auto"/>
        </w:rPr>
        <w:t>means the Severance Benefit described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3.3</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shall mean without the Executive’s express written consent the occurrence of any one or more of the following:</w:t>
      </w:r>
    </w:p>
    <w:p>
      <w:pPr>
        <w:spacing w:after="0" w:line="158" w:lineRule="exact"/>
        <w:rPr>
          <w:rFonts w:ascii="Arial" w:cs="Arial" w:eastAsia="Arial" w:hAnsi="Arial"/>
          <w:sz w:val="14"/>
          <w:szCs w:val="14"/>
          <w:color w:val="010000"/>
        </w:rPr>
      </w:pPr>
    </w:p>
    <w:p>
      <w:pPr>
        <w:ind w:left="856" w:hanging="423"/>
        <w:spacing w:after="0"/>
        <w:tabs>
          <w:tab w:leader="none" w:pos="856" w:val="left"/>
        </w:tabs>
        <w:numPr>
          <w:ilvl w:val="1"/>
          <w:numId w:val="192"/>
        </w:numPr>
        <w:rPr>
          <w:rFonts w:ascii="Arial" w:cs="Arial" w:eastAsia="Arial" w:hAnsi="Arial"/>
          <w:sz w:val="14"/>
          <w:szCs w:val="14"/>
          <w:color w:val="010000"/>
        </w:rPr>
      </w:pPr>
      <w:r>
        <w:rPr>
          <w:rFonts w:ascii="Arial" w:cs="Arial" w:eastAsia="Arial" w:hAnsi="Arial"/>
          <w:sz w:val="14"/>
          <w:szCs w:val="14"/>
          <w:color w:val="auto"/>
        </w:rPr>
        <w:t>The Company materially reduces the amount of the Executive’s then current Base Salary or the target for his annual bonus; or</w:t>
      </w:r>
    </w:p>
    <w:p>
      <w:pPr>
        <w:spacing w:after="0" w:line="154" w:lineRule="exact"/>
        <w:rPr>
          <w:rFonts w:ascii="Arial" w:cs="Arial" w:eastAsia="Arial" w:hAnsi="Arial"/>
          <w:sz w:val="14"/>
          <w:szCs w:val="14"/>
          <w:color w:val="010000"/>
        </w:rPr>
      </w:pPr>
    </w:p>
    <w:p>
      <w:pPr>
        <w:ind w:left="856" w:hanging="423"/>
        <w:spacing w:after="0" w:line="287" w:lineRule="auto"/>
        <w:tabs>
          <w:tab w:leader="none" w:pos="856" w:val="left"/>
        </w:tabs>
        <w:numPr>
          <w:ilvl w:val="1"/>
          <w:numId w:val="192"/>
        </w:numPr>
        <w:rPr>
          <w:rFonts w:ascii="Arial" w:cs="Arial" w:eastAsia="Arial" w:hAnsi="Arial"/>
          <w:sz w:val="14"/>
          <w:szCs w:val="14"/>
          <w:color w:val="010000"/>
        </w:rPr>
      </w:pPr>
      <w:r>
        <w:rPr>
          <w:rFonts w:ascii="Arial" w:cs="Arial" w:eastAsia="Arial" w:hAnsi="Arial"/>
          <w:sz w:val="14"/>
          <w:szCs w:val="14"/>
          <w:color w:val="auto"/>
        </w:rPr>
        <w:t>A material reduction in the Executive’s benefits under or relative level of participation in the Company’s employee benefit or retirement plans, policies, practices, or arrangements in which the Executive participates as of the Effective Date of this Plan; or</w:t>
      </w:r>
    </w:p>
    <w:p>
      <w:pPr>
        <w:spacing w:after="0" w:line="101" w:lineRule="exact"/>
        <w:rPr>
          <w:rFonts w:ascii="Arial" w:cs="Arial" w:eastAsia="Arial" w:hAnsi="Arial"/>
          <w:sz w:val="14"/>
          <w:szCs w:val="14"/>
          <w:color w:val="010000"/>
        </w:rPr>
      </w:pPr>
    </w:p>
    <w:p>
      <w:pPr>
        <w:ind w:left="856" w:right="20" w:hanging="423"/>
        <w:spacing w:after="0" w:line="287" w:lineRule="auto"/>
        <w:tabs>
          <w:tab w:leader="none" w:pos="856" w:val="left"/>
        </w:tabs>
        <w:numPr>
          <w:ilvl w:val="1"/>
          <w:numId w:val="192"/>
        </w:numPr>
        <w:rPr>
          <w:rFonts w:ascii="Arial" w:cs="Arial" w:eastAsia="Arial" w:hAnsi="Arial"/>
          <w:sz w:val="14"/>
          <w:szCs w:val="14"/>
          <w:color w:val="010000"/>
        </w:rPr>
      </w:pPr>
      <w:r>
        <w:rPr>
          <w:rFonts w:ascii="Arial" w:cs="Arial" w:eastAsia="Arial" w:hAnsi="Arial"/>
          <w:sz w:val="14"/>
          <w:szCs w:val="14"/>
          <w:color w:val="auto"/>
        </w:rPr>
        <w:t>A material diminution in the Executive’s title, authority, duties, or responsibilities or the assignment of duties to the Executive which are materially inconsistent with his position; or</w:t>
      </w:r>
    </w:p>
    <w:p>
      <w:pPr>
        <w:spacing w:after="0" w:line="101" w:lineRule="exact"/>
        <w:rPr>
          <w:rFonts w:ascii="Arial" w:cs="Arial" w:eastAsia="Arial" w:hAnsi="Arial"/>
          <w:sz w:val="14"/>
          <w:szCs w:val="14"/>
          <w:color w:val="010000"/>
        </w:rPr>
      </w:pPr>
    </w:p>
    <w:p>
      <w:pPr>
        <w:ind w:left="856" w:hanging="423"/>
        <w:spacing w:after="0" w:line="287" w:lineRule="auto"/>
        <w:tabs>
          <w:tab w:leader="none" w:pos="856" w:val="left"/>
        </w:tabs>
        <w:numPr>
          <w:ilvl w:val="1"/>
          <w:numId w:val="192"/>
        </w:numPr>
        <w:rPr>
          <w:rFonts w:ascii="Arial" w:cs="Arial" w:eastAsia="Arial" w:hAnsi="Arial"/>
          <w:sz w:val="14"/>
          <w:szCs w:val="14"/>
          <w:color w:val="010000"/>
        </w:rPr>
      </w:pPr>
      <w:r>
        <w:rPr>
          <w:rFonts w:ascii="Arial" w:cs="Arial" w:eastAsia="Arial" w:hAnsi="Arial"/>
          <w:sz w:val="14"/>
          <w:szCs w:val="14"/>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01" w:lineRule="exact"/>
        <w:rPr>
          <w:sz w:val="20"/>
          <w:szCs w:val="20"/>
          <w:color w:val="auto"/>
        </w:rPr>
      </w:pPr>
    </w:p>
    <w:p>
      <w:pPr>
        <w:jc w:val="both"/>
        <w:ind w:left="436"/>
        <w:spacing w:after="0" w:line="271" w:lineRule="auto"/>
        <w:rPr>
          <w:sz w:val="20"/>
          <w:szCs w:val="20"/>
          <w:color w:val="auto"/>
        </w:rPr>
      </w:pPr>
      <w:r>
        <w:rPr>
          <w:rFonts w:ascii="Arial" w:cs="Arial" w:eastAsia="Arial" w:hAnsi="Arial"/>
          <w:sz w:val="14"/>
          <w:szCs w:val="14"/>
          <w:color w:val="auto"/>
        </w:rPr>
        <w:t>For purposes of this Plan, the Executive is not entitled to assert that his termination is for Good Reason unless the Executive gives the Board written notice of the event or events which are the basis for such claim within ninety (90) days after the event or events occur, describing such claim in reasonably sufficient detail to allow the Board to address the event or events and a period of not less than thirty (30) days after to cure or fully remedy the alleged condition.</w:t>
      </w:r>
    </w:p>
    <w:p>
      <w:pPr>
        <w:spacing w:after="0" w:line="108" w:lineRule="exact"/>
        <w:rPr>
          <w:sz w:val="20"/>
          <w:szCs w:val="20"/>
          <w:color w:val="auto"/>
        </w:rPr>
      </w:pPr>
    </w:p>
    <w:p>
      <w:pPr>
        <w:ind w:left="436" w:hanging="436"/>
        <w:spacing w:after="0"/>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b w:val="1"/>
          <w:bCs w:val="1"/>
          <w:color w:val="auto"/>
        </w:rPr>
        <w:t xml:space="preserve">“Initial Term”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1.2</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b w:val="1"/>
          <w:bCs w:val="1"/>
          <w:color w:val="auto"/>
        </w:rPr>
        <w:t xml:space="preserve">“Nonsolicitation Period”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5(c)</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line="292" w:lineRule="auto"/>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Notice of Termination</w:t>
      </w:r>
      <w:r>
        <w:rPr>
          <w:rFonts w:ascii="Arial" w:cs="Arial" w:eastAsia="Arial" w:hAnsi="Arial"/>
          <w:sz w:val="14"/>
          <w:szCs w:val="14"/>
          <w:color w:val="auto"/>
        </w:rPr>
        <w:t>” shall mean a written notice which shall indicate the specific termination provision in this Plan relied upon, and shall set forth in reasonable detail the facts and circumstances claimed to provide a basis for termination of the Executive’s employment under the provision so indicated.</w:t>
      </w:r>
    </w:p>
    <w:p>
      <w:pPr>
        <w:spacing w:after="0" w:line="94" w:lineRule="exact"/>
        <w:rPr>
          <w:rFonts w:ascii="Arial" w:cs="Arial" w:eastAsia="Arial" w:hAnsi="Arial"/>
          <w:sz w:val="14"/>
          <w:szCs w:val="14"/>
          <w:color w:val="010000"/>
        </w:rPr>
      </w:pPr>
    </w:p>
    <w:p>
      <w:pPr>
        <w:ind w:left="436" w:hanging="436"/>
        <w:spacing w:after="0"/>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b w:val="1"/>
          <w:bCs w:val="1"/>
          <w:color w:val="auto"/>
        </w:rPr>
        <w:t xml:space="preserve">“Parachute Payment Ratio”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b w:val="1"/>
          <w:bCs w:val="1"/>
          <w:color w:val="auto"/>
        </w:rPr>
        <w:t xml:space="preserve">“Plan”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1.1</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Qualifying Termination</w:t>
      </w:r>
      <w:r>
        <w:rPr>
          <w:rFonts w:ascii="Arial" w:cs="Arial" w:eastAsia="Arial" w:hAnsi="Arial"/>
          <w:sz w:val="14"/>
          <w:szCs w:val="14"/>
          <w:color w:val="auto"/>
        </w:rPr>
        <w:t>” means:</w:t>
      </w:r>
    </w:p>
    <w:p>
      <w:pPr>
        <w:spacing w:after="0" w:line="158" w:lineRule="exact"/>
        <w:rPr>
          <w:rFonts w:ascii="Arial" w:cs="Arial" w:eastAsia="Arial" w:hAnsi="Arial"/>
          <w:sz w:val="14"/>
          <w:szCs w:val="14"/>
          <w:color w:val="010000"/>
        </w:rPr>
      </w:pPr>
    </w:p>
    <w:p>
      <w:pPr>
        <w:ind w:left="856" w:hanging="423"/>
        <w:spacing w:after="0"/>
        <w:tabs>
          <w:tab w:leader="none" w:pos="856" w:val="left"/>
        </w:tabs>
        <w:numPr>
          <w:ilvl w:val="1"/>
          <w:numId w:val="193"/>
        </w:numPr>
        <w:rPr>
          <w:rFonts w:ascii="Arial" w:cs="Arial" w:eastAsia="Arial" w:hAnsi="Arial"/>
          <w:sz w:val="14"/>
          <w:szCs w:val="14"/>
          <w:color w:val="010000"/>
        </w:rPr>
      </w:pPr>
      <w:r>
        <w:rPr>
          <w:rFonts w:ascii="Arial" w:cs="Arial" w:eastAsia="Arial" w:hAnsi="Arial"/>
          <w:sz w:val="14"/>
          <w:szCs w:val="14"/>
          <w:color w:val="auto"/>
        </w:rPr>
        <w:t>If such event occurs within the time period that is six (6) months immediately prior to, or twelve (12) months immediately following a Change in Control:</w:t>
      </w:r>
    </w:p>
    <w:p>
      <w:pPr>
        <w:spacing w:after="0" w:line="154" w:lineRule="exact"/>
        <w:rPr>
          <w:rFonts w:ascii="Arial" w:cs="Arial" w:eastAsia="Arial" w:hAnsi="Arial"/>
          <w:sz w:val="14"/>
          <w:szCs w:val="14"/>
          <w:color w:val="010000"/>
        </w:rPr>
      </w:pPr>
    </w:p>
    <w:p>
      <w:pPr>
        <w:ind w:left="1296" w:right="20" w:hanging="431"/>
        <w:spacing w:after="0" w:line="287" w:lineRule="auto"/>
        <w:tabs>
          <w:tab w:leader="none" w:pos="1296" w:val="left"/>
        </w:tabs>
        <w:numPr>
          <w:ilvl w:val="2"/>
          <w:numId w:val="193"/>
        </w:numPr>
        <w:rPr>
          <w:rFonts w:ascii="Arial" w:cs="Arial" w:eastAsia="Arial" w:hAnsi="Arial"/>
          <w:sz w:val="14"/>
          <w:szCs w:val="14"/>
          <w:color w:val="010000"/>
        </w:rPr>
      </w:pPr>
      <w:r>
        <w:rPr>
          <w:rFonts w:ascii="Arial" w:cs="Arial" w:eastAsia="Arial" w:hAnsi="Arial"/>
          <w:sz w:val="14"/>
          <w:szCs w:val="14"/>
          <w:color w:val="auto"/>
        </w:rPr>
        <w:t>An involuntary termination of the Executive’s employment by the Company for reasons other than Cause, death, or Disability pursuant to a Notice of Termination delivered to the Executive by the Company; or</w:t>
      </w:r>
    </w:p>
    <w:p>
      <w:pPr>
        <w:spacing w:after="0" w:line="101" w:lineRule="exact"/>
        <w:rPr>
          <w:rFonts w:ascii="Arial" w:cs="Arial" w:eastAsia="Arial" w:hAnsi="Arial"/>
          <w:sz w:val="14"/>
          <w:szCs w:val="14"/>
          <w:color w:val="010000"/>
        </w:rPr>
      </w:pPr>
    </w:p>
    <w:p>
      <w:pPr>
        <w:ind w:left="1296" w:hanging="431"/>
        <w:spacing w:after="0"/>
        <w:tabs>
          <w:tab w:leader="none" w:pos="1296" w:val="left"/>
        </w:tabs>
        <w:numPr>
          <w:ilvl w:val="2"/>
          <w:numId w:val="193"/>
        </w:numPr>
        <w:rPr>
          <w:rFonts w:ascii="Arial" w:cs="Arial" w:eastAsia="Arial" w:hAnsi="Arial"/>
          <w:sz w:val="14"/>
          <w:szCs w:val="14"/>
          <w:color w:val="010000"/>
        </w:rPr>
      </w:pPr>
      <w:r>
        <w:rPr>
          <w:rFonts w:ascii="Arial" w:cs="Arial" w:eastAsia="Arial" w:hAnsi="Arial"/>
          <w:sz w:val="14"/>
          <w:szCs w:val="14"/>
          <w:color w:val="auto"/>
        </w:rPr>
        <w:t>A voluntary termination by the Executive for Good Reason pursuant to a Notice of Termination delivered to the Company by the Executive; or</w:t>
      </w:r>
    </w:p>
    <w:p>
      <w:pPr>
        <w:spacing w:after="0" w:line="154" w:lineRule="exact"/>
        <w:rPr>
          <w:rFonts w:ascii="Arial" w:cs="Arial" w:eastAsia="Arial" w:hAnsi="Arial"/>
          <w:sz w:val="14"/>
          <w:szCs w:val="14"/>
          <w:color w:val="010000"/>
        </w:rPr>
      </w:pPr>
    </w:p>
    <w:p>
      <w:pPr>
        <w:ind w:left="856" w:hanging="423"/>
        <w:spacing w:after="0"/>
        <w:tabs>
          <w:tab w:leader="none" w:pos="856" w:val="left"/>
        </w:tabs>
        <w:numPr>
          <w:ilvl w:val="1"/>
          <w:numId w:val="193"/>
        </w:numPr>
        <w:rPr>
          <w:rFonts w:ascii="Arial" w:cs="Arial" w:eastAsia="Arial" w:hAnsi="Arial"/>
          <w:sz w:val="14"/>
          <w:szCs w:val="14"/>
          <w:color w:val="010000"/>
        </w:rPr>
      </w:pPr>
      <w:r>
        <w:rPr>
          <w:rFonts w:ascii="Arial" w:cs="Arial" w:eastAsia="Arial" w:hAnsi="Arial"/>
          <w:sz w:val="14"/>
          <w:szCs w:val="14"/>
          <w:color w:val="auto"/>
        </w:rPr>
        <w:t>If such event occurs at any other time:</w:t>
      </w:r>
    </w:p>
    <w:p>
      <w:pPr>
        <w:spacing w:after="0" w:line="154" w:lineRule="exact"/>
        <w:rPr>
          <w:rFonts w:ascii="Arial" w:cs="Arial" w:eastAsia="Arial" w:hAnsi="Arial"/>
          <w:sz w:val="14"/>
          <w:szCs w:val="14"/>
          <w:color w:val="010000"/>
        </w:rPr>
      </w:pPr>
    </w:p>
    <w:p>
      <w:pPr>
        <w:ind w:left="1296" w:hanging="431"/>
        <w:spacing w:after="0"/>
        <w:tabs>
          <w:tab w:leader="none" w:pos="1296" w:val="left"/>
        </w:tabs>
        <w:numPr>
          <w:ilvl w:val="2"/>
          <w:numId w:val="193"/>
        </w:numPr>
        <w:rPr>
          <w:rFonts w:ascii="Arial" w:cs="Arial" w:eastAsia="Arial" w:hAnsi="Arial"/>
          <w:sz w:val="14"/>
          <w:szCs w:val="14"/>
          <w:color w:val="010000"/>
        </w:rPr>
      </w:pPr>
      <w:r>
        <w:rPr>
          <w:rFonts w:ascii="Arial" w:cs="Arial" w:eastAsia="Arial" w:hAnsi="Arial"/>
          <w:sz w:val="14"/>
          <w:szCs w:val="14"/>
          <w:color w:val="auto"/>
        </w:rPr>
        <w:t>An involuntary termination of the Executive’s employment by the Company due to reductions in force or other factors as a result of a Company restructuring.</w:t>
      </w:r>
    </w:p>
    <w:p>
      <w:pPr>
        <w:spacing w:after="0" w:line="150" w:lineRule="exact"/>
        <w:rPr>
          <w:rFonts w:ascii="Arial" w:cs="Arial" w:eastAsia="Arial" w:hAnsi="Arial"/>
          <w:sz w:val="14"/>
          <w:szCs w:val="14"/>
          <w:color w:val="010000"/>
        </w:rPr>
      </w:pPr>
    </w:p>
    <w:p>
      <w:pPr>
        <w:ind w:left="436" w:hanging="436"/>
        <w:spacing w:after="0"/>
        <w:tabs>
          <w:tab w:leader="none" w:pos="436" w:val="left"/>
        </w:tabs>
        <w:numPr>
          <w:ilvl w:val="0"/>
          <w:numId w:val="193"/>
        </w:numPr>
        <w:rPr>
          <w:rFonts w:ascii="Arial" w:cs="Arial" w:eastAsia="Arial" w:hAnsi="Arial"/>
          <w:sz w:val="14"/>
          <w:szCs w:val="14"/>
          <w:color w:val="010000"/>
        </w:rPr>
      </w:pPr>
      <w:r>
        <w:rPr>
          <w:rFonts w:ascii="Arial" w:cs="Arial" w:eastAsia="Arial" w:hAnsi="Arial"/>
          <w:sz w:val="14"/>
          <w:szCs w:val="14"/>
          <w:b w:val="1"/>
          <w:bCs w:val="1"/>
          <w:color w:val="auto"/>
        </w:rPr>
        <w:t xml:space="preserve">“Release Effective Date”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3.1(d).</w:t>
      </w:r>
    </w:p>
    <w:p>
      <w:pPr>
        <w:spacing w:after="0" w:line="154" w:lineRule="exact"/>
        <w:rPr>
          <w:sz w:val="20"/>
          <w:szCs w:val="20"/>
          <w:color w:val="auto"/>
        </w:rPr>
      </w:pPr>
    </w:p>
    <w:p>
      <w:pPr>
        <w:ind w:left="436" w:hanging="436"/>
        <w:spacing w:after="0"/>
        <w:tabs>
          <w:tab w:leader="none" w:pos="436" w:val="left"/>
        </w:tabs>
        <w:numPr>
          <w:ilvl w:val="0"/>
          <w:numId w:val="19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Severance Benefits</w:t>
      </w:r>
      <w:r>
        <w:rPr>
          <w:rFonts w:ascii="Arial" w:cs="Arial" w:eastAsia="Arial" w:hAnsi="Arial"/>
          <w:sz w:val="14"/>
          <w:szCs w:val="14"/>
          <w:color w:val="auto"/>
        </w:rPr>
        <w:t xml:space="preserve">” means the payment of Change-in-Control or General (as appropriate) Severance compensation as provided in </w:t>
      </w:r>
      <w:r>
        <w:rPr>
          <w:rFonts w:ascii="Arial" w:cs="Arial" w:eastAsia="Arial" w:hAnsi="Arial"/>
          <w:sz w:val="14"/>
          <w:szCs w:val="14"/>
          <w:u w:val="single" w:color="auto"/>
          <w:color w:val="auto"/>
        </w:rPr>
        <w:t>Article 3</w:t>
      </w:r>
      <w:r>
        <w:rPr>
          <w:rFonts w:ascii="Arial" w:cs="Arial" w:eastAsia="Arial" w:hAnsi="Arial"/>
          <w:sz w:val="14"/>
          <w:szCs w:val="14"/>
          <w:color w:val="auto"/>
        </w:rPr>
        <w:t xml:space="preserve"> herein.</w:t>
      </w:r>
    </w:p>
    <w:p>
      <w:pPr>
        <w:spacing w:after="0" w:line="154" w:lineRule="exact"/>
        <w:rPr>
          <w:rFonts w:ascii="Arial" w:cs="Arial" w:eastAsia="Arial" w:hAnsi="Arial"/>
          <w:sz w:val="14"/>
          <w:szCs w:val="14"/>
          <w:color w:val="010000"/>
        </w:rPr>
      </w:pPr>
    </w:p>
    <w:p>
      <w:pPr>
        <w:ind w:left="436" w:hanging="436"/>
        <w:spacing w:after="0" w:line="292" w:lineRule="auto"/>
        <w:tabs>
          <w:tab w:leader="none" w:pos="436" w:val="left"/>
        </w:tabs>
        <w:numPr>
          <w:ilvl w:val="0"/>
          <w:numId w:val="19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Severance Weeks</w:t>
      </w:r>
      <w:r>
        <w:rPr>
          <w:rFonts w:ascii="Arial" w:cs="Arial" w:eastAsia="Arial" w:hAnsi="Arial"/>
          <w:sz w:val="14"/>
          <w:szCs w:val="14"/>
          <w:color w:val="auto"/>
        </w:rPr>
        <w:t>” means the greater of (i) twenty-four (24) or (ii) the product of one and one half (1.5) and the number of Executive’s Years of Service, provided that the maximum number of Severance Weeks shall be fifty-two (52).</w:t>
      </w:r>
    </w:p>
    <w:p>
      <w:pPr>
        <w:spacing w:after="0" w:line="94" w:lineRule="exact"/>
        <w:rPr>
          <w:rFonts w:ascii="Arial" w:cs="Arial" w:eastAsia="Arial" w:hAnsi="Arial"/>
          <w:sz w:val="14"/>
          <w:szCs w:val="14"/>
          <w:color w:val="010000"/>
        </w:rPr>
      </w:pPr>
    </w:p>
    <w:p>
      <w:pPr>
        <w:ind w:left="436" w:hanging="436"/>
        <w:spacing w:after="0"/>
        <w:tabs>
          <w:tab w:leader="none" w:pos="436" w:val="left"/>
        </w:tabs>
        <w:numPr>
          <w:ilvl w:val="0"/>
          <w:numId w:val="19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Specified Employee</w:t>
      </w:r>
      <w:r>
        <w:rPr>
          <w:rFonts w:ascii="Arial" w:cs="Arial" w:eastAsia="Arial" w:hAnsi="Arial"/>
          <w:sz w:val="14"/>
          <w:szCs w:val="14"/>
          <w:color w:val="auto"/>
        </w:rPr>
        <w:t>” means any Executive described in Section 409A(a)(2)(B)(i) of the Code.</w:t>
      </w:r>
    </w:p>
    <w:p>
      <w:pPr>
        <w:spacing w:after="0" w:line="154" w:lineRule="exact"/>
        <w:rPr>
          <w:rFonts w:ascii="Arial" w:cs="Arial" w:eastAsia="Arial" w:hAnsi="Arial"/>
          <w:sz w:val="14"/>
          <w:szCs w:val="14"/>
          <w:color w:val="010000"/>
        </w:rPr>
      </w:pPr>
    </w:p>
    <w:p>
      <w:pPr>
        <w:ind w:left="436" w:hanging="436"/>
        <w:spacing w:after="0"/>
        <w:tabs>
          <w:tab w:leader="none" w:pos="436" w:val="left"/>
        </w:tabs>
        <w:numPr>
          <w:ilvl w:val="0"/>
          <w:numId w:val="194"/>
        </w:numPr>
        <w:rPr>
          <w:rFonts w:ascii="Arial" w:cs="Arial" w:eastAsia="Arial" w:hAnsi="Arial"/>
          <w:sz w:val="14"/>
          <w:szCs w:val="14"/>
          <w:color w:val="010000"/>
        </w:rPr>
      </w:pPr>
      <w:r>
        <w:rPr>
          <w:rFonts w:ascii="Arial" w:cs="Arial" w:eastAsia="Arial" w:hAnsi="Arial"/>
          <w:sz w:val="14"/>
          <w:szCs w:val="14"/>
          <w:b w:val="1"/>
          <w:bCs w:val="1"/>
          <w:color w:val="auto"/>
        </w:rPr>
        <w:t xml:space="preserve">“Successive Periods”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1.3</w:t>
      </w:r>
      <w:r>
        <w:rPr>
          <w:rFonts w:ascii="Arial" w:cs="Arial" w:eastAsia="Arial" w:hAnsi="Arial"/>
          <w:sz w:val="14"/>
          <w:szCs w:val="14"/>
          <w:color w:val="auto"/>
        </w:rPr>
        <w:t>.</w:t>
      </w:r>
    </w:p>
    <w:p>
      <w:pPr>
        <w:sectPr>
          <w:pgSz w:w="11900" w:h="16894" w:orient="portrait"/>
          <w:cols w:equalWidth="0" w:num="1">
            <w:col w:w="11056"/>
          </w:cols>
          <w:pgMar w:left="644" w:top="134" w:right="199" w:bottom="0" w:gutter="0" w:footer="0" w:header="0"/>
        </w:sectPr>
      </w:pPr>
    </w:p>
    <w:bookmarkStart w:id="236" w:name="page237"/>
    <w:bookmarkEnd w:id="236"/>
    <w:p>
      <w:pPr>
        <w:ind w:left="860" w:hanging="436"/>
        <w:spacing w:after="0"/>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b w:val="1"/>
          <w:bCs w:val="1"/>
          <w:color w:val="auto"/>
        </w:rPr>
        <w:t xml:space="preserve">“Third Party Information”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5(a)</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860" w:hanging="436"/>
        <w:spacing w:after="0" w:line="292" w:lineRule="auto"/>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Tier III Executives</w:t>
      </w:r>
      <w:r>
        <w:rPr>
          <w:rFonts w:ascii="Arial" w:cs="Arial" w:eastAsia="Arial" w:hAnsi="Arial"/>
          <w:sz w:val="14"/>
          <w:szCs w:val="14"/>
          <w:color w:val="auto"/>
        </w:rPr>
        <w:t>” shall include those employees of the Company with the Job Level of VP immediately prior to the Change in Control, or such other person who is designated as a Tier III Executive in the Company’s human resources information system immediately prior to the Change in Control.</w:t>
      </w:r>
    </w:p>
    <w:p>
      <w:pPr>
        <w:spacing w:after="0" w:line="94" w:lineRule="exact"/>
        <w:rPr>
          <w:rFonts w:ascii="Arial" w:cs="Arial" w:eastAsia="Arial" w:hAnsi="Arial"/>
          <w:sz w:val="14"/>
          <w:szCs w:val="14"/>
          <w:color w:val="010000"/>
        </w:rPr>
      </w:pPr>
    </w:p>
    <w:p>
      <w:pPr>
        <w:ind w:left="860" w:right="20" w:hanging="436"/>
        <w:spacing w:after="0" w:line="292" w:lineRule="auto"/>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Tier IV Executives</w:t>
      </w:r>
      <w:r>
        <w:rPr>
          <w:rFonts w:ascii="Arial" w:cs="Arial" w:eastAsia="Arial" w:hAnsi="Arial"/>
          <w:sz w:val="14"/>
          <w:szCs w:val="14"/>
          <w:color w:val="auto"/>
        </w:rPr>
        <w:t>” shall include those employees of the Company with the Job Level of Senior Director immediately prior to the Change in Control, or such other person who is designated as a Tier IV Executive in the Company’s human resources information system immediately prior to the Change in Control.</w:t>
      </w:r>
    </w:p>
    <w:p>
      <w:pPr>
        <w:spacing w:after="0" w:line="94" w:lineRule="exact"/>
        <w:rPr>
          <w:rFonts w:ascii="Arial" w:cs="Arial" w:eastAsia="Arial" w:hAnsi="Arial"/>
          <w:sz w:val="14"/>
          <w:szCs w:val="14"/>
          <w:color w:val="010000"/>
        </w:rPr>
      </w:pPr>
    </w:p>
    <w:p>
      <w:pPr>
        <w:ind w:left="860" w:hanging="436"/>
        <w:spacing w:after="0"/>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Weekly Compensation</w:t>
      </w:r>
      <w:r>
        <w:rPr>
          <w:rFonts w:ascii="Arial" w:cs="Arial" w:eastAsia="Arial" w:hAnsi="Arial"/>
          <w:sz w:val="14"/>
          <w:szCs w:val="14"/>
          <w:color w:val="auto"/>
        </w:rPr>
        <w:t>” means the Executive’s Base Salary divided by fifty-two (52).</w:t>
      </w:r>
    </w:p>
    <w:p>
      <w:pPr>
        <w:spacing w:after="0" w:line="154" w:lineRule="exact"/>
        <w:rPr>
          <w:rFonts w:ascii="Arial" w:cs="Arial" w:eastAsia="Arial" w:hAnsi="Arial"/>
          <w:sz w:val="14"/>
          <w:szCs w:val="14"/>
          <w:color w:val="010000"/>
        </w:rPr>
      </w:pPr>
    </w:p>
    <w:p>
      <w:pPr>
        <w:ind w:left="860" w:hanging="436"/>
        <w:spacing w:after="0"/>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b w:val="1"/>
          <w:bCs w:val="1"/>
          <w:color w:val="auto"/>
        </w:rPr>
        <w:t xml:space="preserve">“Total Payments”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ind w:left="860" w:hanging="436"/>
        <w:spacing w:after="0"/>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b w:val="1"/>
          <w:bCs w:val="1"/>
          <w:color w:val="auto"/>
        </w:rPr>
        <w:t xml:space="preserve">“Work Product”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5(b)</w:t>
      </w:r>
      <w:r>
        <w:rPr>
          <w:rFonts w:ascii="Arial" w:cs="Arial" w:eastAsia="Arial" w:hAnsi="Arial"/>
          <w:sz w:val="14"/>
          <w:szCs w:val="14"/>
          <w:color w:val="auto"/>
        </w:rPr>
        <w:t>.</w:t>
      </w:r>
    </w:p>
    <w:p>
      <w:pPr>
        <w:spacing w:after="0" w:line="154" w:lineRule="exact"/>
        <w:rPr>
          <w:rFonts w:ascii="Arial" w:cs="Arial" w:eastAsia="Arial" w:hAnsi="Arial"/>
          <w:sz w:val="14"/>
          <w:szCs w:val="14"/>
          <w:color w:val="010000"/>
        </w:rPr>
      </w:pPr>
    </w:p>
    <w:p>
      <w:pPr>
        <w:jc w:val="both"/>
        <w:ind w:left="860" w:hanging="436"/>
        <w:spacing w:after="0" w:line="289" w:lineRule="auto"/>
        <w:tabs>
          <w:tab w:leader="none" w:pos="860" w:val="left"/>
        </w:tabs>
        <w:numPr>
          <w:ilvl w:val="0"/>
          <w:numId w:val="195"/>
        </w:numPr>
        <w:rPr>
          <w:rFonts w:ascii="Arial" w:cs="Arial" w:eastAsia="Arial" w:hAnsi="Arial"/>
          <w:sz w:val="13"/>
          <w:szCs w:val="13"/>
          <w:color w:val="010000"/>
        </w:rPr>
      </w:pPr>
      <w:r>
        <w:rPr>
          <w:rFonts w:ascii="Arial" w:cs="Arial" w:eastAsia="Arial" w:hAnsi="Arial"/>
          <w:sz w:val="13"/>
          <w:szCs w:val="13"/>
          <w:b w:val="1"/>
          <w:bCs w:val="1"/>
          <w:color w:val="auto"/>
        </w:rPr>
        <w:t xml:space="preserve">“Year of Service” </w:t>
      </w:r>
      <w:r>
        <w:rPr>
          <w:rFonts w:ascii="Arial" w:cs="Arial" w:eastAsia="Arial" w:hAnsi="Arial"/>
          <w:sz w:val="13"/>
          <w:szCs w:val="13"/>
          <w:color w:val="auto"/>
        </w:rPr>
        <w:t>shall mean an Executive’s completed and partial calendar years of continuous service for the Company and its Affiliates. Years of Service shall include completed</w:t>
      </w:r>
      <w:r>
        <w:rPr>
          <w:rFonts w:ascii="Arial" w:cs="Arial" w:eastAsia="Arial" w:hAnsi="Arial"/>
          <w:sz w:val="13"/>
          <w:szCs w:val="13"/>
          <w:b w:val="1"/>
          <w:bCs w:val="1"/>
          <w:color w:val="auto"/>
        </w:rPr>
        <w:t xml:space="preserve"> </w:t>
      </w:r>
      <w:r>
        <w:rPr>
          <w:rFonts w:ascii="Arial" w:cs="Arial" w:eastAsia="Arial" w:hAnsi="Arial"/>
          <w:sz w:val="13"/>
          <w:szCs w:val="13"/>
          <w:color w:val="auto"/>
        </w:rPr>
        <w:t>and partial calendar years of continuous service for NRG Energy, Inc. and its affiliates. Years of Service shall include time on any Company approved leave of absence. Years of Service shall not include any accrued but unused Paid Time Off benefits as of the Executive’s Qualifying Termination. Service as a temporary or temporary/part-time employee will not be considered a termination or interruption of employment, but will not count toward Years of Service. Years of Service will terminate on the Executive’s Qualifying Termination. An Executive who terminates employment and is rehired by the Company or an Affiliate will not receive credit for any prior Years of Service.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3.</w:t>
      </w:r>
      <w:r>
        <w:rPr>
          <w:rFonts w:ascii="Arial" w:cs="Arial" w:eastAsia="Arial" w:hAnsi="Arial"/>
          <w:sz w:val="14"/>
          <w:szCs w:val="14"/>
          <w:b w:val="1"/>
          <w:bCs w:val="1"/>
          <w:color w:val="000000"/>
        </w:rPr>
        <w:t>Severance Benefits</w:t>
      </w:r>
    </w:p>
    <w:p>
      <w:pPr>
        <w:spacing w:after="0" w:line="154" w:lineRule="exact"/>
        <w:rPr>
          <w:sz w:val="20"/>
          <w:szCs w:val="20"/>
          <w:color w:val="auto"/>
        </w:rPr>
      </w:pPr>
    </w:p>
    <w:p>
      <w:pPr>
        <w:jc w:val="both"/>
        <w:ind w:left="860" w:hanging="431"/>
        <w:spacing w:after="0" w:line="274" w:lineRule="auto"/>
        <w:tabs>
          <w:tab w:leader="none" w:pos="8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b w:val="1"/>
          <w:bCs w:val="1"/>
          <w:color w:val="auto"/>
        </w:rPr>
        <w:t>Right to Severance Benefits Change-in-Control Severance Benefits</w:t>
      </w:r>
      <w:r>
        <w:rPr>
          <w:rFonts w:ascii="Arial" w:cs="Arial" w:eastAsia="Arial" w:hAnsi="Arial"/>
          <w:sz w:val="14"/>
          <w:szCs w:val="14"/>
          <w:color w:val="auto"/>
        </w:rPr>
        <w:t>. The Executive shall be entitled to receive from the Company Change-in-Control Severance Benefits,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described in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herein, if a Qualifying Termination of the Executive’s employment has occurred within six (6) months immediately prior to, or twelve (12) months immediately following, a Change in Control of the Company.</w:t>
      </w:r>
    </w:p>
    <w:p>
      <w:pPr>
        <w:spacing w:after="0" w:line="106" w:lineRule="exact"/>
        <w:rPr>
          <w:sz w:val="20"/>
          <w:szCs w:val="20"/>
          <w:color w:val="auto"/>
        </w:rPr>
      </w:pPr>
    </w:p>
    <w:p>
      <w:pPr>
        <w:ind w:left="860" w:right="20" w:hanging="436"/>
        <w:spacing w:after="0" w:line="333" w:lineRule="auto"/>
        <w:tabs>
          <w:tab w:leader="none" w:pos="860" w:val="left"/>
        </w:tabs>
        <w:numPr>
          <w:ilvl w:val="0"/>
          <w:numId w:val="196"/>
        </w:numPr>
        <w:rPr>
          <w:rFonts w:ascii="Arial" w:cs="Arial" w:eastAsia="Arial" w:hAnsi="Arial"/>
          <w:sz w:val="13"/>
          <w:szCs w:val="13"/>
          <w:color w:val="010000"/>
        </w:rPr>
      </w:pPr>
      <w:r>
        <w:rPr>
          <w:rFonts w:ascii="Arial" w:cs="Arial" w:eastAsia="Arial" w:hAnsi="Arial"/>
          <w:sz w:val="13"/>
          <w:szCs w:val="13"/>
          <w:b w:val="1"/>
          <w:bCs w:val="1"/>
          <w:color w:val="auto"/>
        </w:rPr>
        <w:t>General Severance Benefits</w:t>
      </w:r>
      <w:r>
        <w:rPr>
          <w:rFonts w:ascii="Arial" w:cs="Arial" w:eastAsia="Arial" w:hAnsi="Arial"/>
          <w:sz w:val="13"/>
          <w:szCs w:val="13"/>
          <w:color w:val="auto"/>
        </w:rPr>
        <w:t>. The Executive shall be entitled to receive from the Company General Severance Benefits,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3.3</w:t>
      </w:r>
      <w:r>
        <w:rPr>
          <w:rFonts w:ascii="Arial" w:cs="Arial" w:eastAsia="Arial" w:hAnsi="Arial"/>
          <w:sz w:val="13"/>
          <w:szCs w:val="13"/>
          <w:b w:val="1"/>
          <w:bCs w:val="1"/>
          <w:color w:val="auto"/>
        </w:rPr>
        <w:t xml:space="preserve"> </w:t>
      </w:r>
      <w:r>
        <w:rPr>
          <w:rFonts w:ascii="Arial" w:cs="Arial" w:eastAsia="Arial" w:hAnsi="Arial"/>
          <w:sz w:val="13"/>
          <w:szCs w:val="13"/>
          <w:color w:val="auto"/>
        </w:rPr>
        <w:t>herein, if a Qualifying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the Executive’s employment has occurred other than during the six (6) months immediately prior to, or twelve (12) months immediately following, a Change in Control.</w:t>
      </w:r>
    </w:p>
    <w:p>
      <w:pPr>
        <w:spacing w:after="0" w:line="71" w:lineRule="exact"/>
        <w:rPr>
          <w:rFonts w:ascii="Arial" w:cs="Arial" w:eastAsia="Arial" w:hAnsi="Arial"/>
          <w:sz w:val="13"/>
          <w:szCs w:val="13"/>
          <w:color w:val="010000"/>
        </w:rPr>
      </w:pPr>
    </w:p>
    <w:p>
      <w:pPr>
        <w:ind w:left="860" w:right="20" w:hanging="436"/>
        <w:spacing w:after="0" w:line="292" w:lineRule="auto"/>
        <w:tabs>
          <w:tab w:leader="none" w:pos="860" w:val="left"/>
        </w:tabs>
        <w:numPr>
          <w:ilvl w:val="0"/>
          <w:numId w:val="196"/>
        </w:numPr>
        <w:rPr>
          <w:rFonts w:ascii="Arial" w:cs="Arial" w:eastAsia="Arial" w:hAnsi="Arial"/>
          <w:sz w:val="14"/>
          <w:szCs w:val="14"/>
          <w:color w:val="010000"/>
        </w:rPr>
      </w:pPr>
      <w:r>
        <w:rPr>
          <w:rFonts w:ascii="Arial" w:cs="Arial" w:eastAsia="Arial" w:hAnsi="Arial"/>
          <w:sz w:val="14"/>
          <w:szCs w:val="14"/>
          <w:b w:val="1"/>
          <w:bCs w:val="1"/>
          <w:color w:val="auto"/>
        </w:rPr>
        <w:t>No Severance Benefits</w:t>
      </w:r>
      <w:r>
        <w:rPr>
          <w:rFonts w:ascii="Arial" w:cs="Arial" w:eastAsia="Arial" w:hAnsi="Arial"/>
          <w:sz w:val="14"/>
          <w:szCs w:val="14"/>
          <w:color w:val="auto"/>
        </w:rPr>
        <w:t>. The Executive shall not be entitled to receive Severance Benefits if the Executive’s employment with the Company ends for reasons other than a Qualifying</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Termination.</w:t>
      </w:r>
    </w:p>
    <w:p>
      <w:pPr>
        <w:spacing w:after="0" w:line="94" w:lineRule="exact"/>
        <w:rPr>
          <w:rFonts w:ascii="Arial" w:cs="Arial" w:eastAsia="Arial" w:hAnsi="Arial"/>
          <w:sz w:val="14"/>
          <w:szCs w:val="14"/>
          <w:color w:val="010000"/>
        </w:rPr>
      </w:pPr>
    </w:p>
    <w:p>
      <w:pPr>
        <w:jc w:val="both"/>
        <w:ind w:left="860" w:hanging="436"/>
        <w:spacing w:after="0" w:line="282" w:lineRule="auto"/>
        <w:tabs>
          <w:tab w:leader="none" w:pos="860" w:val="left"/>
        </w:tabs>
        <w:numPr>
          <w:ilvl w:val="0"/>
          <w:numId w:val="196"/>
        </w:numPr>
        <w:rPr>
          <w:rFonts w:ascii="Arial" w:cs="Arial" w:eastAsia="Arial" w:hAnsi="Arial"/>
          <w:sz w:val="13"/>
          <w:szCs w:val="13"/>
          <w:color w:val="010000"/>
        </w:rPr>
      </w:pPr>
      <w:r>
        <w:rPr>
          <w:rFonts w:ascii="Arial" w:cs="Arial" w:eastAsia="Arial" w:hAnsi="Arial"/>
          <w:sz w:val="13"/>
          <w:szCs w:val="13"/>
          <w:b w:val="1"/>
          <w:bCs w:val="1"/>
          <w:color w:val="auto"/>
        </w:rPr>
        <w:t>General Release and Acknowledgement of Restrictive Covenants</w:t>
      </w:r>
      <w:r>
        <w:rPr>
          <w:rFonts w:ascii="Arial" w:cs="Arial" w:eastAsia="Arial" w:hAnsi="Arial"/>
          <w:sz w:val="13"/>
          <w:szCs w:val="13"/>
          <w:color w:val="auto"/>
        </w:rPr>
        <w:t>. As a condition to receiving Severance Benefits under either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3.2</w:t>
      </w:r>
      <w:r>
        <w:rPr>
          <w:rFonts w:ascii="Arial" w:cs="Arial" w:eastAsia="Arial" w:hAnsi="Arial"/>
          <w:sz w:val="13"/>
          <w:szCs w:val="13"/>
          <w:b w:val="1"/>
          <w:bCs w:val="1"/>
          <w:color w:val="auto"/>
        </w:rPr>
        <w:t xml:space="preserve"> </w:t>
      </w:r>
      <w:r>
        <w:rPr>
          <w:rFonts w:ascii="Arial" w:cs="Arial" w:eastAsia="Arial" w:hAnsi="Arial"/>
          <w:sz w:val="13"/>
          <w:szCs w:val="13"/>
          <w:color w:val="auto"/>
        </w:rPr>
        <w:t>or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3.3</w:t>
      </w:r>
      <w:r>
        <w:rPr>
          <w:rFonts w:ascii="Arial" w:cs="Arial" w:eastAsia="Arial" w:hAnsi="Arial"/>
          <w:sz w:val="13"/>
          <w:szCs w:val="13"/>
          <w:b w:val="1"/>
          <w:bCs w:val="1"/>
          <w:color w:val="auto"/>
        </w:rPr>
        <w:t xml:space="preserve"> </w:t>
      </w:r>
      <w:r>
        <w:rPr>
          <w:rFonts w:ascii="Arial" w:cs="Arial" w:eastAsia="Arial" w:hAnsi="Arial"/>
          <w:sz w:val="13"/>
          <w:szCs w:val="13"/>
          <w:color w:val="auto"/>
        </w:rPr>
        <w:t>herein, the Executive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obligated to execute a general 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w:t>
      </w:r>
    </w:p>
    <w:p>
      <w:pPr>
        <w:spacing w:after="0" w:line="1" w:lineRule="exact"/>
        <w:rPr>
          <w:rFonts w:ascii="Arial" w:cs="Arial" w:eastAsia="Arial" w:hAnsi="Arial"/>
          <w:sz w:val="13"/>
          <w:szCs w:val="13"/>
          <w:color w:val="010000"/>
        </w:rPr>
      </w:pPr>
    </w:p>
    <w:p>
      <w:pPr>
        <w:jc w:val="both"/>
        <w:ind w:left="860" w:hanging="3"/>
        <w:spacing w:after="0" w:line="286" w:lineRule="auto"/>
        <w:tabs>
          <w:tab w:leader="none" w:pos="115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days of the date of termination. The date upon which the executed release is no longer subject to revocation shall be referred to herein as the “</w:t>
      </w:r>
      <w:r>
        <w:rPr>
          <w:rFonts w:ascii="Arial" w:cs="Arial" w:eastAsia="Arial" w:hAnsi="Arial"/>
          <w:sz w:val="13"/>
          <w:szCs w:val="13"/>
          <w:u w:val="single" w:color="auto"/>
          <w:color w:val="auto"/>
        </w:rPr>
        <w:t>Release Effective Date</w:t>
      </w:r>
      <w:r>
        <w:rPr>
          <w:rFonts w:ascii="Arial" w:cs="Arial" w:eastAsia="Arial" w:hAnsi="Arial"/>
          <w:sz w:val="13"/>
          <w:szCs w:val="13"/>
          <w:color w:val="auto"/>
        </w:rPr>
        <w:t xml:space="preserve">”. The Executive must also execute a notice acknowledging the restrictive covenants in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within sixty (60) days of the date of termination. Any payments under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3.3</w:t>
      </w:r>
      <w:r>
        <w:rPr>
          <w:rFonts w:ascii="Arial" w:cs="Arial" w:eastAsia="Arial" w:hAnsi="Arial"/>
          <w:sz w:val="13"/>
          <w:szCs w:val="13"/>
          <w:color w:val="auto"/>
        </w:rPr>
        <w:t xml:space="preserve"> shall commence only after execution of the release and acknowledgement, and in the manner provided in </w:t>
      </w:r>
      <w:r>
        <w:rPr>
          <w:rFonts w:ascii="Arial" w:cs="Arial" w:eastAsia="Arial" w:hAnsi="Arial"/>
          <w:sz w:val="13"/>
          <w:szCs w:val="13"/>
          <w:u w:val="single" w:color="auto"/>
          <w:color w:val="auto"/>
        </w:rPr>
        <w:t>Section 3.4</w:t>
      </w:r>
      <w:r>
        <w:rPr>
          <w:rFonts w:ascii="Arial" w:cs="Arial" w:eastAsia="Arial" w:hAnsi="Arial"/>
          <w:sz w:val="13"/>
          <w:szCs w:val="13"/>
          <w:color w:val="auto"/>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00" w:lineRule="exact"/>
        <w:rPr>
          <w:rFonts w:ascii="Arial" w:cs="Arial" w:eastAsia="Arial" w:hAnsi="Arial"/>
          <w:sz w:val="13"/>
          <w:szCs w:val="13"/>
          <w:color w:val="auto"/>
        </w:rPr>
      </w:pPr>
    </w:p>
    <w:p>
      <w:pPr>
        <w:jc w:val="both"/>
        <w:ind w:left="860" w:hanging="436"/>
        <w:spacing w:after="0" w:line="289" w:lineRule="auto"/>
        <w:tabs>
          <w:tab w:leader="none" w:pos="860" w:val="left"/>
        </w:tabs>
        <w:numPr>
          <w:ilvl w:val="0"/>
          <w:numId w:val="196"/>
        </w:numPr>
        <w:rPr>
          <w:rFonts w:ascii="Arial" w:cs="Arial" w:eastAsia="Arial" w:hAnsi="Arial"/>
          <w:sz w:val="13"/>
          <w:szCs w:val="13"/>
          <w:color w:val="010000"/>
        </w:rPr>
      </w:pPr>
      <w:r>
        <w:rPr>
          <w:rFonts w:ascii="Arial" w:cs="Arial" w:eastAsia="Arial" w:hAnsi="Arial"/>
          <w:sz w:val="13"/>
          <w:szCs w:val="13"/>
          <w:b w:val="1"/>
          <w:bCs w:val="1"/>
          <w:color w:val="auto"/>
        </w:rPr>
        <w:t>No Duplication of Severance Benefits</w:t>
      </w:r>
      <w:r>
        <w:rPr>
          <w:rFonts w:ascii="Arial" w:cs="Arial" w:eastAsia="Arial" w:hAnsi="Arial"/>
          <w:sz w:val="13"/>
          <w:szCs w:val="13"/>
          <w:color w:val="auto"/>
        </w:rPr>
        <w:t>. If the Executive becomes entitled to Change-in-Control Severance Benefits, the Severance Benefits provided for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3.2</w:t>
      </w:r>
      <w:r>
        <w:rPr>
          <w:rFonts w:ascii="Arial" w:cs="Arial" w:eastAsia="Arial" w:hAnsi="Arial"/>
          <w:sz w:val="13"/>
          <w:szCs w:val="13"/>
          <w:b w:val="1"/>
          <w:bCs w:val="1"/>
          <w:color w:val="auto"/>
        </w:rPr>
        <w:t xml:space="preserve"> </w:t>
      </w:r>
      <w:r>
        <w:rPr>
          <w:rFonts w:ascii="Arial" w:cs="Arial" w:eastAsia="Arial" w:hAnsi="Arial"/>
          <w:sz w:val="13"/>
          <w:szCs w:val="13"/>
          <w:color w:val="auto"/>
        </w:rPr>
        <w:t>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shall be in lieu of all other Severance 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herein. Likewise, if the Executive becomes entitled to General Severance Benefits, the Severance Benefits provided under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hereunder shall be in lieu of all other Severance Benefits provided to the Executive under the provisions of this Plan and any other Company-related severance plans, programs, or other agreements including, but not limited to, the Severance Benefits under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herein</w:t>
      </w:r>
      <w:r>
        <w:rPr>
          <w:rFonts w:ascii="Arial" w:cs="Arial" w:eastAsia="Arial" w:hAnsi="Arial"/>
          <w:sz w:val="13"/>
          <w:szCs w:val="13"/>
          <w:b w:val="1"/>
          <w:bCs w:val="1"/>
          <w:color w:val="auto"/>
        </w:rPr>
        <w:t>.</w:t>
      </w:r>
    </w:p>
    <w:p>
      <w:pPr>
        <w:spacing w:after="0" w:line="10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b w:val="1"/>
          <w:bCs w:val="1"/>
          <w:color w:val="auto"/>
        </w:rPr>
        <w:t>Description of Change-in-Control Severance Benefits</w:t>
      </w:r>
    </w:p>
    <w:p>
      <w:pPr>
        <w:spacing w:after="0" w:line="158" w:lineRule="exact"/>
        <w:rPr>
          <w:sz w:val="20"/>
          <w:szCs w:val="20"/>
          <w:color w:val="auto"/>
        </w:rPr>
      </w:pPr>
    </w:p>
    <w:p>
      <w:pPr>
        <w:ind w:left="860" w:right="20"/>
        <w:spacing w:after="0" w:line="287" w:lineRule="auto"/>
        <w:rPr>
          <w:sz w:val="20"/>
          <w:szCs w:val="20"/>
          <w:color w:val="auto"/>
        </w:rPr>
      </w:pPr>
      <w:r>
        <w:rPr>
          <w:rFonts w:ascii="Arial" w:cs="Arial" w:eastAsia="Arial" w:hAnsi="Arial"/>
          <w:sz w:val="14"/>
          <w:szCs w:val="14"/>
          <w:color w:val="auto"/>
        </w:rPr>
        <w:t xml:space="preserve">In the event the Executive becomes entitled to receive Change-in-Control Severance Benefits, as provided in </w:t>
      </w:r>
      <w:r>
        <w:rPr>
          <w:rFonts w:ascii="Arial" w:cs="Arial" w:eastAsia="Arial" w:hAnsi="Arial"/>
          <w:sz w:val="14"/>
          <w:szCs w:val="14"/>
          <w:u w:val="single" w:color="auto"/>
          <w:color w:val="auto"/>
        </w:rPr>
        <w:t>Section 3.1(a)</w:t>
      </w:r>
      <w:r>
        <w:rPr>
          <w:rFonts w:ascii="Arial" w:cs="Arial" w:eastAsia="Arial" w:hAnsi="Arial"/>
          <w:sz w:val="14"/>
          <w:szCs w:val="14"/>
          <w:color w:val="auto"/>
        </w:rPr>
        <w:t xml:space="preserve"> herein, the Company shall provide the Executive with the following:</w:t>
      </w:r>
    </w:p>
    <w:p>
      <w:pPr>
        <w:spacing w:after="0" w:line="101" w:lineRule="exact"/>
        <w:rPr>
          <w:sz w:val="20"/>
          <w:szCs w:val="20"/>
          <w:color w:val="auto"/>
        </w:rPr>
      </w:pPr>
    </w:p>
    <w:p>
      <w:pPr>
        <w:jc w:val="both"/>
        <w:ind w:left="860" w:hanging="436"/>
        <w:spacing w:after="0" w:line="263" w:lineRule="auto"/>
        <w:tabs>
          <w:tab w:leader="none" w:pos="860" w:val="left"/>
        </w:tabs>
        <w:numPr>
          <w:ilvl w:val="0"/>
          <w:numId w:val="197"/>
        </w:numPr>
        <w:rPr>
          <w:rFonts w:ascii="Arial" w:cs="Arial" w:eastAsia="Arial" w:hAnsi="Arial"/>
          <w:sz w:val="14"/>
          <w:szCs w:val="14"/>
          <w:color w:val="010000"/>
        </w:rPr>
      </w:pPr>
      <w:r>
        <w:rPr>
          <w:rFonts w:ascii="Arial" w:cs="Arial" w:eastAsia="Arial" w:hAnsi="Arial"/>
          <w:sz w:val="14"/>
          <w:szCs w:val="14"/>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14"/>
          <w:szCs w:val="14"/>
          <w:u w:val="single" w:color="auto"/>
          <w:color w:val="auto"/>
        </w:rPr>
        <w:t>Section 3.2(a)</w:t>
      </w:r>
      <w:r>
        <w:rPr>
          <w:rFonts w:ascii="Arial" w:cs="Arial" w:eastAsia="Arial" w:hAnsi="Arial"/>
          <w:sz w:val="14"/>
          <w:szCs w:val="14"/>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7" w:lineRule="exact"/>
        <w:rPr>
          <w:rFonts w:ascii="Arial" w:cs="Arial" w:eastAsia="Arial" w:hAnsi="Arial"/>
          <w:sz w:val="14"/>
          <w:szCs w:val="14"/>
          <w:color w:val="010000"/>
        </w:rPr>
      </w:pPr>
    </w:p>
    <w:p>
      <w:pPr>
        <w:ind w:left="860" w:hanging="436"/>
        <w:spacing w:after="0"/>
        <w:tabs>
          <w:tab w:leader="none" w:pos="860" w:val="left"/>
        </w:tabs>
        <w:numPr>
          <w:ilvl w:val="0"/>
          <w:numId w:val="197"/>
        </w:numPr>
        <w:rPr>
          <w:rFonts w:ascii="Arial" w:cs="Arial" w:eastAsia="Arial" w:hAnsi="Arial"/>
          <w:sz w:val="13"/>
          <w:szCs w:val="13"/>
          <w:color w:val="010000"/>
        </w:rPr>
      </w:pPr>
      <w:r>
        <w:rPr>
          <w:rFonts w:ascii="Arial" w:cs="Arial" w:eastAsia="Arial" w:hAnsi="Arial"/>
          <w:sz w:val="13"/>
          <w:szCs w:val="13"/>
          <w:color w:val="auto"/>
        </w:rPr>
        <w:t>A lump-sum amount, paid upon the date that is sixty (60) calendar days following the Effective Date of Termination, equal to: (i) one and one-half (1.5) for Tier III Executives, (ii) one</w:t>
      </w:r>
    </w:p>
    <w:p>
      <w:pPr>
        <w:spacing w:after="0" w:line="32" w:lineRule="exact"/>
        <w:rPr>
          <w:rFonts w:ascii="Arial" w:cs="Arial" w:eastAsia="Arial" w:hAnsi="Arial"/>
          <w:sz w:val="13"/>
          <w:szCs w:val="13"/>
          <w:color w:val="010000"/>
        </w:rPr>
      </w:pPr>
    </w:p>
    <w:p>
      <w:pPr>
        <w:jc w:val="both"/>
        <w:ind w:left="860"/>
        <w:spacing w:after="0" w:line="260" w:lineRule="auto"/>
        <w:rPr>
          <w:rFonts w:ascii="Arial" w:cs="Arial" w:eastAsia="Arial" w:hAnsi="Arial"/>
          <w:sz w:val="13"/>
          <w:szCs w:val="13"/>
          <w:color w:val="010000"/>
        </w:rPr>
      </w:pPr>
      <w:r>
        <w:rPr>
          <w:rFonts w:ascii="Arial" w:cs="Arial" w:eastAsia="Arial" w:hAnsi="Arial"/>
          <w:sz w:val="14"/>
          <w:szCs w:val="14"/>
          <w:color w:val="auto"/>
        </w:rPr>
        <w:t xml:space="preserve">(1) for Tier IV Executives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14"/>
          <w:szCs w:val="14"/>
          <w:u w:val="single" w:color="auto"/>
          <w:color w:val="auto"/>
        </w:rPr>
        <w:t>Section 3.2(b)</w:t>
      </w:r>
      <w:r>
        <w:rPr>
          <w:rFonts w:ascii="Arial" w:cs="Arial" w:eastAsia="Arial" w:hAnsi="Arial"/>
          <w:sz w:val="14"/>
          <w:szCs w:val="14"/>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9" w:lineRule="exact"/>
        <w:rPr>
          <w:rFonts w:ascii="Arial" w:cs="Arial" w:eastAsia="Arial" w:hAnsi="Arial"/>
          <w:sz w:val="13"/>
          <w:szCs w:val="13"/>
          <w:color w:val="010000"/>
        </w:rPr>
      </w:pPr>
    </w:p>
    <w:p>
      <w:pPr>
        <w:jc w:val="both"/>
        <w:ind w:left="860" w:hanging="436"/>
        <w:spacing w:after="0" w:line="261" w:lineRule="auto"/>
        <w:tabs>
          <w:tab w:leader="none" w:pos="860" w:val="left"/>
        </w:tabs>
        <w:numPr>
          <w:ilvl w:val="0"/>
          <w:numId w:val="197"/>
        </w:numPr>
        <w:rPr>
          <w:rFonts w:ascii="Arial" w:cs="Arial" w:eastAsia="Arial" w:hAnsi="Arial"/>
          <w:sz w:val="14"/>
          <w:szCs w:val="14"/>
          <w:color w:val="010000"/>
        </w:rPr>
      </w:pPr>
      <w:r>
        <w:rPr>
          <w:rFonts w:ascii="Arial" w:cs="Arial" w:eastAsia="Arial" w:hAnsi="Arial"/>
          <w:sz w:val="14"/>
          <w:szCs w:val="14"/>
          <w:color w:val="auto"/>
        </w:rPr>
        <w:t xml:space="preserve">A lump-sum amount, paid upon the date that is sixty (60) calendar days following the Effective Date of Termination, equal to the Executive’s then current target bonus opportunity established under the bonus 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14"/>
          <w:szCs w:val="14"/>
          <w:u w:val="single" w:color="auto"/>
          <w:color w:val="auto"/>
        </w:rPr>
        <w:t>Section 3.2(c)</w:t>
      </w:r>
      <w:r>
        <w:rPr>
          <w:rFonts w:ascii="Arial" w:cs="Arial" w:eastAsia="Arial" w:hAnsi="Arial"/>
          <w:sz w:val="14"/>
          <w:szCs w:val="14"/>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20" w:lineRule="exact"/>
        <w:rPr>
          <w:rFonts w:ascii="Arial" w:cs="Arial" w:eastAsia="Arial" w:hAnsi="Arial"/>
          <w:sz w:val="14"/>
          <w:szCs w:val="14"/>
          <w:color w:val="010000"/>
        </w:rPr>
      </w:pPr>
    </w:p>
    <w:p>
      <w:pPr>
        <w:jc w:val="both"/>
        <w:ind w:left="860" w:right="20" w:hanging="436"/>
        <w:spacing w:after="0" w:line="271" w:lineRule="auto"/>
        <w:tabs>
          <w:tab w:leader="none" w:pos="860" w:val="left"/>
        </w:tabs>
        <w:numPr>
          <w:ilvl w:val="0"/>
          <w:numId w:val="197"/>
        </w:numPr>
        <w:rPr>
          <w:rFonts w:ascii="Arial" w:cs="Arial" w:eastAsia="Arial" w:hAnsi="Arial"/>
          <w:sz w:val="14"/>
          <w:szCs w:val="14"/>
          <w:color w:val="010000"/>
        </w:rPr>
      </w:pPr>
      <w:r>
        <w:rPr>
          <w:rFonts w:ascii="Arial" w:cs="Arial" w:eastAsia="Arial" w:hAnsi="Arial"/>
          <w:sz w:val="14"/>
          <w:szCs w:val="14"/>
          <w:color w:val="auto"/>
        </w:rPr>
        <w:t>Payment for all or a portion of the Executive’s cost to participate in COBRA medical and dental continuation coverage for a period equal to (i) eighteen (18) months for Tier III Executives and (ii) twelve (12) months for Tier IV Executive, in each case following the Executive’s Effective Date of Termination, such that Executive maintains the same coverage level and cost, on an after tax basis, as in effect immediately prior to the Executive’s Effective Date of Termination.</w:t>
      </w:r>
    </w:p>
    <w:p>
      <w:pPr>
        <w:spacing w:after="0" w:line="112" w:lineRule="exact"/>
        <w:rPr>
          <w:rFonts w:ascii="Arial" w:cs="Arial" w:eastAsia="Arial" w:hAnsi="Arial"/>
          <w:sz w:val="14"/>
          <w:szCs w:val="14"/>
          <w:color w:val="010000"/>
        </w:rPr>
      </w:pPr>
    </w:p>
    <w:p>
      <w:pPr>
        <w:jc w:val="both"/>
        <w:ind w:left="860"/>
        <w:spacing w:after="0" w:line="263" w:lineRule="auto"/>
        <w:rPr>
          <w:rFonts w:ascii="Arial" w:cs="Arial" w:eastAsia="Arial" w:hAnsi="Arial"/>
          <w:sz w:val="14"/>
          <w:szCs w:val="14"/>
          <w:color w:val="010000"/>
        </w:rPr>
      </w:pPr>
      <w:r>
        <w:rPr>
          <w:rFonts w:ascii="Arial" w:cs="Arial" w:eastAsia="Arial" w:hAnsi="Arial"/>
          <w:sz w:val="14"/>
          <w:szCs w:val="14"/>
          <w:color w:val="auto"/>
        </w:rPr>
        <w:t>Notwithstanding the above, these medical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 Description of General Severance Benefits</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b w:val="1"/>
          <w:bCs w:val="1"/>
          <w:color w:val="auto"/>
        </w:rPr>
        <w:t>Description of General Severance Benefits</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In the event the Executive becomes entitled to receive General Severance Benefits as provided in </w:t>
      </w:r>
      <w:r>
        <w:rPr>
          <w:rFonts w:ascii="Arial" w:cs="Arial" w:eastAsia="Arial" w:hAnsi="Arial"/>
          <w:sz w:val="13"/>
          <w:szCs w:val="13"/>
          <w:u w:val="single" w:color="auto"/>
          <w:color w:val="auto"/>
        </w:rPr>
        <w:t>Section 3.1(b)</w:t>
      </w:r>
      <w:r>
        <w:rPr>
          <w:rFonts w:ascii="Arial" w:cs="Arial" w:eastAsia="Arial" w:hAnsi="Arial"/>
          <w:sz w:val="13"/>
          <w:szCs w:val="13"/>
          <w:color w:val="auto"/>
        </w:rPr>
        <w:t xml:space="preserve"> herein, the Company shall provide the Executive with the following:</w:t>
      </w:r>
    </w:p>
    <w:p>
      <w:pPr>
        <w:spacing w:after="0" w:line="166" w:lineRule="exact"/>
        <w:rPr>
          <w:sz w:val="20"/>
          <w:szCs w:val="20"/>
          <w:color w:val="auto"/>
        </w:rPr>
      </w:pPr>
    </w:p>
    <w:p>
      <w:pPr>
        <w:jc w:val="both"/>
        <w:ind w:left="860" w:hanging="436"/>
        <w:spacing w:after="0" w:line="263" w:lineRule="auto"/>
        <w:tabs>
          <w:tab w:leader="none" w:pos="860" w:val="left"/>
        </w:tabs>
        <w:numPr>
          <w:ilvl w:val="0"/>
          <w:numId w:val="198"/>
        </w:numPr>
        <w:rPr>
          <w:rFonts w:ascii="Arial" w:cs="Arial" w:eastAsia="Arial" w:hAnsi="Arial"/>
          <w:sz w:val="14"/>
          <w:szCs w:val="14"/>
          <w:color w:val="010000"/>
        </w:rPr>
      </w:pPr>
      <w:r>
        <w:rPr>
          <w:rFonts w:ascii="Arial" w:cs="Arial" w:eastAsia="Arial" w:hAnsi="Arial"/>
          <w:sz w:val="14"/>
          <w:szCs w:val="14"/>
          <w:color w:val="auto"/>
        </w:rPr>
        <w:t xml:space="preserve">A lump-sum amount, paid upon the date that is sixty (60) calendar days following the Effective Date of Termination, equal to the Executive’s unpaid Base Salary, accrued vacation pay, unreimbursed business expenses, and all other items earned by and owed to the Executive through and including the Effective Date of Termination; provided that to the extent the payment of any amounts pursuant to this </w:t>
      </w:r>
      <w:r>
        <w:rPr>
          <w:rFonts w:ascii="Arial" w:cs="Arial" w:eastAsia="Arial" w:hAnsi="Arial"/>
          <w:sz w:val="14"/>
          <w:szCs w:val="14"/>
          <w:u w:val="single" w:color="auto"/>
          <w:color w:val="auto"/>
        </w:rPr>
        <w:t>Section 3.3(a)</w:t>
      </w:r>
      <w:r>
        <w:rPr>
          <w:rFonts w:ascii="Arial" w:cs="Arial" w:eastAsia="Arial" w:hAnsi="Arial"/>
          <w:sz w:val="14"/>
          <w:szCs w:val="14"/>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7" w:lineRule="exact"/>
        <w:rPr>
          <w:rFonts w:ascii="Arial" w:cs="Arial" w:eastAsia="Arial" w:hAnsi="Arial"/>
          <w:sz w:val="14"/>
          <w:szCs w:val="14"/>
          <w:color w:val="010000"/>
        </w:rPr>
      </w:pPr>
    </w:p>
    <w:p>
      <w:pPr>
        <w:jc w:val="both"/>
        <w:ind w:left="860" w:hanging="436"/>
        <w:spacing w:after="0" w:line="292" w:lineRule="auto"/>
        <w:tabs>
          <w:tab w:leader="none" w:pos="860" w:val="left"/>
        </w:tabs>
        <w:numPr>
          <w:ilvl w:val="0"/>
          <w:numId w:val="198"/>
        </w:numPr>
        <w:rPr>
          <w:rFonts w:ascii="Arial" w:cs="Arial" w:eastAsia="Arial" w:hAnsi="Arial"/>
          <w:sz w:val="13"/>
          <w:szCs w:val="13"/>
          <w:color w:val="010000"/>
        </w:rPr>
      </w:pPr>
      <w:r>
        <w:rPr>
          <w:rFonts w:ascii="Arial" w:cs="Arial" w:eastAsia="Arial" w:hAnsi="Arial"/>
          <w:sz w:val="13"/>
          <w:szCs w:val="13"/>
          <w:color w:val="auto"/>
        </w:rPr>
        <w:t xml:space="preserve">A lump-sum amount, paid upon the date that is sixty (60) calendar days following the Effective Date of Termination, equal to the product of (i) the Executive’s Weekly Compensation and (ii) the Executive’s Severance Weeks; provided that to the extent the payment of any amounts pursuant to this </w:t>
      </w:r>
      <w:r>
        <w:rPr>
          <w:rFonts w:ascii="Arial" w:cs="Arial" w:eastAsia="Arial" w:hAnsi="Arial"/>
          <w:sz w:val="13"/>
          <w:szCs w:val="13"/>
          <w:u w:val="single" w:color="auto"/>
          <w:color w:val="auto"/>
        </w:rPr>
        <w:t>Section 3.3(b)</w:t>
      </w:r>
      <w:r>
        <w:rPr>
          <w:rFonts w:ascii="Arial" w:cs="Arial" w:eastAsia="Arial" w:hAnsi="Arial"/>
          <w:sz w:val="13"/>
          <w:szCs w:val="13"/>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01" w:lineRule="exact"/>
        <w:rPr>
          <w:rFonts w:ascii="Arial" w:cs="Arial" w:eastAsia="Arial" w:hAnsi="Arial"/>
          <w:sz w:val="13"/>
          <w:szCs w:val="13"/>
          <w:color w:val="010000"/>
        </w:rPr>
      </w:pPr>
    </w:p>
    <w:p>
      <w:pPr>
        <w:jc w:val="both"/>
        <w:ind w:left="860" w:hanging="436"/>
        <w:spacing w:after="0" w:line="271" w:lineRule="auto"/>
        <w:tabs>
          <w:tab w:leader="none" w:pos="860" w:val="left"/>
        </w:tabs>
        <w:numPr>
          <w:ilvl w:val="0"/>
          <w:numId w:val="198"/>
        </w:numPr>
        <w:rPr>
          <w:rFonts w:ascii="Arial" w:cs="Arial" w:eastAsia="Arial" w:hAnsi="Arial"/>
          <w:sz w:val="14"/>
          <w:szCs w:val="14"/>
          <w:color w:val="010000"/>
        </w:rPr>
      </w:pPr>
      <w:r>
        <w:rPr>
          <w:rFonts w:ascii="Arial" w:cs="Arial" w:eastAsia="Arial" w:hAnsi="Arial"/>
          <w:sz w:val="14"/>
          <w:szCs w:val="14"/>
          <w:color w:val="auto"/>
        </w:rPr>
        <w:t>Payment of all or a portion of the Executive’s cost to participate in COBRA medical and dental continuation coverage for a number of weeks equal to the Executive’s Severance Weeks commencing upon the Executive’s Effective Date of Termination, such that Executive maintains the same coverage level and cost, on an after tax basis, as in effect immediately prior to the Executive’s Effective Date of Termination.</w:t>
      </w:r>
    </w:p>
    <w:p>
      <w:pPr>
        <w:sectPr>
          <w:pgSz w:w="11900" w:h="16838" w:orient="portrait"/>
          <w:cols w:equalWidth="0" w:num="1">
            <w:col w:w="11480"/>
          </w:cols>
          <w:pgMar w:left="220" w:top="275" w:right="199" w:bottom="0" w:gutter="0" w:footer="0" w:header="0"/>
        </w:sectPr>
      </w:pPr>
    </w:p>
    <w:bookmarkStart w:id="237" w:name="page238"/>
    <w:bookmarkEnd w:id="237"/>
    <w:p>
      <w:pPr>
        <w:spacing w:after="0" w:line="92" w:lineRule="exact"/>
        <w:rPr>
          <w:sz w:val="20"/>
          <w:szCs w:val="20"/>
          <w:color w:val="auto"/>
        </w:rPr>
      </w:pPr>
    </w:p>
    <w:p>
      <w:pPr>
        <w:jc w:val="both"/>
        <w:ind w:left="860"/>
        <w:spacing w:after="0" w:line="263" w:lineRule="auto"/>
        <w:rPr>
          <w:sz w:val="20"/>
          <w:szCs w:val="20"/>
          <w:color w:val="auto"/>
        </w:rPr>
      </w:pPr>
      <w:r>
        <w:rPr>
          <w:rFonts w:ascii="Arial" w:cs="Arial" w:eastAsia="Arial" w:hAnsi="Arial"/>
          <w:sz w:val="14"/>
          <w:szCs w:val="14"/>
          <w:color w:val="auto"/>
        </w:rPr>
        <w:t>Notwithstanding the above, these medical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 Treatment of outstanding long-term incentives shall be in accordance with the governing plan document and award agreements, if any.</w:t>
      </w:r>
    </w:p>
    <w:p>
      <w:pPr>
        <w:spacing w:after="0" w:line="114" w:lineRule="exact"/>
        <w:rPr>
          <w:sz w:val="20"/>
          <w:szCs w:val="20"/>
          <w:color w:val="auto"/>
        </w:rPr>
      </w:pPr>
    </w:p>
    <w:p>
      <w:pPr>
        <w:jc w:val="both"/>
        <w:ind w:left="860" w:hanging="436"/>
        <w:spacing w:after="0" w:line="264" w:lineRule="auto"/>
        <w:tabs>
          <w:tab w:leader="none" w:pos="860" w:val="left"/>
        </w:tabs>
        <w:numPr>
          <w:ilvl w:val="0"/>
          <w:numId w:val="199"/>
        </w:numPr>
        <w:rPr>
          <w:rFonts w:ascii="Arial" w:cs="Arial" w:eastAsia="Arial" w:hAnsi="Arial"/>
          <w:sz w:val="14"/>
          <w:szCs w:val="14"/>
          <w:color w:val="010000"/>
        </w:rPr>
      </w:pPr>
      <w:r>
        <w:rPr>
          <w:rFonts w:ascii="Arial" w:cs="Arial" w:eastAsia="Arial" w:hAnsi="Arial"/>
          <w:sz w:val="14"/>
          <w:szCs w:val="14"/>
          <w:b w:val="1"/>
          <w:bCs w:val="1"/>
          <w:color w:val="auto"/>
        </w:rPr>
        <w:t>Reduction of Other Benefits</w:t>
      </w:r>
      <w:r>
        <w:rPr>
          <w:rFonts w:ascii="Arial" w:cs="Arial" w:eastAsia="Arial" w:hAnsi="Arial"/>
          <w:sz w:val="14"/>
          <w:szCs w:val="14"/>
          <w:color w:val="auto"/>
        </w:rPr>
        <w:t>. Any payment provided under</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3.3(b)</w:t>
      </w:r>
      <w:r>
        <w:rPr>
          <w:rFonts w:ascii="Arial" w:cs="Arial" w:eastAsia="Arial" w:hAnsi="Arial"/>
          <w:sz w:val="14"/>
          <w:szCs w:val="14"/>
          <w:b w:val="1"/>
          <w:bCs w:val="1"/>
          <w:color w:val="auto"/>
        </w:rPr>
        <w:t xml:space="preserve"> </w:t>
      </w:r>
      <w:r>
        <w:rPr>
          <w:rFonts w:ascii="Arial" w:cs="Arial" w:eastAsia="Arial" w:hAnsi="Arial"/>
          <w:sz w:val="14"/>
          <w:szCs w:val="14"/>
          <w:color w:val="auto"/>
        </w:rPr>
        <w:t>will be reduced by the value of any severance benefit required to be paid to the Executive under federal,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state or local statute, ordinance or regulation, including any payments or extended periods of employment required to comply with any law governing plant closings, layoffs or similar events. If payments under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are made, and, subsequent to such payment, an amount is determined to be payable to the employee which would under the terms of this Section reduce the benefit payable under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the Company or affiliate shall be entitled to recover from the Executive the overpayment made under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and shall, to the extent permitted by law, be entitled to offset such overpayment against any amount owed to the employee.</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2"/>
          <w:szCs w:val="12"/>
          <w:b w:val="1"/>
          <w:bCs w:val="1"/>
          <w:color w:val="auto"/>
        </w:rPr>
        <w:t>Coordination with Release and Delay Required by Code Section 409A.</w:t>
      </w:r>
    </w:p>
    <w:p>
      <w:pPr>
        <w:spacing w:after="0" w:line="158" w:lineRule="exact"/>
        <w:rPr>
          <w:sz w:val="20"/>
          <w:szCs w:val="20"/>
          <w:color w:val="auto"/>
        </w:rPr>
      </w:pPr>
    </w:p>
    <w:p>
      <w:pPr>
        <w:jc w:val="both"/>
        <w:ind w:left="860" w:hanging="436"/>
        <w:spacing w:after="0" w:line="292" w:lineRule="auto"/>
        <w:tabs>
          <w:tab w:leader="none" w:pos="860" w:val="left"/>
        </w:tabs>
        <w:numPr>
          <w:ilvl w:val="0"/>
          <w:numId w:val="200"/>
        </w:numPr>
        <w:rPr>
          <w:rFonts w:ascii="Arial" w:cs="Arial" w:eastAsia="Arial" w:hAnsi="Arial"/>
          <w:sz w:val="13"/>
          <w:szCs w:val="13"/>
          <w:color w:val="010000"/>
        </w:rPr>
      </w:pPr>
      <w:r>
        <w:rPr>
          <w:rFonts w:ascii="Arial" w:cs="Arial" w:eastAsia="Arial" w:hAnsi="Arial"/>
          <w:sz w:val="13"/>
          <w:szCs w:val="13"/>
          <w:color w:val="auto"/>
        </w:rPr>
        <w:t>To the extent any continuing benefit (or reimbursement thereof) to be provided is not “deferred compensation” for purposes of Code Section 409A, then such benefit shall commence or be made immediately 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101" w:lineRule="exact"/>
        <w:rPr>
          <w:rFonts w:ascii="Arial" w:cs="Arial" w:eastAsia="Arial" w:hAnsi="Arial"/>
          <w:sz w:val="13"/>
          <w:szCs w:val="13"/>
          <w:color w:val="010000"/>
        </w:rPr>
      </w:pPr>
    </w:p>
    <w:p>
      <w:pPr>
        <w:jc w:val="both"/>
        <w:ind w:left="860" w:hanging="436"/>
        <w:spacing w:after="0" w:line="260" w:lineRule="auto"/>
        <w:tabs>
          <w:tab w:leader="none" w:pos="860" w:val="left"/>
        </w:tabs>
        <w:numPr>
          <w:ilvl w:val="0"/>
          <w:numId w:val="200"/>
        </w:numPr>
        <w:rPr>
          <w:rFonts w:ascii="Arial" w:cs="Arial" w:eastAsia="Arial" w:hAnsi="Arial"/>
          <w:sz w:val="14"/>
          <w:szCs w:val="14"/>
          <w:color w:val="010000"/>
        </w:rPr>
      </w:pPr>
      <w:r>
        <w:rPr>
          <w:rFonts w:ascii="Arial" w:cs="Arial" w:eastAsia="Arial" w:hAnsi="Arial"/>
          <w:sz w:val="14"/>
          <w:szCs w:val="14"/>
          <w:color w:val="auto"/>
        </w:rPr>
        <w:t xml:space="preserve">Notwithstanding any other payment schedule provided herein to the contrary, if the Executive is deemed on the date of termination to be a Specified Employee, then, once the release and acknowledgement required by </w:t>
      </w:r>
      <w:r>
        <w:rPr>
          <w:rFonts w:ascii="Arial" w:cs="Arial" w:eastAsia="Arial" w:hAnsi="Arial"/>
          <w:sz w:val="14"/>
          <w:szCs w:val="14"/>
          <w:u w:val="single" w:color="auto"/>
          <w:color w:val="auto"/>
        </w:rPr>
        <w:t>Section 3.1(d)</w:t>
      </w:r>
      <w:r>
        <w:rPr>
          <w:rFonts w:ascii="Arial" w:cs="Arial" w:eastAsia="Arial" w:hAnsi="Arial"/>
          <w:sz w:val="14"/>
          <w:szCs w:val="14"/>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 (B) the date of the Executive’s death (the “</w:t>
      </w:r>
      <w:r>
        <w:rPr>
          <w:rFonts w:ascii="Arial" w:cs="Arial" w:eastAsia="Arial" w:hAnsi="Arial"/>
          <w:sz w:val="14"/>
          <w:szCs w:val="14"/>
          <w:u w:val="single" w:color="auto"/>
          <w:color w:val="auto"/>
        </w:rPr>
        <w:t>Delay Period</w:t>
      </w:r>
      <w:r>
        <w:rPr>
          <w:rFonts w:ascii="Arial" w:cs="Arial" w:eastAsia="Arial" w:hAnsi="Arial"/>
          <w:sz w:val="14"/>
          <w:szCs w:val="14"/>
          <w:color w:val="auto"/>
        </w:rPr>
        <w:t xml:space="preserve">”) to the extent required under Code Section 409A. Upon the expiration of the Delay Period, all payments delayed pursuant to this </w:t>
      </w:r>
      <w:r>
        <w:rPr>
          <w:rFonts w:ascii="Arial" w:cs="Arial" w:eastAsia="Arial" w:hAnsi="Arial"/>
          <w:sz w:val="14"/>
          <w:szCs w:val="14"/>
          <w:u w:val="single" w:color="auto"/>
          <w:color w:val="auto"/>
        </w:rPr>
        <w:t>Section 3.4(b)</w:t>
      </w:r>
      <w:r>
        <w:rPr>
          <w:rFonts w:ascii="Arial" w:cs="Arial" w:eastAsia="Arial" w:hAnsi="Arial"/>
          <w:sz w:val="14"/>
          <w:szCs w:val="14"/>
          <w:color w:val="auto"/>
        </w:rPr>
        <w:t xml:space="preserve"> (whether they would have otherwise been 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4.</w:t>
      </w:r>
      <w:r>
        <w:rPr>
          <w:rFonts w:ascii="Arial" w:cs="Arial" w:eastAsia="Arial" w:hAnsi="Arial"/>
          <w:sz w:val="14"/>
          <w:szCs w:val="14"/>
          <w:b w:val="1"/>
          <w:bCs w:val="1"/>
          <w:color w:val="000000"/>
        </w:rPr>
        <w:t>Ineligibility</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b w:val="1"/>
          <w:bCs w:val="1"/>
          <w:color w:val="auto"/>
        </w:rPr>
        <w:t>Comparable Position.</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Article (2)(y)(i)(B)</w:t>
      </w:r>
      <w:r>
        <w:rPr>
          <w:rFonts w:ascii="Arial" w:cs="Arial" w:eastAsia="Arial" w:hAnsi="Arial"/>
          <w:sz w:val="14"/>
          <w:szCs w:val="14"/>
          <w:color w:val="auto"/>
        </w:rPr>
        <w:t xml:space="preserve">, the Company may offer an Executive a comparable position, may require an Executive to apply for a comparable position with the Company or any affiliate, or may reassign an Executive to a new position or a reclassification of the Executive’s current position;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14"/>
          <w:szCs w:val="14"/>
          <w:u w:val="single" w:color="auto"/>
          <w:color w:val="auto"/>
        </w:rPr>
        <w:t>Section 4.1</w:t>
      </w:r>
      <w:r>
        <w:rPr>
          <w:rFonts w:ascii="Arial" w:cs="Arial" w:eastAsia="Arial" w:hAnsi="Arial"/>
          <w:sz w:val="14"/>
          <w:szCs w:val="14"/>
          <w:color w:val="auto"/>
        </w:rPr>
        <w:t>. The failure of an Executive to accept the position, or apply for the position when required by the Company will render the Executive ineligible for benefits under this Plan.</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b w:val="1"/>
          <w:bCs w:val="1"/>
          <w:color w:val="auto"/>
        </w:rPr>
        <w:t>Other Circumstances.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Unless otherwise determined by the Committee, an Executive shall also be ineligible for benefits under this Plan if the Executive: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010000"/>
        </w:rPr>
        <w:t>(a)</w:t>
      </w:r>
      <w:r>
        <w:rPr>
          <w:rFonts w:ascii="Arial" w:cs="Arial" w:eastAsia="Arial" w:hAnsi="Arial"/>
          <w:sz w:val="14"/>
          <w:szCs w:val="14"/>
          <w:color w:val="000000"/>
        </w:rPr>
        <w:t>voluntarily terminates employment or retires prior to the Qualifying Termination;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010000"/>
        </w:rPr>
        <w:t>(b)</w:t>
      </w:r>
      <w:r>
        <w:rPr>
          <w:rFonts w:ascii="Arial" w:cs="Arial" w:eastAsia="Arial" w:hAnsi="Arial"/>
          <w:sz w:val="14"/>
          <w:szCs w:val="14"/>
          <w:color w:val="000000"/>
        </w:rPr>
        <w:t>is receiving long-term Disability benefits;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010000"/>
        </w:rPr>
        <w:t>(c)</w:t>
      </w:r>
      <w:r>
        <w:rPr>
          <w:rFonts w:ascii="Arial" w:cs="Arial" w:eastAsia="Arial" w:hAnsi="Arial"/>
          <w:sz w:val="14"/>
          <w:szCs w:val="14"/>
          <w:color w:val="000000"/>
        </w:rPr>
        <w:t>is entitled to any other compensation or benefit which is determined, in the Company’s sole discretion, to supersede the Severance Benefits offered under this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010000"/>
        </w:rPr>
        <w:t>(d)</w:t>
      </w:r>
      <w:r>
        <w:rPr>
          <w:rFonts w:ascii="Arial" w:cs="Arial" w:eastAsia="Arial" w:hAnsi="Arial"/>
          <w:sz w:val="14"/>
          <w:szCs w:val="14"/>
          <w:color w:val="000000"/>
        </w:rPr>
        <w:t>was discharged for Cause; and</w:t>
      </w:r>
    </w:p>
    <w:p>
      <w:pPr>
        <w:spacing w:after="0" w:line="154" w:lineRule="exact"/>
        <w:rPr>
          <w:sz w:val="20"/>
          <w:szCs w:val="20"/>
          <w:color w:val="auto"/>
        </w:rPr>
      </w:pPr>
    </w:p>
    <w:p>
      <w:pPr>
        <w:ind w:left="1020" w:right="20" w:hanging="593"/>
        <w:spacing w:after="0" w:line="287" w:lineRule="auto"/>
        <w:rPr>
          <w:sz w:val="20"/>
          <w:szCs w:val="20"/>
          <w:color w:val="auto"/>
        </w:rPr>
      </w:pPr>
      <w:r>
        <w:rPr>
          <w:rFonts w:ascii="Arial" w:cs="Arial" w:eastAsia="Arial" w:hAnsi="Arial"/>
          <w:sz w:val="14"/>
          <w:szCs w:val="14"/>
          <w:color w:val="010000"/>
        </w:rPr>
        <w:t>(e)</w:t>
      </w:r>
      <w:r>
        <w:rPr>
          <w:rFonts w:ascii="Arial" w:cs="Arial" w:eastAsia="Arial" w:hAnsi="Arial"/>
          <w:sz w:val="14"/>
          <w:szCs w:val="14"/>
          <w:color w:val="000000"/>
        </w:rPr>
        <w:t>was offered employment by a successor employer or by a purchaser in the event of a spin-off or sale of a subsidiary, business unit or business assets of the Company or its subsidiaries,</w:t>
      </w:r>
      <w:r>
        <w:rPr>
          <w:rFonts w:ascii="Arial" w:cs="Arial" w:eastAsia="Arial" w:hAnsi="Arial"/>
          <w:sz w:val="14"/>
          <w:szCs w:val="14"/>
          <w:color w:val="010000"/>
        </w:rPr>
        <w:t xml:space="preserve"> </w:t>
      </w:r>
      <w:r>
        <w:rPr>
          <w:rFonts w:ascii="Arial" w:cs="Arial" w:eastAsia="Arial" w:hAnsi="Arial"/>
          <w:sz w:val="14"/>
          <w:szCs w:val="14"/>
          <w:color w:val="000000"/>
        </w:rPr>
        <w:t>whether or not the Executive accepts or declines the offer of employment.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5.</w:t>
      </w:r>
      <w:r>
        <w:rPr>
          <w:rFonts w:ascii="Arial" w:cs="Arial" w:eastAsia="Arial" w:hAnsi="Arial"/>
          <w:sz w:val="14"/>
          <w:szCs w:val="14"/>
          <w:b w:val="1"/>
          <w:bCs w:val="1"/>
          <w:color w:val="000000"/>
        </w:rPr>
        <w:t>Restrictive Covenants</w:t>
      </w:r>
    </w:p>
    <w:p>
      <w:pPr>
        <w:spacing w:after="0" w:line="158" w:lineRule="exact"/>
        <w:rPr>
          <w:sz w:val="20"/>
          <w:szCs w:val="20"/>
          <w:color w:val="auto"/>
        </w:rPr>
      </w:pPr>
    </w:p>
    <w:p>
      <w:pPr>
        <w:ind w:firstLine="432"/>
        <w:spacing w:after="0" w:line="287" w:lineRule="auto"/>
        <w:rPr>
          <w:sz w:val="20"/>
          <w:szCs w:val="20"/>
          <w:color w:val="auto"/>
        </w:rPr>
      </w:pPr>
      <w:r>
        <w:rPr>
          <w:rFonts w:ascii="Arial" w:cs="Arial" w:eastAsia="Arial" w:hAnsi="Arial"/>
          <w:sz w:val="14"/>
          <w:szCs w:val="14"/>
          <w:color w:val="auto"/>
        </w:rPr>
        <w:t xml:space="preserve">In the event the Executive becomes entitled to receive Change-in-Control Severance Benefits as provided in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herein or General Severance Benefits as provided in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herein, the following shall apply:</w:t>
      </w:r>
    </w:p>
    <w:p>
      <w:pPr>
        <w:spacing w:after="0" w:line="97" w:lineRule="exact"/>
        <w:rPr>
          <w:sz w:val="20"/>
          <w:szCs w:val="20"/>
          <w:color w:val="auto"/>
        </w:rPr>
      </w:pPr>
    </w:p>
    <w:p>
      <w:pPr>
        <w:jc w:val="both"/>
        <w:ind w:left="860" w:hanging="436"/>
        <w:spacing w:after="0" w:line="280" w:lineRule="auto"/>
        <w:tabs>
          <w:tab w:leader="none" w:pos="860" w:val="left"/>
        </w:tabs>
        <w:numPr>
          <w:ilvl w:val="0"/>
          <w:numId w:val="201"/>
        </w:numPr>
        <w:rPr>
          <w:rFonts w:ascii="Arial" w:cs="Arial" w:eastAsia="Arial" w:hAnsi="Arial"/>
          <w:sz w:val="13"/>
          <w:szCs w:val="13"/>
          <w:color w:val="010000"/>
        </w:rPr>
      </w:pPr>
      <w:r>
        <w:rPr>
          <w:rFonts w:ascii="Arial" w:cs="Arial" w:eastAsia="Arial" w:hAnsi="Arial"/>
          <w:sz w:val="13"/>
          <w:szCs w:val="13"/>
          <w:b w:val="1"/>
          <w:bCs w:val="1"/>
          <w:color w:val="auto"/>
        </w:rPr>
        <w:t>Confidential Information</w:t>
      </w:r>
      <w:r>
        <w:rPr>
          <w:rFonts w:ascii="Arial" w:cs="Arial" w:eastAsia="Arial" w:hAnsi="Arial"/>
          <w:sz w:val="13"/>
          <w:szCs w:val="13"/>
          <w:color w:val="auto"/>
        </w:rPr>
        <w:t>. The Executive acknowledges that the information, observations, and data (including trade secrets) obtained by him while employed by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concerning the business or affairs of the Company or any of its affiliates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w:t>
      </w:r>
      <w:r>
        <w:rPr>
          <w:rFonts w:ascii="Arial" w:cs="Arial" w:eastAsia="Arial" w:hAnsi="Arial"/>
          <w:sz w:val="13"/>
          <w:szCs w:val="13"/>
          <w:u w:val="single" w:color="auto"/>
          <w:color w:val="auto"/>
        </w:rPr>
        <w:t>Party Information</w:t>
      </w:r>
      <w:r>
        <w:rPr>
          <w:rFonts w:ascii="Arial" w:cs="Arial" w:eastAsia="Arial" w:hAnsi="Arial"/>
          <w:sz w:val="13"/>
          <w:szCs w:val="13"/>
          <w:color w:val="auto"/>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08" w:lineRule="exact"/>
        <w:rPr>
          <w:rFonts w:ascii="Arial" w:cs="Arial" w:eastAsia="Arial" w:hAnsi="Arial"/>
          <w:sz w:val="13"/>
          <w:szCs w:val="13"/>
          <w:color w:val="010000"/>
        </w:rPr>
      </w:pPr>
    </w:p>
    <w:p>
      <w:pPr>
        <w:jc w:val="both"/>
        <w:ind w:left="860" w:hanging="436"/>
        <w:spacing w:after="0" w:line="259" w:lineRule="auto"/>
        <w:tabs>
          <w:tab w:leader="none" w:pos="860" w:val="left"/>
        </w:tabs>
        <w:numPr>
          <w:ilvl w:val="0"/>
          <w:numId w:val="201"/>
        </w:numPr>
        <w:rPr>
          <w:rFonts w:ascii="Arial" w:cs="Arial" w:eastAsia="Arial" w:hAnsi="Arial"/>
          <w:sz w:val="14"/>
          <w:szCs w:val="14"/>
          <w:color w:val="010000"/>
        </w:rPr>
      </w:pPr>
      <w:r>
        <w:rPr>
          <w:rFonts w:ascii="Arial" w:cs="Arial" w:eastAsia="Arial" w:hAnsi="Arial"/>
          <w:sz w:val="14"/>
          <w:szCs w:val="14"/>
          <w:b w:val="1"/>
          <w:bCs w:val="1"/>
          <w:color w:val="auto"/>
        </w:rPr>
        <w:t>Intellectual Property, Inventions, and Patents</w:t>
      </w:r>
      <w:r>
        <w:rPr>
          <w:rFonts w:ascii="Arial" w:cs="Arial" w:eastAsia="Arial" w:hAnsi="Arial"/>
          <w:sz w:val="14"/>
          <w:szCs w:val="14"/>
          <w:color w:val="auto"/>
        </w:rPr>
        <w:t>. The Executive acknowledges that all discoveries, concepts, ideas, inventions, innovations, improvements, developments, methods,</w:t>
      </w:r>
      <w:r>
        <w:rPr>
          <w:rFonts w:ascii="Arial" w:cs="Arial" w:eastAsia="Arial" w:hAnsi="Arial"/>
          <w:sz w:val="14"/>
          <w:szCs w:val="14"/>
          <w:b w:val="1"/>
          <w:bCs w:val="1"/>
          <w:color w:val="auto"/>
        </w:rPr>
        <w:t xml:space="preserve"> </w:t>
      </w:r>
      <w:r>
        <w:rPr>
          <w:rFonts w:ascii="Arial" w:cs="Arial" w:eastAsia="Arial" w:hAnsi="Arial"/>
          <w:sz w:val="14"/>
          <w:szCs w:val="14"/>
          <w:color w:val="auto"/>
        </w:rPr>
        <w:t>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Arial" w:cs="Arial" w:eastAsia="Arial" w:hAnsi="Arial"/>
          <w:sz w:val="14"/>
          <w:szCs w:val="14"/>
          <w:u w:val="single" w:color="auto"/>
          <w:color w:val="auto"/>
        </w:rPr>
        <w:t>Work Product</w:t>
      </w:r>
      <w:r>
        <w:rPr>
          <w:rFonts w:ascii="Arial" w:cs="Arial" w:eastAsia="Arial" w:hAnsi="Arial"/>
          <w:sz w:val="14"/>
          <w:szCs w:val="14"/>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122" w:lineRule="exact"/>
        <w:rPr>
          <w:rFonts w:ascii="Arial" w:cs="Arial" w:eastAsia="Arial" w:hAnsi="Arial"/>
          <w:sz w:val="14"/>
          <w:szCs w:val="14"/>
          <w:color w:val="010000"/>
        </w:rPr>
      </w:pPr>
    </w:p>
    <w:p>
      <w:pPr>
        <w:jc w:val="both"/>
        <w:ind w:left="860"/>
        <w:spacing w:after="0" w:line="265" w:lineRule="auto"/>
        <w:rPr>
          <w:rFonts w:ascii="Arial" w:cs="Arial" w:eastAsia="Arial" w:hAnsi="Arial"/>
          <w:sz w:val="14"/>
          <w:szCs w:val="14"/>
          <w:color w:val="010000"/>
        </w:rPr>
      </w:pPr>
      <w:r>
        <w:rPr>
          <w:rFonts w:ascii="Arial" w:cs="Arial" w:eastAsia="Arial" w:hAnsi="Arial"/>
          <w:sz w:val="14"/>
          <w:szCs w:val="14"/>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113" w:lineRule="exact"/>
        <w:rPr>
          <w:rFonts w:ascii="Arial" w:cs="Arial" w:eastAsia="Arial" w:hAnsi="Arial"/>
          <w:sz w:val="14"/>
          <w:szCs w:val="14"/>
          <w:color w:val="010000"/>
        </w:rPr>
      </w:pPr>
    </w:p>
    <w:p>
      <w:pPr>
        <w:jc w:val="both"/>
        <w:ind w:left="860" w:hanging="436"/>
        <w:spacing w:after="0" w:line="261" w:lineRule="auto"/>
        <w:tabs>
          <w:tab w:leader="none" w:pos="860" w:val="left"/>
        </w:tabs>
        <w:numPr>
          <w:ilvl w:val="0"/>
          <w:numId w:val="201"/>
        </w:numPr>
        <w:rPr>
          <w:rFonts w:ascii="Arial" w:cs="Arial" w:eastAsia="Arial" w:hAnsi="Arial"/>
          <w:sz w:val="14"/>
          <w:szCs w:val="14"/>
          <w:color w:val="010000"/>
        </w:rPr>
      </w:pPr>
      <w:r>
        <w:rPr>
          <w:rFonts w:ascii="Arial" w:cs="Arial" w:eastAsia="Arial" w:hAnsi="Arial"/>
          <w:sz w:val="14"/>
          <w:szCs w:val="14"/>
          <w:b w:val="1"/>
          <w:bCs w:val="1"/>
          <w:color w:val="auto"/>
        </w:rPr>
        <w:t>Nonsolicitation</w:t>
      </w:r>
      <w:r>
        <w:rPr>
          <w:rFonts w:ascii="Arial" w:cs="Arial" w:eastAsia="Arial" w:hAnsi="Arial"/>
          <w:sz w:val="14"/>
          <w:szCs w:val="14"/>
          <w:color w:val="auto"/>
        </w:rPr>
        <w:t>. During Executive’s employment with the Company and for one (1) year thereafter (the “</w:t>
      </w:r>
      <w:r>
        <w:rPr>
          <w:rFonts w:ascii="Arial" w:cs="Arial" w:eastAsia="Arial" w:hAnsi="Arial"/>
          <w:sz w:val="14"/>
          <w:szCs w:val="14"/>
          <w:u w:val="single" w:color="auto"/>
          <w:color w:val="auto"/>
        </w:rPr>
        <w:t>Nonsolicitation Period</w:t>
      </w:r>
      <w:r>
        <w:rPr>
          <w:rFonts w:ascii="Arial" w:cs="Arial" w:eastAsia="Arial" w:hAnsi="Arial"/>
          <w:sz w:val="14"/>
          <w:szCs w:val="14"/>
          <w:color w:val="auto"/>
        </w:rPr>
        <w:t>”), the Executive shall not directly or indirectly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another person or entity: (i) induce or attempt to induce any employee of the Company or any of its 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116" w:lineRule="exact"/>
        <w:rPr>
          <w:rFonts w:ascii="Arial" w:cs="Arial" w:eastAsia="Arial" w:hAnsi="Arial"/>
          <w:sz w:val="14"/>
          <w:szCs w:val="14"/>
          <w:color w:val="010000"/>
        </w:rPr>
      </w:pPr>
    </w:p>
    <w:p>
      <w:pPr>
        <w:jc w:val="both"/>
        <w:ind w:left="860" w:hanging="436"/>
        <w:spacing w:after="0" w:line="311" w:lineRule="auto"/>
        <w:tabs>
          <w:tab w:leader="none" w:pos="860" w:val="left"/>
        </w:tabs>
        <w:numPr>
          <w:ilvl w:val="0"/>
          <w:numId w:val="201"/>
        </w:numPr>
        <w:rPr>
          <w:rFonts w:ascii="Arial" w:cs="Arial" w:eastAsia="Arial" w:hAnsi="Arial"/>
          <w:sz w:val="12"/>
          <w:szCs w:val="12"/>
          <w:color w:val="010000"/>
        </w:rPr>
      </w:pPr>
      <w:r>
        <w:rPr>
          <w:rFonts w:ascii="Arial" w:cs="Arial" w:eastAsia="Arial" w:hAnsi="Arial"/>
          <w:sz w:val="12"/>
          <w:szCs w:val="12"/>
          <w:b w:val="1"/>
          <w:bCs w:val="1"/>
          <w:color w:val="auto"/>
        </w:rPr>
        <w:t xml:space="preserve">Nondisparagement. </w:t>
      </w:r>
      <w:r>
        <w:rPr>
          <w:rFonts w:ascii="Arial" w:cs="Arial" w:eastAsia="Arial" w:hAnsi="Arial"/>
          <w:sz w:val="12"/>
          <w:szCs w:val="12"/>
          <w:color w:val="auto"/>
        </w:rPr>
        <w:t>During the Nonsolicitation Period, Executive shall not disparage the Company, its subsidiaries and parents, and their respective officers, managers and employees,</w:t>
      </w:r>
      <w:r>
        <w:rPr>
          <w:rFonts w:ascii="Arial" w:cs="Arial" w:eastAsia="Arial" w:hAnsi="Arial"/>
          <w:sz w:val="12"/>
          <w:szCs w:val="12"/>
          <w:b w:val="1"/>
          <w:bCs w:val="1"/>
          <w:color w:val="auto"/>
        </w:rPr>
        <w:t xml:space="preserve"> </w:t>
      </w:r>
      <w:r>
        <w:rPr>
          <w:rFonts w:ascii="Arial" w:cs="Arial" w:eastAsia="Arial" w:hAnsi="Arial"/>
          <w:sz w:val="12"/>
          <w:szCs w:val="12"/>
          <w:color w:val="auto"/>
        </w:rPr>
        <w:t>or make any public 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Nonsolicitation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w:t>
      </w:r>
    </w:p>
    <w:p>
      <w:pPr>
        <w:sectPr>
          <w:pgSz w:w="11900" w:h="16930" w:orient="portrait"/>
          <w:cols w:equalWidth="0" w:num="1">
            <w:col w:w="11480"/>
          </w:cols>
          <w:pgMar w:left="220" w:top="134" w:right="199" w:bottom="0" w:gutter="0" w:footer="0" w:header="0"/>
        </w:sectPr>
      </w:pPr>
    </w:p>
    <w:bookmarkStart w:id="238" w:name="page239"/>
    <w:bookmarkEnd w:id="238"/>
    <w:p>
      <w:pPr>
        <w:ind w:left="860"/>
        <w:spacing w:after="0" w:line="287" w:lineRule="auto"/>
        <w:rPr>
          <w:sz w:val="20"/>
          <w:szCs w:val="20"/>
          <w:color w:val="auto"/>
        </w:rPr>
      </w:pPr>
      <w:r>
        <w:rPr>
          <w:rFonts w:ascii="Arial" w:cs="Arial" w:eastAsia="Arial" w:hAnsi="Arial"/>
          <w:sz w:val="14"/>
          <w:szCs w:val="14"/>
          <w:u w:val="single" w:color="auto"/>
          <w:color w:val="auto"/>
        </w:rPr>
        <w:t>Article 5(d)</w:t>
      </w:r>
      <w:r>
        <w:rPr>
          <w:rFonts w:ascii="Arial" w:cs="Arial" w:eastAsia="Arial" w:hAnsi="Arial"/>
          <w:sz w:val="14"/>
          <w:szCs w:val="14"/>
          <w:color w:val="auto"/>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97" w:lineRule="exact"/>
        <w:rPr>
          <w:sz w:val="20"/>
          <w:szCs w:val="20"/>
          <w:color w:val="auto"/>
        </w:rPr>
      </w:pPr>
    </w:p>
    <w:p>
      <w:pPr>
        <w:jc w:val="both"/>
        <w:ind w:left="860" w:hanging="436"/>
        <w:spacing w:after="0" w:line="274" w:lineRule="auto"/>
        <w:tabs>
          <w:tab w:leader="none" w:pos="860" w:val="left"/>
        </w:tabs>
        <w:numPr>
          <w:ilvl w:val="0"/>
          <w:numId w:val="202"/>
        </w:numPr>
        <w:rPr>
          <w:rFonts w:ascii="Arial" w:cs="Arial" w:eastAsia="Arial" w:hAnsi="Arial"/>
          <w:sz w:val="14"/>
          <w:szCs w:val="14"/>
          <w:color w:val="010000"/>
        </w:rPr>
      </w:pPr>
      <w:r>
        <w:rPr>
          <w:rFonts w:ascii="Arial" w:cs="Arial" w:eastAsia="Arial" w:hAnsi="Arial"/>
          <w:sz w:val="14"/>
          <w:szCs w:val="14"/>
          <w:b w:val="1"/>
          <w:bCs w:val="1"/>
          <w:color w:val="auto"/>
        </w:rPr>
        <w:t>Duration, Scope, or Area</w:t>
      </w:r>
      <w:r>
        <w:rPr>
          <w:rFonts w:ascii="Arial" w:cs="Arial" w:eastAsia="Arial" w:hAnsi="Arial"/>
          <w:sz w:val="14"/>
          <w:szCs w:val="14"/>
          <w:color w:val="auto"/>
        </w:rPr>
        <w:t>. If, at the time of enforcement of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w:t>
      </w:r>
      <w:r>
        <w:rPr>
          <w:rFonts w:ascii="Arial" w:cs="Arial" w:eastAsia="Arial" w:hAnsi="Arial"/>
          <w:sz w:val="14"/>
          <w:szCs w:val="14"/>
          <w:color w:val="auto"/>
        </w:rPr>
        <w:t>, a court shall hold that the duration, scope, or area restrictions stated herein are unreasonable under</w:t>
      </w:r>
      <w:r>
        <w:rPr>
          <w:rFonts w:ascii="Arial" w:cs="Arial" w:eastAsia="Arial" w:hAnsi="Arial"/>
          <w:sz w:val="14"/>
          <w:szCs w:val="14"/>
          <w:b w:val="1"/>
          <w:bCs w:val="1"/>
          <w:color w:val="auto"/>
        </w:rPr>
        <w:t xml:space="preserve"> </w:t>
      </w:r>
      <w:r>
        <w:rPr>
          <w:rFonts w:ascii="Arial" w:cs="Arial" w:eastAsia="Arial" w:hAnsi="Arial"/>
          <w:sz w:val="14"/>
          <w:szCs w:val="14"/>
          <w:color w:val="auto"/>
        </w:rPr>
        <w:t>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06" w:lineRule="exact"/>
        <w:rPr>
          <w:rFonts w:ascii="Arial" w:cs="Arial" w:eastAsia="Arial" w:hAnsi="Arial"/>
          <w:sz w:val="14"/>
          <w:szCs w:val="14"/>
          <w:color w:val="010000"/>
        </w:rPr>
      </w:pPr>
    </w:p>
    <w:p>
      <w:pPr>
        <w:jc w:val="both"/>
        <w:ind w:left="860" w:hanging="436"/>
        <w:spacing w:after="0" w:line="274" w:lineRule="auto"/>
        <w:tabs>
          <w:tab w:leader="none" w:pos="860" w:val="left"/>
        </w:tabs>
        <w:numPr>
          <w:ilvl w:val="0"/>
          <w:numId w:val="202"/>
        </w:numPr>
        <w:rPr>
          <w:rFonts w:ascii="Arial" w:cs="Arial" w:eastAsia="Arial" w:hAnsi="Arial"/>
          <w:sz w:val="14"/>
          <w:szCs w:val="14"/>
          <w:color w:val="010000"/>
        </w:rPr>
      </w:pPr>
      <w:r>
        <w:rPr>
          <w:rFonts w:ascii="Arial" w:cs="Arial" w:eastAsia="Arial" w:hAnsi="Arial"/>
          <w:sz w:val="14"/>
          <w:szCs w:val="14"/>
          <w:b w:val="1"/>
          <w:bCs w:val="1"/>
          <w:color w:val="auto"/>
        </w:rPr>
        <w:t>Company Enforcement</w:t>
      </w:r>
      <w:r>
        <w:rPr>
          <w:rFonts w:ascii="Arial" w:cs="Arial" w:eastAsia="Arial" w:hAnsi="Arial"/>
          <w:sz w:val="14"/>
          <w:szCs w:val="14"/>
          <w:color w:val="auto"/>
        </w:rPr>
        <w:t>. In the event of a breach or a threatened breach by the Executive of any of the provisions of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w:t>
      </w:r>
      <w:r>
        <w:rPr>
          <w:rFonts w:ascii="Arial" w:cs="Arial" w:eastAsia="Arial" w:hAnsi="Arial"/>
          <w:sz w:val="14"/>
          <w:szCs w:val="14"/>
          <w:color w:val="auto"/>
        </w:rPr>
        <w:t>, the Company would suffer irreparable harm, and in</w:t>
      </w:r>
      <w:r>
        <w:rPr>
          <w:rFonts w:ascii="Arial" w:cs="Arial" w:eastAsia="Arial" w:hAnsi="Arial"/>
          <w:sz w:val="14"/>
          <w:szCs w:val="14"/>
          <w:b w:val="1"/>
          <w:bCs w:val="1"/>
          <w:color w:val="auto"/>
        </w:rPr>
        <w:t xml:space="preserve"> </w:t>
      </w:r>
      <w:r>
        <w:rPr>
          <w:rFonts w:ascii="Arial" w:cs="Arial" w:eastAsia="Arial" w:hAnsi="Arial"/>
          <w:sz w:val="14"/>
          <w:szCs w:val="14"/>
          <w:color w:val="auto"/>
        </w:rPr>
        <w:t>addition and 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6.</w:t>
      </w:r>
      <w:r>
        <w:rPr>
          <w:rFonts w:ascii="Arial" w:cs="Arial" w:eastAsia="Arial" w:hAnsi="Arial"/>
          <w:sz w:val="14"/>
          <w:szCs w:val="14"/>
          <w:b w:val="1"/>
          <w:bCs w:val="1"/>
          <w:color w:val="000000"/>
        </w:rPr>
        <w:t>Certain Change in Control Payments</w:t>
      </w:r>
    </w:p>
    <w:p>
      <w:pPr>
        <w:spacing w:after="0" w:line="15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3"/>
          <w:szCs w:val="13"/>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3"/>
          <w:szCs w:val="13"/>
          <w:u w:val="single" w:color="auto"/>
          <w:color w:val="auto"/>
        </w:rPr>
        <w:t>Total Payments</w:t>
      </w:r>
      <w:r>
        <w:rPr>
          <w:rFonts w:ascii="Arial" w:cs="Arial" w:eastAsia="Arial" w:hAnsi="Arial"/>
          <w:sz w:val="13"/>
          <w:szCs w:val="13"/>
          <w:color w:val="auto"/>
        </w:rPr>
        <w:t xml:space="preserve">”) (a) constitute “parachute payments” within the meaning of Section 280G of the Code, and (b) but for this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would be subject to the excise tax imposed by Section 4999 of the Code, then such Executive will be entitled to receive either (i) the full amount of the Total Payments or (ii) a portion of the Total Payments having a value equal to $1 less than three (3) times such individual’s “base amount” (as such term is defined in Section 280G(b)(3)(A) of the Code), whichever of (i) and (ii), after taking into account applicable federal, state, and local income taxes and the excise tax imposed by Section 4999 of the Code, results in the receipt by such employee on an after-tax basis, of the greatest portion of the Total Payments. Any determination required under this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shall be made in writing by the Company’s independent certified public accountants appointed prior to any change in ownership (as defined under Section 280G(b)(2) of the Code) or tax counsel selected by such accountants (the “</w:t>
      </w:r>
      <w:r>
        <w:rPr>
          <w:rFonts w:ascii="Arial" w:cs="Arial" w:eastAsia="Arial" w:hAnsi="Arial"/>
          <w:sz w:val="13"/>
          <w:szCs w:val="13"/>
          <w:u w:val="single" w:color="auto"/>
          <w:color w:val="auto"/>
        </w:rPr>
        <w:t>Accountants</w:t>
      </w:r>
      <w:r>
        <w:rPr>
          <w:rFonts w:ascii="Arial" w:cs="Arial" w:eastAsia="Arial" w:hAnsi="Arial"/>
          <w:sz w:val="13"/>
          <w:szCs w:val="13"/>
          <w:color w:val="auto"/>
        </w:rPr>
        <w:t xml:space="preserve">”), whose determination shall be conclusive and binding for all purposes upon the applicable Executive. For purposes of making the calculations required by this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the Accountants may make reasonable assumptions and approximations concerning applicable taxes and may rely on reasonable, good-faith interpretations concerning the application of Sections 280G and 4999 of the Code. If there is a reduction pursuant to this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3"/>
          <w:szCs w:val="13"/>
          <w:u w:val="single" w:color="auto"/>
          <w:color w:val="auto"/>
        </w:rPr>
        <w:t>Parachute Payment Ratio</w:t>
      </w:r>
      <w:r>
        <w:rPr>
          <w:rFonts w:ascii="Arial" w:cs="Arial" w:eastAsia="Arial" w:hAnsi="Arial"/>
          <w:sz w:val="13"/>
          <w:szCs w:val="13"/>
          <w:color w:val="auto"/>
        </w:rPr>
        <w:t>” shall mean a fraction the numerator of which is the value of the applicable “parachute payment” for purposes of Section 280G of the Code and the denominator of which is the actual present value of such payment.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7.</w:t>
      </w:r>
      <w:r>
        <w:rPr>
          <w:rFonts w:ascii="Arial" w:cs="Arial" w:eastAsia="Arial" w:hAnsi="Arial"/>
          <w:sz w:val="14"/>
          <w:szCs w:val="14"/>
          <w:b w:val="1"/>
          <w:bCs w:val="1"/>
          <w:color w:val="000000"/>
        </w:rPr>
        <w:t>Legal Fees and Notice</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b w:val="1"/>
          <w:bCs w:val="1"/>
          <w:color w:val="auto"/>
        </w:rPr>
        <w:t>Payment of Legal Fees</w:t>
      </w:r>
    </w:p>
    <w:p>
      <w:pPr>
        <w:spacing w:after="0" w:line="15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4"/>
          <w:szCs w:val="14"/>
          <w:color w:val="auto"/>
        </w:rPr>
        <w:t>Except as otherwise agreed to by the parties, the Company shall pay the Executive for costs of litigation or other disputes including, without limitation, reasonable attorneys’ fees 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0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b w:val="1"/>
          <w:bCs w:val="1"/>
          <w:color w:val="auto"/>
        </w:rPr>
        <w:t>Notice</w:t>
      </w:r>
    </w:p>
    <w:p>
      <w:pPr>
        <w:spacing w:after="0" w:line="158"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4"/>
          <w:szCs w:val="14"/>
          <w:color w:val="auto"/>
        </w:rPr>
        <w:t>Any notices, requests, demands, or other communications provided for by this Plan shall be sufficient if in writing and if sent by registered or certified mail to the Executive at the last address he or she has filed in writing with the Company or, in the case of the Company, at its principal offices.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8.</w:t>
      </w:r>
      <w:r>
        <w:rPr>
          <w:rFonts w:ascii="Arial" w:cs="Arial" w:eastAsia="Arial" w:hAnsi="Arial"/>
          <w:sz w:val="14"/>
          <w:szCs w:val="14"/>
          <w:b w:val="1"/>
          <w:bCs w:val="1"/>
          <w:color w:val="000000"/>
        </w:rPr>
        <w:t>Successors and Assignment</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2"/>
          <w:szCs w:val="12"/>
          <w:b w:val="1"/>
          <w:bCs w:val="1"/>
          <w:color w:val="auto"/>
        </w:rPr>
        <w:t>Successors to the Company</w:t>
      </w:r>
    </w:p>
    <w:p>
      <w:pPr>
        <w:spacing w:after="0" w:line="158"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The Company shall require any successor (whether direct or indirect, by purchase, merger, reorganization, consolidation, acquisition of property or stock, liquidation, or otherwise) of all or a significant portion of the assets of the Company by agreement, in form and substance 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2"/>
          <w:szCs w:val="12"/>
          <w:b w:val="1"/>
          <w:bCs w:val="1"/>
          <w:color w:val="auto"/>
        </w:rPr>
        <w:t>Assignment by the Executive</w:t>
      </w:r>
    </w:p>
    <w:p>
      <w:pPr>
        <w:spacing w:after="0" w:line="158"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This Plan shall inure to the benefit of and be enforceable by the Executive’s personal or legal representatives, executors, administrators, successors, heirs, distributees, 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010000"/>
        </w:rPr>
        <w:t>Article 9.</w:t>
      </w:r>
      <w:r>
        <w:rPr>
          <w:rFonts w:ascii="Arial" w:cs="Arial" w:eastAsia="Arial" w:hAnsi="Arial"/>
          <w:sz w:val="14"/>
          <w:szCs w:val="14"/>
          <w:b w:val="1"/>
          <w:bCs w:val="1"/>
          <w:color w:val="000000"/>
        </w:rPr>
        <w:t>Miscellaneous</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2"/>
          <w:szCs w:val="12"/>
          <w:b w:val="1"/>
          <w:bCs w:val="1"/>
          <w:color w:val="auto"/>
        </w:rPr>
        <w:t>Employment Status</w:t>
      </w:r>
    </w:p>
    <w:p>
      <w:pPr>
        <w:spacing w:after="0" w:line="15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4"/>
          <w:szCs w:val="14"/>
          <w:color w:val="auto"/>
        </w:rPr>
        <w:t>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9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2"/>
          <w:szCs w:val="12"/>
          <w:b w:val="1"/>
          <w:bCs w:val="1"/>
          <w:color w:val="auto"/>
        </w:rPr>
        <w:t>Code Section 409A</w:t>
      </w:r>
      <w:r>
        <w:rPr>
          <w:rFonts w:ascii="Arial" w:cs="Arial" w:eastAsia="Arial" w:hAnsi="Arial"/>
          <w:sz w:val="12"/>
          <w:szCs w:val="12"/>
          <w:color w:val="auto"/>
        </w:rPr>
        <w:t>.</w:t>
      </w:r>
    </w:p>
    <w:p>
      <w:pPr>
        <w:spacing w:after="0" w:line="158" w:lineRule="exact"/>
        <w:rPr>
          <w:sz w:val="20"/>
          <w:szCs w:val="20"/>
          <w:color w:val="auto"/>
        </w:rPr>
      </w:pPr>
    </w:p>
    <w:p>
      <w:pPr>
        <w:jc w:val="both"/>
        <w:ind w:left="860" w:hanging="436"/>
        <w:spacing w:after="0" w:line="265" w:lineRule="auto"/>
        <w:tabs>
          <w:tab w:leader="none" w:pos="86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All expenses or other reimbursements under this Plan shall be made on or prior to the last day of the taxable year following the taxable year in which such expenses were incurred by the Executive (provided that if any such 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17" w:lineRule="exact"/>
        <w:rPr>
          <w:rFonts w:ascii="Arial" w:cs="Arial" w:eastAsia="Arial" w:hAnsi="Arial"/>
          <w:sz w:val="14"/>
          <w:szCs w:val="14"/>
          <w:color w:val="010000"/>
        </w:rPr>
      </w:pPr>
    </w:p>
    <w:p>
      <w:pPr>
        <w:ind w:left="860" w:hanging="436"/>
        <w:spacing w:after="0" w:line="287" w:lineRule="auto"/>
        <w:tabs>
          <w:tab w:leader="none" w:pos="86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For purposes of Code Section 409A, the Executive’s right to receive any installment payment pursuant to this Plan shall be treated as a right to receive a series of separate and distinct payments.</w:t>
      </w:r>
    </w:p>
    <w:p>
      <w:pPr>
        <w:spacing w:after="0" w:line="101" w:lineRule="exact"/>
        <w:rPr>
          <w:rFonts w:ascii="Arial" w:cs="Arial" w:eastAsia="Arial" w:hAnsi="Arial"/>
          <w:sz w:val="14"/>
          <w:szCs w:val="14"/>
          <w:color w:val="010000"/>
        </w:rPr>
      </w:pPr>
    </w:p>
    <w:p>
      <w:pPr>
        <w:ind w:left="860" w:hanging="436"/>
        <w:spacing w:after="0" w:line="287" w:lineRule="auto"/>
        <w:tabs>
          <w:tab w:leader="none" w:pos="86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Whenever a payment under this Plan specifies a payment period with reference to a number of days (</w:t>
      </w:r>
      <w:r>
        <w:rPr>
          <w:rFonts w:ascii="Arial" w:cs="Arial" w:eastAsia="Arial" w:hAnsi="Arial"/>
          <w:sz w:val="14"/>
          <w:szCs w:val="14"/>
          <w:u w:val="single" w:color="auto"/>
          <w:color w:val="auto"/>
        </w:rPr>
        <w:t>e.g.</w:t>
      </w:r>
      <w:r>
        <w:rPr>
          <w:rFonts w:ascii="Arial" w:cs="Arial" w:eastAsia="Arial" w:hAnsi="Arial"/>
          <w:sz w:val="14"/>
          <w:szCs w:val="14"/>
          <w:color w:val="auto"/>
        </w:rPr>
        <w:t>, “payment shall be made within thirty (30) days following the date of termination”), the actual date of payment within the specified period shall be within the sole discretion of the Company.</w:t>
      </w:r>
    </w:p>
    <w:p>
      <w:pPr>
        <w:spacing w:after="0" w:line="101" w:lineRule="exact"/>
        <w:rPr>
          <w:rFonts w:ascii="Arial" w:cs="Arial" w:eastAsia="Arial" w:hAnsi="Arial"/>
          <w:sz w:val="14"/>
          <w:szCs w:val="14"/>
          <w:color w:val="010000"/>
        </w:rPr>
      </w:pPr>
    </w:p>
    <w:p>
      <w:pPr>
        <w:jc w:val="both"/>
        <w:ind w:left="860" w:hanging="436"/>
        <w:spacing w:after="0" w:line="271" w:lineRule="auto"/>
        <w:tabs>
          <w:tab w:leader="none" w:pos="86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A termination of employment shall not be deemed to have occurred for purposes of any provision of this Plan providing for the payment of any amounts or benefits upon or following a termination of 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12" w:lineRule="exact"/>
        <w:rPr>
          <w:rFonts w:ascii="Arial" w:cs="Arial" w:eastAsia="Arial" w:hAnsi="Arial"/>
          <w:sz w:val="14"/>
          <w:szCs w:val="14"/>
          <w:color w:val="010000"/>
        </w:rPr>
      </w:pPr>
    </w:p>
    <w:p>
      <w:pPr>
        <w:ind w:left="860" w:right="20" w:hanging="436"/>
        <w:spacing w:after="0" w:line="287" w:lineRule="auto"/>
        <w:tabs>
          <w:tab w:leader="none" w:pos="86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Notwithstanding any other provision of this Plan to the contrary, in no event shall any payment under this Plan that constitutes “deferred compensation” for purposes of Code Section 409A be subject to offset unless otherwise permitted by Code Section 409A.</w:t>
      </w:r>
    </w:p>
    <w:p>
      <w:pPr>
        <w:spacing w:after="0" w:line="101" w:lineRule="exact"/>
        <w:rPr>
          <w:rFonts w:ascii="Arial" w:cs="Arial" w:eastAsia="Arial" w:hAnsi="Arial"/>
          <w:sz w:val="14"/>
          <w:szCs w:val="14"/>
          <w:color w:val="010000"/>
        </w:rPr>
      </w:pPr>
    </w:p>
    <w:p>
      <w:pPr>
        <w:ind w:left="860" w:hanging="436"/>
        <w:spacing w:after="0" w:line="287" w:lineRule="auto"/>
        <w:tabs>
          <w:tab w:leader="none" w:pos="86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Notwithstanding any provisions in this Plan to the contrary, whenever a payment under this Plan may be made upon the Release Effective Date, and the period in which the Executive could adopt the release (along with its accompany revocation period) crosses calendar years, no payments shall be made until the succeeding calendar year.</w:t>
      </w:r>
    </w:p>
    <w:p>
      <w:pPr>
        <w:spacing w:after="0" w:line="9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b w:val="1"/>
          <w:bCs w:val="1"/>
          <w:color w:val="auto"/>
        </w:rPr>
        <w:t>Entire Plan</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4"/>
          <w:szCs w:val="14"/>
          <w:color w:val="auto"/>
        </w:rPr>
        <w:t>This Plan supersedes any prior agreements or understandings, oral or written, between the parties hereto, with respect to the subject matter hereof, and constitutes the entire agreement of the 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3"/>
          <w:szCs w:val="13"/>
          <w:b w:val="1"/>
          <w:bCs w:val="1"/>
          <w:color w:val="auto"/>
        </w:rPr>
        <w:t>Severability</w:t>
      </w:r>
    </w:p>
    <w:p>
      <w:pPr>
        <w:spacing w:after="0" w:line="15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4"/>
          <w:szCs w:val="14"/>
          <w:color w:val="auto"/>
        </w:rPr>
        <w:t>In the event that any provision or portion of this Plan shall be determined to be invalid or unenforceable for any reason, the remaining provisions of this Plan shall be unaffected thereby and shall remain in full force and effect.</w:t>
      </w:r>
    </w:p>
    <w:p>
      <w:pPr>
        <w:sectPr>
          <w:pgSz w:w="11900" w:h="16838" w:orient="portrait"/>
          <w:cols w:equalWidth="0" w:num="1">
            <w:col w:w="11480"/>
          </w:cols>
          <w:pgMar w:left="220" w:top="134" w:right="199" w:bottom="0" w:gutter="0" w:footer="0" w:header="0"/>
        </w:sectPr>
      </w:pPr>
    </w:p>
    <w:bookmarkStart w:id="239" w:name="page240"/>
    <w:bookmarkEnd w:id="239"/>
    <w:p>
      <w:pPr>
        <w:ind w:left="420"/>
        <w:spacing w:after="0"/>
        <w:tabs>
          <w:tab w:leader="none" w:pos="8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3"/>
          <w:szCs w:val="13"/>
          <w:b w:val="1"/>
          <w:bCs w:val="1"/>
          <w:color w:val="auto"/>
        </w:rPr>
        <w:t>Tax Withholding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Company may withhold from any benefits payable under this Plan all federal, state, city, or other taxes as may be required pursuant to any law or governmental regulation or ruling.</w:t>
      </w:r>
    </w:p>
    <w:p>
      <w:pPr>
        <w:spacing w:after="0" w:line="16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2"/>
          <w:szCs w:val="12"/>
          <w:b w:val="1"/>
          <w:bCs w:val="1"/>
          <w:color w:val="auto"/>
        </w:rPr>
        <w:t>Beneficiaries</w:t>
      </w:r>
    </w:p>
    <w:p>
      <w:pPr>
        <w:spacing w:after="0" w:line="158"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4"/>
          <w:szCs w:val="14"/>
          <w:color w:val="auto"/>
        </w:rPr>
        <w:t>The Executive may designate one (1) or more persons or entities as the primary and/or contingent beneficiaries of any amounts to be received under this Plan. Such designation must be in the form of a signed writing acceptable to the Board or the Board’s designee. The Executive may make or change such designation at any time.</w:t>
      </w:r>
    </w:p>
    <w:p>
      <w:pPr>
        <w:spacing w:after="0" w:line="9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3"/>
          <w:szCs w:val="13"/>
          <w:b w:val="1"/>
          <w:bCs w:val="1"/>
          <w:color w:val="auto"/>
        </w:rPr>
        <w:t>Payment Obligation Absolute</w:t>
      </w:r>
    </w:p>
    <w:p>
      <w:pPr>
        <w:spacing w:after="0" w:line="158"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4"/>
          <w:szCs w:val="14"/>
          <w:color w:val="auto"/>
        </w:rPr>
        <w:t>The Company’s obligation to make the payments provided for herein shall be absolute and unconditional, and shall not be affected by any circumstances, including, without limitation, any offset, counterclaim, recoupment, defense, or other right which the Company may have against the Executive or anyone else.</w:t>
      </w:r>
    </w:p>
    <w:p>
      <w:pPr>
        <w:spacing w:after="0" w:line="10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4"/>
          <w:szCs w:val="14"/>
          <w:color w:val="auto"/>
        </w:rPr>
        <w:t xml:space="preserve">Except as provided in </w:t>
      </w:r>
      <w:r>
        <w:rPr>
          <w:rFonts w:ascii="Arial" w:cs="Arial" w:eastAsia="Arial" w:hAnsi="Arial"/>
          <w:sz w:val="14"/>
          <w:szCs w:val="14"/>
          <w:u w:val="single" w:color="auto"/>
          <w:color w:val="auto"/>
        </w:rPr>
        <w:t>Sections 3.2(d)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3.3(c)</w:t>
      </w:r>
      <w:r>
        <w:rPr>
          <w:rFonts w:ascii="Arial" w:cs="Arial" w:eastAsia="Arial" w:hAnsi="Arial"/>
          <w:sz w:val="14"/>
          <w:szCs w:val="14"/>
          <w:color w:val="auto"/>
        </w:rPr>
        <w:t xml:space="preserve"> of this Plan, the Executive shall not be obligated to seek other employment in mitigation of the amounts payable or arrangements made under any provision of this Plan, and the obtaining of any such other employment shall in no event effect any reduction of the Company’s obligations to make the payments and arrangements required to be made under this Plan.</w:t>
      </w:r>
    </w:p>
    <w:p>
      <w:pPr>
        <w:spacing w:after="0" w:line="10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2"/>
          <w:szCs w:val="12"/>
          <w:b w:val="1"/>
          <w:bCs w:val="1"/>
          <w:color w:val="auto"/>
        </w:rPr>
        <w:t>Contractual Rights to Benefits</w:t>
      </w:r>
    </w:p>
    <w:p>
      <w:pPr>
        <w:spacing w:after="0" w:line="15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4"/>
          <w:szCs w:val="14"/>
          <w:color w:val="auto"/>
        </w:rPr>
        <w:t>Subject to approval and ratification by the Board, this Plan establishes and vests in the Executive a contractual right to the benefits to which he or she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0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3"/>
          <w:szCs w:val="13"/>
          <w:b w:val="1"/>
          <w:bCs w:val="1"/>
          <w:color w:val="auto"/>
        </w:rPr>
        <w:t>Modification</w:t>
      </w:r>
    </w:p>
    <w:p>
      <w:pPr>
        <w:spacing w:after="0" w:line="158"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3"/>
          <w:szCs w:val="13"/>
          <w:color w:val="auto"/>
        </w:rPr>
        <w:t>No provision of this Plan may be modified, waived, or discharged with respect to any particular Executive unless such modification, waiver, or discharge is agreed to in writing and signed by 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9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9.10</w:t>
      </w:r>
      <w:r>
        <w:rPr>
          <w:sz w:val="20"/>
          <w:szCs w:val="20"/>
          <w:color w:val="auto"/>
        </w:rPr>
        <w:tab/>
      </w:r>
      <w:r>
        <w:rPr>
          <w:rFonts w:ascii="Arial" w:cs="Arial" w:eastAsia="Arial" w:hAnsi="Arial"/>
          <w:sz w:val="13"/>
          <w:szCs w:val="13"/>
          <w:b w:val="1"/>
          <w:bCs w:val="1"/>
          <w:color w:val="auto"/>
        </w:rPr>
        <w:t>Gender and Number</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9.11</w:t>
      </w:r>
      <w:r>
        <w:rPr>
          <w:sz w:val="20"/>
          <w:szCs w:val="20"/>
          <w:color w:val="auto"/>
        </w:rPr>
        <w:tab/>
      </w:r>
      <w:r>
        <w:rPr>
          <w:rFonts w:ascii="Arial" w:cs="Arial" w:eastAsia="Arial" w:hAnsi="Arial"/>
          <w:sz w:val="13"/>
          <w:szCs w:val="13"/>
          <w:b w:val="1"/>
          <w:bCs w:val="1"/>
          <w:color w:val="auto"/>
        </w:rPr>
        <w:t>Applicable Law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To the extent not preempted by the laws of the United States, the laws of the state of New Jersey shall be the controlling law in all matters relating to this Plan.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w:t>
      </w:r>
    </w:p>
    <w:p>
      <w:pPr>
        <w:spacing w:after="0" w:line="251" w:lineRule="exact"/>
        <w:rPr>
          <w:sz w:val="20"/>
          <w:szCs w:val="20"/>
          <w:color w:val="auto"/>
        </w:rPr>
      </w:pPr>
    </w:p>
    <w:p>
      <w:pPr>
        <w:spacing w:after="0"/>
        <w:rPr>
          <w:sz w:val="20"/>
          <w:szCs w:val="20"/>
          <w:color w:val="auto"/>
        </w:rPr>
      </w:pPr>
      <w:r>
        <w:rPr>
          <w:rFonts w:ascii="Arial" w:cs="Arial" w:eastAsia="Arial" w:hAnsi="Arial"/>
          <w:sz w:val="7"/>
          <w:szCs w:val="7"/>
          <w:color w:val="auto"/>
        </w:rPr>
        <w:t>DMEAST #35732408 v3</w:t>
      </w:r>
    </w:p>
    <w:p>
      <w:pPr>
        <w:sectPr>
          <w:pgSz w:w="11900" w:h="16838" w:orient="portrait"/>
          <w:cols w:equalWidth="0" w:num="1">
            <w:col w:w="11480"/>
          </w:cols>
          <w:pgMar w:left="220" w:top="130" w:right="199" w:bottom="1440" w:gutter="0" w:footer="0" w:header="0"/>
        </w:sectPr>
      </w:pPr>
    </w:p>
    <w:bookmarkStart w:id="240" w:name="page241"/>
    <w:bookmarkEnd w:id="240"/>
    <w:p>
      <w:pPr>
        <w:jc w:val="right"/>
        <w:spacing w:after="0"/>
        <w:rPr>
          <w:sz w:val="20"/>
          <w:szCs w:val="20"/>
          <w:color w:val="auto"/>
        </w:rPr>
      </w:pPr>
      <w:r>
        <w:rPr>
          <w:rFonts w:ascii="Arial" w:cs="Arial" w:eastAsia="Arial" w:hAnsi="Arial"/>
          <w:sz w:val="12"/>
          <w:szCs w:val="12"/>
          <w:b w:val="1"/>
          <w:bCs w:val="1"/>
          <w:color w:val="auto"/>
        </w:rPr>
        <w:t>Exhibit 10.30</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ASSIGNMENT AND ASSUMPTION AGREEMENT</w:t>
      </w:r>
    </w:p>
    <w:p>
      <w:pPr>
        <w:spacing w:after="0" w:line="200" w:lineRule="exact"/>
        <w:rPr>
          <w:sz w:val="20"/>
          <w:szCs w:val="20"/>
          <w:color w:val="auto"/>
        </w:rPr>
      </w:pPr>
    </w:p>
    <w:p>
      <w:pPr>
        <w:spacing w:after="0" w:line="251" w:lineRule="exact"/>
        <w:rPr>
          <w:sz w:val="20"/>
          <w:szCs w:val="20"/>
          <w:color w:val="auto"/>
        </w:rPr>
      </w:pPr>
    </w:p>
    <w:p>
      <w:pPr>
        <w:ind w:left="8" w:firstLine="432"/>
        <w:spacing w:after="0" w:line="292" w:lineRule="auto"/>
        <w:rPr>
          <w:sz w:val="20"/>
          <w:szCs w:val="20"/>
          <w:color w:val="auto"/>
        </w:rPr>
      </w:pPr>
      <w:r>
        <w:rPr>
          <w:rFonts w:ascii="Arial" w:cs="Arial" w:eastAsia="Arial" w:hAnsi="Arial"/>
          <w:sz w:val="12"/>
          <w:szCs w:val="12"/>
          <w:color w:val="auto"/>
        </w:rPr>
        <w:t>This ASSIGNMENT AND ASSUMPTION AGREEMENT (this “</w:t>
      </w:r>
      <w:r>
        <w:rPr>
          <w:rFonts w:ascii="Arial" w:cs="Arial" w:eastAsia="Arial" w:hAnsi="Arial"/>
          <w:sz w:val="12"/>
          <w:szCs w:val="12"/>
          <w:u w:val="single" w:color="auto"/>
          <w:color w:val="auto"/>
        </w:rPr>
        <w:t>Assignment</w:t>
      </w:r>
      <w:r>
        <w:rPr>
          <w:rFonts w:ascii="Arial" w:cs="Arial" w:eastAsia="Arial" w:hAnsi="Arial"/>
          <w:sz w:val="12"/>
          <w:szCs w:val="12"/>
          <w:color w:val="auto"/>
        </w:rPr>
        <w:t>”), effective as of February 26, 2019 (the “</w:t>
      </w:r>
      <w:r>
        <w:rPr>
          <w:rFonts w:ascii="Arial" w:cs="Arial" w:eastAsia="Arial" w:hAnsi="Arial"/>
          <w:sz w:val="12"/>
          <w:szCs w:val="12"/>
          <w:u w:val="single" w:color="auto"/>
          <w:color w:val="auto"/>
        </w:rPr>
        <w:t>Effective Date</w:t>
      </w:r>
      <w:r>
        <w:rPr>
          <w:rFonts w:ascii="Arial" w:cs="Arial" w:eastAsia="Arial" w:hAnsi="Arial"/>
          <w:sz w:val="12"/>
          <w:szCs w:val="12"/>
          <w:color w:val="auto"/>
        </w:rPr>
        <w:t>”), among Clearway Energy Operating LLC (formerly NRG Yield Operating LLC), a Delaware limited liability company (“</w:t>
      </w:r>
      <w:r>
        <w:rPr>
          <w:rFonts w:ascii="Arial" w:cs="Arial" w:eastAsia="Arial" w:hAnsi="Arial"/>
          <w:sz w:val="12"/>
          <w:szCs w:val="12"/>
          <w:u w:val="single" w:color="auto"/>
          <w:color w:val="auto"/>
        </w:rPr>
        <w:t>Assignor</w:t>
      </w:r>
      <w:r>
        <w:rPr>
          <w:rFonts w:ascii="Arial" w:cs="Arial" w:eastAsia="Arial" w:hAnsi="Arial"/>
          <w:sz w:val="12"/>
          <w:szCs w:val="12"/>
          <w:color w:val="auto"/>
        </w:rPr>
        <w:t>”), and GIP III Zephyr Carlsbad Holdings, LLC, a Delaware limited liability company (“</w:t>
      </w:r>
      <w:r>
        <w:rPr>
          <w:rFonts w:ascii="Arial" w:cs="Arial" w:eastAsia="Arial" w:hAnsi="Arial"/>
          <w:sz w:val="12"/>
          <w:szCs w:val="12"/>
          <w:u w:val="single" w:color="auto"/>
          <w:color w:val="auto"/>
        </w:rPr>
        <w:t>Assignee</w:t>
      </w:r>
      <w:r>
        <w:rPr>
          <w:rFonts w:ascii="Arial" w:cs="Arial" w:eastAsia="Arial" w:hAnsi="Arial"/>
          <w:sz w:val="12"/>
          <w:szCs w:val="12"/>
          <w:color w:val="auto"/>
        </w:rPr>
        <w:t>”).</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RECITALS</w:t>
      </w:r>
    </w:p>
    <w:p>
      <w:pPr>
        <w:spacing w:after="0" w:line="163" w:lineRule="exact"/>
        <w:rPr>
          <w:sz w:val="20"/>
          <w:szCs w:val="20"/>
          <w:color w:val="auto"/>
        </w:rPr>
      </w:pPr>
    </w:p>
    <w:p>
      <w:pPr>
        <w:jc w:val="both"/>
        <w:ind w:left="8" w:hanging="8"/>
        <w:spacing w:after="0" w:line="279" w:lineRule="auto"/>
        <w:tabs>
          <w:tab w:leader="none" w:pos="308" w:val="left"/>
        </w:tabs>
        <w:numPr>
          <w:ilvl w:val="0"/>
          <w:numId w:val="204"/>
        </w:numPr>
        <w:rPr>
          <w:rFonts w:ascii="Arial" w:cs="Arial" w:eastAsia="Arial" w:hAnsi="Arial"/>
          <w:sz w:val="12"/>
          <w:szCs w:val="12"/>
          <w:color w:val="auto"/>
        </w:rPr>
      </w:pPr>
      <w:r>
        <w:rPr>
          <w:rFonts w:ascii="Arial" w:cs="Arial" w:eastAsia="Arial" w:hAnsi="Arial"/>
          <w:sz w:val="12"/>
          <w:szCs w:val="12"/>
          <w:color w:val="auto"/>
        </w:rPr>
        <w:t>Assignor is party to that certain Purchase and Sale Agreement, dated as of February 6, 2018, by and between the Assignor and NRG Gas Development Company, LLC, a Delaware limited liability company (the “</w:t>
      </w:r>
      <w:r>
        <w:rPr>
          <w:rFonts w:ascii="Arial" w:cs="Arial" w:eastAsia="Arial" w:hAnsi="Arial"/>
          <w:sz w:val="12"/>
          <w:szCs w:val="12"/>
          <w:u w:val="single" w:color="auto"/>
          <w:color w:val="auto"/>
        </w:rPr>
        <w:t>Purchase</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pursuant to which the Assignor agreed to purchase 100% of the membership interests of Carlsbad Energy Holdings LLC, a Delaware limited liability company (“</w:t>
      </w:r>
      <w:r>
        <w:rPr>
          <w:rFonts w:ascii="Arial" w:cs="Arial" w:eastAsia="Arial" w:hAnsi="Arial"/>
          <w:sz w:val="12"/>
          <w:szCs w:val="12"/>
          <w:u w:val="single" w:color="auto"/>
          <w:color w:val="auto"/>
        </w:rPr>
        <w:t>Carlsbad Holdings</w:t>
      </w:r>
      <w:r>
        <w:rPr>
          <w:rFonts w:ascii="Arial" w:cs="Arial" w:eastAsia="Arial" w:hAnsi="Arial"/>
          <w:sz w:val="12"/>
          <w:szCs w:val="12"/>
          <w:color w:val="auto"/>
        </w:rPr>
        <w:t>”) and indirect owner of a 540 megawatt natural gas fired project in Carlsbad, California (the “</w:t>
      </w:r>
      <w:r>
        <w:rPr>
          <w:rFonts w:ascii="Arial" w:cs="Arial" w:eastAsia="Arial" w:hAnsi="Arial"/>
          <w:sz w:val="12"/>
          <w:szCs w:val="12"/>
          <w:u w:val="single" w:color="auto"/>
          <w:color w:val="auto"/>
        </w:rPr>
        <w:t>Project</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 w:right="20" w:hanging="8"/>
        <w:spacing w:after="0" w:line="292" w:lineRule="auto"/>
        <w:tabs>
          <w:tab w:leader="none" w:pos="249" w:val="left"/>
        </w:tabs>
        <w:numPr>
          <w:ilvl w:val="0"/>
          <w:numId w:val="204"/>
        </w:numPr>
        <w:rPr>
          <w:rFonts w:ascii="Arial" w:cs="Arial" w:eastAsia="Arial" w:hAnsi="Arial"/>
          <w:sz w:val="12"/>
          <w:szCs w:val="12"/>
          <w:color w:val="auto"/>
        </w:rPr>
      </w:pPr>
      <w:r>
        <w:rPr>
          <w:rFonts w:ascii="Arial" w:cs="Arial" w:eastAsia="Arial" w:hAnsi="Arial"/>
          <w:sz w:val="12"/>
          <w:szCs w:val="12"/>
          <w:color w:val="auto"/>
        </w:rPr>
        <w:t>In accordance with Section 13.10 of the Purchase Agreement, Assignor desires to transfer, assign, convey and deliver to Assignee, and Assignee desires to receive, acquire and accept from Assignor the Purchase Agreement such that the Assignee shall be the purchaser of Carlsbad Holdings and the Project; and</w:t>
      </w:r>
    </w:p>
    <w:p>
      <w:pPr>
        <w:spacing w:after="0" w:line="114" w:lineRule="exact"/>
        <w:rPr>
          <w:rFonts w:ascii="Arial" w:cs="Arial" w:eastAsia="Arial" w:hAnsi="Arial"/>
          <w:sz w:val="12"/>
          <w:szCs w:val="12"/>
          <w:color w:val="auto"/>
        </w:rPr>
      </w:pPr>
    </w:p>
    <w:p>
      <w:pPr>
        <w:ind w:left="228" w:hanging="228"/>
        <w:spacing w:after="0"/>
        <w:tabs>
          <w:tab w:leader="none" w:pos="228"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To effect the transfer of the Purchase Agreement, Assignor and Assignee are executing and delivering this Assignment.</w:t>
      </w:r>
    </w:p>
    <w:p>
      <w:pPr>
        <w:spacing w:after="0" w:line="159" w:lineRule="exact"/>
        <w:rPr>
          <w:sz w:val="20"/>
          <w:szCs w:val="20"/>
          <w:color w:val="auto"/>
        </w:rPr>
      </w:pPr>
    </w:p>
    <w:p>
      <w:pPr>
        <w:ind w:left="8" w:firstLine="432"/>
        <w:spacing w:after="0" w:line="292" w:lineRule="auto"/>
        <w:rPr>
          <w:sz w:val="20"/>
          <w:szCs w:val="20"/>
          <w:color w:val="auto"/>
        </w:rPr>
      </w:pPr>
      <w:r>
        <w:rPr>
          <w:rFonts w:ascii="Arial" w:cs="Arial" w:eastAsia="Arial" w:hAnsi="Arial"/>
          <w:sz w:val="12"/>
          <w:szCs w:val="12"/>
          <w:color w:val="auto"/>
        </w:rPr>
        <w:t>NOW THEREFORE, in consideration of the premises, the mutual covenants and agreements contained herein and other good and valuable consideration, the receipt and sufficiency of which are hereby acknowledged, Assignor and Assignee hereby act and agree as follows:</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AGREEMENTS</w:t>
      </w:r>
    </w:p>
    <w:p>
      <w:pPr>
        <w:spacing w:after="0" w:line="172" w:lineRule="exact"/>
        <w:rPr>
          <w:sz w:val="20"/>
          <w:szCs w:val="20"/>
          <w:color w:val="auto"/>
        </w:rPr>
      </w:pPr>
    </w:p>
    <w:p>
      <w:pPr>
        <w:ind w:left="8" w:right="20" w:firstLine="857"/>
        <w:spacing w:after="0" w:line="339" w:lineRule="auto"/>
        <w:tabs>
          <w:tab w:leader="none" w:pos="1395" w:val="left"/>
        </w:tabs>
        <w:numPr>
          <w:ilvl w:val="0"/>
          <w:numId w:val="205"/>
        </w:numPr>
        <w:rPr>
          <w:rFonts w:ascii="Arial" w:cs="Arial" w:eastAsia="Arial" w:hAnsi="Arial"/>
          <w:sz w:val="12"/>
          <w:szCs w:val="12"/>
          <w:color w:val="auto"/>
        </w:rPr>
      </w:pPr>
      <w:r>
        <w:rPr>
          <w:rFonts w:ascii="Arial" w:cs="Arial" w:eastAsia="Arial" w:hAnsi="Arial"/>
          <w:sz w:val="12"/>
          <w:szCs w:val="12"/>
          <w:u w:val="single" w:color="auto"/>
          <w:color w:val="auto"/>
        </w:rPr>
        <w:t>Assignment of the Purchase Agreement</w:t>
      </w:r>
      <w:r>
        <w:rPr>
          <w:rFonts w:ascii="Arial" w:cs="Arial" w:eastAsia="Arial" w:hAnsi="Arial"/>
          <w:sz w:val="12"/>
          <w:szCs w:val="12"/>
          <w:color w:val="auto"/>
        </w:rPr>
        <w:t>. Assignor hereby transfers, assigns, conveys and delivers to Assignee all of Assignor’s right, title and interest in and to the Purchase Agreement, and Assignee hereby accepts such transfer, assignment and conveyance.</w:t>
      </w:r>
    </w:p>
    <w:p>
      <w:pPr>
        <w:spacing w:after="0" w:line="114" w:lineRule="exact"/>
        <w:rPr>
          <w:rFonts w:ascii="Arial" w:cs="Arial" w:eastAsia="Arial" w:hAnsi="Arial"/>
          <w:sz w:val="12"/>
          <w:szCs w:val="12"/>
          <w:color w:val="auto"/>
        </w:rPr>
      </w:pPr>
    </w:p>
    <w:p>
      <w:pPr>
        <w:ind w:left="1388" w:hanging="523"/>
        <w:spacing w:after="0"/>
        <w:tabs>
          <w:tab w:leader="none" w:pos="1388" w:val="left"/>
        </w:tabs>
        <w:numPr>
          <w:ilvl w:val="0"/>
          <w:numId w:val="205"/>
        </w:numPr>
        <w:rPr>
          <w:rFonts w:ascii="Arial" w:cs="Arial" w:eastAsia="Arial" w:hAnsi="Arial"/>
          <w:sz w:val="10"/>
          <w:szCs w:val="10"/>
          <w:color w:val="auto"/>
        </w:rPr>
      </w:pPr>
      <w:r>
        <w:rPr>
          <w:rFonts w:ascii="Arial" w:cs="Arial" w:eastAsia="Arial" w:hAnsi="Arial"/>
          <w:sz w:val="10"/>
          <w:szCs w:val="10"/>
          <w:u w:val="single" w:color="auto"/>
          <w:color w:val="auto"/>
        </w:rPr>
        <w:t>Assumption of Assignee</w:t>
      </w:r>
      <w:r>
        <w:rPr>
          <w:rFonts w:ascii="Arial" w:cs="Arial" w:eastAsia="Arial" w:hAnsi="Arial"/>
          <w:sz w:val="10"/>
          <w:szCs w:val="10"/>
          <w:color w:val="auto"/>
        </w:rPr>
        <w:t>. Assignee hereby agrees to assume the obligations of Assignor to satisfy, perform and discharge, as the same become due, all liabilities and obligations under the Purchase Agreement.</w:t>
      </w:r>
    </w:p>
    <w:p>
      <w:pPr>
        <w:spacing w:after="0" w:line="209" w:lineRule="exact"/>
        <w:rPr>
          <w:rFonts w:ascii="Arial" w:cs="Arial" w:eastAsia="Arial" w:hAnsi="Arial"/>
          <w:sz w:val="10"/>
          <w:szCs w:val="10"/>
          <w:color w:val="auto"/>
        </w:rPr>
      </w:pPr>
    </w:p>
    <w:p>
      <w:pPr>
        <w:ind w:left="8" w:right="20" w:firstLine="857"/>
        <w:spacing w:after="0" w:line="339" w:lineRule="auto"/>
        <w:tabs>
          <w:tab w:leader="none" w:pos="1395" w:val="left"/>
        </w:tabs>
        <w:numPr>
          <w:ilvl w:val="0"/>
          <w:numId w:val="205"/>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Assignment may be executed in separate counterparts with separate signature pages, all of which when taken together shall constitute one instrument. Delivery by facsimile or other electronic transmission of an executed original or the retransmission of any executed facsimile or other electronic transmission shall be deemed to be the same as delivery of an executed original.</w:t>
      </w:r>
    </w:p>
    <w:p>
      <w:pPr>
        <w:spacing w:after="0" w:line="114" w:lineRule="exact"/>
        <w:rPr>
          <w:rFonts w:ascii="Arial" w:cs="Arial" w:eastAsia="Arial" w:hAnsi="Arial"/>
          <w:sz w:val="12"/>
          <w:szCs w:val="12"/>
          <w:color w:val="auto"/>
        </w:rPr>
      </w:pPr>
    </w:p>
    <w:p>
      <w:pPr>
        <w:jc w:val="both"/>
        <w:ind w:left="8" w:firstLine="857"/>
        <w:spacing w:after="0" w:line="358" w:lineRule="auto"/>
        <w:tabs>
          <w:tab w:leader="none" w:pos="1395" w:val="left"/>
        </w:tabs>
        <w:numPr>
          <w:ilvl w:val="0"/>
          <w:numId w:val="205"/>
        </w:numPr>
        <w:rPr>
          <w:rFonts w:ascii="Arial" w:cs="Arial" w:eastAsia="Arial" w:hAnsi="Arial"/>
          <w:sz w:val="11"/>
          <w:szCs w:val="11"/>
          <w:color w:val="auto"/>
        </w:rPr>
      </w:pPr>
      <w:r>
        <w:rPr>
          <w:rFonts w:ascii="Arial" w:cs="Arial" w:eastAsia="Arial" w:hAnsi="Arial"/>
          <w:sz w:val="11"/>
          <w:szCs w:val="11"/>
          <w:u w:val="single" w:color="auto"/>
          <w:color w:val="auto"/>
        </w:rPr>
        <w:t>Further Assurances</w:t>
      </w:r>
      <w:r>
        <w:rPr>
          <w:rFonts w:ascii="Arial" w:cs="Arial" w:eastAsia="Arial" w:hAnsi="Arial"/>
          <w:sz w:val="11"/>
          <w:szCs w:val="11"/>
          <w:color w:val="auto"/>
        </w:rPr>
        <w:t>. The parties hereto agree to take all such further actions and execute, acknowledge and deliver all such further documents that are necessary or useful in carrying out the purposes of this Assignment. Without limiting the foregoing, (a) Assignor agrees to execute, acknowledge and deliver to Assignee all such other additional instruments, notices, and other documents and to do all such other and further acts and things as may be reasonably necessary to more fully and effectively sell, assign, transfer and deliver to Assignee the Purchase Agreement and (b) Assignee agrees to execute, acknowledge and deliver to Assignor all such other additional instruments, notices, and other documents and to do all such other and further acts and things as may be reasonably necessary to more fully and effectively accept and assume the Purchase Agreement.</w:t>
      </w:r>
    </w:p>
    <w:p>
      <w:pPr>
        <w:sectPr>
          <w:pgSz w:w="11900" w:h="16838" w:orient="portrait"/>
          <w:cols w:equalWidth="0" w:num="1">
            <w:col w:w="11488"/>
          </w:cols>
          <w:pgMar w:left="212" w:top="127" w:right="199" w:bottom="1440" w:gutter="0" w:footer="0" w:header="0"/>
        </w:sectPr>
      </w:pPr>
    </w:p>
    <w:bookmarkStart w:id="241" w:name="page242"/>
    <w:bookmarkEnd w:id="241"/>
    <w:p>
      <w:pPr>
        <w:ind w:firstLine="857"/>
        <w:spacing w:after="0" w:line="339" w:lineRule="auto"/>
        <w:tabs>
          <w:tab w:leader="none" w:pos="1387" w:val="left"/>
        </w:tabs>
        <w:numPr>
          <w:ilvl w:val="0"/>
          <w:numId w:val="20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Assignment shall be governed by and construed in accordance with the Laws of the State of New York, without giving effect to any conflict or choice of law provision that would result in the application of another state’s law.</w:t>
      </w:r>
    </w:p>
    <w:p>
      <w:pPr>
        <w:spacing w:after="0" w:line="114" w:lineRule="exact"/>
        <w:rPr>
          <w:rFonts w:ascii="Arial" w:cs="Arial" w:eastAsia="Arial" w:hAnsi="Arial"/>
          <w:sz w:val="12"/>
          <w:szCs w:val="12"/>
          <w:color w:val="auto"/>
        </w:rPr>
      </w:pPr>
    </w:p>
    <w:p>
      <w:pPr>
        <w:ind w:left="1380" w:hanging="523"/>
        <w:spacing w:after="0"/>
        <w:tabs>
          <w:tab w:leader="none" w:pos="1380" w:val="left"/>
        </w:tabs>
        <w:numPr>
          <w:ilvl w:val="0"/>
          <w:numId w:val="206"/>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Assignment shall be binding upon and inure to the benefit of Assignor and Assignee and their respective successors and permitted assigns.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signature page follows</w:t>
      </w:r>
      <w:r>
        <w:rPr>
          <w:rFonts w:ascii="Arial" w:cs="Arial" w:eastAsia="Arial" w:hAnsi="Arial"/>
          <w:sz w:val="12"/>
          <w:szCs w:val="12"/>
          <w:color w:val="auto"/>
        </w:rPr>
        <w:t>]</w:t>
      </w:r>
    </w:p>
    <w:p>
      <w:pPr>
        <w:sectPr>
          <w:pgSz w:w="11900" w:h="16838" w:orient="portrait"/>
          <w:cols w:equalWidth="0" w:num="1">
            <w:col w:w="11480"/>
          </w:cols>
          <w:pgMar w:left="220" w:top="581" w:right="199" w:bottom="1440" w:gutter="0" w:footer="0" w:header="0"/>
        </w:sectPr>
      </w:pPr>
    </w:p>
    <w:bookmarkStart w:id="242" w:name="page243"/>
    <w:bookmarkEnd w:id="242"/>
    <w:p>
      <w:pPr>
        <w:spacing w:after="0"/>
        <w:rPr>
          <w:sz w:val="20"/>
          <w:szCs w:val="20"/>
          <w:color w:val="auto"/>
        </w:rPr>
      </w:pPr>
      <w:r>
        <w:rPr>
          <w:rFonts w:ascii="Arial" w:cs="Arial" w:eastAsia="Arial" w:hAnsi="Arial"/>
          <w:sz w:val="10"/>
          <w:szCs w:val="10"/>
          <w:color w:val="auto"/>
        </w:rPr>
        <w:t>IN WITNESS WHEREOF, each party has caused this Assignment to be executed on its behalf by its duly authorized officer, as of the day and year first above written.</w:t>
      </w:r>
    </w:p>
    <w:p>
      <w:pPr>
        <w:sectPr>
          <w:pgSz w:w="11900" w:h="16838" w:orient="portrait"/>
          <w:cols w:equalWidth="0" w:num="1">
            <w:col w:w="9819"/>
          </w:cols>
          <w:pgMar w:left="640" w:top="716" w:right="1440" w:bottom="1440" w:gutter="0" w:footer="0" w:header="0"/>
        </w:sectPr>
      </w:pPr>
    </w:p>
    <w:p>
      <w:pPr>
        <w:spacing w:after="0" w:line="385"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ASSIGNOR:</w:t>
      </w:r>
    </w:p>
    <w:p>
      <w:pPr>
        <w:spacing w:after="0" w:line="298"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CLEARWAY ENERGY OPERATING LLC</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Sotos</w:t>
      </w:r>
      <w:r>
        <w:rPr>
          <w:rFonts w:ascii="Arial" w:cs="Arial" w:eastAsia="Arial" w:hAnsi="Arial"/>
          <w:sz w:val="12"/>
          <w:szCs w:val="12"/>
          <w:color w:val="auto"/>
        </w:rPr>
        <w:t>____________________</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Name: Christopher Sotos</w:t>
      </w:r>
    </w:p>
    <w:p>
      <w:pPr>
        <w:spacing w:after="0" w:line="6"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ASSIGNEE:</w:t>
      </w:r>
    </w:p>
    <w:p>
      <w:pPr>
        <w:spacing w:after="0" w:line="298"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GIP III ZEPHYR CARLSBAD HOLDINGS, LLC</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Jonathan Bram</w:t>
      </w:r>
      <w:r>
        <w:rPr>
          <w:rFonts w:ascii="Arial" w:cs="Arial" w:eastAsia="Arial" w:hAnsi="Arial"/>
          <w:sz w:val="12"/>
          <w:szCs w:val="12"/>
          <w:color w:val="auto"/>
        </w:rPr>
        <w:t>_______________________</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Name: Jonathan Bram</w:t>
      </w:r>
    </w:p>
    <w:p>
      <w:pPr>
        <w:spacing w:after="0" w:line="6"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999"/>
        <w:spacing w:after="0"/>
        <w:rPr>
          <w:sz w:val="20"/>
          <w:szCs w:val="20"/>
          <w:color w:val="auto"/>
        </w:rPr>
      </w:pPr>
      <w:r>
        <w:rPr>
          <w:rFonts w:ascii="Arial" w:cs="Arial" w:eastAsia="Arial" w:hAnsi="Arial"/>
          <w:sz w:val="12"/>
          <w:szCs w:val="12"/>
          <w:i w:val="1"/>
          <w:iCs w:val="1"/>
          <w:color w:val="auto"/>
        </w:rPr>
        <w:t>Signature Page for Carlsbad Purchase Agreement Assignment</w:t>
      </w:r>
    </w:p>
    <w:p>
      <w:pPr>
        <w:sectPr>
          <w:pgSz w:w="11900" w:h="16838" w:orient="portrait"/>
          <w:cols w:equalWidth="0" w:num="1">
            <w:col w:w="9819"/>
          </w:cols>
          <w:pgMar w:left="640" w:top="716" w:right="1440" w:bottom="1440" w:gutter="0" w:footer="0" w:header="0"/>
          <w:type w:val="continuous"/>
        </w:sectPr>
      </w:pPr>
    </w:p>
    <w:bookmarkStart w:id="243" w:name="page244"/>
    <w:bookmarkEnd w:id="243"/>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8100" w:type="dxa"/>
            <w:vAlign w:val="bottom"/>
            <w:gridSpan w:val="3"/>
          </w:tcPr>
          <w:p>
            <w:pPr>
              <w:ind w:left="90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3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3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398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2011 Finance Holdco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AC Solar Holdings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Adams Community Solar Garden I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Colorado</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Adams Community Solar Garden II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Colorado</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Adams Community Solar Garden III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Colorado</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Adams Community Solar Gardens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Colorado</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Agua Caliente Borrower 2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Agua Caliente Solar Holdings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Agua Caliente Solar,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Interconnection Management II,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Interconnection Management III,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Interconnection Management,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Realty Holdings,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Realty Investments,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Vista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1-5 Holding Company,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Asset Management Holdings,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Asset Management,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Holdings,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I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II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II,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III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III,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IV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IV,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V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V,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X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X,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XI Holding Company,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Alta Wind XI,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Alta Wind X-XI TE Holdco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Apple I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Arapahoe Community Solar Garden I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Colorado</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Avenal Park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Avenal Solar Holdings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Bashaw Solar 1,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Big Lake Holdco LLC</w:t>
            </w:r>
          </w:p>
        </w:tc>
        <w:tc>
          <w:tcPr>
            <w:tcW w:w="39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Black Cat Road Solar, LLC</w:t>
            </w:r>
          </w:p>
        </w:tc>
        <w:tc>
          <w:tcPr>
            <w:tcW w:w="398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44" w:name="page245"/>
    <w:bookmarkEnd w:id="244"/>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8180" w:type="dxa"/>
            <w:vAlign w:val="bottom"/>
            <w:gridSpan w:val="3"/>
          </w:tcPr>
          <w:p>
            <w:pPr>
              <w:ind w:left="98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2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2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06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Bluestone Solar,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Brook Street Solar 1,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Buckthorn Holdings,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Buckthorn Renewables,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Buckthorn Solar Portfolio,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Buckthorn Westex,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Buffalo Bear,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Oklahoma</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Bullock Road Solar 1,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BWC Swan Pond River,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CA Fund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Center St Solar 1,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Central CA Fuel Cell 1,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Chestnut Borrower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Chestnut Class B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Chestnut Fund Sub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Chisago Holdco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Clear View Acres Wind Farm,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Clearway &amp; EFS Distributed Solar 2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Clearway &amp; EFS Distributed Solar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Clearway AC Solar Holdings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Clearway Chestnut Fund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Clearway DG Lakeland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Clearway Energy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Clearway Energy Operating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Clearway Solar Star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Clearway Thermal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Clearway Walnut Creek II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Clearway West Holdings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CMR Solar,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Colorado Shared Solar I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Colorado</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Colorado Springs Solar Garden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Colorado</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Continental Energy,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Arizona</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Crosswind Transmission,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CVSR Holdco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CVSR Holdings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Cy-Hawk Wind Energy,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Denver Community Solar Garden I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Colorado</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Denver Community Solar Garden II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Colorado</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Desert Sunlight 250,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Desert Sunlight 300,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Desert Sunlight Holdings LLC</w:t>
            </w:r>
          </w:p>
        </w:tc>
        <w:tc>
          <w:tcPr>
            <w:tcW w:w="40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2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Desert Sunlight Investment Holdings, LLC</w:t>
            </w:r>
          </w:p>
        </w:tc>
        <w:tc>
          <w:tcPr>
            <w:tcW w:w="40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45" w:name="page246"/>
    <w:bookmarkEnd w:id="245"/>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8360" w:type="dxa"/>
            <w:vAlign w:val="bottom"/>
            <w:gridSpan w:val="3"/>
          </w:tcPr>
          <w:p>
            <w:pPr>
              <w:ind w:left="116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1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1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24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Berkeley Rec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Berkeley Village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Central East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Central West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Contra Costa Operations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Contra Costa Waste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Crystal Spring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Dighton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Foxborough Elm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Foxborough Landfill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Grantland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Haverhill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Imperial Admin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Imperial Building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Lathrop Louise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Lincoln Middle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Marathon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Rosedale Elementary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Rosedale Middle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San Joaquin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Tufts Knoll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Tufts Science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 Washington Middle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 Webster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1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2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3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4 Borrower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4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Fund 1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Fund 2 HoldCo A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Fund 2 HoldCo B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Fund 2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Fund 4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Fund 4 Sub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HoldCo 1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HoldCo 2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DGPV HoldCo 3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DGPV Holding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Dodge Holdco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Eagle View Acres Wind Farm, LLC</w:t>
            </w:r>
          </w:p>
        </w:tc>
        <w:tc>
          <w:tcPr>
            <w:tcW w:w="4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ECP Uptown Campus HoldCo LLC</w:t>
            </w:r>
          </w:p>
        </w:tc>
        <w:tc>
          <w:tcPr>
            <w:tcW w:w="424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46" w:name="page247"/>
    <w:bookmarkEnd w:id="246"/>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8320" w:type="dxa"/>
            <w:vAlign w:val="bottom"/>
            <w:gridSpan w:val="3"/>
          </w:tcPr>
          <w:p>
            <w:pPr>
              <w:ind w:left="112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1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20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ECP Uptown Campus Holdings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ECP Uptown Campus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El Mirage Energy,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Arizona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El Segundo Energy Center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Elbow Creek Wind Project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Texas</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Electricity Sales Princeton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Elk Lake Wind Farm,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Elkhorn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Elkhorn Ridge Wind,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Caguas HoldCo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Caguas Holdings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Caguas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Puerto Rico</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Dover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Harrisburg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HCEC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Minneapolis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Omaha Holdings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Omaha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Paxton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Phoenix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Pittsburgh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Princeton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San Diego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San Francisco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Energy Center Smyrna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Energy Center Tucson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Arizona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Enterprise Solar,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Escalante Solar I,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Escalante Solar II,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Escalante Solar III,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ETCAP NES CS MN 02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ETCAP NES CS MN 06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Farmington Holdco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Federal Road Solar 1,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Forest Lake Holdco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Forward WindPower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Four Brothers Capital,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Four Brothers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Four Brothers Portfolio,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Four Brothers Solar,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Frontenac Holdco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Fuel Cell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47" w:name="page248"/>
    <w:bookmarkEnd w:id="247"/>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8320" w:type="dxa"/>
            <w:vAlign w:val="bottom"/>
            <w:gridSpan w:val="3"/>
          </w:tcPr>
          <w:p>
            <w:pPr>
              <w:ind w:left="112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1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20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FUSD Energy,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Arizona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GCE Holding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Connecticut</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GenConn Devon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Connecticut</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GenConn Energy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Connecticut</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GenConn Middletown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Connecticut</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Goat Wind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Texas</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Golden Puma Fund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Golden Puma Revolve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Granite Mountain Capital,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Granite Mountain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Granite Mountain Renewables,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Granite Mountain Solar East,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Granite Mountain Solar West,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Green Prairie Energy,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Greene Wind Energy,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Hardin Hilltop Wind,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Hardin Wind Energy,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Harrisburg Cooling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High Plains Ranch II,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Highland Township Wind Farm,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HLE Solar Holdings,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HSD Solar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California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Huntington Beach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Hwy 14 Holdco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Iron Springs Capital,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Iron Springs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Iron Springs Renewables,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Iron Springs Solar,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Laredo Ridge Wind,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Lenape II Solar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Lindberg Field Solar 1,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Lindberg Field Solar 2,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Longhorn Energy,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Arizona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Lookout WindPower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Mapleton Solar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Marsh Landing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Marsh Landing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MC1 Solar Farm,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North Carolina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Minisink Solar 1,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Minisink Solar 2,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Mission Iowa Wind,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California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Mission Minnesota Wind II,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48" w:name="page249"/>
    <w:bookmarkEnd w:id="248"/>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8380" w:type="dxa"/>
            <w:vAlign w:val="bottom"/>
            <w:gridSpan w:val="3"/>
          </w:tcPr>
          <w:p>
            <w:pPr>
              <w:ind w:left="118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0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0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26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Mission Wind Laredo,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Mission Wind New Mexico,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Mission Wind Oklahoma,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Mission Wind PA One,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Mission Wind PA Three,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Mission Wind PA Two,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Mission Wind Pennsylvania,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Mission Wind Utah,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Monster Energy,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Arizona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Montevideo Solar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Natural Gas Repowering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Northfield Holdco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NS Smith,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OC Solar 2010,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California</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Odin Wind Farm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Old Westminster Solar 1,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Old Westminster Solar 2,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Osakis Solar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OWF Eight,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OWF Five,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OWF Four,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OWF One,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OWF Seven,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OWF Six,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OWF Three,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OWF Two,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Minnesota</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Palo Alto County Wind Farm,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PC Dinuba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PESD Energy,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Arizona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Pikes Peak Solar Garden I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Colorado</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Pine Island Holdco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Pinnacle Wind,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PM Solar Holdings,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California</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Pond Road Solar,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Portfolio Solar I,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Poverty Ridge Wind,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Puma Class B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Redbrook Solar 1,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Renew Canal 1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Renew Solar CS4 Borrower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Renew Solar CS4 Class B LLC</w:t>
            </w:r>
          </w:p>
        </w:tc>
        <w:tc>
          <w:tcPr>
            <w:tcW w:w="42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Renew Solar CS4 Fund LLC</w:t>
            </w:r>
          </w:p>
        </w:tc>
        <w:tc>
          <w:tcPr>
            <w:tcW w:w="426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49" w:name="page250"/>
    <w:bookmarkEnd w:id="249"/>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8320" w:type="dxa"/>
            <w:vAlign w:val="bottom"/>
            <w:gridSpan w:val="3"/>
          </w:tcPr>
          <w:p>
            <w:pPr>
              <w:ind w:left="112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1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20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Renew Solar CS4 Fund Sub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Renew Solar CS4 Seller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Renew Spark 2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Repowering Partnership Holdco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Repowering Partnership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Rollingstone Holdco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RPV 1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RPV 2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RPV Fund 11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RPV Fund 12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RPV Fund 13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RPV HoldCo 1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RPV Holding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San Juan Mesa Investments,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San Juan Mesa Wind Project,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Sand Drag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Sartell Solar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SCDA Solar 1,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SCWFD Energy,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Arizona</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Silver Lake Acres Wind Farm,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SJA Solar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Sleeping Bear,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Alpine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Apple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AV Holdco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Avra Valley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Blythe II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Blythe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Borrego Holdco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Borrego I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Community 1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Community Holdco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CVSR Holdings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Flagstaff One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Iguana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Kansas South Holdings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Kansas South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Las Vegas MB 1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Las Vegas MB 2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Mayfair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Mule LLC</w:t>
            </w:r>
          </w:p>
        </w:tc>
        <w:tc>
          <w:tcPr>
            <w:tcW w:w="42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Oasis LLC</w:t>
            </w:r>
          </w:p>
        </w:tc>
        <w:tc>
          <w:tcPr>
            <w:tcW w:w="42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50" w:name="page251"/>
    <w:bookmarkEnd w:id="250"/>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7940" w:type="dxa"/>
            <w:vAlign w:val="bottom"/>
            <w:gridSpan w:val="3"/>
          </w:tcPr>
          <w:p>
            <w:pPr>
              <w:ind w:left="74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3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35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382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Roadrunner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Roadrunner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Tabernacle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Warren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Solar Wauwinet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Solar West Shaft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South Trent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South Trent Wind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Spanish Fork Wind Park 2,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Utah</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SPP Asset Holdings,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SPP Fund II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SPP Fund II,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SPP Fund II-B,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SPP Fund III,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SPP Lease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SPP P-IV Master Lessee,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Spring Canyon Energy II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Spring Canyon Energy III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Spring Canyon Expansion Class B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Spring Canyon Expansion Holdings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Spring Canyon Expansion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Spring Canyon Interconnection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Spring Street Solar 1,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Stafford St Solar 1,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Stafford St Solar 2,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Stafford St Solar 3,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Statoil Energy Power/Pennsylvania, Inc.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Pennsylvania</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Steel Bridge Solar,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Sun City Project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Sunrise View Wind Farm,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Sunset View Wind Farm,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Sutton Wind Energy,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TA - High Desert,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California</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Taloga Wind,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Oklahoma</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Tapestry Wind,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Thermal Canada Equities 1 Inc.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British Columbia</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Thermal Canada Infrastructure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Thermal Canada Infrastructure 1 Holdings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Thermal Infrastructure Development Holdings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Thermal Infrastructure Development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Topeka Solar 1, LLC</w:t>
            </w:r>
          </w:p>
        </w:tc>
        <w:tc>
          <w:tcPr>
            <w:tcW w:w="382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TOS Solar 1, LLC</w:t>
            </w:r>
          </w:p>
        </w:tc>
        <w:tc>
          <w:tcPr>
            <w:tcW w:w="3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40"/>
          </w:cols>
          <w:pgMar w:left="260" w:top="161" w:right="199" w:bottom="1440" w:gutter="0" w:footer="0" w:header="0"/>
        </w:sectPr>
      </w:pPr>
    </w:p>
    <w:bookmarkStart w:id="251" w:name="page252"/>
    <w:bookmarkEnd w:id="251"/>
    <w:p>
      <w:pPr>
        <w:ind w:left="10600"/>
        <w:spacing w:after="0"/>
        <w:rPr>
          <w:sz w:val="20"/>
          <w:szCs w:val="20"/>
          <w:color w:val="auto"/>
        </w:rPr>
      </w:pPr>
      <w:r>
        <w:rPr>
          <w:rFonts w:ascii="Arial" w:cs="Arial" w:eastAsia="Arial" w:hAnsi="Arial"/>
          <w:sz w:val="13"/>
          <w:szCs w:val="13"/>
          <w:b w:val="1"/>
          <w:bCs w:val="1"/>
          <w:color w:val="auto"/>
        </w:rPr>
        <w:t>EXHIBIT 21.1</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520" w:type="dxa"/>
            <w:vAlign w:val="bottom"/>
            <w:gridSpan w:val="3"/>
          </w:tcPr>
          <w:p>
            <w:pPr>
              <w:ind w:left="1320"/>
              <w:spacing w:after="0"/>
              <w:rPr>
                <w:sz w:val="20"/>
                <w:szCs w:val="20"/>
                <w:color w:val="auto"/>
              </w:rPr>
            </w:pPr>
            <w:r>
              <w:rPr>
                <w:rFonts w:ascii="Arial" w:cs="Arial" w:eastAsia="Arial" w:hAnsi="Arial"/>
                <w:sz w:val="13"/>
                <w:szCs w:val="13"/>
                <w:b w:val="1"/>
                <w:bCs w:val="1"/>
                <w:color w:val="auto"/>
              </w:rPr>
              <w:t>SUBSIDIARIES OF CLEARWAY ENERGY, INC.</w:t>
            </w:r>
          </w:p>
        </w:tc>
      </w:tr>
      <w:tr>
        <w:trPr>
          <w:trHeight w:val="574"/>
        </w:trPr>
        <w:tc>
          <w:tcPr>
            <w:tcW w:w="29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29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Arial" w:cs="Arial" w:eastAsia="Arial" w:hAnsi="Arial"/>
                <w:sz w:val="13"/>
                <w:szCs w:val="13"/>
                <w:b w:val="1"/>
                <w:bCs w:val="1"/>
                <w:color w:val="auto"/>
              </w:rPr>
              <w:t>Entity Name</w:t>
            </w:r>
          </w:p>
        </w:tc>
        <w:tc>
          <w:tcPr>
            <w:tcW w:w="4400" w:type="dxa"/>
            <w:vAlign w:val="bottom"/>
            <w:tcBorders>
              <w:bottom w:val="single" w:sz="8" w:color="auto"/>
              <w:right w:val="single" w:sz="8" w:color="auto"/>
            </w:tcBorders>
            <w:shd w:val="clear" w:color="auto" w:fill="828282"/>
          </w:tcPr>
          <w:p>
            <w:pPr>
              <w:spacing w:after="0"/>
              <w:rPr>
                <w:sz w:val="16"/>
                <w:szCs w:val="16"/>
                <w:color w:val="auto"/>
              </w:rPr>
            </w:pPr>
          </w:p>
        </w:tc>
        <w:tc>
          <w:tcPr>
            <w:tcW w:w="360" w:type="dxa"/>
            <w:vAlign w:val="bottom"/>
            <w:tcBorders>
              <w:bottom w:val="single" w:sz="8" w:color="auto"/>
              <w:right w:val="single" w:sz="8" w:color="auto"/>
            </w:tcBorders>
            <w:shd w:val="clear" w:color="auto" w:fill="828282"/>
          </w:tcPr>
          <w:p>
            <w:pPr>
              <w:spacing w:after="0"/>
              <w:rPr>
                <w:sz w:val="16"/>
                <w:szCs w:val="16"/>
                <w:color w:val="auto"/>
              </w:rPr>
            </w:pPr>
          </w:p>
        </w:tc>
        <w:tc>
          <w:tcPr>
            <w:tcW w:w="3760" w:type="dxa"/>
            <w:vAlign w:val="bottom"/>
            <w:tcBorders>
              <w:bottom w:val="single" w:sz="8" w:color="auto"/>
              <w:right w:val="single" w:sz="8" w:color="auto"/>
            </w:tcBorders>
            <w:shd w:val="clear" w:color="auto" w:fill="828282"/>
          </w:tcPr>
          <w:p>
            <w:pPr>
              <w:spacing w:after="0"/>
              <w:rPr>
                <w:sz w:val="20"/>
                <w:szCs w:val="20"/>
                <w:color w:val="auto"/>
              </w:rPr>
            </w:pPr>
            <w:r>
              <w:rPr>
                <w:rFonts w:ascii="Arial" w:cs="Arial" w:eastAsia="Arial" w:hAnsi="Arial"/>
                <w:sz w:val="13"/>
                <w:szCs w:val="13"/>
                <w:b w:val="1"/>
                <w:bCs w:val="1"/>
                <w:color w:val="auto"/>
              </w:rPr>
              <w:t>Jurisdiction</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TOS Solar 2,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TOS Solar 4,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TOS Solar 5,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Tully Farms Solar 1,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UB Fuel Cell,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Connecticut</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Underhill Solar,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Utah Solar Holdings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Vail Energy,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Arizona</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Viento Funding II,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Viento Funding,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Virgin Lake Wind Farm,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Wabasha Holdco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Walnut Creek Energy,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Walnut Creek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Waterford Holdco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WCEP Holdings,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Webster Holdco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Wildcat Energy,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Arizona</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Wildorado Interconnect,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Texas</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Wildorado Wind,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Texas</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Wind Family Turbine,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Iowa</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Wind TE Holdco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WSD Solar Holdings, LLC</w:t>
            </w:r>
          </w:p>
        </w:tc>
        <w:tc>
          <w:tcPr>
            <w:tcW w:w="4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Delaware</w:t>
            </w:r>
          </w:p>
        </w:tc>
      </w:tr>
      <w:tr>
        <w:trPr>
          <w:trHeight w:val="178"/>
        </w:trPr>
        <w:tc>
          <w:tcPr>
            <w:tcW w:w="29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Zontos Wind, LLC</w:t>
            </w:r>
          </w:p>
        </w:tc>
        <w:tc>
          <w:tcPr>
            <w:tcW w:w="440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Iowa</w:t>
            </w:r>
          </w:p>
        </w:tc>
      </w:tr>
    </w:tbl>
    <w:p>
      <w:pPr>
        <w:sectPr>
          <w:pgSz w:w="11900" w:h="16838" w:orient="portrait"/>
          <w:cols w:equalWidth="0" w:num="1">
            <w:col w:w="11440"/>
          </w:cols>
          <w:pgMar w:left="260" w:top="161" w:right="1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Clearway Energy, Inc.:</w:t>
      </w:r>
    </w:p>
    <w:p>
      <w:pPr>
        <w:spacing w:after="0" w:line="213" w:lineRule="exact"/>
        <w:rPr>
          <w:sz w:val="20"/>
          <w:szCs w:val="20"/>
          <w:color w:val="auto"/>
        </w:rPr>
      </w:pPr>
    </w:p>
    <w:p>
      <w:pPr>
        <w:ind w:right="80"/>
        <w:spacing w:after="0" w:line="146" w:lineRule="exact"/>
        <w:rPr>
          <w:sz w:val="20"/>
          <w:szCs w:val="20"/>
          <w:color w:val="auto"/>
        </w:rPr>
      </w:pPr>
      <w:r>
        <w:rPr>
          <w:rFonts w:ascii="Arial" w:cs="Arial" w:eastAsia="Arial" w:hAnsi="Arial"/>
          <w:sz w:val="12"/>
          <w:szCs w:val="12"/>
          <w:color w:val="auto"/>
        </w:rPr>
        <w:t>We consent to the incorporation by reference in the registration statements Numbers 333</w:t>
      </w:r>
      <w:r>
        <w:rPr>
          <w:rFonts w:ascii="MS PGothic" w:cs="MS PGothic" w:eastAsia="MS PGothic" w:hAnsi="MS PGothic"/>
          <w:sz w:val="12"/>
          <w:szCs w:val="12"/>
          <w:color w:val="auto"/>
        </w:rPr>
        <w:t>‑</w:t>
      </w:r>
      <w:r>
        <w:rPr>
          <w:rFonts w:ascii="Arial" w:cs="Arial" w:eastAsia="Arial" w:hAnsi="Arial"/>
          <w:sz w:val="12"/>
          <w:szCs w:val="12"/>
          <w:color w:val="auto"/>
        </w:rPr>
        <w:t>206061 and 333-190071 on Form S-8, and Numbers 333-224684, 333-212096, 333-205140, and 333-204589 on Form S-3 of Clearway Energy, Inc. (the Company) of our reports dated February 28, 2019, with respect to the consolidated balance sheets of the Company as of December 31, 2018 and 2017, the related consolidated statements of operations, comprehensive income/(loss), stockholders’ equity, and cash flows for each of the years in the three year period ended December 31, 2018, and the related notes and financial statement schedules “Schedule I - Condensed Financial Information of Registrant” and “Schedule II - Valuation and Qualifying Accounts” (collectively, the consolidated financial statements), and the effectiveness of internal control over financial reporting as of December 31, 2018, which reports appear in the December 31, 2018 annual report on Form 10-K of Clearway Energy, Inc.</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report dated February 28, 2019 on the consolidated financial statements refers to a change in accounting principle, the Company’s adoption of Topic 606, </w:t>
      </w:r>
      <w:r>
        <w:rPr>
          <w:rFonts w:ascii="Arial" w:cs="Arial" w:eastAsia="Arial" w:hAnsi="Arial"/>
          <w:sz w:val="12"/>
          <w:szCs w:val="12"/>
          <w:i w:val="1"/>
          <w:iCs w:val="1"/>
          <w:color w:val="auto"/>
        </w:rPr>
        <w:t>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80"/>
        <w:spacing w:after="0"/>
        <w:rPr>
          <w:sz w:val="20"/>
          <w:szCs w:val="20"/>
          <w:color w:val="auto"/>
        </w:rPr>
      </w:pPr>
      <w:r>
        <w:rPr>
          <w:rFonts w:ascii="Arial" w:cs="Arial" w:eastAsia="Arial" w:hAnsi="Arial"/>
          <w:sz w:val="12"/>
          <w:szCs w:val="12"/>
          <w:color w:val="auto"/>
        </w:rPr>
        <w:t>(signed) KPMG LLP</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2019</w:t>
      </w:r>
    </w:p>
    <w:p>
      <w:pPr>
        <w:sectPr>
          <w:pgSz w:w="11900" w:h="16838" w:orient="portrait"/>
          <w:cols w:equalWidth="0" w:num="1">
            <w:col w:w="11480"/>
          </w:cols>
          <w:pgMar w:left="220" w:top="442" w:right="199" w:bottom="1440" w:gutter="0" w:footer="0" w:header="0"/>
        </w:sectPr>
      </w:pPr>
    </w:p>
    <w:bookmarkStart w:id="253" w:name="page254"/>
    <w:bookmarkEnd w:id="253"/>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Christopher S. Sotos, certify that:</w:t>
      </w:r>
    </w:p>
    <w:p>
      <w:pPr>
        <w:spacing w:after="0" w:line="204" w:lineRule="exact"/>
        <w:rPr>
          <w:sz w:val="20"/>
          <w:szCs w:val="20"/>
          <w:color w:val="auto"/>
        </w:rPr>
      </w:pPr>
    </w:p>
    <w:p>
      <w:pPr>
        <w:ind w:left="428" w:hanging="428"/>
        <w:spacing w:after="0"/>
        <w:tabs>
          <w:tab w:leader="none" w:pos="428"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Clearway Energy, Inc.;</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5708"/>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20955</wp:posOffset>
            </wp:positionV>
            <wp:extent cx="283654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6">
                      <a:extLst>
                        <a:ext uri="{28A0092B-C50C-407E-A947-70E740481C1C}"/>
                      </a:extLst>
                    </a:blip>
                    <a:srcRect/>
                    <a:stretch>
                      <a:fillRect/>
                    </a:stretch>
                  </pic:blipFill>
                  <pic:spPr bwMode="auto">
                    <a:xfrm>
                      <a:off x="0" y="0"/>
                      <a:ext cx="2836545" cy="5715"/>
                    </a:xfrm>
                    <a:prstGeom prst="rect">
                      <a:avLst/>
                    </a:prstGeom>
                    <a:noFill/>
                  </pic:spPr>
                </pic:pic>
              </a:graphicData>
            </a:graphic>
          </wp:anchor>
        </w:drawing>
      </w:r>
    </w:p>
    <w:p>
      <w:pPr>
        <w:spacing w:after="0" w:line="31" w:lineRule="exact"/>
        <w:rPr>
          <w:sz w:val="20"/>
          <w:szCs w:val="20"/>
          <w:color w:val="auto"/>
        </w:rPr>
      </w:pPr>
    </w:p>
    <w:p>
      <w:pPr>
        <w:ind w:left="5708"/>
        <w:spacing w:after="0"/>
        <w:rPr>
          <w:sz w:val="20"/>
          <w:szCs w:val="20"/>
          <w:color w:val="auto"/>
        </w:rPr>
      </w:pPr>
      <w:r>
        <w:rPr>
          <w:rFonts w:ascii="Arial" w:cs="Arial" w:eastAsia="Arial" w:hAnsi="Arial"/>
          <w:sz w:val="12"/>
          <w:szCs w:val="12"/>
          <w:color w:val="auto"/>
        </w:rPr>
        <w:t>Christopher S. Sotos</w:t>
      </w:r>
    </w:p>
    <w:p>
      <w:pPr>
        <w:spacing w:after="0" w:line="15" w:lineRule="exact"/>
        <w:rPr>
          <w:sz w:val="20"/>
          <w:szCs w:val="20"/>
          <w:color w:val="auto"/>
        </w:rPr>
      </w:pPr>
    </w:p>
    <w:p>
      <w:pPr>
        <w:ind w:left="5708"/>
        <w:spacing w:after="0"/>
        <w:rPr>
          <w:sz w:val="20"/>
          <w:szCs w:val="20"/>
          <w:color w:val="auto"/>
        </w:rPr>
      </w:pPr>
      <w:r>
        <w:rPr>
          <w:rFonts w:ascii="Arial" w:cs="Arial" w:eastAsia="Arial" w:hAnsi="Arial"/>
          <w:sz w:val="12"/>
          <w:szCs w:val="12"/>
          <w:i w:val="1"/>
          <w:iCs w:val="1"/>
          <w:color w:val="auto"/>
        </w:rPr>
        <w:t>Chief Executive Officer</w:t>
      </w:r>
    </w:p>
    <w:p>
      <w:pPr>
        <w:spacing w:after="0" w:line="6" w:lineRule="exact"/>
        <w:rPr>
          <w:sz w:val="20"/>
          <w:szCs w:val="20"/>
          <w:color w:val="auto"/>
        </w:rPr>
      </w:pPr>
    </w:p>
    <w:p>
      <w:pPr>
        <w:ind w:left="5708"/>
        <w:spacing w:after="0"/>
        <w:rPr>
          <w:sz w:val="20"/>
          <w:szCs w:val="20"/>
          <w:color w:val="auto"/>
        </w:rPr>
      </w:pPr>
      <w:r>
        <w:rPr>
          <w:rFonts w:ascii="Arial" w:cs="Arial" w:eastAsia="Arial" w:hAnsi="Arial"/>
          <w:sz w:val="12"/>
          <w:szCs w:val="12"/>
          <w:i w:val="1"/>
          <w:iCs w:val="1"/>
          <w:color w:val="auto"/>
        </w:rPr>
        <w:t>(Principal Executive Officer)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28, 2019</w:t>
      </w:r>
    </w:p>
    <w:p>
      <w:pPr>
        <w:sectPr>
          <w:pgSz w:w="11900" w:h="16838" w:orient="portrait"/>
          <w:cols w:equalWidth="0" w:num="1">
            <w:col w:w="11488"/>
          </w:cols>
          <w:pgMar w:left="212" w:top="487" w:right="1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Chad Plotkin, certify that:</w:t>
      </w:r>
    </w:p>
    <w:p>
      <w:pPr>
        <w:spacing w:after="0" w:line="204" w:lineRule="exact"/>
        <w:rPr>
          <w:sz w:val="20"/>
          <w:szCs w:val="20"/>
          <w:color w:val="auto"/>
        </w:rPr>
      </w:pPr>
    </w:p>
    <w:p>
      <w:pPr>
        <w:ind w:left="428" w:hanging="428"/>
        <w:spacing w:after="0"/>
        <w:tabs>
          <w:tab w:leader="none" w:pos="42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Clearway Energy, Inc.;</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20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9088"/>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20955</wp:posOffset>
            </wp:positionV>
            <wp:extent cx="108077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7">
                      <a:extLst>
                        <a:ext uri="{28A0092B-C50C-407E-A947-70E740481C1C}"/>
                      </a:extLst>
                    </a:blip>
                    <a:srcRect/>
                    <a:stretch>
                      <a:fillRect/>
                    </a:stretch>
                  </pic:blipFill>
                  <pic:spPr bwMode="auto">
                    <a:xfrm>
                      <a:off x="0" y="0"/>
                      <a:ext cx="1080770" cy="5715"/>
                    </a:xfrm>
                    <a:prstGeom prst="rect">
                      <a:avLst/>
                    </a:prstGeom>
                    <a:noFill/>
                  </pic:spPr>
                </pic:pic>
              </a:graphicData>
            </a:graphic>
          </wp:anchor>
        </w:drawing>
      </w:r>
    </w:p>
    <w:p>
      <w:pPr>
        <w:spacing w:after="0" w:line="31" w:lineRule="exact"/>
        <w:rPr>
          <w:sz w:val="20"/>
          <w:szCs w:val="20"/>
          <w:color w:val="auto"/>
        </w:rPr>
      </w:pPr>
    </w:p>
    <w:p>
      <w:pPr>
        <w:ind w:left="9088"/>
        <w:spacing w:after="0"/>
        <w:rPr>
          <w:sz w:val="20"/>
          <w:szCs w:val="20"/>
          <w:color w:val="auto"/>
        </w:rPr>
      </w:pPr>
      <w:r>
        <w:rPr>
          <w:rFonts w:ascii="Arial" w:cs="Arial" w:eastAsia="Arial" w:hAnsi="Arial"/>
          <w:sz w:val="12"/>
          <w:szCs w:val="12"/>
          <w:color w:val="auto"/>
        </w:rPr>
        <w:t>Chad Plotkin</w:t>
      </w:r>
    </w:p>
    <w:p>
      <w:pPr>
        <w:spacing w:after="0" w:line="15" w:lineRule="exact"/>
        <w:rPr>
          <w:sz w:val="20"/>
          <w:szCs w:val="20"/>
          <w:color w:val="auto"/>
        </w:rPr>
      </w:pPr>
    </w:p>
    <w:p>
      <w:pPr>
        <w:ind w:left="9088"/>
        <w:spacing w:after="0"/>
        <w:rPr>
          <w:sz w:val="20"/>
          <w:szCs w:val="20"/>
          <w:color w:val="auto"/>
        </w:rPr>
      </w:pPr>
      <w:r>
        <w:rPr>
          <w:rFonts w:ascii="Arial" w:cs="Arial" w:eastAsia="Arial" w:hAnsi="Arial"/>
          <w:sz w:val="12"/>
          <w:szCs w:val="12"/>
          <w:i w:val="1"/>
          <w:iCs w:val="1"/>
          <w:color w:val="auto"/>
        </w:rPr>
        <w:t>Chief Financial Officer</w:t>
      </w:r>
    </w:p>
    <w:p>
      <w:pPr>
        <w:spacing w:after="0" w:line="6" w:lineRule="exact"/>
        <w:rPr>
          <w:sz w:val="20"/>
          <w:szCs w:val="20"/>
          <w:color w:val="auto"/>
        </w:rPr>
      </w:pPr>
    </w:p>
    <w:p>
      <w:pPr>
        <w:ind w:left="9088"/>
        <w:spacing w:after="0"/>
        <w:rPr>
          <w:sz w:val="20"/>
          <w:szCs w:val="20"/>
          <w:color w:val="auto"/>
        </w:rPr>
      </w:pPr>
      <w:r>
        <w:rPr>
          <w:rFonts w:ascii="Arial" w:cs="Arial" w:eastAsia="Arial" w:hAnsi="Arial"/>
          <w:sz w:val="12"/>
          <w:szCs w:val="12"/>
          <w:i w:val="1"/>
          <w:iCs w:val="1"/>
          <w:color w:val="auto"/>
        </w:rPr>
        <w:t>(Principal Financial Officer)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28, 2019</w:t>
      </w:r>
    </w:p>
    <w:p>
      <w:pPr>
        <w:sectPr>
          <w:pgSz w:w="11900" w:h="16838" w:orient="portrait"/>
          <w:cols w:equalWidth="0" w:num="1">
            <w:col w:w="11488"/>
          </w:cols>
          <w:pgMar w:left="212" w:top="487" w:right="199" w:bottom="1440" w:gutter="0" w:footer="0" w:header="0"/>
        </w:sectPr>
      </w:pPr>
    </w:p>
    <w:bookmarkStart w:id="255" w:name="page256"/>
    <w:bookmarkEnd w:id="255"/>
    <w:p>
      <w:pPr>
        <w:jc w:val="right"/>
        <w:spacing w:after="0"/>
        <w:rPr>
          <w:sz w:val="20"/>
          <w:szCs w:val="20"/>
          <w:color w:val="auto"/>
        </w:rPr>
      </w:pPr>
      <w:r>
        <w:rPr>
          <w:rFonts w:ascii="Arial" w:cs="Arial" w:eastAsia="Arial" w:hAnsi="Arial"/>
          <w:sz w:val="12"/>
          <w:szCs w:val="12"/>
          <w:b w:val="1"/>
          <w:bCs w:val="1"/>
          <w:color w:val="auto"/>
        </w:rPr>
        <w:t>EXHIBIT 31.3</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Mary-Lee Stillwell, certify that:</w:t>
      </w:r>
    </w:p>
    <w:p>
      <w:pPr>
        <w:spacing w:after="0" w:line="204" w:lineRule="exact"/>
        <w:rPr>
          <w:sz w:val="20"/>
          <w:szCs w:val="20"/>
          <w:color w:val="auto"/>
        </w:rPr>
      </w:pPr>
    </w:p>
    <w:p>
      <w:pPr>
        <w:ind w:left="428" w:hanging="428"/>
        <w:spacing w:after="0"/>
        <w:tabs>
          <w:tab w:leader="none" w:pos="42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Clearway Energy, Inc.;</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7448"/>
        <w:spacing w:after="0"/>
        <w:rPr>
          <w:sz w:val="20"/>
          <w:szCs w:val="20"/>
          <w:color w:val="auto"/>
        </w:rPr>
      </w:pPr>
      <w:r>
        <w:rPr>
          <w:rFonts w:ascii="Arial" w:cs="Arial" w:eastAsia="Arial" w:hAnsi="Arial"/>
          <w:sz w:val="12"/>
          <w:szCs w:val="12"/>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20955</wp:posOffset>
            </wp:positionV>
            <wp:extent cx="185293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8">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31" w:lineRule="exact"/>
        <w:rPr>
          <w:sz w:val="20"/>
          <w:szCs w:val="20"/>
          <w:color w:val="auto"/>
        </w:rPr>
      </w:pPr>
    </w:p>
    <w:p>
      <w:pPr>
        <w:ind w:left="7448"/>
        <w:spacing w:after="0"/>
        <w:rPr>
          <w:sz w:val="20"/>
          <w:szCs w:val="20"/>
          <w:color w:val="auto"/>
        </w:rPr>
      </w:pPr>
      <w:r>
        <w:rPr>
          <w:rFonts w:ascii="Arial" w:cs="Arial" w:eastAsia="Arial" w:hAnsi="Arial"/>
          <w:sz w:val="12"/>
          <w:szCs w:val="12"/>
          <w:color w:val="auto"/>
        </w:rPr>
        <w:t>Mary-Lee Stillwell</w:t>
      </w:r>
    </w:p>
    <w:p>
      <w:pPr>
        <w:spacing w:after="0" w:line="15" w:lineRule="exact"/>
        <w:rPr>
          <w:sz w:val="20"/>
          <w:szCs w:val="20"/>
          <w:color w:val="auto"/>
        </w:rPr>
      </w:pPr>
    </w:p>
    <w:p>
      <w:pPr>
        <w:ind w:left="7448"/>
        <w:spacing w:after="0"/>
        <w:rPr>
          <w:sz w:val="20"/>
          <w:szCs w:val="20"/>
          <w:color w:val="auto"/>
        </w:rPr>
      </w:pPr>
      <w:r>
        <w:rPr>
          <w:rFonts w:ascii="Arial" w:cs="Arial" w:eastAsia="Arial" w:hAnsi="Arial"/>
          <w:sz w:val="12"/>
          <w:szCs w:val="12"/>
          <w:i w:val="1"/>
          <w:iCs w:val="1"/>
          <w:color w:val="auto"/>
        </w:rPr>
        <w:t>Chief Accounting Officer</w:t>
      </w:r>
    </w:p>
    <w:p>
      <w:pPr>
        <w:spacing w:after="0" w:line="6" w:lineRule="exact"/>
        <w:rPr>
          <w:sz w:val="20"/>
          <w:szCs w:val="20"/>
          <w:color w:val="auto"/>
        </w:rPr>
      </w:pPr>
    </w:p>
    <w:p>
      <w:pPr>
        <w:ind w:left="7448"/>
        <w:spacing w:after="0"/>
        <w:rPr>
          <w:sz w:val="20"/>
          <w:szCs w:val="20"/>
          <w:color w:val="auto"/>
        </w:rPr>
      </w:pPr>
      <w:r>
        <w:rPr>
          <w:rFonts w:ascii="Arial" w:cs="Arial" w:eastAsia="Arial" w:hAnsi="Arial"/>
          <w:sz w:val="12"/>
          <w:szCs w:val="12"/>
          <w:i w:val="1"/>
          <w:iCs w:val="1"/>
          <w:color w:val="auto"/>
        </w:rPr>
        <w:t>(Principal Accounting Officer)</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28, 2019</w:t>
      </w:r>
    </w:p>
    <w:p>
      <w:pPr>
        <w:sectPr>
          <w:pgSz w:w="11900" w:h="16838" w:orient="portrait"/>
          <w:cols w:equalWidth="0" w:num="1">
            <w:col w:w="11488"/>
          </w:cols>
          <w:pgMar w:left="212" w:top="433" w:right="199" w:bottom="1440" w:gutter="0" w:footer="0" w:header="0"/>
        </w:sectPr>
      </w:pPr>
    </w:p>
    <w:bookmarkStart w:id="256" w:name="page257"/>
    <w:bookmarkEnd w:id="256"/>
    <w:p>
      <w:pPr>
        <w:jc w:val="right"/>
        <w:spacing w:after="0"/>
        <w:rPr>
          <w:sz w:val="20"/>
          <w:szCs w:val="20"/>
          <w:color w:val="auto"/>
        </w:rPr>
      </w:pPr>
      <w:r>
        <w:rPr>
          <w:rFonts w:ascii="Arial" w:cs="Arial" w:eastAsia="Arial" w:hAnsi="Arial"/>
          <w:sz w:val="12"/>
          <w:szCs w:val="12"/>
          <w:b w:val="1"/>
          <w:bCs w:val="1"/>
          <w:color w:val="auto"/>
        </w:rPr>
        <w:t>EXHIBIT 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 connection with the Annual Report of Clearway Energy, Inc. on Form 10-K for the year ended December 31, 2018,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7" w:lineRule="exact"/>
        <w:rPr>
          <w:sz w:val="20"/>
          <w:szCs w:val="20"/>
          <w:color w:val="auto"/>
        </w:rPr>
      </w:pPr>
    </w:p>
    <w:p>
      <w:pPr>
        <w:ind w:left="420" w:hanging="212"/>
        <w:spacing w:after="0"/>
        <w:tabs>
          <w:tab w:leader="none" w:pos="4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Form 10-K fully complies with the requirements of Section 13(a) or 15(d) of the Securities Exchange Act of 1934;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10"/>
        </w:numPr>
        <w:rPr>
          <w:rFonts w:ascii="Arial" w:cs="Arial" w:eastAsia="Arial" w:hAnsi="Arial"/>
          <w:sz w:val="11"/>
          <w:szCs w:val="11"/>
          <w:color w:val="auto"/>
        </w:rPr>
      </w:pPr>
      <w:r>
        <w:rPr>
          <w:rFonts w:ascii="Arial" w:cs="Arial" w:eastAsia="Arial" w:hAnsi="Arial"/>
          <w:sz w:val="11"/>
          <w:szCs w:val="11"/>
          <w:color w:val="auto"/>
        </w:rPr>
        <w:t>The information contained in the Form 10-K fairly presents, in all material respects, the financial condition and results of operations of the Company as of the dates and for the periods expressed in the Form 10-K.</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28, 2019</w:t>
      </w:r>
    </w:p>
    <w:p>
      <w:pPr>
        <w:spacing w:after="0" w:line="294"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20955</wp:posOffset>
            </wp:positionV>
            <wp:extent cx="24765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9">
                      <a:extLst>
                        <a:ext uri="{28A0092B-C50C-407E-A947-70E740481C1C}"/>
                      </a:extLst>
                    </a:blip>
                    <a:srcRect/>
                    <a:stretch>
                      <a:fillRect/>
                    </a:stretch>
                  </pic:blipFill>
                  <pic:spPr bwMode="auto">
                    <a:xfrm>
                      <a:off x="0" y="0"/>
                      <a:ext cx="2476500" cy="5715"/>
                    </a:xfrm>
                    <a:prstGeom prst="rect">
                      <a:avLst/>
                    </a:prstGeom>
                    <a:noFill/>
                  </pic:spPr>
                </pic:pic>
              </a:graphicData>
            </a:graphic>
          </wp:anchor>
        </w:drawing>
      </w:r>
    </w:p>
    <w:p>
      <w:pPr>
        <w:spacing w:after="0" w:line="31"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Christopher S. Sotos</w:t>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Chief Executive Officer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(Principal Executive Officer)</w:t>
      </w:r>
    </w:p>
    <w:p>
      <w:pPr>
        <w:spacing w:after="0" w:line="394"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20955</wp:posOffset>
            </wp:positionV>
            <wp:extent cx="24765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0">
                      <a:extLst>
                        <a:ext uri="{28A0092B-C50C-407E-A947-70E740481C1C}"/>
                      </a:extLst>
                    </a:blip>
                    <a:srcRect/>
                    <a:stretch>
                      <a:fillRect/>
                    </a:stretch>
                  </pic:blipFill>
                  <pic:spPr bwMode="auto">
                    <a:xfrm>
                      <a:off x="0" y="0"/>
                      <a:ext cx="2476500" cy="5715"/>
                    </a:xfrm>
                    <a:prstGeom prst="rect">
                      <a:avLst/>
                    </a:prstGeom>
                    <a:noFill/>
                  </pic:spPr>
                </pic:pic>
              </a:graphicData>
            </a:graphic>
          </wp:anchor>
        </w:drawing>
      </w:r>
    </w:p>
    <w:p>
      <w:pPr>
        <w:spacing w:after="0" w:line="31"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Chad Plotkin</w:t>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Chief Financial Officer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(Principal Financial Officer)</w:t>
      </w:r>
    </w:p>
    <w:p>
      <w:pPr>
        <w:spacing w:after="0" w:line="394"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20955</wp:posOffset>
            </wp:positionV>
            <wp:extent cx="24765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1">
                      <a:extLst>
                        <a:ext uri="{28A0092B-C50C-407E-A947-70E740481C1C}"/>
                      </a:extLst>
                    </a:blip>
                    <a:srcRect/>
                    <a:stretch>
                      <a:fillRect/>
                    </a:stretch>
                  </pic:blipFill>
                  <pic:spPr bwMode="auto">
                    <a:xfrm>
                      <a:off x="0" y="0"/>
                      <a:ext cx="2476500" cy="5715"/>
                    </a:xfrm>
                    <a:prstGeom prst="rect">
                      <a:avLst/>
                    </a:prstGeom>
                    <a:noFill/>
                  </pic:spPr>
                </pic:pic>
              </a:graphicData>
            </a:graphic>
          </wp:anchor>
        </w:drawing>
      </w:r>
    </w:p>
    <w:p>
      <w:pPr>
        <w:spacing w:after="0" w:line="31"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Mary-Lee Stillwell</w:t>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Chief Accounting Officer</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2"/>
          <w:szCs w:val="12"/>
          <w:i w:val="1"/>
          <w:iCs w:val="1"/>
          <w:color w:val="auto"/>
        </w:rPr>
        <w:t>(Principal Accounting Officer</w:t>
      </w:r>
      <w:r>
        <w:rPr>
          <w:rFonts w:ascii="Arial" w:cs="Arial" w:eastAsia="Arial" w:hAnsi="Arial"/>
          <w:sz w:val="12"/>
          <w:szCs w:val="12"/>
          <w:color w:val="auto"/>
        </w:rPr>
        <w: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this Form 10-K or as a separate disclosure document.</w:t>
      </w:r>
    </w:p>
    <w:p>
      <w:pPr>
        <w:spacing w:after="0" w:line="42"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x"/>
      <w:numFmt w:val="bullet"/>
      <w:start w:val="1"/>
    </w:lvl>
  </w:abstractNum>
  <w:abstractNum w:abstractNumId="1">
    <w:nsid w:val="1FBFE8E0"/>
    <w:multiLevelType w:val="hybridMultilevel"/>
    <w:lvl w:ilvl="0">
      <w:lvlJc w:val="left"/>
      <w:lvlText w:val="o"/>
      <w:numFmt w:val="bullet"/>
      <w:start w:val="1"/>
    </w:lvl>
  </w:abstractNum>
  <w:abstractNum w:abstractNumId="2">
    <w:nsid w:val="5092CA79"/>
    <w:multiLevelType w:val="hybridMultilevel"/>
    <w:lvl w:ilvl="0">
      <w:lvlJc w:val="left"/>
      <w:lvlText w:val="(%1)"/>
      <w:numFmt w:val="lowerLetter"/>
      <w:start w:val="1"/>
    </w:lvl>
  </w:abstractNum>
  <w:abstractNum w:abstractNumId="3">
    <w:nsid w:val="1D545C4D"/>
    <w:multiLevelType w:val="hybridMultilevel"/>
    <w:lvl w:ilvl="0">
      <w:lvlJc w:val="left"/>
      <w:lvlText w:val="(%1)"/>
      <w:numFmt w:val="lowerLetter"/>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1)"/>
      <w:numFmt w:val="lowerRoman"/>
      <w:start w:val="2"/>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1)"/>
      <w:numFmt w:val="lowerLetter"/>
      <w:start w:val="1"/>
    </w:lvl>
  </w:abstractNum>
  <w:abstractNum w:abstractNumId="11">
    <w:nsid w:val="53584BCB"/>
    <w:multiLevelType w:val="hybridMultilevel"/>
    <w:lvl w:ilvl="0">
      <w:lvlJc w:val="left"/>
      <w:lvlText w:val="(%1)"/>
      <w:numFmt w:val="lowerLetter"/>
      <w:start w:val="1"/>
    </w:lvl>
  </w:abstractNum>
  <w:abstractNum w:abstractNumId="12">
    <w:nsid w:val="415E286C"/>
    <w:multiLevelType w:val="hybridMultilevel"/>
    <w:lvl w:ilvl="0">
      <w:lvlJc w:val="left"/>
      <w:lvlText w:val="(%1)"/>
      <w:numFmt w:val="lowerLetter"/>
      <w:start w:val="1"/>
    </w:lvl>
  </w:abstractNum>
  <w:abstractNum w:abstractNumId="13">
    <w:nsid w:val="7C58FD05"/>
    <w:multiLevelType w:val="hybridMultilevel"/>
    <w:lvl w:ilvl="0">
      <w:lvlJc w:val="left"/>
      <w:lvlText w:val="(%1)"/>
      <w:numFmt w:val="lowerLetter"/>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1)"/>
      <w:numFmt w:val="lowerLetter"/>
      <w:start w:val="1"/>
    </w:lvl>
  </w:abstractNum>
  <w:abstractNum w:abstractNumId="25">
    <w:nsid w:val="69E373"/>
    <w:multiLevelType w:val="hybridMultilevel"/>
    <w:lvl w:ilvl="0">
      <w:lvlJc w:val="left"/>
      <w:lvlText w:val="(%1)"/>
      <w:numFmt w:val="lowerLetter"/>
      <w:start w:val="1"/>
    </w:lvl>
  </w:abstractNum>
  <w:abstractNum w:abstractNumId="26">
    <w:nsid w:val="2C27173B"/>
    <w:multiLevelType w:val="hybridMultilevel"/>
    <w:lvl w:ilvl="0">
      <w:lvlJc w:val="left"/>
      <w:lvlText w:val="6"/>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1)"/>
      <w:numFmt w:val="lowerLetter"/>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1."/>
      <w:numFmt w:val="decimal"/>
      <w:start w:val="1"/>
    </w:lvl>
  </w:abstractNum>
  <w:abstractNum w:abstractNumId="33">
    <w:nsid w:val="2708C9AF"/>
    <w:multiLevelType w:val="hybridMultilevel"/>
    <w:lvl w:ilvl="0">
      <w:lvlJc w:val="left"/>
      <w:lvlText w:val="(%1)"/>
      <w:numFmt w:val="decimal"/>
      <w:start w:val="1"/>
    </w:lvl>
  </w:abstractNum>
  <w:abstractNum w:abstractNumId="34">
    <w:nsid w:val="5B25ACE2"/>
    <w:multiLevelType w:val="hybridMultilevel"/>
    <w:lvl w:ilvl="0">
      <w:lvlJc w:val="left"/>
      <w:lvlText w:val="(%1)"/>
      <w:numFmt w:val="lowerLetter"/>
      <w:start w:val="2"/>
    </w:lvl>
  </w:abstractNum>
  <w:abstractNum w:abstractNumId="35">
    <w:nsid w:val="175DFCF0"/>
    <w:multiLevelType w:val="hybridMultilevel"/>
    <w:lvl w:ilvl="0">
      <w:lvlJc w:val="left"/>
      <w:lvlText w:val="(%1)"/>
      <w:numFmt w:val="lowerLetter"/>
      <w:start w:val="1"/>
    </w:lvl>
  </w:abstractNum>
  <w:abstractNum w:abstractNumId="36">
    <w:nsid w:val="4F97E3E4"/>
    <w:multiLevelType w:val="hybridMultilevel"/>
    <w:lvl w:ilvl="0">
      <w:lvlJc w:val="left"/>
      <w:lvlText w:val="(%1)"/>
      <w:numFmt w:val="lowerLetter"/>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1)"/>
      <w:numFmt w:val="lowerLetter"/>
      <w:start w:val="1"/>
    </w:lvl>
  </w:abstractNum>
  <w:abstractNum w:abstractNumId="40">
    <w:nsid w:val="56438D15"/>
    <w:multiLevelType w:val="hybridMultilevel"/>
    <w:lvl w:ilvl="0">
      <w:lvlJc w:val="left"/>
      <w:lvlText w:val="(%1)"/>
      <w:numFmt w:val="lowerLetter"/>
      <w:start w:val="1"/>
    </w:lvl>
  </w:abstractNum>
  <w:abstractNum w:abstractNumId="41">
    <w:nsid w:val="519E3149"/>
    <w:multiLevelType w:val="hybridMultilevel"/>
    <w:lvl w:ilvl="0">
      <w:lvlJc w:val="left"/>
      <w:lvlText w:val="(%1)"/>
      <w:numFmt w:val="lowerLetter"/>
      <w:start w:val="1"/>
    </w:lvl>
  </w:abstractNum>
  <w:abstractNum w:abstractNumId="42">
    <w:nsid w:val="2C6E4AFD"/>
    <w:multiLevelType w:val="hybridMultilevel"/>
    <w:lvl w:ilvl="0">
      <w:lvlJc w:val="left"/>
      <w:lvlText w:val="(%1)"/>
      <w:numFmt w:val="lowerLetter"/>
      <w:start w:val="1"/>
    </w:lvl>
  </w:abstractNum>
  <w:abstractNum w:abstractNumId="43">
    <w:nsid w:val="17A1B582"/>
    <w:multiLevelType w:val="hybridMultilevel"/>
    <w:lvl w:ilvl="0">
      <w:lvlJc w:val="left"/>
      <w:lvlText w:val="(%1)"/>
      <w:numFmt w:val="lowerLetter"/>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1)"/>
      <w:numFmt w:val="lowerLetter"/>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1)"/>
      <w:numFmt w:val="lowerLetter"/>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1)"/>
      <w:numFmt w:val="lowerLetter"/>
      <w:start w:val="1"/>
    </w:lvl>
  </w:abstractNum>
  <w:abstractNum w:abstractNumId="51">
    <w:nsid w:val="57A61A29"/>
    <w:multiLevelType w:val="hybridMultilevel"/>
    <w:lvl w:ilvl="0">
      <w:lvlJc w:val="left"/>
      <w:lvlText w:val="(%1)"/>
      <w:numFmt w:val="lowerLetter"/>
      <w:start w:val="1"/>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1"/>
    </w:lvl>
  </w:abstractNum>
  <w:abstractNum w:abstractNumId="54">
    <w:nsid w:val="4427069A"/>
    <w:multiLevelType w:val="hybridMultilevel"/>
    <w:lvl w:ilvl="0">
      <w:lvlJc w:val="left"/>
      <w:lvlText w:val="(%1)"/>
      <w:numFmt w:val="lowerLetter"/>
      <w:start w:val="1"/>
    </w:lvl>
  </w:abstractNum>
  <w:abstractNum w:abstractNumId="55">
    <w:nsid w:val="B37E80A"/>
    <w:multiLevelType w:val="hybridMultilevel"/>
    <w:lvl w:ilvl="0">
      <w:lvlJc w:val="left"/>
      <w:lvlText w:val="(%1)"/>
      <w:numFmt w:val="lowerLetter"/>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
      <w:numFmt w:val="bullet"/>
      <w:start w:val="1"/>
    </w:lvl>
  </w:abstractNum>
  <w:abstractNum w:abstractNumId="58">
    <w:nsid w:val="57D2F10E"/>
    <w:multiLevelType w:val="hybridMultilevel"/>
    <w:lvl w:ilvl="0">
      <w:lvlJc w:val="left"/>
      <w:lvlText w:val="^"/>
      <w:numFmt w:val="bullet"/>
      <w:start w:val="1"/>
    </w:lvl>
  </w:abstractNum>
  <w:abstractNum w:abstractNumId="59">
    <w:nsid w:val="BFFAE18"/>
    <w:multiLevelType w:val="hybridMultilevel"/>
    <w:lvl w:ilvl="0">
      <w:lvlJc w:val="left"/>
      <w:lvlText w:val="%1."/>
      <w:numFmt w:val="decimal"/>
      <w:start w:val="1"/>
    </w:lvl>
  </w:abstractNum>
  <w:abstractNum w:abstractNumId="60">
    <w:nsid w:val="E3E47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1">
    <w:nsid w:val="2E48F044"/>
    <w:multiLevelType w:val="hybridMultilevel"/>
    <w:lvl w:ilvl="0">
      <w:lvlJc w:val="left"/>
      <w:lvlText w:val="(%1)"/>
      <w:numFmt w:val="lowerRoman"/>
      <w:start w:val="4"/>
    </w:lvl>
  </w:abstractNum>
  <w:abstractNum w:abstractNumId="62">
    <w:nsid w:val="49D0FEAC"/>
    <w:multiLevelType w:val="hybridMultilevel"/>
    <w:lvl w:ilvl="0">
      <w:lvlJc w:val="left"/>
      <w:lvlText w:val="(%1)"/>
      <w:numFmt w:val="lowerLetter"/>
      <w:start w:val="4"/>
    </w:lvl>
    <w:lvl w:ilvl="1">
      <w:lvlJc w:val="left"/>
      <w:lvlText w:val="(%2)"/>
      <w:numFmt w:val="lowerRoman"/>
      <w:start w:val="1"/>
    </w:lvl>
  </w:abstractNum>
  <w:abstractNum w:abstractNumId="63">
    <w:nsid w:val="4BEE5A5B"/>
    <w:multiLevelType w:val="hybridMultilevel"/>
    <w:lvl w:ilvl="0">
      <w:lvlJc w:val="left"/>
      <w:lvlText w:val="(%1)"/>
      <w:numFmt w:val="lowerLetter"/>
      <w:start w:val="5"/>
    </w:lvl>
  </w:abstractNum>
  <w:abstractNum w:abstractNumId="64">
    <w:nsid w:val="5551B9F3"/>
    <w:multiLevelType w:val="hybridMultilevel"/>
    <w:lvl w:ilvl="0">
      <w:lvlJc w:val="left"/>
      <w:lvlText w:val="(%1)"/>
      <w:numFmt w:val="lowerLetter"/>
      <w:start w:val="6"/>
    </w:lvl>
  </w:abstractNum>
  <w:abstractNum w:abstractNumId="65">
    <w:nsid w:val="24F6AB8E"/>
    <w:multiLevelType w:val="hybridMultilevel"/>
    <w:lvl w:ilvl="0">
      <w:lvlJc w:val="left"/>
      <w:lvlText w:val="(%1)"/>
      <w:numFmt w:val="lowerLetter"/>
      <w:start w:val="19"/>
    </w:lvl>
  </w:abstractNum>
  <w:abstractNum w:abstractNumId="66">
    <w:nsid w:val="634C574C"/>
    <w:multiLevelType w:val="hybridMultilevel"/>
    <w:lvl w:ilvl="0">
      <w:lvlJc w:val="left"/>
      <w:lvlText w:val="(%1)"/>
      <w:numFmt w:val="lowerLetter"/>
      <w:start w:val="27"/>
    </w:lvl>
  </w:abstractNum>
  <w:abstractNum w:abstractNumId="67">
    <w:nsid w:val="24E99DD7"/>
    <w:multiLevelType w:val="hybridMultilevel"/>
    <w:lvl w:ilvl="0">
      <w:lvlJc w:val="left"/>
      <w:lvlText w:val="(%1)"/>
      <w:numFmt w:val="lowerLetter"/>
      <w:start w:val="37"/>
    </w:lvl>
  </w:abstractNum>
  <w:abstractNum w:abstractNumId="68">
    <w:nsid w:val="2A31B62D"/>
    <w:multiLevelType w:val="hybridMultilevel"/>
    <w:lvl w:ilvl="0">
      <w:lvlJc w:val="left"/>
      <w:lvlText w:val="%1"/>
      <w:numFmt w:val="decimal"/>
      <w:start w:val="1"/>
    </w:lvl>
    <w:lvl w:ilvl="1">
      <w:lvlJc w:val="left"/>
      <w:lvlText w:val="(%2)"/>
      <w:numFmt w:val="lowerLetter"/>
      <w:start w:val="47"/>
    </w:lvl>
    <w:lvl w:ilvl="2">
      <w:lvlJc w:val="left"/>
      <w:lvlText w:val="%3"/>
      <w:numFmt w:val="lowerRoman"/>
      <w:start w:val="1"/>
    </w:lvl>
  </w:abstractNum>
  <w:abstractNum w:abstractNumId="69">
    <w:nsid w:val="1849C2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71">
    <w:nsid w:val="75434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2">
    <w:nsid w:val="69E7F3E5"/>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73">
    <w:nsid w:val="2A6DE80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4">
    <w:nsid w:val="1816F8C4"/>
    <w:multiLevelType w:val="hybridMultilevel"/>
    <w:lvl w:ilvl="0">
      <w:lvlJc w:val="left"/>
      <w:lvlText w:val="(%1)"/>
      <w:numFmt w:val="lowerRoman"/>
      <w:start w:val="2"/>
    </w:lvl>
  </w:abstractNum>
  <w:abstractNum w:abstractNumId="75">
    <w:nsid w:val="37DF2233"/>
    <w:multiLevelType w:val="hybridMultilevel"/>
    <w:lvl w:ilvl="0">
      <w:lvlJc w:val="left"/>
      <w:lvlText w:val="%1"/>
      <w:numFmt w:val="decimal"/>
      <w:start w:val="1"/>
    </w:lvl>
    <w:lvl w:ilvl="1">
      <w:lvlJc w:val="left"/>
      <w:lvlText w:val="(%2)"/>
      <w:numFmt w:val="lowerLetter"/>
      <w:start w:val="3"/>
    </w:lvl>
  </w:abstractNum>
  <w:abstractNum w:abstractNumId="76">
    <w:nsid w:val="7AB49DAF"/>
    <w:multiLevelType w:val="hybridMultilevel"/>
    <w:lvl w:ilvl="0">
      <w:lvlJc w:val="left"/>
      <w:lvlText w:val="%1."/>
      <w:numFmt w:val="decimal"/>
      <w:start w:val="5"/>
    </w:lvl>
    <w:lvl w:ilvl="1">
      <w:lvlJc w:val="left"/>
      <w:lvlText w:val="%2"/>
      <w:numFmt w:val="lowerLetter"/>
      <w:start w:val="1"/>
    </w:lvl>
  </w:abstractNum>
  <w:abstractNum w:abstractNumId="77">
    <w:nsid w:val="759F82CD"/>
    <w:multiLevelType w:val="hybridMultilevel"/>
    <w:lvl w:ilvl="0">
      <w:lvlJc w:val="left"/>
      <w:lvlText w:val="%1."/>
      <w:numFmt w:val="decimal"/>
      <w:start w:val="6"/>
    </w:lvl>
  </w:abstractNum>
  <w:abstractNum w:abstractNumId="78">
    <w:nsid w:val="61E74EA3"/>
    <w:multiLevelType w:val="hybridMultilevel"/>
    <w:lvl w:ilvl="0">
      <w:lvlJc w:val="left"/>
      <w:lvlText w:val="(%1)"/>
      <w:numFmt w:val="lowerLetter"/>
      <w:start w:val="1"/>
    </w:lvl>
  </w:abstractNum>
  <w:abstractNum w:abstractNumId="79">
    <w:nsid w:val="597B4D84"/>
    <w:multiLevelType w:val="hybridMultilevel"/>
    <w:lvl w:ilvl="0">
      <w:lvlJc w:val="left"/>
      <w:lvlText w:val="(%1)"/>
      <w:numFmt w:val="lowerLetter"/>
      <w:start w:val="3"/>
    </w:lvl>
  </w:abstractNum>
  <w:abstractNum w:abstractNumId="80">
    <w:nsid w:val="F819E7F"/>
    <w:multiLevelType w:val="hybridMultilevel"/>
    <w:lvl w:ilvl="0">
      <w:lvlJc w:val="left"/>
      <w:lvlText w:val="(%1)"/>
      <w:numFmt w:val="lowerLetter"/>
      <w:start w:val="4"/>
    </w:lvl>
    <w:lvl w:ilvl="1">
      <w:lvlJc w:val="left"/>
      <w:lvlText w:val="(%2)"/>
      <w:numFmt w:val="lowerRoman"/>
      <w:start w:val="1"/>
    </w:lvl>
  </w:abstractNum>
  <w:abstractNum w:abstractNumId="81">
    <w:nsid w:val="57C7D42D"/>
    <w:multiLevelType w:val="hybridMultilevel"/>
    <w:lvl w:ilvl="0">
      <w:lvlJc w:val="left"/>
      <w:lvlText w:val="(%1)"/>
      <w:numFmt w:val="lowerRoman"/>
      <w:start w:val="3"/>
    </w:lvl>
  </w:abstractNum>
  <w:abstractNum w:abstractNumId="82">
    <w:nsid w:val="312167AD"/>
    <w:multiLevelType w:val="hybridMultilevel"/>
    <w:lvl w:ilvl="0">
      <w:lvlJc w:val="left"/>
      <w:lvlText w:val="(%1)"/>
      <w:numFmt w:val="lowerRoman"/>
      <w:start w:val="4"/>
    </w:lvl>
  </w:abstractNum>
  <w:abstractNum w:abstractNumId="83">
    <w:nsid w:val="631B64D4"/>
    <w:multiLevelType w:val="hybridMultilevel"/>
    <w:lvl w:ilvl="0">
      <w:lvlJc w:val="left"/>
      <w:lvlText w:val="%1."/>
      <w:numFmt w:val="decimal"/>
      <w:start w:val="7"/>
    </w:lvl>
  </w:abstractNum>
  <w:abstractNum w:abstractNumId="84">
    <w:nsid w:val="78B5E776"/>
    <w:multiLevelType w:val="hybridMultilevel"/>
    <w:lvl w:ilvl="0">
      <w:lvlJc w:val="left"/>
      <w:lvlText w:val="%1."/>
      <w:numFmt w:val="decimal"/>
      <w:start w:val="8"/>
    </w:lvl>
    <w:lvl w:ilvl="1">
      <w:lvlJc w:val="left"/>
      <w:lvlText w:val="(%2)"/>
      <w:numFmt w:val="lowerLetter"/>
      <w:start w:val="1"/>
    </w:lvl>
  </w:abstractNum>
  <w:abstractNum w:abstractNumId="85">
    <w:nsid w:val="75486E47"/>
    <w:multiLevelType w:val="hybridMultilevel"/>
    <w:lvl w:ilvl="0">
      <w:lvlJc w:val="left"/>
      <w:lvlText w:val="(%1)"/>
      <w:numFmt w:val="lowerLetter"/>
      <w:start w:val="4"/>
    </w:lvl>
  </w:abstractNum>
  <w:abstractNum w:abstractNumId="86">
    <w:nsid w:val="6E534CDE"/>
    <w:multiLevelType w:val="hybridMultilevel"/>
    <w:lvl w:ilvl="0">
      <w:lvlJc w:val="left"/>
      <w:lvlText w:val="%1"/>
      <w:numFmt w:val="decimal"/>
      <w:start w:val="1"/>
    </w:lvl>
    <w:lvl w:ilvl="1">
      <w:lvlJc w:val="left"/>
      <w:lvlText w:val="(%2)"/>
      <w:numFmt w:val="lowerLetter"/>
      <w:start w:val="8"/>
    </w:lvl>
  </w:abstractNum>
  <w:abstractNum w:abstractNumId="87">
    <w:nsid w:val="1A0DDE32"/>
    <w:multiLevelType w:val="hybridMultilevel"/>
    <w:lvl w:ilvl="0">
      <w:lvlJc w:val="left"/>
      <w:lvlText w:val="%1."/>
      <w:numFmt w:val="decimal"/>
      <w:start w:val="9"/>
    </w:lvl>
    <w:lvl w:ilvl="1">
      <w:lvlJc w:val="left"/>
      <w:lvlText w:val="%2"/>
      <w:numFmt w:val="lowerLetter"/>
      <w:start w:val="1"/>
    </w:lvl>
  </w:abstractNum>
  <w:abstractNum w:abstractNumId="88">
    <w:nsid w:val="65968C1C"/>
    <w:multiLevelType w:val="hybridMultilevel"/>
    <w:lvl w:ilvl="0">
      <w:lvlJc w:val="left"/>
      <w:lvlText w:val="%1."/>
      <w:numFmt w:val="decimal"/>
      <w:start w:val="10"/>
    </w:lvl>
  </w:abstractNum>
  <w:abstractNum w:abstractNumId="89">
    <w:nsid w:val="46263DEC"/>
    <w:multiLevelType w:val="hybridMultilevel"/>
    <w:lvl w:ilvl="0">
      <w:lvlJc w:val="left"/>
      <w:lvlText w:val="%1."/>
      <w:numFmt w:val="decimal"/>
      <w:start w:val="11"/>
    </w:lvl>
  </w:abstractNum>
  <w:abstractNum w:abstractNumId="90">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73D4D3C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2">
    <w:nsid w:val="746F2E30"/>
    <w:multiLevelType w:val="hybridMultilevel"/>
    <w:lvl w:ilvl="0">
      <w:lvlJc w:val="left"/>
      <w:lvlText w:val="%1."/>
      <w:numFmt w:val="decimal"/>
      <w:start w:val="13"/>
    </w:lvl>
  </w:abstractNum>
  <w:abstractNum w:abstractNumId="93">
    <w:nsid w:val="6FDE8AF6"/>
    <w:multiLevelType w:val="hybridMultilevel"/>
    <w:lvl w:ilvl="0">
      <w:lvlJc w:val="left"/>
      <w:lvlText w:val="%1."/>
      <w:numFmt w:val="decimal"/>
      <w:start w:val="14"/>
    </w:lvl>
    <w:lvl w:ilvl="1">
      <w:lvlJc w:val="left"/>
      <w:lvlText w:val="(%2)"/>
      <w:numFmt w:val="lowerLetter"/>
      <w:start w:val="1"/>
    </w:lvl>
  </w:abstractNum>
  <w:abstractNum w:abstractNumId="94">
    <w:nsid w:val="3FC32E20"/>
    <w:multiLevelType w:val="hybridMultilevel"/>
    <w:lvl w:ilvl="0">
      <w:lvlJc w:val="left"/>
      <w:lvlText w:val="%1."/>
      <w:numFmt w:val="decimal"/>
      <w:start w:val="16"/>
    </w:lvl>
  </w:abstractNum>
  <w:abstractNum w:abstractNumId="95">
    <w:nsid w:val="49C0E823"/>
    <w:multiLevelType w:val="hybridMultilevel"/>
    <w:lvl w:ilvl="0">
      <w:lvlJc w:val="left"/>
      <w:lvlText w:val="%1."/>
      <w:numFmt w:val="decimal"/>
      <w:start w:val="17"/>
    </w:lvl>
  </w:abstractNum>
  <w:abstractNum w:abstractNumId="96">
    <w:nsid w:val="14D53685"/>
    <w:multiLevelType w:val="hybridMultilevel"/>
    <w:lvl w:ilvl="0">
      <w:lvlJc w:val="left"/>
      <w:lvlText w:val="%1."/>
      <w:numFmt w:val="decimal"/>
      <w:start w:val="18"/>
    </w:lvl>
  </w:abstractNum>
  <w:abstractNum w:abstractNumId="97">
    <w:nsid w:val="230F856C"/>
    <w:multiLevelType w:val="hybridMultilevel"/>
    <w:lvl w:ilvl="0">
      <w:lvlJc w:val="left"/>
      <w:lvlText w:val="%1."/>
      <w:numFmt w:val="decimal"/>
      <w:start w:val="19"/>
    </w:lvl>
  </w:abstractNum>
  <w:abstractNum w:abstractNumId="98">
    <w:nsid w:val="6EAA85FB"/>
    <w:multiLevelType w:val="hybridMultilevel"/>
    <w:lvl w:ilvl="0">
      <w:lvlJc w:val="left"/>
      <w:lvlText w:val="%1."/>
      <w:numFmt w:val="decimal"/>
      <w:start w:val="20"/>
    </w:lvl>
  </w:abstractNum>
  <w:abstractNum w:abstractNumId="99">
    <w:nsid w:val="3F06ECB2"/>
    <w:multiLevelType w:val="hybridMultilevel"/>
    <w:lvl w:ilvl="0">
      <w:lvlJc w:val="left"/>
      <w:lvlText w:val="%1."/>
      <w:numFmt w:val="decimal"/>
      <w:start w:val="21"/>
    </w:lvl>
  </w:abstractNum>
  <w:abstractNum w:abstractNumId="100">
    <w:nsid w:val="3B594807"/>
    <w:multiLevelType w:val="hybridMultilevel"/>
    <w:lvl w:ilvl="0">
      <w:lvlJc w:val="left"/>
      <w:lvlText w:val="%1."/>
      <w:numFmt w:val="decimal"/>
      <w:start w:val="22"/>
    </w:lvl>
    <w:lvl w:ilvl="1">
      <w:lvlJc w:val="left"/>
      <w:lvlText w:val="(%2)"/>
      <w:numFmt w:val="lowerLetter"/>
      <w:start w:val="1"/>
    </w:lvl>
  </w:abstractNum>
  <w:abstractNum w:abstractNumId="101">
    <w:nsid w:val="6CAA2304"/>
    <w:multiLevelType w:val="hybridMultilevel"/>
    <w:lvl w:ilvl="0">
      <w:lvlJc w:val="left"/>
      <w:lvlText w:val="%1."/>
      <w:numFmt w:val="decimal"/>
      <w:start w:val="24"/>
    </w:lvl>
  </w:abstractNum>
  <w:abstractNum w:abstractNumId="102">
    <w:nsid w:val="3F7C2FF4"/>
    <w:multiLevelType w:val="hybridMultilevel"/>
    <w:lvl w:ilvl="0">
      <w:lvlJc w:val="left"/>
      <w:lvlText w:val="%1:"/>
      <w:numFmt w:val="decimal"/>
      <w:start w:val="22"/>
    </w:lvl>
  </w:abstractNum>
  <w:abstractNum w:abstractNumId="103">
    <w:nsid w:val="25413BEC"/>
    <w:multiLevelType w:val="hybridMultilevel"/>
    <w:lvl w:ilvl="0">
      <w:lvlJc w:val="left"/>
      <w:lvlText w:val="%1."/>
      <w:numFmt w:val="decimal"/>
      <w:start w:val="25"/>
    </w:lvl>
  </w:abstractNum>
  <w:abstractNum w:abstractNumId="104">
    <w:nsid w:val="17180B0B"/>
    <w:multiLevelType w:val="hybridMultilevel"/>
    <w:lvl w:ilvl="0">
      <w:lvlJc w:val="left"/>
      <w:lvlText w:val="%1."/>
      <w:numFmt w:val="decimal"/>
      <w:start w:val="26"/>
    </w:lvl>
  </w:abstractNum>
  <w:abstractNum w:abstractNumId="105">
    <w:nsid w:val="579328B9"/>
    <w:multiLevelType w:val="hybridMultilevel"/>
    <w:lvl w:ilvl="0">
      <w:lvlJc w:val="left"/>
      <w:lvlText w:val="%1."/>
      <w:numFmt w:val="decimal"/>
      <w:start w:val="27"/>
    </w:lvl>
  </w:abstractNum>
  <w:abstractNum w:abstractNumId="106">
    <w:nsid w:val="5D205E20"/>
    <w:multiLevelType w:val="hybridMultilevel"/>
    <w:lvl w:ilvl="0">
      <w:lvlJc w:val="left"/>
      <w:lvlText w:val="%1."/>
      <w:numFmt w:val="decimal"/>
      <w:start w:val="28"/>
    </w:lvl>
  </w:abstractNum>
  <w:abstractNum w:abstractNumId="107">
    <w:nsid w:val="11CCA8BA"/>
    <w:multiLevelType w:val="hybridMultilevel"/>
    <w:lvl w:ilvl="0">
      <w:lvlJc w:val="left"/>
      <w:lvlText w:val="%1."/>
      <w:numFmt w:val="decimal"/>
      <w:start w:val="1"/>
    </w:lvl>
  </w:abstractNum>
  <w:abstractNum w:abstractNumId="108">
    <w:nsid w:val="4D32AB86"/>
    <w:multiLevelType w:val="hybridMultilevel"/>
    <w:lvl w:ilvl="0">
      <w:lvlJc w:val="left"/>
      <w:lvlText w:val="(%1)"/>
      <w:numFmt w:val="lowerLetter"/>
      <w:start w:val="1"/>
    </w:lvl>
    <w:lvl w:ilvl="1">
      <w:lvlJc w:val="left"/>
      <w:lvlText w:val="%2."/>
      <w:numFmt w:val="decimal"/>
      <w:start w:val="3"/>
    </w:lvl>
  </w:abstractNum>
  <w:abstractNum w:abstractNumId="109">
    <w:nsid w:val="3F07ACC3"/>
    <w:multiLevelType w:val="hybridMultilevel"/>
    <w:lvl w:ilvl="0">
      <w:lvlJc w:val="left"/>
      <w:lvlText w:val="%1."/>
      <w:numFmt w:val="decimal"/>
      <w:start w:val="6"/>
    </w:lvl>
  </w:abstractNum>
  <w:abstractNum w:abstractNumId="110">
    <w:nsid w:val="6B47F63E"/>
    <w:multiLevelType w:val="hybridMultilevel"/>
    <w:lvl w:ilvl="0">
      <w:lvlJc w:val="left"/>
      <w:lvlText w:val="(%1)"/>
      <w:numFmt w:val="lowerLetter"/>
      <w:start w:val="1"/>
    </w:lvl>
  </w:abstractNum>
  <w:abstractNum w:abstractNumId="111">
    <w:nsid w:val="5CB44A05"/>
    <w:multiLevelType w:val="hybridMultilevel"/>
    <w:lvl w:ilvl="0">
      <w:lvlJc w:val="left"/>
      <w:lvlText w:val="(%1)"/>
      <w:numFmt w:val="lowerLetter"/>
      <w:start w:val="3"/>
    </w:lvl>
  </w:abstractNum>
  <w:abstractNum w:abstractNumId="112">
    <w:nsid w:val="16CF80F1"/>
    <w:multiLevelType w:val="hybridMultilevel"/>
    <w:lvl w:ilvl="0">
      <w:lvlJc w:val="left"/>
      <w:lvlText w:val="%1"/>
      <w:numFmt w:val="upperLetter"/>
      <w:start w:val="1"/>
    </w:lvl>
    <w:lvl w:ilvl="1">
      <w:lvlJc w:val="left"/>
      <w:lvlText w:val="%2."/>
      <w:numFmt w:val="decimal"/>
      <w:start w:val="9"/>
    </w:lvl>
  </w:abstractNum>
  <w:abstractNum w:abstractNumId="113">
    <w:nsid w:val="1C695DEC"/>
    <w:multiLevelType w:val="hybridMultilevel"/>
    <w:lvl w:ilvl="0">
      <w:lvlJc w:val="left"/>
      <w:lvlText w:val="(%1)"/>
      <w:numFmt w:val="upperLetter"/>
      <w:start w:val="2"/>
    </w:lvl>
    <w:lvl w:ilvl="1">
      <w:lvlJc w:val="left"/>
      <w:lvlText w:val="%2."/>
      <w:numFmt w:val="decimal"/>
      <w:start w:val="10"/>
    </w:lvl>
  </w:abstractNum>
  <w:abstractNum w:abstractNumId="114">
    <w:nsid w:val="3FCFAED9"/>
    <w:multiLevelType w:val="hybridMultilevel"/>
    <w:lvl w:ilvl="0">
      <w:lvlJc w:val="left"/>
      <w:lvlText w:val="%1."/>
      <w:numFmt w:val="decimal"/>
      <w:start w:val="11"/>
    </w:lvl>
  </w:abstractNum>
  <w:abstractNum w:abstractNumId="115">
    <w:nsid w:val="F856867"/>
    <w:multiLevelType w:val="hybridMultilevel"/>
    <w:lvl w:ilvl="0">
      <w:lvlJc w:val="left"/>
      <w:lvlText w:val="(%1)"/>
      <w:numFmt w:val="lowerLetter"/>
      <w:start w:val="9"/>
    </w:lvl>
    <w:lvl w:ilvl="1">
      <w:lvlJc w:val="left"/>
      <w:lvlText w:val="(%2)"/>
      <w:numFmt w:val="lowerLetter"/>
    </w:lvl>
    <w:lvl w:ilvl="2">
      <w:lvlJc w:val="left"/>
      <w:lvlText w:val="%3."/>
      <w:numFmt w:val="decimal"/>
      <w:start w:val="15"/>
    </w:lvl>
  </w:abstractNum>
  <w:abstractNum w:abstractNumId="116">
    <w:nsid w:val="11B1CC33"/>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17">
    <w:nsid w:val="2E22FBB7"/>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6"/>
    </w:lvl>
  </w:abstractNum>
  <w:abstractNum w:abstractNumId="118">
    <w:nsid w:val="29934699"/>
    <w:multiLevelType w:val="hybridMultilevel"/>
    <w:lvl w:ilvl="0">
      <w:lvlJc w:val="left"/>
      <w:lvlText w:val="%1"/>
      <w:numFmt w:val="lowerLetter"/>
      <w:start w:val="1"/>
    </w:lvl>
    <w:lvl w:ilvl="1">
      <w:lvlJc w:val="left"/>
      <w:lvlText w:val="%2."/>
      <w:numFmt w:val="decimal"/>
      <w:start w:val="18"/>
    </w:lvl>
  </w:abstractNum>
  <w:abstractNum w:abstractNumId="119">
    <w:nsid w:val="77485850"/>
    <w:multiLevelType w:val="hybridMultilevel"/>
    <w:lvl w:ilvl="0">
      <w:lvlJc w:val="left"/>
      <w:lvlText w:val="(%1)"/>
      <w:numFmt w:val="lowerLetter"/>
      <w:start w:val="1"/>
    </w:lvl>
    <w:lvl w:ilvl="1">
      <w:lvlJc w:val="left"/>
      <w:lvlText w:val="%2"/>
      <w:numFmt w:val="decimal"/>
      <w:start w:val="1"/>
    </w:lvl>
  </w:abstractNum>
  <w:abstractNum w:abstractNumId="120">
    <w:nsid w:val="744939A3"/>
    <w:multiLevelType w:val="hybridMultilevel"/>
    <w:lvl w:ilvl="0">
      <w:lvlJc w:val="left"/>
      <w:lvlText w:val="(%1)"/>
      <w:numFmt w:val="lowerRoman"/>
      <w:start w:val="1"/>
    </w:lvl>
  </w:abstractNum>
  <w:abstractNum w:abstractNumId="121">
    <w:nsid w:val="4FA0D2E3"/>
    <w:multiLevelType w:val="hybridMultilevel"/>
    <w:lvl w:ilvl="0">
      <w:lvlJc w:val="left"/>
      <w:lvlText w:val="(%1)"/>
      <w:numFmt w:val="lowerLetter"/>
      <w:start w:val="2"/>
    </w:lvl>
    <w:lvl w:ilvl="1">
      <w:lvlJc w:val="left"/>
      <w:lvlText w:val="%2."/>
      <w:numFmt w:val="decimal"/>
      <w:start w:val="20"/>
    </w:lvl>
  </w:abstractNum>
  <w:abstractNum w:abstractNumId="122">
    <w:nsid w:val="6B1D2C14"/>
    <w:multiLevelType w:val="hybridMultilevel"/>
    <w:lvl w:ilvl="0">
      <w:lvlJc w:val="left"/>
      <w:lvlText w:val="%1"/>
      <w:numFmt w:val="lowerLetter"/>
      <w:start w:val="1"/>
    </w:lvl>
    <w:lvl w:ilvl="1">
      <w:lvlJc w:val="left"/>
      <w:lvlText w:val="%2."/>
      <w:numFmt w:val="decimal"/>
      <w:start w:val="20"/>
    </w:lvl>
  </w:abstractNum>
  <w:abstractNum w:abstractNumId="123">
    <w:nsid w:val="68B867D3"/>
    <w:multiLevelType w:val="hybridMultilevel"/>
    <w:lvl w:ilvl="0">
      <w:lvlJc w:val="left"/>
      <w:lvlText w:val="(%1)"/>
      <w:numFmt w:val="lowerLetter"/>
      <w:start w:val="1"/>
    </w:lvl>
    <w:lvl w:ilvl="1">
      <w:lvlJc w:val="left"/>
      <w:lvlText w:val="%2"/>
      <w:numFmt w:val="decimal"/>
      <w:start w:val="1"/>
    </w:lvl>
  </w:abstractNum>
  <w:abstractNum w:abstractNumId="124">
    <w:nsid w:val="3F7F5DD9"/>
    <w:multiLevelType w:val="hybridMultilevel"/>
    <w:lvl w:ilvl="0">
      <w:lvlJc w:val="left"/>
      <w:lvlText w:val="%1."/>
      <w:numFmt w:val="decimal"/>
      <w:start w:val="1"/>
    </w:lvl>
  </w:abstractNum>
  <w:abstractNum w:abstractNumId="125">
    <w:nsid w:val="2AE05A34"/>
    <w:multiLevelType w:val="hybridMultilevel"/>
    <w:lvl w:ilvl="0">
      <w:lvlJc w:val="left"/>
      <w:lvlText w:val="%1."/>
      <w:numFmt w:val="decimal"/>
      <w:start w:val="2"/>
    </w:lvl>
  </w:abstractNum>
  <w:abstractNum w:abstractNumId="126">
    <w:nsid w:val="32794FF7"/>
    <w:multiLevelType w:val="hybridMultilevel"/>
    <w:lvl w:ilvl="0">
      <w:lvlJc w:val="left"/>
      <w:lvlText w:val="%1."/>
      <w:numFmt w:val="decimal"/>
      <w:start w:val="3"/>
    </w:lvl>
  </w:abstractNum>
  <w:abstractNum w:abstractNumId="127">
    <w:nsid w:val="5454945E"/>
    <w:multiLevelType w:val="hybridMultilevel"/>
    <w:lvl w:ilvl="0">
      <w:lvlJc w:val="left"/>
      <w:lvlText w:val="%1."/>
      <w:numFmt w:val="decimal"/>
      <w:start w:val="4"/>
    </w:lvl>
  </w:abstractNum>
  <w:abstractNum w:abstractNumId="128">
    <w:nsid w:val="4DEFDFA0"/>
    <w:multiLevelType w:val="hybridMultilevel"/>
    <w:lvl w:ilvl="0">
      <w:lvlJc w:val="left"/>
      <w:lvlText w:val="%1."/>
      <w:numFmt w:val="decimal"/>
      <w:start w:val="5"/>
    </w:lvl>
  </w:abstractNum>
  <w:abstractNum w:abstractNumId="129">
    <w:nsid w:val="2123D5F2"/>
    <w:multiLevelType w:val="hybridMultilevel"/>
    <w:lvl w:ilvl="0">
      <w:lvlJc w:val="left"/>
      <w:lvlText w:val="%1."/>
      <w:numFmt w:val="decimal"/>
      <w:start w:val="6"/>
    </w:lvl>
  </w:abstractNum>
  <w:abstractNum w:abstractNumId="130">
    <w:nsid w:val="135B8110"/>
    <w:multiLevelType w:val="hybridMultilevel"/>
    <w:lvl w:ilvl="0">
      <w:lvlJc w:val="left"/>
      <w:lvlText w:val="%1."/>
      <w:numFmt w:val="decimal"/>
      <w:start w:val="7"/>
    </w:lvl>
  </w:abstractNum>
  <w:abstractNum w:abstractNumId="131">
    <w:nsid w:val="94927A8"/>
    <w:multiLevelType w:val="hybridMultilevel"/>
    <w:lvl w:ilvl="0">
      <w:lvlJc w:val="left"/>
      <w:lvlText w:val="%1."/>
      <w:numFmt w:val="decimal"/>
      <w:start w:val="8"/>
    </w:lvl>
  </w:abstractNum>
  <w:abstractNum w:abstractNumId="132">
    <w:nsid w:val="DCDF8F6"/>
    <w:multiLevelType w:val="hybridMultilevel"/>
    <w:lvl w:ilvl="0">
      <w:lvlJc w:val="left"/>
      <w:lvlText w:val="(%1)"/>
      <w:numFmt w:val="lowerLetter"/>
      <w:start w:val="1"/>
    </w:lvl>
  </w:abstractNum>
  <w:abstractNum w:abstractNumId="133">
    <w:nsid w:val="52D7B105"/>
    <w:multiLevelType w:val="hybridMultilevel"/>
    <w:lvl w:ilvl="0">
      <w:lvlJc w:val="left"/>
      <w:lvlText w:val="%1."/>
      <w:numFmt w:val="decimal"/>
      <w:start w:val="9"/>
    </w:lvl>
  </w:abstractNum>
  <w:abstractNum w:abstractNumId="134">
    <w:nsid w:val="2E8A6394"/>
    <w:multiLevelType w:val="hybridMultilevel"/>
    <w:lvl w:ilvl="0">
      <w:lvlJc w:val="left"/>
      <w:lvlText w:val="%1."/>
      <w:numFmt w:val="decimal"/>
      <w:start w:val="10"/>
    </w:lvl>
  </w:abstractNum>
  <w:abstractNum w:abstractNumId="135">
    <w:nsid w:val="24E60401"/>
    <w:multiLevelType w:val="hybridMultilevel"/>
    <w:lvl w:ilvl="0">
      <w:lvlJc w:val="left"/>
      <w:lvlText w:val="%1."/>
      <w:numFmt w:val="decimal"/>
      <w:start w:val="11"/>
    </w:lvl>
  </w:abstractNum>
  <w:abstractNum w:abstractNumId="136">
    <w:nsid w:val="2A6AD9BE"/>
    <w:multiLevelType w:val="hybridMultilevel"/>
    <w:lvl w:ilvl="0">
      <w:lvlJc w:val="left"/>
      <w:lvlText w:val="%1."/>
      <w:numFmt w:val="decimal"/>
      <w:start w:val="12"/>
    </w:lvl>
    <w:lvl w:ilvl="1">
      <w:lvlJc w:val="left"/>
      <w:lvlText w:val="(%2)"/>
      <w:numFmt w:val="lowerLetter"/>
      <w:start w:val="1"/>
    </w:lvl>
  </w:abstractNum>
  <w:abstractNum w:abstractNumId="137">
    <w:nsid w:val="BAAC1B4"/>
    <w:multiLevelType w:val="hybridMultilevel"/>
    <w:lvl w:ilvl="0">
      <w:lvlJc w:val="left"/>
      <w:lvlText w:val="(%1)"/>
      <w:numFmt w:val="lowerLetter"/>
      <w:start w:val="2"/>
    </w:lvl>
  </w:abstractNum>
  <w:abstractNum w:abstractNumId="138">
    <w:nsid w:val="36B2ACBC"/>
    <w:multiLevelType w:val="hybridMultilevel"/>
    <w:lvl w:ilvl="0">
      <w:lvlJc w:val="left"/>
      <w:lvlText w:val="(%1)"/>
      <w:numFmt w:val="lowerLetter"/>
      <w:start w:val="3"/>
    </w:lvl>
  </w:abstractNum>
  <w:abstractNum w:abstractNumId="139">
    <w:nsid w:val="779D8544"/>
    <w:multiLevelType w:val="hybridMultilevel"/>
    <w:lvl w:ilvl="0">
      <w:lvlJc w:val="left"/>
      <w:lvlText w:val="(%1)"/>
      <w:numFmt w:val="lowerLetter"/>
      <w:start w:val="10"/>
    </w:lvl>
  </w:abstractNum>
  <w:abstractNum w:abstractNumId="140">
    <w:nsid w:val="4AB26E78"/>
    <w:multiLevelType w:val="hybridMultilevel"/>
    <w:lvl w:ilvl="0">
      <w:lvlJc w:val="left"/>
      <w:lvlText w:val="(%1)"/>
      <w:numFmt w:val="lowerLetter"/>
      <w:start w:val="1"/>
    </w:lvl>
  </w:abstractNum>
  <w:abstractNum w:abstractNumId="141">
    <w:nsid w:val="21FAA2FA"/>
    <w:multiLevelType w:val="hybridMultilevel"/>
    <w:lvl w:ilvl="0">
      <w:lvlJc w:val="left"/>
      <w:lvlText w:val="%1"/>
      <w:numFmt w:val="decimal"/>
      <w:start w:val="1"/>
    </w:lvl>
    <w:lvl w:ilvl="1">
      <w:lvlJc w:val="left"/>
      <w:lvlText w:val="(%2)"/>
      <w:numFmt w:val="lowerLetter"/>
      <w:start w:val="6"/>
    </w:lvl>
  </w:abstractNum>
  <w:abstractNum w:abstractNumId="142">
    <w:nsid w:val="5451CF49"/>
    <w:multiLevelType w:val="hybridMultilevel"/>
    <w:lvl w:ilvl="0">
      <w:lvlJc w:val="left"/>
      <w:lvlText w:val="%1."/>
      <w:numFmt w:val="decimal"/>
      <w:start w:val="9"/>
    </w:lvl>
    <w:lvl w:ilvl="1">
      <w:lvlJc w:val="left"/>
      <w:lvlText w:val="%2"/>
      <w:numFmt w:val="lowerLetter"/>
      <w:start w:val="1"/>
    </w:lvl>
  </w:abstractNum>
  <w:abstractNum w:abstractNumId="143">
    <w:nsid w:val="6181EF69"/>
    <w:multiLevelType w:val="hybridMultilevel"/>
    <w:lvl w:ilvl="0">
      <w:lvlJc w:val="left"/>
      <w:lvlText w:val="%1."/>
      <w:numFmt w:val="decimal"/>
      <w:start w:val="12"/>
    </w:lvl>
    <w:lvl w:ilvl="1">
      <w:lvlJc w:val="left"/>
      <w:lvlText w:val="(%2)"/>
      <w:numFmt w:val="lowerLetter"/>
      <w:start w:val="1"/>
    </w:lvl>
  </w:abstractNum>
  <w:abstractNum w:abstractNumId="144">
    <w:nsid w:val="3E6400E6"/>
    <w:multiLevelType w:val="hybridMultilevel"/>
    <w:lvl w:ilvl="0">
      <w:lvlJc w:val="left"/>
      <w:lvlText w:val="(%1)"/>
      <w:numFmt w:val="lowerLetter"/>
      <w:start w:val="2"/>
    </w:lvl>
  </w:abstractNum>
  <w:abstractNum w:abstractNumId="145">
    <w:nsid w:val="14217E23"/>
    <w:multiLevelType w:val="hybridMultilevel"/>
    <w:lvl w:ilvl="0">
      <w:lvlJc w:val="left"/>
      <w:lvlText w:val="(%1)"/>
      <w:numFmt w:val="lowerLetter"/>
      <w:start w:val="7"/>
    </w:lvl>
  </w:abstractNum>
  <w:abstractNum w:abstractNumId="146">
    <w:nsid w:val="710757D0"/>
    <w:multiLevelType w:val="hybridMultilevel"/>
    <w:lvl w:ilvl="0">
      <w:lvlJc w:val="left"/>
      <w:lvlText w:val="%1."/>
      <w:numFmt w:val="decimal"/>
      <w:start w:val="1"/>
    </w:lvl>
  </w:abstractNum>
  <w:abstractNum w:abstractNumId="147">
    <w:nsid w:val="5015CD1A"/>
    <w:multiLevelType w:val="hybridMultilevel"/>
    <w:lvl w:ilvl="0">
      <w:lvlJc w:val="left"/>
      <w:lvlText w:val="(%1)"/>
      <w:numFmt w:val="lowerLetter"/>
      <w:start w:val="3"/>
    </w:lvl>
  </w:abstractNum>
  <w:abstractNum w:abstractNumId="148">
    <w:nsid w:val="424479D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9">
    <w:nsid w:val="1A9A9E69"/>
    <w:multiLevelType w:val="hybridMultilevel"/>
    <w:lvl w:ilvl="0">
      <w:lvlJc w:val="left"/>
      <w:lvlText w:val="%1."/>
      <w:numFmt w:val="decimal"/>
      <w:start w:val="3"/>
    </w:lvl>
  </w:abstractNum>
  <w:abstractNum w:abstractNumId="150">
    <w:nsid w:val="475E256A"/>
    <w:multiLevelType w:val="hybridMultilevel"/>
    <w:lvl w:ilvl="0">
      <w:lvlJc w:val="left"/>
      <w:lvlText w:val="%1."/>
      <w:numFmt w:val="decimal"/>
      <w:start w:val="4"/>
    </w:lvl>
  </w:abstractNum>
  <w:abstractNum w:abstractNumId="151">
    <w:nsid w:val="368DB37E"/>
    <w:multiLevelType w:val="hybridMultilevel"/>
    <w:lvl w:ilvl="0">
      <w:lvlJc w:val="left"/>
      <w:lvlText w:val="%1."/>
      <w:numFmt w:val="decimal"/>
      <w:start w:val="5"/>
    </w:lvl>
  </w:abstractNum>
  <w:abstractNum w:abstractNumId="152">
    <w:nsid w:val="6A3B714C"/>
    <w:multiLevelType w:val="hybridMultilevel"/>
    <w:lvl w:ilvl="0">
      <w:lvlJc w:val="left"/>
      <w:lvlText w:val="%1."/>
      <w:numFmt w:val="decimal"/>
      <w:start w:val="6"/>
    </w:lvl>
  </w:abstractNum>
  <w:abstractNum w:abstractNumId="153">
    <w:nsid w:val="327B517E"/>
    <w:multiLevelType w:val="hybridMultilevel"/>
    <w:lvl w:ilvl="0">
      <w:lvlJc w:val="left"/>
      <w:lvlText w:val="%1."/>
      <w:numFmt w:val="decimal"/>
      <w:start w:val="7"/>
    </w:lvl>
  </w:abstractNum>
  <w:abstractNum w:abstractNumId="154">
    <w:nsid w:val="1F461B51"/>
    <w:multiLevelType w:val="hybridMultilevel"/>
    <w:lvl w:ilvl="0">
      <w:lvlJc w:val="left"/>
      <w:lvlText w:val="%1."/>
      <w:numFmt w:val="decimal"/>
      <w:start w:val="8"/>
    </w:lvl>
  </w:abstractNum>
  <w:abstractNum w:abstractNumId="155">
    <w:nsid w:val="29BACF25"/>
    <w:multiLevelType w:val="hybridMultilevel"/>
    <w:lvl w:ilvl="0">
      <w:lvlJc w:val="left"/>
      <w:lvlText w:val="(%1)"/>
      <w:numFmt w:val="lowerLetter"/>
      <w:start w:val="1"/>
    </w:lvl>
  </w:abstractNum>
  <w:abstractNum w:abstractNumId="156">
    <w:nsid w:val="5D5BABB3"/>
    <w:multiLevelType w:val="hybridMultilevel"/>
    <w:lvl w:ilvl="0">
      <w:lvlJc w:val="left"/>
      <w:lvlText w:val="%1."/>
      <w:numFmt w:val="decimal"/>
      <w:start w:val="9"/>
    </w:lvl>
  </w:abstractNum>
  <w:abstractNum w:abstractNumId="157">
    <w:nsid w:val="51BF6B48"/>
    <w:multiLevelType w:val="hybridMultilevel"/>
    <w:lvl w:ilvl="0">
      <w:lvlJc w:val="left"/>
      <w:lvlText w:val="%1."/>
      <w:numFmt w:val="decimal"/>
      <w:start w:val="10"/>
    </w:lvl>
  </w:abstractNum>
  <w:abstractNum w:abstractNumId="158">
    <w:nsid w:val="7E0F6384"/>
    <w:multiLevelType w:val="hybridMultilevel"/>
    <w:lvl w:ilvl="0">
      <w:lvlJc w:val="left"/>
      <w:lvlText w:val="%1."/>
      <w:numFmt w:val="decimal"/>
      <w:start w:val="11"/>
    </w:lvl>
  </w:abstractNum>
  <w:abstractNum w:abstractNumId="159">
    <w:nsid w:val="2B4B8B53"/>
    <w:multiLevelType w:val="hybridMultilevel"/>
    <w:lvl w:ilvl="0">
      <w:lvlJc w:val="left"/>
      <w:lvlText w:val="%1."/>
      <w:numFmt w:val="decimal"/>
      <w:start w:val="12"/>
    </w:lvl>
    <w:lvl w:ilvl="1">
      <w:lvlJc w:val="left"/>
      <w:lvlText w:val="(%2)"/>
      <w:numFmt w:val="lowerLetter"/>
      <w:start w:val="1"/>
    </w:lvl>
  </w:abstractNum>
  <w:abstractNum w:abstractNumId="160">
    <w:nsid w:val="72E3413A"/>
    <w:multiLevelType w:val="hybridMultilevel"/>
    <w:lvl w:ilvl="0">
      <w:lvlJc w:val="left"/>
      <w:lvlText w:val="(%1)"/>
      <w:numFmt w:val="lowerLetter"/>
      <w:start w:val="2"/>
    </w:lvl>
  </w:abstractNum>
  <w:abstractNum w:abstractNumId="161">
    <w:nsid w:val="116AE494"/>
    <w:multiLevelType w:val="hybridMultilevel"/>
    <w:lvl w:ilvl="0">
      <w:lvlJc w:val="left"/>
      <w:lvlText w:val="(%1)"/>
      <w:numFmt w:val="lowerLetter"/>
      <w:start w:val="3"/>
    </w:lvl>
    <w:lvl w:ilvl="1">
      <w:lvlJc w:val="left"/>
      <w:lvlText w:val="(%2)"/>
      <w:numFmt w:val="lowerLetter"/>
      <w:start w:val="4"/>
    </w:lvl>
  </w:abstractNum>
  <w:abstractNum w:abstractNumId="162">
    <w:nsid w:val="3494B2FB"/>
    <w:multiLevelType w:val="hybridMultilevel"/>
    <w:lvl w:ilvl="0">
      <w:lvlJc w:val="left"/>
      <w:lvlText w:val="(%1)"/>
      <w:numFmt w:val="lowerLetter"/>
      <w:start w:val="1"/>
    </w:lvl>
  </w:abstractNum>
  <w:abstractNum w:abstractNumId="163">
    <w:nsid w:val="B13A31"/>
    <w:multiLevelType w:val="hybridMultilevel"/>
    <w:lvl w:ilvl="0">
      <w:lvlJc w:val="left"/>
      <w:lvlText w:val="(%1)"/>
      <w:numFmt w:val="lowerLetter"/>
      <w:start w:val="5"/>
    </w:lvl>
  </w:abstractNum>
  <w:abstractNum w:abstractNumId="164">
    <w:nsid w:val="64429599"/>
    <w:multiLevelType w:val="hybridMultilevel"/>
    <w:lvl w:ilvl="0">
      <w:lvlJc w:val="left"/>
      <w:lvlText w:val="(%1)"/>
      <w:numFmt w:val="lowerLetter"/>
      <w:start w:val="1"/>
    </w:lvl>
  </w:abstractNum>
  <w:abstractNum w:abstractNumId="165">
    <w:nsid w:val="631F1690"/>
    <w:multiLevelType w:val="hybridMultilevel"/>
    <w:lvl w:ilvl="0">
      <w:lvlJc w:val="left"/>
      <w:lvlText w:val="(%1)"/>
      <w:numFmt w:val="lowerLetter"/>
      <w:start w:val="1"/>
    </w:lvl>
  </w:abstractNum>
  <w:abstractNum w:abstractNumId="166">
    <w:nsid w:val="25973E32"/>
    <w:multiLevelType w:val="hybridMultilevel"/>
    <w:lvl w:ilvl="0">
      <w:lvlJc w:val="left"/>
      <w:lvlText w:val="(%1)"/>
      <w:numFmt w:val="lowerLetter"/>
      <w:start w:val="1"/>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lowerLetter"/>
      <w:start w:val="1"/>
    </w:lvl>
  </w:abstractNum>
  <w:abstractNum w:abstractNumId="169">
    <w:nsid w:val="5C49EAEE"/>
    <w:multiLevelType w:val="hybridMultilevel"/>
    <w:lvl w:ilvl="0">
      <w:lvlJc w:val="left"/>
      <w:lvlText w:val="(%1)"/>
      <w:numFmt w:val="upperLetter"/>
      <w:start w:val="1"/>
    </w:lvl>
  </w:abstractNum>
  <w:abstractNum w:abstractNumId="170">
    <w:nsid w:val="64AF49B"/>
    <w:multiLevelType w:val="hybridMultilevel"/>
    <w:lvl w:ilvl="0">
      <w:lvlJc w:val="left"/>
      <w:lvlText w:val="(%1)"/>
      <w:numFmt w:val="lowerLetter"/>
      <w:start w:val="1"/>
    </w:lvl>
  </w:abstractNum>
  <w:abstractNum w:abstractNumId="171">
    <w:nsid w:val="397C46BC"/>
    <w:multiLevelType w:val="hybridMultilevel"/>
    <w:lvl w:ilvl="0">
      <w:lvlJc w:val="left"/>
      <w:lvlText w:val="(%1)"/>
      <w:numFmt w:val="lowerLetter"/>
      <w:start w:val="1"/>
    </w:lvl>
  </w:abstractNum>
  <w:abstractNum w:abstractNumId="172">
    <w:nsid w:val="7E448DE9"/>
    <w:multiLevelType w:val="hybridMultilevel"/>
    <w:lvl w:ilvl="0">
      <w:lvlJc w:val="left"/>
      <w:lvlText w:val="(%1)"/>
      <w:numFmt w:val="lowerRoman"/>
      <w:start w:val="2"/>
    </w:lvl>
  </w:abstractNum>
  <w:abstractNum w:abstractNumId="173">
    <w:nsid w:val="5A9CC3E5"/>
    <w:multiLevelType w:val="hybridMultilevel"/>
    <w:lvl w:ilvl="0">
      <w:lvlJc w:val="left"/>
      <w:lvlText w:val="(%1)"/>
      <w:numFmt w:val="lowerRoman"/>
      <w:start w:val="4"/>
    </w:lvl>
  </w:abstractNum>
  <w:abstractNum w:abstractNumId="174">
    <w:nsid w:val="1AFE3625"/>
    <w:multiLevelType w:val="hybridMultilevel"/>
    <w:lvl w:ilvl="0">
      <w:lvlJc w:val="left"/>
      <w:lvlText w:val="(%1)"/>
      <w:numFmt w:val="lowerLetter"/>
      <w:start w:val="6"/>
    </w:lvl>
  </w:abstractNum>
  <w:abstractNum w:abstractNumId="175">
    <w:nsid w:val="3CA88ECF"/>
    <w:multiLevelType w:val="hybridMultilevel"/>
    <w:lvl w:ilvl="0">
      <w:lvlJc w:val="left"/>
      <w:lvlText w:val="(%1)"/>
      <w:numFmt w:val="lowerRoman"/>
      <w:start w:val="2"/>
    </w:lvl>
  </w:abstractNum>
  <w:abstractNum w:abstractNumId="176">
    <w:nsid w:val="6EBE4208"/>
    <w:multiLevelType w:val="hybridMultilevel"/>
    <w:lvl w:ilvl="0">
      <w:lvlJc w:val="left"/>
      <w:lvlText w:val="%1"/>
      <w:numFmt w:val="lowerLetter"/>
      <w:start w:val="1"/>
    </w:lvl>
    <w:lvl w:ilvl="1">
      <w:lvlJc w:val="left"/>
      <w:lvlText w:val="(%2)"/>
      <w:numFmt w:val="lowerRoman"/>
      <w:start w:val="4"/>
    </w:lvl>
  </w:abstractNum>
  <w:abstractNum w:abstractNumId="177">
    <w:nsid w:val="C058DF5"/>
    <w:multiLevelType w:val="hybridMultilevel"/>
    <w:lvl w:ilvl="0">
      <w:lvlJc w:val="left"/>
      <w:lvlText w:val="(%1)"/>
      <w:numFmt w:val="lowerLetter"/>
      <w:start w:val="8"/>
    </w:lvl>
    <w:lvl w:ilvl="1">
      <w:lvlJc w:val="left"/>
      <w:lvlText w:val="%2"/>
      <w:numFmt w:val="lowerRoman"/>
      <w:start w:val="1"/>
    </w:lvl>
  </w:abstractNum>
  <w:abstractNum w:abstractNumId="178">
    <w:nsid w:val="CBE5BE9"/>
    <w:multiLevelType w:val="hybridMultilevel"/>
    <w:lvl w:ilvl="0">
      <w:lvlJc w:val="left"/>
      <w:lvlText w:val="(%1)"/>
      <w:numFmt w:val="lowerLetter"/>
      <w:start w:val="18"/>
    </w:lvl>
  </w:abstractNum>
  <w:abstractNum w:abstractNumId="179">
    <w:nsid w:val="3102BBE2"/>
    <w:multiLevelType w:val="hybridMultilevel"/>
    <w:lvl w:ilvl="0">
      <w:lvlJc w:val="left"/>
      <w:lvlText w:val="(%1)"/>
      <w:numFmt w:val="lowerRoman"/>
      <w:start w:val="4"/>
    </w:lvl>
  </w:abstractNum>
  <w:abstractNum w:abstractNumId="180">
    <w:nsid w:val="26A02C5E"/>
    <w:multiLevelType w:val="hybridMultilevel"/>
    <w:lvl w:ilvl="0">
      <w:lvlJc w:val="left"/>
      <w:lvlText w:val="(%1)"/>
      <w:numFmt w:val="lowerRoman"/>
      <w:start w:val="2"/>
    </w:lvl>
  </w:abstractNum>
  <w:abstractNum w:abstractNumId="181">
    <w:nsid w:val="541C8153"/>
    <w:multiLevelType w:val="hybridMultilevel"/>
    <w:lvl w:ilvl="0">
      <w:lvlJc w:val="left"/>
      <w:lvlText w:val="(%1)"/>
      <w:numFmt w:val="lowerLetter"/>
      <w:start w:val="28"/>
    </w:lvl>
  </w:abstractNum>
  <w:abstractNum w:abstractNumId="182">
    <w:nsid w:val="67906F60"/>
    <w:multiLevelType w:val="hybridMultilevel"/>
    <w:lvl w:ilvl="0">
      <w:lvlJc w:val="left"/>
      <w:lvlText w:val="(%1)"/>
      <w:numFmt w:val="lowerLetter"/>
      <w:start w:val="33"/>
    </w:lvl>
  </w:abstractNum>
  <w:abstractNum w:abstractNumId="183">
    <w:nsid w:val="10DB9DAA"/>
    <w:multiLevelType w:val="hybridMultilevel"/>
    <w:lvl w:ilvl="0">
      <w:lvlJc w:val="left"/>
      <w:lvlText w:val="(%1)"/>
      <w:numFmt w:val="lowerLetter"/>
      <w:start w:val="2"/>
    </w:lvl>
  </w:abstractNum>
  <w:abstractNum w:abstractNumId="184">
    <w:nsid w:val="697D2D2"/>
    <w:multiLevelType w:val="hybridMultilevel"/>
    <w:lvl w:ilvl="0">
      <w:lvlJc w:val="left"/>
      <w:lvlText w:val="(%1)"/>
      <w:numFmt w:val="lowerLetter"/>
      <w:start w:val="6"/>
    </w:lvl>
  </w:abstractNum>
  <w:abstractNum w:abstractNumId="185">
    <w:nsid w:val="6D68AB2"/>
    <w:multiLevelType w:val="hybridMultilevel"/>
    <w:lvl w:ilvl="0">
      <w:lvlJc w:val="left"/>
      <w:lvlText w:val="(%1)"/>
      <w:numFmt w:val="lowerLetter"/>
      <w:start w:val="1"/>
    </w:lvl>
  </w:abstractNum>
  <w:abstractNum w:abstractNumId="186">
    <w:nsid w:val="3A966CD0"/>
    <w:multiLevelType w:val="hybridMultilevel"/>
    <w:lvl w:ilvl="0">
      <w:lvlJc w:val="left"/>
      <w:lvlText w:val="(%1)"/>
      <w:numFmt w:val="lowerLetter"/>
      <w:start w:val="6"/>
    </w:lvl>
  </w:abstractNum>
  <w:abstractNum w:abstractNumId="187">
    <w:nsid w:val="63F37E85"/>
    <w:multiLevelType w:val="hybridMultilevel"/>
    <w:lvl w:ilvl="0">
      <w:lvlJc w:val="left"/>
      <w:lvlText w:val="(%1)"/>
      <w:numFmt w:val="lowerLetter"/>
      <w:start w:val="1"/>
    </w:lvl>
  </w:abstractNum>
  <w:abstractNum w:abstractNumId="188">
    <w:nsid w:val="5895F5FA"/>
    <w:multiLevelType w:val="hybridMultilevel"/>
    <w:lvl w:ilvl="0">
      <w:lvlJc w:val="left"/>
      <w:lvlText w:val="(%1)"/>
      <w:numFmt w:val="lowerRoman"/>
      <w:start w:val="1"/>
    </w:lvl>
  </w:abstractNum>
  <w:abstractNum w:abstractNumId="189">
    <w:nsid w:val="38A5D054"/>
    <w:multiLevelType w:val="hybridMultilevel"/>
    <w:lvl w:ilvl="0">
      <w:lvlJc w:val="left"/>
      <w:lvlText w:val="(%1)"/>
      <w:numFmt w:val="lowerRoman"/>
      <w:start w:val="4"/>
    </w:lvl>
  </w:abstractNum>
  <w:abstractNum w:abstractNumId="190">
    <w:nsid w:val="F3F09D8"/>
    <w:multiLevelType w:val="hybridMultilevel"/>
    <w:lvl w:ilvl="0">
      <w:lvlJc w:val="left"/>
      <w:lvlText w:val="(%1)"/>
      <w:numFmt w:val="lowerRoman"/>
      <w:start w:val="6"/>
    </w:lvl>
  </w:abstractNum>
  <w:abstractNum w:abstractNumId="191">
    <w:nsid w:val="4B793735"/>
    <w:multiLevelType w:val="hybridMultilevel"/>
    <w:lvl w:ilvl="0">
      <w:lvlJc w:val="left"/>
      <w:lvlText w:val="(%1)"/>
      <w:numFmt w:val="lowerLetter"/>
      <w:start w:val="6"/>
    </w:lvl>
    <w:lvl w:ilvl="1">
      <w:lvlJc w:val="left"/>
      <w:lvlText w:val="(%2)"/>
      <w:numFmt w:val="lowerRoman"/>
      <w:start w:val="1"/>
    </w:lvl>
  </w:abstractNum>
  <w:abstractNum w:abstractNumId="192">
    <w:nsid w:val="4A10B4E8"/>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93">
    <w:nsid w:val="43D3BCD4"/>
    <w:multiLevelType w:val="hybridMultilevel"/>
    <w:lvl w:ilvl="0">
      <w:lvlJc w:val="left"/>
      <w:lvlText w:val="(%1)"/>
      <w:numFmt w:val="lowerLetter"/>
      <w:start w:val="27"/>
    </w:lvl>
  </w:abstractNum>
  <w:abstractNum w:abstractNumId="194">
    <w:nsid w:val="4C2A7166"/>
    <w:multiLevelType w:val="hybridMultilevel"/>
    <w:lvl w:ilvl="0">
      <w:lvlJc w:val="left"/>
      <w:lvlText w:val="(%1)"/>
      <w:numFmt w:val="lowerLetter"/>
      <w:start w:val="31"/>
    </w:lvl>
  </w:abstractNum>
  <w:abstractNum w:abstractNumId="195">
    <w:nsid w:val="2E534A82"/>
    <w:multiLevelType w:val="hybridMultilevel"/>
    <w:lvl w:ilvl="0">
      <w:lvlJc w:val="left"/>
      <w:lvlText w:val="(%1)"/>
      <w:numFmt w:val="lowerLetter"/>
      <w:start w:val="1"/>
    </w:lvl>
    <w:lvl w:ilvl="1">
      <w:lvlJc w:val="left"/>
      <w:lvlText w:val="(%2)"/>
      <w:numFmt w:val="decimal"/>
      <w:start w:val="60"/>
    </w:lvl>
  </w:abstractNum>
  <w:abstractNum w:abstractNumId="196">
    <w:nsid w:val="26F2D364"/>
    <w:multiLevelType w:val="hybridMultilevel"/>
    <w:lvl w:ilvl="0">
      <w:lvlJc w:val="left"/>
      <w:lvlText w:val="(%1)"/>
      <w:numFmt w:val="lowerLetter"/>
      <w:start w:val="1"/>
    </w:lvl>
  </w:abstractNum>
  <w:abstractNum w:abstractNumId="197">
    <w:nsid w:val="71C1AF98"/>
    <w:multiLevelType w:val="hybridMultilevel"/>
    <w:lvl w:ilvl="0">
      <w:lvlJc w:val="left"/>
      <w:lvlText w:val="(%1)"/>
      <w:numFmt w:val="lowerLetter"/>
      <w:start w:val="1"/>
    </w:lvl>
  </w:abstractNum>
  <w:abstractNum w:abstractNumId="198">
    <w:nsid w:val="3D00B9D9"/>
    <w:multiLevelType w:val="hybridMultilevel"/>
    <w:lvl w:ilvl="0">
      <w:lvlJc w:val="left"/>
      <w:lvlText w:val="(%1)"/>
      <w:numFmt w:val="lowerLetter"/>
      <w:start w:val="4"/>
    </w:lvl>
  </w:abstractNum>
  <w:abstractNum w:abstractNumId="199">
    <w:nsid w:val="15BCABA8"/>
    <w:multiLevelType w:val="hybridMultilevel"/>
    <w:lvl w:ilvl="0">
      <w:lvlJc w:val="left"/>
      <w:lvlText w:val="(%1)"/>
      <w:numFmt w:val="lowerLetter"/>
      <w:start w:val="1"/>
    </w:lvl>
  </w:abstractNum>
  <w:abstractNum w:abstractNumId="200">
    <w:nsid w:val="4E0B9A87"/>
    <w:multiLevelType w:val="hybridMultilevel"/>
    <w:lvl w:ilvl="0">
      <w:lvlJc w:val="left"/>
      <w:lvlText w:val="(%1)"/>
      <w:numFmt w:val="lowerLetter"/>
      <w:start w:val="1"/>
    </w:lvl>
  </w:abstractNum>
  <w:abstractNum w:abstractNumId="201">
    <w:nsid w:val="434BAE75"/>
    <w:multiLevelType w:val="hybridMultilevel"/>
    <w:lvl w:ilvl="0">
      <w:lvlJc w:val="left"/>
      <w:lvlText w:val="(%1)"/>
      <w:numFmt w:val="lowerLetter"/>
      <w:start w:val="5"/>
    </w:lvl>
  </w:abstractNum>
  <w:abstractNum w:abstractNumId="202">
    <w:nsid w:val="4F38F265"/>
    <w:multiLevelType w:val="hybridMultilevel"/>
    <w:lvl w:ilvl="0">
      <w:lvlJc w:val="left"/>
      <w:lvlText w:val="(%1)"/>
      <w:numFmt w:val="lowerLetter"/>
      <w:start w:val="1"/>
    </w:lvl>
  </w:abstractNum>
  <w:abstractNum w:abstractNumId="203">
    <w:nsid w:val="4C502870"/>
    <w:multiLevelType w:val="hybridMultilevel"/>
    <w:lvl w:ilvl="0">
      <w:lvlJc w:val="left"/>
      <w:lvlText w:val="%1."/>
      <w:numFmt w:val="upperLetter"/>
      <w:start w:val="1"/>
    </w:lvl>
  </w:abstractNum>
  <w:abstractNum w:abstractNumId="204">
    <w:nsid w:val="1DE8725A"/>
    <w:multiLevelType w:val="hybridMultilevel"/>
    <w:lvl w:ilvl="0">
      <w:lvlJc w:val="left"/>
      <w:lvlText w:val="%1."/>
      <w:numFmt w:val="decimal"/>
      <w:start w:val="1"/>
    </w:lvl>
  </w:abstractNum>
  <w:abstractNum w:abstractNumId="205">
    <w:nsid w:val="6A37288A"/>
    <w:multiLevelType w:val="hybridMultilevel"/>
    <w:lvl w:ilvl="0">
      <w:lvlJc w:val="left"/>
      <w:lvlText w:val="%1."/>
      <w:numFmt w:val="decimal"/>
      <w:start w:val="5"/>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lvl w:ilvl="1">
      <w:lvlJc w:val="left"/>
      <w:lvlText w:val="(%2)"/>
      <w:numFmt w:val="lowerLetter"/>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130" Type="http://schemas.openxmlformats.org/officeDocument/2006/relationships/image" Target="media/image51.png"/><Relationship Id="rId131" Type="http://schemas.openxmlformats.org/officeDocument/2006/relationships/image" Target="media/image52.png"/><Relationship Id="rId132" Type="http://schemas.openxmlformats.org/officeDocument/2006/relationships/image" Target="media/image53.png"/><Relationship Id="rId133" Type="http://schemas.openxmlformats.org/officeDocument/2006/relationships/image" Target="media/image54.png"/><Relationship Id="rId134" Type="http://schemas.openxmlformats.org/officeDocument/2006/relationships/image" Target="media/image55.png"/><Relationship Id="rId135" Type="http://schemas.openxmlformats.org/officeDocument/2006/relationships/image" Target="media/image56.png"/><Relationship Id="rId136" Type="http://schemas.openxmlformats.org/officeDocument/2006/relationships/image" Target="media/image57.png"/><Relationship Id="rId137" Type="http://schemas.openxmlformats.org/officeDocument/2006/relationships/image" Target="media/image58.png"/><Relationship Id="rId138" Type="http://schemas.openxmlformats.org/officeDocument/2006/relationships/image" Target="media/image59.png"/><Relationship Id="rId139" Type="http://schemas.openxmlformats.org/officeDocument/2006/relationships/image" Target="media/image60.png"/><Relationship Id="rId140" Type="http://schemas.openxmlformats.org/officeDocument/2006/relationships/image" Target="media/image61.png"/><Relationship Id="rId141" Type="http://schemas.openxmlformats.org/officeDocument/2006/relationships/image" Target="media/image62.png"/><Relationship Id="rId142" Type="http://schemas.openxmlformats.org/officeDocument/2006/relationships/image" Target="media/image63.png"/><Relationship Id="rId143" Type="http://schemas.openxmlformats.org/officeDocument/2006/relationships/image" Target="media/image64.jpeg"/><Relationship Id="rId144" Type="http://schemas.openxmlformats.org/officeDocument/2006/relationships/image" Target="media/image65.jpeg"/><Relationship Id="rId145" Type="http://schemas.openxmlformats.org/officeDocument/2006/relationships/image" Target="media/image66.jpeg"/><Relationship Id="rId146" Type="http://schemas.openxmlformats.org/officeDocument/2006/relationships/image" Target="media/image67.jpeg"/><Relationship Id="rId147" Type="http://schemas.openxmlformats.org/officeDocument/2006/relationships/image" Target="media/image68.png"/><Relationship Id="rId148" Type="http://schemas.openxmlformats.org/officeDocument/2006/relationships/image" Target="media/image69.png"/><Relationship Id="rId149" Type="http://schemas.openxmlformats.org/officeDocument/2006/relationships/image" Target="media/image70.png"/><Relationship Id="rId150" Type="http://schemas.openxmlformats.org/officeDocument/2006/relationships/image" Target="media/image71.png"/><Relationship Id="rId151" Type="http://schemas.openxmlformats.org/officeDocument/2006/relationships/image" Target="media/image72.png"/><Relationship Id="rId152" Type="http://schemas.openxmlformats.org/officeDocument/2006/relationships/image" Target="media/image73.png"/><Relationship Id="rId153" Type="http://schemas.openxmlformats.org/officeDocument/2006/relationships/image" Target="media/image74.png"/><Relationship Id="rId154" Type="http://schemas.openxmlformats.org/officeDocument/2006/relationships/image" Target="media/image75.png"/><Relationship Id="rId155" Type="http://schemas.openxmlformats.org/officeDocument/2006/relationships/image" Target="media/image76.png"/><Relationship Id="rId156" Type="http://schemas.openxmlformats.org/officeDocument/2006/relationships/image" Target="media/image77.png"/><Relationship Id="rId157" Type="http://schemas.openxmlformats.org/officeDocument/2006/relationships/image" Target="media/image78.png"/><Relationship Id="rId158" Type="http://schemas.openxmlformats.org/officeDocument/2006/relationships/image" Target="media/image79.png"/><Relationship Id="rId159" Type="http://schemas.openxmlformats.org/officeDocument/2006/relationships/image" Target="media/image80.png"/><Relationship Id="rId160" Type="http://schemas.openxmlformats.org/officeDocument/2006/relationships/image" Target="media/image81.png"/><Relationship Id="rId161" Type="http://schemas.openxmlformats.org/officeDocument/2006/relationships/image" Target="media/image82.png"/><Relationship Id="rId58" Type="http://schemas.openxmlformats.org/officeDocument/2006/relationships/hyperlink" Target="http://www.sec.gov/Archives/edgar/data/1567683/000110465914037090/a14-12466_1ex2d1.htm" TargetMode="External"/><Relationship Id="rId59" Type="http://schemas.openxmlformats.org/officeDocument/2006/relationships/hyperlink" Target="http://www.sec.gov/Archives/edgar/data/1567683/000110465914037090/a14-12466_1ex2d2.htm" TargetMode="External"/><Relationship Id="rId60" Type="http://schemas.openxmlformats.org/officeDocument/2006/relationships/hyperlink" Target="http://www.sec.gov/Archives/edgar/data/1567683/000110465914037090/a14-12466_1ex2d3.htm" TargetMode="External"/><Relationship Id="rId61" Type="http://schemas.openxmlformats.org/officeDocument/2006/relationships/hyperlink" Target="http://www.sec.gov/Archives/edgar/data/1567683/000110465914044820/a14-14976_1ex10d1.htm" TargetMode="External"/><Relationship Id="rId62" Type="http://schemas.openxmlformats.org/officeDocument/2006/relationships/hyperlink" Target="http://www.sec.gov/Archives/edgar/data/1567683/000156768314000020/exhibit21.htm" TargetMode="External"/><Relationship Id="rId63" Type="http://schemas.openxmlformats.org/officeDocument/2006/relationships/hyperlink" Target="http://www.sec.gov/Archives/edgar/data/1567683/000156768314000020/exhibit22.htm" TargetMode="External"/><Relationship Id="rId64" Type="http://schemas.openxmlformats.org/officeDocument/2006/relationships/hyperlink" Target="http://www.sec.gov/Archives/edgar/data/1567683/000156768315000022/yieldincex212015q2dspsaexh.htm" TargetMode="External"/><Relationship Id="rId65" Type="http://schemas.openxmlformats.org/officeDocument/2006/relationships/hyperlink" Target="http://www.sec.gov/Archives/edgar/data/1567683/000110465915066291/a15-19906_1ex2d1.htm" TargetMode="External"/><Relationship Id="rId66" Type="http://schemas.openxmlformats.org/officeDocument/2006/relationships/hyperlink" Target="http://www.sec.gov/Archives/edgar/data/1567683/000110465916138087/a16-16348_1ex2d1.htm" TargetMode="External"/><Relationship Id="rId67" Type="http://schemas.openxmlformats.org/officeDocument/2006/relationships/hyperlink" Target="http://www.sec.gov/Archives/edgar/data/1567683/000156768318000008/yieldincex210201710-k.htm" TargetMode="External"/><Relationship Id="rId68" Type="http://schemas.openxmlformats.org/officeDocument/2006/relationships/hyperlink" Target="http://www.sec.gov/Archives/edgar/data/1567683/000156768316000043/yieldincex312016q1.htm" TargetMode="External"/><Relationship Id="rId69" Type="http://schemas.openxmlformats.org/officeDocument/2006/relationships/hyperlink" Target="http://www.sec.gov/Archives/edgar/data/1567683/000110465918055334/a18-24111_1ex3d1.htm#Exhibit3_1_040838" TargetMode="External"/><Relationship Id="rId70" Type="http://schemas.openxmlformats.org/officeDocument/2006/relationships/hyperlink" Target="http://www.sec.gov/Archives/edgar/data/1567683/000110465918055334/a18-24111_1ex3d2.htm#Exhibit3_2_042157" TargetMode="External"/><Relationship Id="rId71" Type="http://schemas.openxmlformats.org/officeDocument/2006/relationships/hyperlink" Target="http://www.sec.gov/Archives/edgar/data/1567683/000110465918055334/a18-24111_1ex10d6.htm#Exhibit10_6_052216" TargetMode="External"/><Relationship Id="rId72" Type="http://schemas.openxmlformats.org/officeDocument/2006/relationships/hyperlink" Target="http://www.sec.gov/Archives/edgar/data/1567683/000110465914008496/a14-4771_3ex4d1.htm" TargetMode="External"/><Relationship Id="rId73" Type="http://schemas.openxmlformats.org/officeDocument/2006/relationships/hyperlink" Target="http://www.sec.gov/Archives/edgar/data/1567683/000110465914056777/a14-18411_1ex4d1.htm" TargetMode="External"/><Relationship Id="rId74" Type="http://schemas.openxmlformats.org/officeDocument/2006/relationships/hyperlink" Target="http://www.sec.gov/Archives/edgar/data/1567683/000110465914056777/a14-18411_1ex4d3.htm" TargetMode="External"/><Relationship Id="rId75" Type="http://schemas.openxmlformats.org/officeDocument/2006/relationships/hyperlink" Target="http://www.sec.gov/Archives/edgar/data/1567683/000110465914080390/a14-24401_1ex4d1.htm" TargetMode="External"/><Relationship Id="rId76" Type="http://schemas.openxmlformats.org/officeDocument/2006/relationships/hyperlink" Target="http://www.sec.gov/Archives/edgar/data/1567683/000110465915015282/a15-5420_1ex4d1.htm" TargetMode="External"/><Relationship Id="rId77" Type="http://schemas.openxmlformats.org/officeDocument/2006/relationships/hyperlink" Target="http://www.sec.gov/Archives/edgar/data/1567683/000110465915027995/a15-9326_1ex4d1.htm" TargetMode="External"/><Relationship Id="rId78" Type="http://schemas.openxmlformats.org/officeDocument/2006/relationships/hyperlink" Target="http://www.sec.gov/Archives/edgar/data/1567683/000110465915036232/a15-11016_2ex4d1.htm" TargetMode="External"/><Relationship Id="rId79" Type="http://schemas.openxmlformats.org/officeDocument/2006/relationships/hyperlink" Target="http://www.sec.gov/Archives/edgar/data/1567683/000110465915048473/a15-14936_1ex4d1.htm" TargetMode="External"/><Relationship Id="rId80" Type="http://schemas.openxmlformats.org/officeDocument/2006/relationships/hyperlink" Target="http://www.sec.gov/Archives/edgar/data/1567683/000110465916140473/a16-16967_1ex4d1.htm" TargetMode="External"/><Relationship Id="rId81" Type="http://schemas.openxmlformats.org/officeDocument/2006/relationships/hyperlink" Target="http://www.sec.gov/Archives/edgar/data/1567683/000110465916140473/a16-16967_1ex4d3.htm" TargetMode="External"/><Relationship Id="rId82" Type="http://schemas.openxmlformats.org/officeDocument/2006/relationships/hyperlink" Target="http://www.sec.gov/Archives/edgar/data/1637757/000110465918005466/a18-5088_1ex4d1.htm#Exhibit4_1_091658" TargetMode="External"/><Relationship Id="rId83" Type="http://schemas.openxmlformats.org/officeDocument/2006/relationships/hyperlink" Target="http://www.sec.gov/Archives/edgar/data/1637757/000110465918005466/a18-5088_1ex4d2.htm#Exhibit4_2_091723" TargetMode="External"/><Relationship Id="rId84" Type="http://schemas.openxmlformats.org/officeDocument/2006/relationships/hyperlink" Target="http://www.sec.gov/Archives/edgar/data/1567683/000110465918039601/a18-15261_1ex4d1.htm#Exhibit4_1_110220" TargetMode="External"/><Relationship Id="rId85" Type="http://schemas.openxmlformats.org/officeDocument/2006/relationships/hyperlink" Target="http://www.sec.gov/Archives/edgar/data/1567683/000110465918039601/a18-15261_1ex4d2.htm#Exhibit4_2_111650" TargetMode="External"/><Relationship Id="rId86" Type="http://schemas.openxmlformats.org/officeDocument/2006/relationships/hyperlink" Target="http://www.sec.gov/Archives/edgar/data/1567683/000156768318000028/yieldincex432018q2.htm" TargetMode="External"/><Relationship Id="rId87" Type="http://schemas.openxmlformats.org/officeDocument/2006/relationships/hyperlink" Target="http://www.sec.gov/Archives/edgar/data/1567683/000156768318000028/yieldincex442018q2.htm" TargetMode="External"/><Relationship Id="rId88" Type="http://schemas.openxmlformats.org/officeDocument/2006/relationships/hyperlink" Target="http://www.sec.gov/Archives/edgar/data/1567683/000110465918055585/a18-27020_1ex4d1.htm#Exhibit4_1_065610" TargetMode="External"/><Relationship Id="rId89" Type="http://schemas.openxmlformats.org/officeDocument/2006/relationships/hyperlink" Target="http://www.sec.gov/Archives/edgar/data/1567683/000110465918055585/a18-27020_1ex4d2.htm" TargetMode="External"/><Relationship Id="rId90" Type="http://schemas.openxmlformats.org/officeDocument/2006/relationships/hyperlink" Target="http://www.sec.gov/Archives/edgar/data/1567683/000110465918060026/a18-36222_1ex4d1.htm#Exhibit4_1_070903" TargetMode="External"/><Relationship Id="rId91" Type="http://schemas.openxmlformats.org/officeDocument/2006/relationships/hyperlink" Target="http://www.sec.gov/Archives/edgar/data/1567683/000110465918060026/a18-36222_1ex4d1.htm" TargetMode="External"/><Relationship Id="rId92" Type="http://schemas.openxmlformats.org/officeDocument/2006/relationships/hyperlink" Target="http://www.sec.gov/Archives/edgar/data/1567683/000110465918060026/a18-36222_1ex4d3.htm#Exhibit4_3_105106" TargetMode="External"/><Relationship Id="rId93" Type="http://schemas.openxmlformats.org/officeDocument/2006/relationships/hyperlink" Target="http://www.sec.gov/Archives/edgar/data/1567683/000110465918065131/a18-38184_1ex4d1.htm#Exhibit4_1_084653" TargetMode="External"/><Relationship Id="rId94" Type="http://schemas.openxmlformats.org/officeDocument/2006/relationships/hyperlink" Target="http://www.sec.gov/Archives/edgar/data/1567683/000110465918065131/a18-38184_1ex4d2.htm#Exhibit4_2_085140" TargetMode="External"/><Relationship Id="rId95" Type="http://schemas.openxmlformats.org/officeDocument/2006/relationships/hyperlink" Target="http://www.sec.gov/Archives/edgar/data/1567683/000110465918065131/a18-38184_1ex4d3.htm#Exhibit4_3_084706" TargetMode="External"/><Relationship Id="rId96" Type="http://schemas.openxmlformats.org/officeDocument/2006/relationships/hyperlink" Target="http://www.sec.gov/Archives/edgar/data/1567683/000110465918072575/a18-41414_1ex4d1.htm#Exhibit4_1_123152" TargetMode="External"/><Relationship Id="rId97" Type="http://schemas.openxmlformats.org/officeDocument/2006/relationships/hyperlink" Target="http://www.sec.gov/Archives/edgar/data/1567683/000110465918072575/a18-41414_1ex4d2.htm#Exhibit4_2_124619" TargetMode="External"/><Relationship Id="rId98" Type="http://schemas.openxmlformats.org/officeDocument/2006/relationships/hyperlink" Target="http://www.sec.gov/Archives/edgar/data/1567683/000110465918072575/a18-41414_1ex4d3.htm#Exhibit4_3_125432" TargetMode="External"/><Relationship Id="rId99" Type="http://schemas.openxmlformats.org/officeDocument/2006/relationships/hyperlink" Target="http://www.sec.gov/Archives/edgar/data/1567683/000110465918055334/a18-24111_1ex10d1.htm#Exhibit10_1_072506" TargetMode="External"/><Relationship Id="rId100" Type="http://schemas.openxmlformats.org/officeDocument/2006/relationships/hyperlink" Target="http://www.sec.gov/Archives/edgar/data/1567683/000110465918055334/a18-24111_1ex10d2.htm#Exhibit10_2_072636" TargetMode="External"/><Relationship Id="rId101" Type="http://schemas.openxmlformats.org/officeDocument/2006/relationships/hyperlink" Target="http://www.sec.gov/Archives/edgar/data/1567683/000110465918055334/a18-24111_1ex10d3.htm" TargetMode="External"/><Relationship Id="rId102" Type="http://schemas.openxmlformats.org/officeDocument/2006/relationships/hyperlink" Target="http://www.sec.gov/Archives/edgar/data/1567683/000110465919008742/a19-4739_1ex10d1.htm#Exhibit99_1_09271" TargetMode="External"/><Relationship Id="rId103" Type="http://schemas.openxmlformats.org/officeDocument/2006/relationships/hyperlink" Target="http://www.sec.gov/Archives/edgar/data/1567683/000110465918055334/a18-24111_1ex10d4.htm#Exhibit10_4_041820" TargetMode="External"/><Relationship Id="rId104" Type="http://schemas.openxmlformats.org/officeDocument/2006/relationships/hyperlink" Target="http://www.sec.gov/Archives/edgar/data/1567683/000110465918055334/a18-24111_1ex10d5.htm#EXHIBIT10_5_051412" TargetMode="External"/><Relationship Id="rId105" Type="http://schemas.openxmlformats.org/officeDocument/2006/relationships/hyperlink" Target="http://www.sec.gov/Archives/edgar/data/1567683/000110465918055334/a18-24111_1ex10d7.htm#Exhibit10_7_114008" TargetMode="External"/><Relationship Id="rId106" Type="http://schemas.openxmlformats.org/officeDocument/2006/relationships/hyperlink" Target="http://www.sec.gov/Archives/edgar/data/1567683/000110465918055334/a18-24111_1ex10d9.htm" TargetMode="External"/><Relationship Id="rId107" Type="http://schemas.openxmlformats.org/officeDocument/2006/relationships/hyperlink" Target="http://www.sec.gov/Archives/edgar/data/1567683/000091205713000038/filename3.htm" TargetMode="External"/><Relationship Id="rId108" Type="http://schemas.openxmlformats.org/officeDocument/2006/relationships/hyperlink" Target="http://www.sec.gov/Archives/edgar/data/1567683/000110465914031308/a14-11252_1ex10d1.htm" TargetMode="External"/><Relationship Id="rId109" Type="http://schemas.openxmlformats.org/officeDocument/2006/relationships/hyperlink" Target="http://www.sec.gov/Archives/edgar/data/1567683/000156768315000022/yieldincex1092015q2opllcam.htm" TargetMode="External"/><Relationship Id="rId110" Type="http://schemas.openxmlformats.org/officeDocument/2006/relationships/hyperlink" Target="http://www.sec.gov/Archives/edgar/data/1567683/000110465918008195/a18-5849_1ex10d1.htm#Exhibit10_1_093100" TargetMode="External"/><Relationship Id="rId111" Type="http://schemas.openxmlformats.org/officeDocument/2006/relationships/hyperlink" Target="http://www.sec.gov/Archives/edgar/data/1567683/000156768318000021/a101.htm" TargetMode="External"/><Relationship Id="rId112" Type="http://schemas.openxmlformats.org/officeDocument/2006/relationships/hyperlink" Target="http://www.sec.gov/Archives/edgar/data/1567683/000110465918071712/a18-41171_1ex10d1.htm#Exhibit10_1_112713" TargetMode="External"/><Relationship Id="rId113" Type="http://schemas.openxmlformats.org/officeDocument/2006/relationships/hyperlink" Target="http://www.sec.gov/Archives/edgar/data/1567683/000156768314000015/yieldcoex102q214.htm" TargetMode="External"/><Relationship Id="rId114" Type="http://schemas.openxmlformats.org/officeDocument/2006/relationships/hyperlink" Target="http://www.sec.gov/Archives/edgar/data/1567683/000156768314000015/yieldcoex103q214.htm" TargetMode="External"/><Relationship Id="rId115" Type="http://schemas.openxmlformats.org/officeDocument/2006/relationships/hyperlink" Target="http://www.sec.gov/Archives/edgar/data/1567683/000156768314000015/yieldcoex104q214.htm" TargetMode="External"/><Relationship Id="rId116" Type="http://schemas.openxmlformats.org/officeDocument/2006/relationships/hyperlink" Target="http://www.sec.gov/Archives/edgar/data/1567683/000156768315000022/yieldincex1062015q2esecame.htm" TargetMode="External"/><Relationship Id="rId117" Type="http://schemas.openxmlformats.org/officeDocument/2006/relationships/hyperlink" Target="http://www.sec.gov/Archives/edgar/data/1567683/000156768315000022/yieldincex1072015q2esecame.htm" TargetMode="External"/><Relationship Id="rId118" Type="http://schemas.openxmlformats.org/officeDocument/2006/relationships/hyperlink" Target="http://www.sec.gov/Archives/edgar/data/1567683/000156768315000022/yieldincex1082015q2esecame.htm" TargetMode="External"/><Relationship Id="rId119" Type="http://schemas.openxmlformats.org/officeDocument/2006/relationships/hyperlink" Target="http://www.sec.gov/Archives/edgar/data/1567683/000156768314000015/yieldcoex105q22014.htm" TargetMode="External"/><Relationship Id="rId120" Type="http://schemas.openxmlformats.org/officeDocument/2006/relationships/hyperlink" Target="http://www.sec.gov/Archives/edgar/data/1567683/000156768314000015/yieldcoex106q22014.htm" TargetMode="External"/><Relationship Id="rId121" Type="http://schemas.openxmlformats.org/officeDocument/2006/relationships/hyperlink" Target="http://www.sec.gov/Archives/edgar/data/1567683/000156768315000022/yieldincex1012015q2rpv.htm" TargetMode="External"/><Relationship Id="rId122" Type="http://schemas.openxmlformats.org/officeDocument/2006/relationships/hyperlink" Target="http://www.sec.gov/Archives/edgar/data/1567683/000156768315000022/yieldincex1022015q2dgpv.htm" TargetMode="External"/><Relationship Id="rId123" Type="http://schemas.openxmlformats.org/officeDocument/2006/relationships/hyperlink" Target="http://www.sec.gov/Archives/edgar/data/1567683/000156768316000043/yieldincex1012016q1.htm" TargetMode="External"/><Relationship Id="rId124" Type="http://schemas.openxmlformats.org/officeDocument/2006/relationships/hyperlink" Target="http://www.sec.gov/Archives/edgar/data/1567683/000156768316000043/yieldincex1022016q1.htm" TargetMode="External"/><Relationship Id="rId125" Type="http://schemas.openxmlformats.org/officeDocument/2006/relationships/hyperlink" Target="http://www.sec.gov/Archives/edgar/data/1567683/000156768316000043/yieldincex1032016q1.htm" TargetMode="External"/><Relationship Id="rId126" Type="http://schemas.openxmlformats.org/officeDocument/2006/relationships/hyperlink" Target="http://www.sec.gov/Archives/edgar/data/1567683/000156768316000055/yieldincex1012016q2-rpvame.htm" TargetMode="External"/><Relationship Id="rId127" Type="http://schemas.openxmlformats.org/officeDocument/2006/relationships/hyperlink" Target="http://www.sec.gov/Archives/edgar/data/1567683/000110465916138081/a16-16348_2ex10d1.htm" TargetMode="External"/><Relationship Id="rId128" Type="http://schemas.openxmlformats.org/officeDocument/2006/relationships/hyperlink" Target="http://www.sec.gov/Archives/edgar/data/1567683/000156768318000008/yieldincex1028201710-k.htm" TargetMode="External"/><Relationship Id="rId129" Type="http://schemas.openxmlformats.org/officeDocument/2006/relationships/hyperlink" Target="http://www.sec.gov/Archives/edgar/data/1567683/000156768318000008/yieldincex103420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2019-12-28T15:29:08Z</dcterms:created>
  <dcterms:modified xsi:type="dcterms:W3CDTF">2019-12-28T15:29:08Z</dcterms:modified>
</cp:coreProperties>
</file>