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5" w:lineRule="exact"/>
        <w:rPr>
          <w:sz w:val="24"/>
          <w:szCs w:val="24"/>
          <w:color w:val="auto"/>
        </w:rPr>
      </w:pPr>
    </w:p>
    <w:p>
      <w:pPr>
        <w:ind w:left="620" w:hanging="369"/>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36" w:lineRule="exact"/>
        <w:rPr>
          <w:sz w:val="24"/>
          <w:szCs w:val="24"/>
          <w:color w:val="auto"/>
        </w:rPr>
      </w:pPr>
    </w:p>
    <w:p>
      <w:pPr>
        <w:ind w:left="820" w:hanging="346"/>
        <w:spacing w:after="0"/>
        <w:tabs>
          <w:tab w:leader="none" w:pos="8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333-203369</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Clearway Energy LLC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07" w:right="339" w:bottom="1440" w:gutter="0" w:footer="0" w:header="0"/>
        </w:sectPr>
      </w:pPr>
    </w:p>
    <w:p>
      <w:pPr>
        <w:spacing w:after="0" w:line="26" w:lineRule="exact"/>
        <w:rPr>
          <w:sz w:val="24"/>
          <w:szCs w:val="24"/>
          <w:color w:val="auto"/>
        </w:rPr>
      </w:pPr>
    </w:p>
    <w:p>
      <w:pPr>
        <w:jc w:val="center"/>
        <w:ind w:right="40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9" w:lineRule="exact"/>
        <w:rPr>
          <w:sz w:val="24"/>
          <w:szCs w:val="24"/>
          <w:color w:val="auto"/>
        </w:rPr>
      </w:pPr>
    </w:p>
    <w:p>
      <w:pPr>
        <w:jc w:val="center"/>
        <w:ind w:right="40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32-0407370</w:t>
      </w:r>
    </w:p>
    <w:p>
      <w:pPr>
        <w:spacing w:after="0" w:line="29"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14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64" w:lineRule="exact"/>
        <w:rPr>
          <w:sz w:val="24"/>
          <w:szCs w:val="24"/>
          <w:color w:val="auto"/>
        </w:rPr>
      </w:pPr>
    </w:p>
    <w:p>
      <w:pPr>
        <w:sectPr>
          <w:pgSz w:w="11900" w:h="16838" w:orient="portrait"/>
          <w:cols w:equalWidth="0" w:num="2">
            <w:col w:w="7760" w:space="720"/>
            <w:col w:w="2760"/>
          </w:cols>
          <w:pgMar w:left="320" w:top="1407" w:right="3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7"/>
          <w:szCs w:val="17"/>
          <w:b w:val="1"/>
          <w:bCs w:val="1"/>
          <w:color w:val="auto"/>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Princeton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New Jersey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08540</w:t>
      </w:r>
    </w:p>
    <w:p>
      <w:pPr>
        <w:spacing w:after="0" w:line="43" w:lineRule="exact"/>
        <w:rPr>
          <w:sz w:val="24"/>
          <w:szCs w:val="24"/>
          <w:color w:val="auto"/>
        </w:rPr>
      </w:pPr>
    </w:p>
    <w:p>
      <w:pPr>
        <w:sectPr>
          <w:pgSz w:w="11900" w:h="16838" w:orient="portrait"/>
          <w:cols w:equalWidth="0" w:num="4">
            <w:col w:w="3460" w:space="720"/>
            <w:col w:w="940" w:space="720"/>
            <w:col w:w="2360" w:space="720"/>
            <w:col w:w="2320"/>
          </w:cols>
          <w:pgMar w:left="320" w:top="1407" w:right="339" w:bottom="1440" w:gutter="0" w:footer="0" w:header="0"/>
          <w:type w:val="continuous"/>
        </w:sectPr>
      </w:pPr>
    </w:p>
    <w:p>
      <w:pPr>
        <w:ind w:left="21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8020" w:space="720"/>
            <w:col w:w="2500"/>
          </w:cols>
          <w:pgMar w:left="320" w:top="1407" w:right="339" w:bottom="1440" w:gutter="0" w:footer="0" w:header="0"/>
          <w:type w:val="continuous"/>
        </w:sectPr>
      </w:pP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108" w:lineRule="exact"/>
        <w:rPr>
          <w:sz w:val="24"/>
          <w:szCs w:val="24"/>
          <w:color w:val="auto"/>
        </w:rPr>
      </w:pPr>
    </w:p>
    <w:p>
      <w:pPr>
        <w:jc w:val="both"/>
        <w:ind w:firstLine="283"/>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4" w:lineRule="exact"/>
        <w:rPr>
          <w:sz w:val="24"/>
          <w:szCs w:val="24"/>
          <w:color w:val="auto"/>
        </w:rPr>
      </w:pPr>
    </w:p>
    <w:p>
      <w:pPr>
        <w:jc w:val="center"/>
        <w:ind w:right="-279"/>
        <w:spacing w:after="0"/>
        <w:tabs>
          <w:tab w:leader="none" w:pos="18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Arial" w:cs="Arial" w:eastAsia="Arial" w:hAnsi="Arial"/>
          <w:sz w:val="16"/>
          <w:szCs w:val="16"/>
          <w:color w:val="auto"/>
        </w:rPr>
        <w:t>x</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Arial" w:cs="Arial" w:eastAsia="Arial" w:hAnsi="Arial"/>
          <w:sz w:val="15"/>
          <w:szCs w:val="15"/>
          <w:color w:val="auto"/>
        </w:rPr>
        <w:t>o</w:t>
      </w:r>
    </w:p>
    <w:p>
      <w:pPr>
        <w:spacing w:after="0" w:line="87" w:lineRule="exact"/>
        <w:rPr>
          <w:sz w:val="24"/>
          <w:szCs w:val="24"/>
          <w:color w:val="auto"/>
        </w:rPr>
      </w:pPr>
    </w:p>
    <w:p>
      <w:pPr>
        <w:jc w:val="both"/>
        <w:ind w:firstLine="283"/>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54" w:lineRule="exact"/>
        <w:rPr>
          <w:sz w:val="24"/>
          <w:szCs w:val="24"/>
          <w:color w:val="auto"/>
        </w:rPr>
      </w:pPr>
    </w:p>
    <w:p>
      <w:pPr>
        <w:jc w:val="center"/>
        <w:ind w:right="-279"/>
        <w:spacing w:after="0"/>
        <w:tabs>
          <w:tab w:leader="none" w:pos="22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Arial" w:cs="Arial" w:eastAsia="Arial" w:hAnsi="Arial"/>
          <w:sz w:val="16"/>
          <w:szCs w:val="16"/>
          <w:color w:val="auto"/>
        </w:rPr>
        <w:t>x</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Arial" w:cs="Arial" w:eastAsia="Arial" w:hAnsi="Arial"/>
          <w:sz w:val="15"/>
          <w:szCs w:val="15"/>
          <w:color w:val="auto"/>
        </w:rPr>
        <w:t>o</w:t>
      </w:r>
    </w:p>
    <w:p>
      <w:pPr>
        <w:spacing w:after="0" w:line="87" w:lineRule="exact"/>
        <w:rPr>
          <w:sz w:val="24"/>
          <w:szCs w:val="24"/>
          <w:color w:val="auto"/>
        </w:rPr>
      </w:pPr>
    </w:p>
    <w:p>
      <w:pPr>
        <w:jc w:val="both"/>
        <w:ind w:firstLine="283"/>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1340" w:type="dxa"/>
        <w:tblCellMar>
          <w:top w:w="0" w:type="dxa"/>
          <w:left w:w="0" w:type="dxa"/>
          <w:bottom w:w="0" w:type="dxa"/>
          <w:right w:w="0" w:type="dxa"/>
        </w:tblCellMar>
      </w:tblPr>
      <w:tr>
        <w:trPr>
          <w:trHeight w:val="25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2" w:lineRule="exact"/>
        <w:rPr>
          <w:sz w:val="24"/>
          <w:szCs w:val="24"/>
          <w:color w:val="auto"/>
        </w:rPr>
      </w:pPr>
    </w:p>
    <w:p>
      <w:pPr>
        <w:ind w:firstLine="324"/>
        <w:spacing w:after="0" w:line="249"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49"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66" w:lineRule="exact"/>
        <w:rPr>
          <w:sz w:val="24"/>
          <w:szCs w:val="24"/>
          <w:color w:val="auto"/>
        </w:rPr>
      </w:pPr>
    </w:p>
    <w:p>
      <w:pPr>
        <w:ind w:left="5100"/>
        <w:spacing w:after="0" w:line="196" w:lineRule="exact"/>
        <w:tabs>
          <w:tab w:leader="none" w:pos="580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Arial" w:cs="Arial" w:eastAsia="Arial" w:hAnsi="Arial"/>
          <w:sz w:val="16"/>
          <w:szCs w:val="16"/>
          <w:color w:val="auto"/>
        </w:rPr>
        <w:t>x</w:t>
      </w:r>
    </w:p>
    <w:p>
      <w:pPr>
        <w:spacing w:after="0" w:line="148" w:lineRule="exact"/>
        <w:rPr>
          <w:sz w:val="24"/>
          <w:szCs w:val="24"/>
          <w:color w:val="auto"/>
        </w:rPr>
      </w:pPr>
    </w:p>
    <w:p>
      <w:pPr>
        <w:ind w:firstLine="283"/>
        <w:spacing w:after="0" w:line="245" w:lineRule="auto"/>
        <w:rPr>
          <w:sz w:val="20"/>
          <w:szCs w:val="20"/>
          <w:color w:val="auto"/>
        </w:rPr>
      </w:pPr>
      <w:r>
        <w:rPr>
          <w:rFonts w:ascii="Times New Roman" w:cs="Times New Roman" w:eastAsia="Times New Roman" w:hAnsi="Times New Roman"/>
          <w:sz w:val="16"/>
          <w:szCs w:val="16"/>
          <w:color w:val="auto"/>
        </w:rPr>
        <w:t>As of July 29, 2022, there were 34,599,645 Class A units outstanding, 42,738,750 Class B units outstanding, 82,196,386 Class C units outstanding, and 42,336,750 Class D units outstanding. There is no public market for the registrant's outstanding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CAUTIONARY STATEMENT REGARDING FORWARD LOOKING INFORMATION</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GLOSSARY OF TERMS</w:t>
            </w:r>
          </w:p>
        </w:tc>
        <w:tc>
          <w:tcPr>
            <w:tcW w:w="3100" w:type="dxa"/>
            <w:vAlign w:val="bottom"/>
            <w:gridSpan w:val="4"/>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40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ITEM 1 — FINANCIAL STATEMENTS AND NOTES</w:t>
            </w:r>
          </w:p>
        </w:tc>
        <w:tc>
          <w:tcPr>
            <w:tcW w:w="5640" w:type="dxa"/>
            <w:vAlign w:val="bottom"/>
            <w:gridSpan w:val="5"/>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 MANAGEMENT’S DISCUSSION AND ANALYSIS OF FINANCIAL CONDITION AND RESULTS OF</w:t>
            </w: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7560" w:type="dxa"/>
            <w:vAlign w:val="bottom"/>
            <w:tcBorders>
              <w:top w:val="single" w:sz="8" w:color="0000FF"/>
            </w:tcBorders>
            <w:gridSpan w:val="16"/>
          </w:tcPr>
          <w:p>
            <w:pPr>
              <w:spacing w:after="0" w:line="142" w:lineRule="exact"/>
              <w:rPr>
                <w:sz w:val="20"/>
                <w:szCs w:val="20"/>
                <w:color w:val="auto"/>
              </w:rPr>
            </w:pPr>
            <w:r>
              <w:rPr>
                <w:rFonts w:ascii="Times New Roman" w:cs="Times New Roman" w:eastAsia="Times New Roman" w:hAnsi="Times New Roman"/>
                <w:sz w:val="16"/>
                <w:szCs w:val="16"/>
                <w:color w:val="0000FF"/>
              </w:rPr>
              <w:t>OPERATIONS</w:t>
            </w:r>
          </w:p>
        </w:tc>
        <w:tc>
          <w:tcPr>
            <w:tcW w:w="108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560" w:type="dxa"/>
            <w:vAlign w:val="bottom"/>
            <w:gridSpan w:val="3"/>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3 — QUANTITATIVE AND QUALITATIVE DISCLOSURES ABOUT MARKET RISK</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9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ITEM 4 — CONTROLS AND PROCEDURES</w:t>
            </w:r>
          </w:p>
        </w:tc>
        <w:tc>
          <w:tcPr>
            <w:tcW w:w="27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6940" w:type="dxa"/>
            <w:vAlign w:val="bottom"/>
            <w:gridSpan w:val="9"/>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 LEGAL PROCEEDINGS</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27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1A — RISK FACTORS</w:t>
            </w:r>
          </w:p>
        </w:tc>
        <w:tc>
          <w:tcPr>
            <w:tcW w:w="6980" w:type="dxa"/>
            <w:vAlign w:val="bottom"/>
            <w:gridSpan w:val="11"/>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69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2 — UNREGISTERED SALES OF EQUITY SECURITIES AND USE OF PROCEEDS</w:t>
            </w:r>
          </w:p>
        </w:tc>
        <w:tc>
          <w:tcPr>
            <w:tcW w:w="2780" w:type="dxa"/>
            <w:vAlign w:val="bottom"/>
            <w:gridSpan w:val="3"/>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3</w:t>
            </w:r>
          </w:p>
        </w:tc>
        <w:tc>
          <w:tcPr>
            <w:tcW w:w="3460" w:type="dxa"/>
            <w:vAlign w:val="bottom"/>
            <w:tcBorders>
              <w:bottom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w w:val="98"/>
              </w:rPr>
              <w:t>— DEFAULTS UPON SENIOR SECURITIES</w:t>
            </w:r>
          </w:p>
        </w:tc>
        <w:tc>
          <w:tcPr>
            <w:tcW w:w="5640" w:type="dxa"/>
            <w:vAlign w:val="bottom"/>
            <w:gridSpan w:val="5"/>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rPr>
              <w:t>ITEM 4</w:t>
            </w:r>
          </w:p>
        </w:tc>
        <w:tc>
          <w:tcPr>
            <w:tcW w:w="91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 MINE SAFETY DISCLOSURES</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5</w:t>
            </w:r>
          </w:p>
        </w:tc>
        <w:tc>
          <w:tcPr>
            <w:tcW w:w="2140" w:type="dxa"/>
            <w:vAlign w:val="bottom"/>
            <w:tcBorders>
              <w:top w:val="single" w:sz="8" w:color="0000FF"/>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8"/>
              </w:rPr>
              <w:t>— OTHER INFORMATION</w:t>
            </w:r>
          </w:p>
        </w:tc>
        <w:tc>
          <w:tcPr>
            <w:tcW w:w="540" w:type="dxa"/>
            <w:vAlign w:val="bottom"/>
            <w:tcBorders>
              <w:top w:val="single" w:sz="8" w:color="0000FF"/>
            </w:tcBorders>
            <w:gridSpan w:val="3"/>
          </w:tcPr>
          <w:p>
            <w:pPr>
              <w:spacing w:after="0"/>
              <w:rPr>
                <w:sz w:val="18"/>
                <w:szCs w:val="18"/>
                <w:color w:val="auto"/>
              </w:rPr>
            </w:pPr>
          </w:p>
        </w:tc>
        <w:tc>
          <w:tcPr>
            <w:tcW w:w="6420" w:type="dxa"/>
            <w:vAlign w:val="bottom"/>
            <w:gridSpan w:val="7"/>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rPr>
              <w:t>ITEM 6</w:t>
            </w:r>
          </w:p>
        </w:tc>
        <w:tc>
          <w:tcPr>
            <w:tcW w:w="91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 EXHIBITS</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1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500" w:type="dxa"/>
            <w:vAlign w:val="bottom"/>
            <w:tcBorders>
              <w:top w:val="single" w:sz="8" w:color="0000FF"/>
            </w:tcBorders>
          </w:tcPr>
          <w:p>
            <w:pPr>
              <w:spacing w:after="0"/>
              <w:rPr>
                <w:sz w:val="18"/>
                <w:szCs w:val="18"/>
                <w:color w:val="auto"/>
              </w:rPr>
            </w:pPr>
          </w:p>
        </w:tc>
        <w:tc>
          <w:tcPr>
            <w:tcW w:w="8040" w:type="dxa"/>
            <w:vAlign w:val="bottom"/>
            <w:gridSpan w:val="15"/>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211"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This Quarterly Report on Form 10-Q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 of the Company’s Annual Report on Form 10-K for the year ended December 31, 2021, as well as the following:</w:t>
      </w:r>
    </w:p>
    <w:p>
      <w:pPr>
        <w:spacing w:after="0" w:line="8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and grow its quarterly distributions;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COVID-19 (including any variant of the virus) or any other pandemic;</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the Company's relationships with GIP and CEG, and following the expected closing of TotalEnergies’ acquisition of 50% of GIP’s interest in CEG, TotalEnergies;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identify, evaluate and consummate acquisitions from, and dispositions to, third parties;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acquire assets from GIP or CEG;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raise additional capital due to its indebtedness, corporate structure, market conditions or otherwise;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judicial decisions;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and ability of counterparties to the Company’s offtake agreements to fulfill their obligations under such agreements;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enter into contracts to sell power and procure fuel on acceptable terms and prices as current offtake agreements expire;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compliance with regulatory requirements and changes in market rules, rates, tariffs and environmental laws;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858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GLOSSARY OF TERMS</w:t>
            </w:r>
          </w:p>
        </w:tc>
      </w:tr>
      <w:tr>
        <w:trPr>
          <w:trHeight w:val="378"/>
        </w:trPr>
        <w:tc>
          <w:tcPr>
            <w:tcW w:w="11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When the following terms and abbreviations appear in the text of this report, they have the meanings indicated below:</w:t>
            </w:r>
          </w:p>
        </w:tc>
      </w:tr>
      <w:tr>
        <w:trPr>
          <w:trHeight w:val="202"/>
        </w:trPr>
        <w:tc>
          <w:tcPr>
            <w:tcW w:w="26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2025 Senior Notes</w:t>
            </w:r>
          </w:p>
        </w:tc>
        <w:tc>
          <w:tcPr>
            <w:tcW w:w="858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$600 million aggregate principal amount of 5.750% unsecured senior notes due 2025, issued by Clearway Energy</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LLC, which were repurchased and redeemed in March 2021</w:t>
            </w:r>
          </w:p>
        </w:tc>
      </w:tr>
      <w:tr>
        <w:trPr>
          <w:trHeight w:val="184"/>
        </w:trPr>
        <w:tc>
          <w:tcPr>
            <w:tcW w:w="2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2028 Senior Notes</w:t>
            </w: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$850 million aggregate principal amount of 4.750% unsecured senior notes due 2028, issued by Clearway Energy</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LLC</w:t>
            </w:r>
          </w:p>
        </w:tc>
      </w:tr>
      <w:tr>
        <w:trPr>
          <w:trHeight w:val="184"/>
        </w:trPr>
        <w:tc>
          <w:tcPr>
            <w:tcW w:w="2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2031 Senior Notes</w:t>
            </w: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$925 million aggregate principal amount of 3.750% unsecured senior notes due 2031, issued by Clearway Energy</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LLC</w:t>
            </w:r>
          </w:p>
        </w:tc>
      </w:tr>
      <w:tr>
        <w:trPr>
          <w:trHeight w:val="184"/>
        </w:trPr>
        <w:tc>
          <w:tcPr>
            <w:tcW w:w="2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2032 Senior Notes</w:t>
            </w: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$350 million aggregate principal amount of 3.750% unsecured senior notes due 2032, issued by Clearway Energy</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LLC</w:t>
            </w:r>
          </w:p>
        </w:tc>
      </w:tr>
      <w:tr>
        <w:trPr>
          <w:trHeight w:val="22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non-GAAP measure, represents earnings before interest (including loss on debt extinguishment), tax,</w:t>
            </w:r>
          </w:p>
        </w:tc>
      </w:tr>
      <w:tr>
        <w:trPr>
          <w:trHeight w:val="216"/>
        </w:trPr>
        <w:tc>
          <w:tcPr>
            <w:tcW w:w="2660" w:type="dxa"/>
            <w:vAlign w:val="bottom"/>
          </w:tcPr>
          <w:p>
            <w:pPr>
              <w:spacing w:after="0"/>
              <w:rPr>
                <w:sz w:val="18"/>
                <w:szCs w:val="18"/>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adjusted for mark-to-market gains or losses, asset write offs and impairments; and</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factors which the Company does not consider indicative of future operating performance</w:t>
            </w:r>
          </w:p>
        </w:tc>
      </w:tr>
      <w:tr>
        <w:trPr>
          <w:trHeight w:val="189"/>
        </w:trPr>
        <w:tc>
          <w:tcPr>
            <w:tcW w:w="26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ASC</w:t>
            </w:r>
          </w:p>
        </w:tc>
        <w:tc>
          <w:tcPr>
            <w:tcW w:w="85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The FASB Accounting Standards Codification, which the FASB established as the source of</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authoritative GAAP</w:t>
            </w:r>
          </w:p>
        </w:tc>
      </w:tr>
      <w:tr>
        <w:trPr>
          <w:trHeight w:val="23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Accounting Standards Updates - updates to the ASC</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ATM Programs</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At-The-Market Equity Offering Programs</w:t>
            </w:r>
          </w:p>
        </w:tc>
      </w:tr>
      <w:tr>
        <w:trPr>
          <w:trHeight w:val="180"/>
        </w:trPr>
        <w:tc>
          <w:tcPr>
            <w:tcW w:w="2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Bridge Loan Agreement</w:t>
            </w: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Senior secured bridge credit agreement entered into by Clearway Energy Operating LLC that provided a term loan</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facility in an aggregate principal amount of $335 million and was repaid on May 3, 2022</w:t>
            </w:r>
          </w:p>
        </w:tc>
      </w:tr>
      <w:tr>
        <w:trPr>
          <w:trHeight w:val="184"/>
        </w:trPr>
        <w:tc>
          <w:tcPr>
            <w:tcW w:w="2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CAFD</w:t>
            </w: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A non-GAAP measure, Cash Available for Distribution is defined as of June 30, 2022 as Adjusted EBITDA plus</w:t>
            </w:r>
          </w:p>
        </w:tc>
      </w:tr>
      <w:tr>
        <w:trPr>
          <w:trHeight w:val="184"/>
        </w:trPr>
        <w:tc>
          <w:tcPr>
            <w:tcW w:w="2660" w:type="dxa"/>
            <w:vAlign w:val="bottom"/>
          </w:tcPr>
          <w:p>
            <w:pPr>
              <w:spacing w:after="0"/>
              <w:rPr>
                <w:sz w:val="16"/>
                <w:szCs w:val="16"/>
                <w:color w:val="auto"/>
              </w:rPr>
            </w:pP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cash distributions/return of investment from unconsolidated affiliates, cash receipts from notes receivable, cash</w:t>
            </w:r>
          </w:p>
        </w:tc>
      </w:tr>
      <w:tr>
        <w:trPr>
          <w:trHeight w:val="180"/>
        </w:trPr>
        <w:tc>
          <w:tcPr>
            <w:tcW w:w="2660" w:type="dxa"/>
            <w:vAlign w:val="bottom"/>
          </w:tcPr>
          <w:p>
            <w:pPr>
              <w:spacing w:after="0"/>
              <w:rPr>
                <w:sz w:val="15"/>
                <w:szCs w:val="15"/>
                <w:color w:val="auto"/>
              </w:rPr>
            </w:pP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distributions from noncontrolling interests, adjustments to reflect sales-type lease cash payments and payments for</w:t>
            </w:r>
          </w:p>
        </w:tc>
      </w:tr>
      <w:tr>
        <w:trPr>
          <w:trHeight w:val="176"/>
        </w:trPr>
        <w:tc>
          <w:tcPr>
            <w:tcW w:w="2660" w:type="dxa"/>
            <w:vAlign w:val="bottom"/>
          </w:tcPr>
          <w:p>
            <w:pPr>
              <w:spacing w:after="0"/>
              <w:rPr>
                <w:sz w:val="15"/>
                <w:szCs w:val="15"/>
                <w:color w:val="auto"/>
              </w:rPr>
            </w:pPr>
          </w:p>
        </w:tc>
        <w:tc>
          <w:tcPr>
            <w:tcW w:w="85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lease expenses, less cash distributions to noncontrolling interests, maintenance capital expenditures, pro-rata</w:t>
            </w:r>
          </w:p>
        </w:tc>
      </w:tr>
      <w:tr>
        <w:trPr>
          <w:trHeight w:val="184"/>
        </w:trPr>
        <w:tc>
          <w:tcPr>
            <w:tcW w:w="2660" w:type="dxa"/>
            <w:vAlign w:val="bottom"/>
          </w:tcPr>
          <w:p>
            <w:pPr>
              <w:spacing w:after="0"/>
              <w:rPr>
                <w:sz w:val="16"/>
                <w:szCs w:val="16"/>
                <w:color w:val="auto"/>
              </w:rPr>
            </w:pP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Adjusted EBITDA from unconsolidated affiliates, cash interest paid, income taxes paid, principal amortization of</w:t>
            </w:r>
          </w:p>
        </w:tc>
      </w:tr>
      <w:tr>
        <w:trPr>
          <w:trHeight w:val="229"/>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indebtedness, changes in prepaid and accrued capacity payments, and adjusted for development expenses</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CEG</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Clearway Energy Group LLC (formerly Zephyr Renewables LLC)</w:t>
            </w:r>
          </w:p>
        </w:tc>
      </w:tr>
      <w:tr>
        <w:trPr>
          <w:trHeight w:val="180"/>
        </w:trPr>
        <w:tc>
          <w:tcPr>
            <w:tcW w:w="2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CEG Master Services Agreement</w:t>
            </w: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Master Services Agreements entered into as of August 31, 2018 between the Company, Clearway Energy, Inc.,</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Clearway Energy Operating LLC and CEG</w:t>
            </w:r>
          </w:p>
        </w:tc>
      </w:tr>
      <w:tr>
        <w:trPr>
          <w:trHeight w:val="184"/>
        </w:trPr>
        <w:tc>
          <w:tcPr>
            <w:tcW w:w="2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Clearway Energy Group LLC</w:t>
            </w: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The holder of all of Clearway Energy, Inc.’s Class B and Class D common shares, the Company’s Class B and</w:t>
            </w:r>
          </w:p>
        </w:tc>
      </w:tr>
      <w:tr>
        <w:trPr>
          <w:trHeight w:val="184"/>
        </w:trPr>
        <w:tc>
          <w:tcPr>
            <w:tcW w:w="2660" w:type="dxa"/>
            <w:vAlign w:val="bottom"/>
          </w:tcPr>
          <w:p>
            <w:pPr>
              <w:spacing w:after="0"/>
              <w:rPr>
                <w:sz w:val="16"/>
                <w:szCs w:val="16"/>
                <w:color w:val="auto"/>
              </w:rPr>
            </w:pP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Class D units and, from time to time, possibly shares of Clearway Energy, Inc.’s Class A and/or Class C common</w:t>
            </w:r>
          </w:p>
        </w:tc>
      </w:tr>
      <w:tr>
        <w:trPr>
          <w:trHeight w:val="229"/>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Clearway Energy Operating LLC</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holder of the project assets that are owned by the Company</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Clearway Energy LLC, together with its consolidated subsidiaries</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CVSR</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California Valley Solar Ranch</w:t>
            </w: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CVSR Holdco</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CVSR Holdco LLC, the indirect owner of CVSR</w:t>
            </w:r>
          </w:p>
        </w:tc>
      </w:tr>
      <w:tr>
        <w:trPr>
          <w:trHeight w:val="180"/>
        </w:trPr>
        <w:tc>
          <w:tcPr>
            <w:tcW w:w="2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Distributed Solar</w:t>
            </w: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Solar power projects, typically less than 20 MW in size (on an alternating current, or AC, basis), that primarily sell</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 produced to customers for usage on site, or are interconnected to sell power into the local distribution grid</w:t>
            </w:r>
          </w:p>
        </w:tc>
      </w:tr>
      <w:tr>
        <w:trPr>
          <w:trHeight w:val="23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Drop Down Assets</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Assets under common control acquired by the Company from CEG</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FWS</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Fish &amp; Wildlife Service</w:t>
            </w: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GenConn</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GenConn Energy LLC</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GIP</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Global Infrastructure Partners</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HLBV</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Hypothetical Liquidation at Book Value</w:t>
            </w: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KKR</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KKR Thor Bidco, LLC, an affiliate of Kohlberg Kravis Roberts &amp; Co. L.P.</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LIBOR</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London Inter-Bank Offered Rate</w:t>
            </w: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Mesquite Star</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Mesquite Star Special LLC</w:t>
            </w:r>
          </w:p>
        </w:tc>
      </w:tr>
      <w:tr>
        <w:trPr>
          <w:trHeight w:val="864"/>
        </w:trPr>
        <w:tc>
          <w:tcPr>
            <w:tcW w:w="2660" w:type="dxa"/>
            <w:vAlign w:val="bottom"/>
          </w:tcPr>
          <w:p>
            <w:pPr>
              <w:spacing w:after="0"/>
              <w:rPr>
                <w:sz w:val="24"/>
                <w:szCs w:val="24"/>
                <w:color w:val="auto"/>
              </w:rPr>
            </w:pPr>
          </w:p>
        </w:tc>
        <w:tc>
          <w:tcPr>
            <w:tcW w:w="85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4</w:t>
            </w:r>
          </w:p>
        </w:tc>
      </w:tr>
      <w:tr>
        <w:trPr>
          <w:trHeight w:val="115"/>
        </w:trPr>
        <w:tc>
          <w:tcPr>
            <w:tcW w:w="2660" w:type="dxa"/>
            <w:vAlign w:val="bottom"/>
            <w:tcBorders>
              <w:bottom w:val="single" w:sz="8" w:color="9A9A9A"/>
            </w:tcBorders>
          </w:tcPr>
          <w:p>
            <w:pPr>
              <w:spacing w:after="0"/>
              <w:rPr>
                <w:sz w:val="10"/>
                <w:szCs w:val="10"/>
                <w:color w:val="auto"/>
              </w:rPr>
            </w:pPr>
          </w:p>
        </w:tc>
        <w:tc>
          <w:tcPr>
            <w:tcW w:w="8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MMBtu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Million British Thermal Units</w:t>
      </w:r>
    </w:p>
    <w:p>
      <w:pPr>
        <w:spacing w:after="0" w:line="39" w:lineRule="exact"/>
        <w:rPr>
          <w:sz w:val="20"/>
          <w:szCs w:val="20"/>
          <w:color w:val="auto"/>
        </w:rPr>
      </w:pPr>
    </w:p>
    <w:p>
      <w:pPr>
        <w:sectPr>
          <w:pgSz w:w="11900" w:h="16838" w:orient="portrait"/>
          <w:cols w:equalWidth="0" w:num="2">
            <w:col w:w="2160" w:space="720"/>
            <w:col w:w="8320"/>
          </w:cols>
          <w:pgMar w:left="340" w:top="931" w:right="3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Mt. Storm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NedPower Mount Storm LLC</w:t>
      </w:r>
    </w:p>
    <w:p>
      <w:pPr>
        <w:spacing w:after="0" w:line="23"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MW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Megawatt</w:t>
      </w:r>
    </w:p>
    <w:p>
      <w:pPr>
        <w:spacing w:after="0" w:line="23"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MWh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Saleable megawatt hours, net of internal/parasitic load megawatt-hours</w:t>
      </w:r>
    </w:p>
    <w:p>
      <w:pPr>
        <w:spacing w:after="0" w:line="23"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MWt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Megawatts Thermal Equivalent</w:t>
      </w:r>
    </w:p>
    <w:p>
      <w:pPr>
        <w:spacing w:after="0" w:line="34"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Net Exposure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Counterparty credit exposure to Clearway Energy, Inc. net of collateral</w:t>
      </w:r>
    </w:p>
    <w:p>
      <w:pPr>
        <w:spacing w:after="0" w:line="34"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NOLs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Net Operating Losses</w:t>
      </w:r>
    </w:p>
    <w:p>
      <w:pPr>
        <w:spacing w:after="0" w:line="34"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NPNS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Normal Purchases and Normal Sales</w:t>
      </w:r>
    </w:p>
    <w:p>
      <w:pPr>
        <w:spacing w:after="0" w:line="34"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OCI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Other comprehensive income</w:t>
      </w:r>
    </w:p>
    <w:p>
      <w:pPr>
        <w:spacing w:after="0" w:line="34"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OCL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3"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O&amp;M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Operations and Maintenance</w:t>
      </w:r>
    </w:p>
    <w:p>
      <w:pPr>
        <w:spacing w:after="0" w:line="34"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PG&amp;E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Pacific Gas and Electric Company</w:t>
      </w:r>
    </w:p>
    <w:p>
      <w:pPr>
        <w:spacing w:after="0" w:line="34"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Power Purchase Agreement</w:t>
      </w:r>
    </w:p>
    <w:p>
      <w:pPr>
        <w:spacing w:after="0" w:line="23"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RENOM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Clearway Renewable Operation &amp; Maintenance LLC</w:t>
      </w:r>
    </w:p>
    <w:p>
      <w:pPr>
        <w:spacing w:after="0" w:line="34"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Southern California Edison</w:t>
      </w:r>
    </w:p>
    <w:p>
      <w:pPr>
        <w:spacing w:after="0" w:line="23"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U.S. Securities and Exchange Commission</w:t>
      </w:r>
    </w:p>
    <w:p>
      <w:pPr>
        <w:spacing w:after="0" w:line="34"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Senior Notes</w:t>
      </w:r>
    </w:p>
    <w:p>
      <w:pPr>
        <w:spacing w:after="0" w:line="20" w:lineRule="exact"/>
        <w:rPr>
          <w:sz w:val="20"/>
          <w:szCs w:val="20"/>
          <w:color w:val="auto"/>
        </w:rPr>
      </w:pPr>
      <w:r>
        <w:rPr>
          <w:sz w:val="20"/>
          <w:szCs w:val="20"/>
          <w:color w:val="auto"/>
        </w:rPr>
        <w:br w:type="column"/>
      </w:r>
    </w:p>
    <w:p>
      <w:pPr>
        <w:jc w:val="center"/>
        <w:ind w:right="2100"/>
        <w:spacing w:after="0"/>
        <w:rPr>
          <w:sz w:val="20"/>
          <w:szCs w:val="20"/>
          <w:color w:val="auto"/>
        </w:rPr>
      </w:pPr>
      <w:r>
        <w:rPr>
          <w:rFonts w:ascii="Times New Roman" w:cs="Times New Roman" w:eastAsia="Times New Roman" w:hAnsi="Times New Roman"/>
          <w:sz w:val="17"/>
          <w:szCs w:val="17"/>
          <w:color w:val="auto"/>
        </w:rPr>
        <w:t>Collectively, the 2028 Senior Notes, the 2031 Senior Notes and the 2032 Senior Notes</w:t>
      </w:r>
    </w:p>
    <w:p>
      <w:pPr>
        <w:spacing w:after="0" w:line="34"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SOFR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Secured Overnight Financing Rate</w:t>
      </w:r>
    </w:p>
    <w:p>
      <w:pPr>
        <w:spacing w:after="0" w:line="23"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Solar Power Partners</w:t>
      </w:r>
    </w:p>
    <w:p>
      <w:pPr>
        <w:spacing w:after="0" w:line="34"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SREC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Solar Renewable Energy Credit</w:t>
      </w:r>
    </w:p>
    <w:p>
      <w:pPr>
        <w:spacing w:after="0" w:line="34"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Tax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Tax Cuts and Jobs Act of 2017</w:t>
      </w:r>
    </w:p>
    <w:p>
      <w:pPr>
        <w:spacing w:after="0" w:line="34"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Thermal Business</w:t>
      </w:r>
    </w:p>
    <w:p>
      <w:pPr>
        <w:spacing w:after="0" w:line="20" w:lineRule="exact"/>
        <w:rPr>
          <w:sz w:val="20"/>
          <w:szCs w:val="20"/>
          <w:color w:val="auto"/>
        </w:rPr>
      </w:pPr>
      <w:r>
        <w:rPr>
          <w:sz w:val="20"/>
          <w:szCs w:val="20"/>
          <w:color w:val="auto"/>
        </w:rPr>
        <w:br w:type="column"/>
      </w:r>
    </w:p>
    <w:p>
      <w:pPr>
        <w:spacing w:after="0" w:line="234" w:lineRule="auto"/>
        <w:rPr>
          <w:sz w:val="20"/>
          <w:szCs w:val="20"/>
          <w:color w:val="auto"/>
        </w:rPr>
      </w:pPr>
      <w:r>
        <w:rPr>
          <w:rFonts w:ascii="Times New Roman" w:cs="Times New Roman" w:eastAsia="Times New Roman" w:hAnsi="Times New Roman"/>
          <w:sz w:val="18"/>
          <w:szCs w:val="18"/>
          <w:color w:val="auto"/>
        </w:rPr>
        <w:t>The Company’s thermal business, which consists of thermal infrastructure assets that provide steam, hot water and/or chilled water, and in some instances electricity, to commercial businesses, universities, hospitals and</w:t>
      </w:r>
    </w:p>
    <w:p>
      <w:pPr>
        <w:spacing w:after="0" w:line="1"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ind w:left="2880"/>
        <w:spacing w:after="0" w:line="233" w:lineRule="auto"/>
        <w:rPr>
          <w:sz w:val="20"/>
          <w:szCs w:val="20"/>
          <w:color w:val="auto"/>
        </w:rPr>
      </w:pPr>
      <w:r>
        <w:rPr>
          <w:rFonts w:ascii="Times New Roman" w:cs="Times New Roman" w:eastAsia="Times New Roman" w:hAnsi="Times New Roman"/>
          <w:sz w:val="17"/>
          <w:szCs w:val="17"/>
          <w:color w:val="auto"/>
        </w:rPr>
        <w:t>governmental units</w:t>
      </w:r>
    </w:p>
    <w:p>
      <w:pPr>
        <w:sectPr>
          <w:pgSz w:w="11900" w:h="16838" w:orient="portrait"/>
          <w:cols w:equalWidth="0" w:num="1">
            <w:col w:w="11200"/>
          </w:cols>
          <w:pgMar w:left="340" w:top="931" w:right="35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Thermal Disposition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On May 1, 2022, the Company completed the sale of 100% of its interests in the Thermal Business to KKR</w:t>
      </w:r>
    </w:p>
    <w:p>
      <w:pPr>
        <w:spacing w:after="0" w:line="23"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TotalEnergies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TotalEnergies SE</w:t>
      </w:r>
    </w:p>
    <w:p>
      <w:pPr>
        <w:spacing w:after="0" w:line="34"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United States of America</w:t>
      </w:r>
    </w:p>
    <w:p>
      <w:pPr>
        <w:spacing w:after="0" w:line="34"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Utah Solar Portfolio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Seven utility-scale solar farms located in Utah, representing 530 MW of capacity</w:t>
      </w:r>
    </w:p>
    <w:p>
      <w:pPr>
        <w:spacing w:after="0" w:line="23"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Utility Scale Solar</w:t>
      </w:r>
    </w:p>
    <w:p>
      <w:pPr>
        <w:spacing w:after="0" w:line="20" w:lineRule="exact"/>
        <w:rPr>
          <w:sz w:val="20"/>
          <w:szCs w:val="20"/>
          <w:color w:val="auto"/>
        </w:rPr>
      </w:pPr>
      <w:r>
        <w:rPr>
          <w:sz w:val="20"/>
          <w:szCs w:val="20"/>
          <w:color w:val="auto"/>
        </w:rPr>
        <w:br w:type="column"/>
      </w:r>
    </w:p>
    <w:p>
      <w:pPr>
        <w:spacing w:after="0" w:line="234" w:lineRule="auto"/>
        <w:rPr>
          <w:sz w:val="20"/>
          <w:szCs w:val="20"/>
          <w:color w:val="auto"/>
        </w:rPr>
      </w:pPr>
      <w:r>
        <w:rPr>
          <w:rFonts w:ascii="Times New Roman" w:cs="Times New Roman" w:eastAsia="Times New Roman" w:hAnsi="Times New Roman"/>
          <w:sz w:val="18"/>
          <w:szCs w:val="18"/>
          <w:color w:val="auto"/>
        </w:rPr>
        <w:t>Solar power projects, typically 20 MW or greater in size (on an alternating current, or AC, basis), that are interconnected into the transmission or distribution grid to sell power at a wholesale level</w:t>
      </w:r>
    </w:p>
    <w:p>
      <w:pPr>
        <w:spacing w:after="0" w:line="10"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Value at Risk</w:t>
      </w:r>
    </w:p>
    <w:p>
      <w:pPr>
        <w:spacing w:after="0" w:line="39"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Variable Interest Entity</w:t>
      </w:r>
    </w:p>
    <w:p>
      <w:pPr>
        <w:spacing w:after="0" w:line="211" w:lineRule="exact"/>
        <w:rPr>
          <w:sz w:val="20"/>
          <w:szCs w:val="20"/>
          <w:color w:val="auto"/>
        </w:rPr>
      </w:pPr>
    </w:p>
    <w:p>
      <w:pPr>
        <w:sectPr>
          <w:pgSz w:w="11900" w:h="16838" w:orient="portrait"/>
          <w:cols w:equalWidth="0" w:num="2">
            <w:col w:w="2160" w:space="720"/>
            <w:col w:w="8320"/>
          </w:cols>
          <w:pgMar w:left="340" w:top="93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31" w:right="35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474747"/>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74747"/>
              </w:rPr>
              <w:t>368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3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 accretion shown</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separately below</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474747"/>
              </w:rPr>
              <w:t>112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74747"/>
              </w:rPr>
              <w:t>126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474747"/>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74747"/>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Development costs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74747"/>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74747"/>
              </w:rPr>
              <w:t>251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29"/>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474747"/>
              </w:rPr>
              <w:t>1,291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74747"/>
              </w:rPr>
              <w:t>1,408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74747"/>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474747"/>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474747"/>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74747"/>
              </w:rPr>
              <w:t>(47)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74747"/>
              </w:rPr>
              <w:t>(32)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474747"/>
              </w:rPr>
              <w:t>1,376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75"/>
        </w:trPr>
        <w:tc>
          <w:tcPr>
            <w:tcW w:w="63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Loss attributable to noncontrolling interests and redeemable noncontrolling</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interests</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74747"/>
              </w:rPr>
              <w:t>(6)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Clearway Energy LLC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2060" w:type="dxa"/>
            <w:vAlign w:val="bottom"/>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on derivatives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313"/>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center"/>
              <w:ind w:left="433"/>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75"/>
        </w:trPr>
        <w:tc>
          <w:tcPr>
            <w:tcW w:w="66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Less: Comprehensive loss attributable to noncontrolling interests and redeemable</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left="393"/>
              <w:spacing w:after="0"/>
              <w:rPr>
                <w:sz w:val="20"/>
                <w:szCs w:val="20"/>
                <w:color w:val="auto"/>
              </w:rPr>
            </w:pPr>
            <w:r>
              <w:rPr>
                <w:rFonts w:ascii="Times New Roman" w:cs="Times New Roman" w:eastAsia="Times New Roman" w:hAnsi="Times New Roman"/>
                <w:sz w:val="18"/>
                <w:szCs w:val="18"/>
                <w:color w:val="auto"/>
                <w:w w:val="99"/>
              </w:rPr>
              <w:t>(38)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Clearway Energy LLC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w w:val="99"/>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Pr>
          <w:p>
            <w:pPr>
              <w:spacing w:after="0"/>
              <w:rPr>
                <w:sz w:val="16"/>
                <w:szCs w:val="16"/>
                <w:color w:val="auto"/>
              </w:rPr>
            </w:pPr>
          </w:p>
        </w:tc>
        <w:tc>
          <w:tcPr>
            <w:tcW w:w="162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440" w:type="dxa"/>
            <w:vAlign w:val="bottom"/>
            <w:vMerge w:val="restart"/>
          </w:tcPr>
          <w:p>
            <w:pPr>
              <w:ind w:left="34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440" w:type="dxa"/>
            <w:vAlign w:val="bottom"/>
            <w:tcBorders>
              <w:bottom w:val="single" w:sz="8" w:color="CCEEFF"/>
            </w:tcBorders>
            <w:vMerge w:val="continue"/>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 trade</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 affiliates</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Inventory</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Derivative instruments</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assets held-for-sale</w:t>
            </w:r>
          </w:p>
        </w:tc>
        <w:tc>
          <w:tcPr>
            <w:tcW w:w="3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0" w:type="dxa"/>
            <w:vAlign w:val="bottom"/>
          </w:tcPr>
          <w:p>
            <w:pPr>
              <w:spacing w:after="0"/>
              <w:rPr>
                <w:sz w:val="1"/>
                <w:szCs w:val="1"/>
                <w:color w:val="auto"/>
              </w:rPr>
            </w:pP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3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for power purchase agreements, net</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Derivative instruments</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Right-of-use assets, net</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non-current assets</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40" w:type="dxa"/>
            <w:vAlign w:val="bottom"/>
            <w:shd w:val="clear" w:color="auto" w:fill="CCEEFF"/>
          </w:tcPr>
          <w:p>
            <w:pPr>
              <w:ind w:left="2220"/>
              <w:spacing w:after="0"/>
              <w:rPr>
                <w:sz w:val="20"/>
                <w:szCs w:val="20"/>
                <w:color w:val="auto"/>
              </w:rPr>
            </w:pPr>
            <w:r>
              <w:rPr>
                <w:rFonts w:ascii="Times New Roman" w:cs="Times New Roman" w:eastAsia="Times New Roman" w:hAnsi="Times New Roman"/>
                <w:sz w:val="16"/>
                <w:szCs w:val="16"/>
                <w:b w:val="1"/>
                <w:bCs w:val="1"/>
                <w:color w:val="auto"/>
              </w:rPr>
              <w:t>LIABILITIES AND MEMBERS’ EQUITY</w:t>
            </w:r>
          </w:p>
        </w:tc>
        <w:tc>
          <w:tcPr>
            <w:tcW w:w="3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 — external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 — affiliate</w:t>
            </w:r>
          </w:p>
        </w:tc>
        <w:tc>
          <w:tcPr>
            <w:tcW w:w="3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 — trade</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 affiliates</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Derivative instruments</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 expense</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liabilities held-for-sale</w:t>
            </w:r>
          </w:p>
        </w:tc>
        <w:tc>
          <w:tcPr>
            <w:tcW w:w="3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19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Long-term debt — external</w:t>
            </w:r>
          </w:p>
        </w:tc>
        <w:tc>
          <w:tcPr>
            <w:tcW w:w="3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Derivative instruments</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0"/>
        </w:trPr>
        <w:tc>
          <w:tcPr>
            <w:tcW w:w="7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liabilities</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9,501</w:t>
            </w:r>
          </w:p>
        </w:tc>
        <w:tc>
          <w:tcPr>
            <w:tcW w:w="0" w:type="dxa"/>
            <w:vAlign w:val="bottom"/>
          </w:tcPr>
          <w:p>
            <w:pPr>
              <w:spacing w:after="0"/>
              <w:rPr>
                <w:sz w:val="1"/>
                <w:szCs w:val="1"/>
                <w:color w:val="auto"/>
              </w:rPr>
            </w:pPr>
          </w:p>
        </w:tc>
      </w:tr>
      <w:tr>
        <w:trPr>
          <w:trHeight w:val="223"/>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Redeemable noncontrolling interest in subsidiaries</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Members’ Equity</w:t>
            </w: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Contributed capital</w:t>
            </w:r>
          </w:p>
        </w:tc>
        <w:tc>
          <w:tcPr>
            <w:tcW w:w="3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229"/>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Noncontrolling interest</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Members’ Equity</w:t>
            </w: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Members’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financing costs and debt discounts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business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Reduction in carrying amount of right-of-use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derivative instruments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used in changes in other working capital: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prepaid and accrued liabilities for tolling agreements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other working capital</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0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Drop Down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 purchase from affiliate</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Return of investment from unconsolidated affiliates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receipts from notes receivable</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business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0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 from noncontrolling interests, net of distributions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contributions from CEG</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of distributions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CEG of escrowed amounts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revolving credit facility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for the revolving credit facility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issuance of long-term debt — external</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for short-term and long-term debt — external</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for long-term debt — affiliate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MEMBERS' EQUITY</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2022</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Contributed</w:t>
            </w: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198"/>
        </w:trPr>
        <w:tc>
          <w:tcPr>
            <w:tcW w:w="5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0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7"/>
                <w:szCs w:val="17"/>
                <w:color w:val="auto"/>
              </w:rPr>
            </w:pPr>
          </w:p>
        </w:tc>
        <w:tc>
          <w:tcPr>
            <w:tcW w:w="8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5"/>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Unrealized gain on derivatives</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Distributions to CEG, net of contributions, cash</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Contributions from noncontrolling interests, net of distributions, cash</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Mesquite Sky Drop Down</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Black Rock Drop Down</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Mililani I Drop Down</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 paid to Clearway Energy, Inc.</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Distributions paid to CEG Class B and Class D unit holders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2"/>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w:t>
            </w:r>
          </w:p>
        </w:tc>
        <w:tc>
          <w:tcPr>
            <w:tcW w:w="0" w:type="dxa"/>
            <w:vAlign w:val="bottom"/>
          </w:tcPr>
          <w:p>
            <w:pPr>
              <w:spacing w:after="0"/>
              <w:rPr>
                <w:sz w:val="1"/>
                <w:szCs w:val="1"/>
                <w:color w:val="auto"/>
              </w:rPr>
            </w:pPr>
          </w:p>
        </w:tc>
      </w:tr>
      <w:tr>
        <w:trPr>
          <w:trHeight w:val="213"/>
        </w:trPr>
        <w:tc>
          <w:tcPr>
            <w:tcW w:w="5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Unrealized gain on derivatives</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5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Contributions from (distributions to) CEG, cash</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Distributions to noncontrolling interests, net of contributions, cash</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5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Distributions paid to Clearway Energy, Inc.</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Distributions paid to CEG Class B and Class D unit holders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1,342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4,329</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87"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MEMBERS' EQUITY</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2021</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Contributed</w:t>
            </w:r>
          </w:p>
        </w:tc>
        <w:tc>
          <w:tcPr>
            <w:tcW w:w="12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198"/>
        </w:trPr>
        <w:tc>
          <w:tcPr>
            <w:tcW w:w="5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7"/>
                <w:szCs w:val="17"/>
                <w:color w:val="auto"/>
              </w:rPr>
            </w:pPr>
          </w:p>
        </w:tc>
        <w:tc>
          <w:tcPr>
            <w:tcW w:w="8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4"/>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w:t>
            </w:r>
          </w:p>
        </w:tc>
        <w:tc>
          <w:tcPr>
            <w:tcW w:w="0" w:type="dxa"/>
            <w:vAlign w:val="bottom"/>
          </w:tcPr>
          <w:p>
            <w:pPr>
              <w:spacing w:after="0"/>
              <w:rPr>
                <w:sz w:val="1"/>
                <w:szCs w:val="1"/>
                <w:color w:val="auto"/>
              </w:rPr>
            </w:pPr>
          </w:p>
        </w:tc>
      </w:tr>
      <w:tr>
        <w:trPr>
          <w:trHeight w:val="21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Unrealized gain on derivatives</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(Distributions to) contributions from CEG, non-cash</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Contributions from CEG, cash</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Contributions from noncontrolling interests, net of distributions, cash</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Agua Caliente acquisition</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1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Rattlesnake Drop Down</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 paid to Clearway Energy, Inc.</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Distributions paid to CEG Class B and Class D unit holders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2"/>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w:t>
            </w:r>
          </w:p>
        </w:tc>
        <w:tc>
          <w:tcPr>
            <w:tcW w:w="0" w:type="dxa"/>
            <w:vAlign w:val="bottom"/>
          </w:tcPr>
          <w:p>
            <w:pPr>
              <w:spacing w:after="0"/>
              <w:rPr>
                <w:sz w:val="1"/>
                <w:szCs w:val="1"/>
                <w:color w:val="auto"/>
              </w:rPr>
            </w:pPr>
          </w:p>
        </w:tc>
      </w:tr>
      <w:tr>
        <w:trPr>
          <w:trHeight w:val="213"/>
        </w:trPr>
        <w:tc>
          <w:tcPr>
            <w:tcW w:w="5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Unrealized gain (loss) on derivatives</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Contributions from CEG, non-cash</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Contributions from noncontrolling interests, net of distributions, cash</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Rattlesnake Drop Down</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 paid to Clearway Energy, Inc.</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Distributions paid to CEG Class B and Class D unit holders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37"/>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8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w:t>
      </w:r>
      <w:r>
        <w:rPr>
          <w:rFonts w:ascii="Times New Roman" w:cs="Times New Roman" w:eastAsia="Times New Roman" w:hAnsi="Times New Roman"/>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Clearway Energy LLC, together with its consolidated subsidiaries, or the Company, is an energy infrastructure investor in and owner of modern, sustainable and long-term contracted assets across North America. The Company is indirectly owned by Global Infrastructure Partners, or GIP. GIP is an independent infrastructure fund manager that makes equity and debt investments in infrastructure assets and businesses. The Company is sponsored by GIP through GIP’s portfolio company, Clearway Energy Group LLC, or CEG. On May 25, 2022, TotalEnergies entered into an agreement to acquire 50% of GIP’s interest in CEG. The closing of the transaction is subject to customary conditions, including regulatory approvals, and is expected to close in the second half of 2022.</w:t>
      </w:r>
    </w:p>
    <w:p>
      <w:pPr>
        <w:spacing w:after="0" w:line="13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is one of the largest renewable energy owners in the U.S. with over 5,000 net MW of installed wind and solar generation projects. The Company’s over 7,500 net MW of assets also includes approximately 2,500 net MW of environmentally-sound, highly efficient natural gas-fired generation facilities. Through this environmentally-sound, diversified and primarily contracted portfolio, the Company endeavors to increase distributions to its unit holders. Substantially all of the Company’s generation assets are under long-term contractual arrangements for the output or capacity from these assets.</w:t>
      </w:r>
    </w:p>
    <w:p>
      <w:pPr>
        <w:spacing w:after="0" w:line="12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 xml:space="preserve">On May 1, 2022, the Company completed the sale of 100% of its interests in the Thermal Business to KKR. For further details of the Thermal Disposition, refer to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Clearway Energy, Inc. consolidates the results of the Company through its controlling interest, with CEG’s interest shown as contributed capital in the Company’s consolidated financial statements. The holders of Clearway Energy, Inc.’s outstanding shares of Class A and Class C common stock are entitled to dividends as declared. CEG receives its distributions from the Company through its ownership of the Company’s Class B and Class D units.</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Clearway Energy, Inc. owned 57.74% of the economic interests of the Company, with CEG owning 42.26% of the economic interests of the Company as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ind w:left="420"/>
        <w:spacing w:after="0"/>
        <w:rPr>
          <w:sz w:val="20"/>
          <w:szCs w:val="20"/>
          <w:color w:val="auto"/>
        </w:rPr>
      </w:pPr>
      <w:r>
        <w:rPr>
          <w:rFonts w:ascii="Times New Roman" w:cs="Times New Roman" w:eastAsia="Times New Roman" w:hAnsi="Times New Roman"/>
          <w:sz w:val="18"/>
          <w:szCs w:val="18"/>
          <w:color w:val="auto"/>
        </w:rPr>
        <w:t>The following table represents the structure of the Company as of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863590" cy="43973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63590"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2021 Form 10-K. Interim results are not necessarily indicative of results for a full year.</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June 30, 2022, and results of operations, comprehensive income and cash flows for the three and six months ended June 30, 2022 and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highly liquid investments with an original maturity of three months or less at the time of purchase. Cash and cash equivalents held at project subsidiaries was $135 million and $146 million as of June 30, 2022 and December 31, 2021, respectively.</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1"/>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gridSpan w:val="4"/>
          </w:tcPr>
          <w:p>
            <w:pPr>
              <w:jc w:val="right"/>
              <w:ind w:right="141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31"/>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48"/>
        </w:trPr>
        <w:tc>
          <w:tcPr>
            <w:tcW w:w="74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cash equivalents and restricted cash shown in the consolidated statements of cash flows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Restricted cash consists primarily of funds held to satisfy the requirements of certain debt agreements and funds held within the Company’s projects that are restricted in their use. As of June 30, 2022, these restricted funds were comprised of $143 million designated to fund operating expenses, $42 million designated for current debt service payments and $122 million restricted for reserves including debt service, performance obligations and other reserves as well as capital expenditures. The remaining $26 million is held in distributions reserve accounts.</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2020, the members of the partnerships holding the Oahu Solar and Kawailoa Solar projects submitted applications to the state of Hawaii for refundable tax credits based on the cost of construction of the projects. In 2021, the members of the partnerships contributed their respective portions of the tax credits in the amount of $49 million to the Oahu Solar and Kawailoa project companies, which was recorded to restricted cash on the Company’s consolidated balance sheet with an offsetting adjustment to noncontrolling interests. In accordance with the projects’ related agreements, the cash is held in a restricted account and utilized to offset invoiced amounts under the projects’ PPAs. As of June 30, 2022, $30 million of the $49 million has been utilized to offset invoiced amounts under the projects’ PPAs.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Depreciation and Accumulated Amortization</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accumulated depreciation included in property, plant and equipment, net, and accumulated amortization included in intangible assets, net as of June 30, 2022 and December 31, 2021: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1"/>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gridSpan w:val="3"/>
          </w:tcPr>
          <w:p>
            <w:pPr>
              <w:jc w:val="right"/>
              <w:ind w:right="1413"/>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3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Accumulated Depreciation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2,745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Accumulated Amortization</w:t>
            </w:r>
          </w:p>
        </w:tc>
        <w:tc>
          <w:tcPr>
            <w:tcW w:w="300" w:type="dxa"/>
            <w:vAlign w:val="bottom"/>
          </w:tcPr>
          <w:p>
            <w:pPr>
              <w:spacing w:after="0"/>
              <w:rPr>
                <w:sz w:val="20"/>
                <w:szCs w:val="20"/>
                <w:color w:val="auto"/>
              </w:rPr>
            </w:pPr>
          </w:p>
        </w:tc>
        <w:tc>
          <w:tcPr>
            <w:tcW w:w="16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687</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distributions paid on the Company's Class A, B, C and D units during the six months ended June 30, 2022:</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Second Quarter 2022</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 2022</w:t>
            </w:r>
          </w:p>
        </w:tc>
      </w:tr>
      <w:tr>
        <w:trPr>
          <w:trHeight w:val="23"/>
        </w:trPr>
        <w:tc>
          <w:tcPr>
            <w:tcW w:w="84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per Class A, B, C and D unit</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0.3468</w:t>
            </w:r>
          </w:p>
        </w:tc>
      </w:tr>
    </w:tbl>
    <w:p>
      <w:pPr>
        <w:spacing w:after="0" w:line="23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August 1, 2022, the Company declared a distribution on its Class A, Class B, Class C and Class D units of $0.3604 per unit payable on September 15, 2022 to unit holders of record as of September 1, 2022.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17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To the extent that a third party has the right to redeem their interests for cash or other assets, the Company has included the noncontrolling interest attributable to the third party as a component of temporary equity in the mezzanine section of the consolidated balance sheet. The following table reflects the changes in the Company’s redeemable noncontrolling interest balance for the six months ended June 30, 2022:</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7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9"/>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distributions to redeemable noncontrolling interests</w:t>
            </w:r>
          </w:p>
        </w:tc>
        <w:tc>
          <w:tcPr>
            <w:tcW w:w="4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Comprehensive income attributable to redeemable noncontrolling interests</w:t>
            </w:r>
          </w:p>
        </w:tc>
        <w:tc>
          <w:tcPr>
            <w:tcW w:w="4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w:t>
      </w:r>
    </w:p>
    <w:p>
      <w:pPr>
        <w:spacing w:after="0" w:line="17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applies the guidance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or 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Power Purchase Agreements, or PPAs</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The majority of the Company’s revenues are obtained through PPAs or similar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operating leases as the Company retained its historical lease assessments and classification upon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ASC 842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 Certain of these leases have no minimum lease payments and all of the rental income under these leases is recorded as contingent rent on an actual basis when the electricity is delivered.</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Renewable Energy Credits, or RECs</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Renewable energy credits, or RECs, are usually sold through long-term PPAs or through REC contracts with counterparties. Revenue from the sale of self-generated RECs is recognized when the related energy is generated and simultaneously delivered even in cases where there is a certification lag as it has been deemed to be perfunctory.</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Thermal Revenues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consolidated statements of income.</w:t>
      </w:r>
    </w:p>
    <w:p>
      <w:pPr>
        <w:spacing w:after="0" w:line="1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 xml:space="preserve">On May 1, 2022, the Company completed the sale of 100% of its interests in the Thermal Business to KKR. For further details of the Thermal Disposition, refer to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173"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Company’s disaggregation of revenue from contracts with customers along with the reportable segment for each category for the three and six months ended June 30, 2022 and 2021, respectively:</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1"/>
                <w:szCs w:val="11"/>
                <w:color w:val="auto"/>
              </w:rPr>
            </w:pPr>
          </w:p>
        </w:tc>
        <w:tc>
          <w:tcPr>
            <w:tcW w:w="136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240" w:type="dxa"/>
            <w:vAlign w:val="bottom"/>
          </w:tcPr>
          <w:p>
            <w:pPr>
              <w:spacing w:after="0"/>
              <w:rPr>
                <w:sz w:val="11"/>
                <w:szCs w:val="11"/>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10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333333"/>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333333"/>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306</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333333"/>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amortization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27</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Lease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(268)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40" w:hanging="151"/>
        <w:spacing w:after="0"/>
        <w:tabs>
          <w:tab w:leader="none" w:pos="24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following amounts of energy and capacity revenue relate to leases and are accounted for under ASC 842:</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80" w:type="dxa"/>
            <w:vAlign w:val="bottom"/>
          </w:tcPr>
          <w:p>
            <w:pPr>
              <w:spacing w:after="0"/>
              <w:rPr>
                <w:sz w:val="13"/>
                <w:szCs w:val="13"/>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5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5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146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760" w:type="dxa"/>
            <w:vAlign w:val="bottom"/>
            <w:tcBorders>
              <w:bottom w:val="single" w:sz="8" w:color="auto"/>
            </w:tcBorders>
            <w:vMerge w:val="continue"/>
          </w:tcPr>
          <w:p>
            <w:pPr>
              <w:spacing w:after="0"/>
              <w:rPr>
                <w:sz w:val="12"/>
                <w:szCs w:val="12"/>
                <w:color w:val="auto"/>
              </w:rPr>
            </w:pPr>
          </w:p>
        </w:tc>
        <w:tc>
          <w:tcPr>
            <w:tcW w:w="4280" w:type="dxa"/>
            <w:vAlign w:val="bottom"/>
          </w:tcPr>
          <w:p>
            <w:pPr>
              <w:spacing w:after="0"/>
              <w:rPr>
                <w:sz w:val="12"/>
                <w:szCs w:val="12"/>
                <w:color w:val="auto"/>
              </w:rPr>
            </w:pPr>
          </w:p>
        </w:tc>
        <w:tc>
          <w:tcPr>
            <w:tcW w:w="158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158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9"/>
                <w:szCs w:val="19"/>
                <w:color w:val="auto"/>
              </w:rPr>
            </w:pPr>
          </w:p>
        </w:tc>
        <w:tc>
          <w:tcPr>
            <w:tcW w:w="1100" w:type="dxa"/>
            <w:vAlign w:val="bottom"/>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1"/>
                <w:szCs w:val="11"/>
                <w:color w:val="auto"/>
              </w:rPr>
            </w:pPr>
          </w:p>
        </w:tc>
        <w:tc>
          <w:tcPr>
            <w:tcW w:w="136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240" w:type="dxa"/>
            <w:vAlign w:val="bottom"/>
          </w:tcPr>
          <w:p>
            <w:pPr>
              <w:spacing w:after="0"/>
              <w:rPr>
                <w:sz w:val="11"/>
                <w:szCs w:val="11"/>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10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0" w:type="dxa"/>
            <w:vAlign w:val="bottom"/>
            <w:shd w:val="clear" w:color="auto" w:fill="CCEEFF"/>
          </w:tcPr>
          <w:p>
            <w:pPr>
              <w:spacing w:after="0"/>
              <w:rPr>
                <w:sz w:val="24"/>
                <w:szCs w:val="24"/>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333333"/>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333333"/>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261</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333333"/>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33333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292</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113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1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128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amortization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Lease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(343)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30</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40" w:hanging="151"/>
        <w:spacing w:after="0"/>
        <w:tabs>
          <w:tab w:leader="none" w:pos="24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following amounts of energy and capacity revenue relate to leases and are accounted for under ASC 842:</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24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280" w:type="dxa"/>
            <w:vAlign w:val="bottom"/>
          </w:tcPr>
          <w:p>
            <w:pPr>
              <w:spacing w:after="0"/>
              <w:rPr>
                <w:sz w:val="13"/>
                <w:szCs w:val="13"/>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40" w:type="dxa"/>
            <w:vAlign w:val="bottom"/>
          </w:tcPr>
          <w:p>
            <w:pPr>
              <w:spacing w:after="0"/>
              <w:rPr>
                <w:sz w:val="13"/>
                <w:szCs w:val="13"/>
                <w:color w:val="auto"/>
              </w:rPr>
            </w:pPr>
          </w:p>
        </w:tc>
        <w:tc>
          <w:tcPr>
            <w:tcW w:w="112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1"/>
                <w:szCs w:val="11"/>
                <w:color w:val="auto"/>
              </w:rPr>
            </w:pPr>
          </w:p>
        </w:tc>
        <w:tc>
          <w:tcPr>
            <w:tcW w:w="136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240" w:type="dxa"/>
            <w:vAlign w:val="bottom"/>
          </w:tcPr>
          <w:p>
            <w:pPr>
              <w:spacing w:after="0"/>
              <w:rPr>
                <w:sz w:val="11"/>
                <w:szCs w:val="11"/>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10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333333"/>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333333"/>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501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333333"/>
                <w:w w:val="88"/>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333333"/>
              </w:rPr>
              <w:t>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amortization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(71)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333333"/>
              </w:rPr>
              <w:t>—</w:t>
            </w:r>
          </w:p>
        </w:tc>
        <w:tc>
          <w:tcPr>
            <w:tcW w:w="100" w:type="dxa"/>
            <w:vAlign w:val="bottom"/>
            <w:shd w:val="clear" w:color="auto" w:fill="BFE4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41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333333"/>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211</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294</w:t>
            </w:r>
          </w:p>
        </w:tc>
        <w:tc>
          <w:tcPr>
            <w:tcW w:w="1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242424"/>
              </w:rPr>
              <w:t>77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Lease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40" w:hanging="151"/>
        <w:spacing w:after="0"/>
        <w:tabs>
          <w:tab w:leader="none" w:pos="24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following amounts of energy and capacity revenue relate to leases and are accounted for under ASC 842:</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80" w:type="dxa"/>
            <w:vAlign w:val="bottom"/>
          </w:tcPr>
          <w:p>
            <w:pPr>
              <w:spacing w:after="0"/>
              <w:rPr>
                <w:sz w:val="13"/>
                <w:szCs w:val="13"/>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5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5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146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760" w:type="dxa"/>
            <w:vAlign w:val="bottom"/>
            <w:tcBorders>
              <w:bottom w:val="single" w:sz="8" w:color="auto"/>
            </w:tcBorders>
            <w:vMerge w:val="continue"/>
          </w:tcPr>
          <w:p>
            <w:pPr>
              <w:spacing w:after="0"/>
              <w:rPr>
                <w:sz w:val="12"/>
                <w:szCs w:val="12"/>
                <w:color w:val="auto"/>
              </w:rPr>
            </w:pPr>
          </w:p>
        </w:tc>
        <w:tc>
          <w:tcPr>
            <w:tcW w:w="4280" w:type="dxa"/>
            <w:vAlign w:val="bottom"/>
          </w:tcPr>
          <w:p>
            <w:pPr>
              <w:spacing w:after="0"/>
              <w:rPr>
                <w:sz w:val="12"/>
                <w:szCs w:val="12"/>
                <w:color w:val="auto"/>
              </w:rPr>
            </w:pPr>
          </w:p>
        </w:tc>
        <w:tc>
          <w:tcPr>
            <w:tcW w:w="158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158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9"/>
                <w:szCs w:val="19"/>
                <w:color w:val="auto"/>
              </w:rPr>
            </w:pPr>
          </w:p>
        </w:tc>
        <w:tc>
          <w:tcPr>
            <w:tcW w:w="1100" w:type="dxa"/>
            <w:vAlign w:val="bottom"/>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1"/>
                <w:szCs w:val="11"/>
                <w:color w:val="auto"/>
              </w:rPr>
            </w:pPr>
          </w:p>
        </w:tc>
        <w:tc>
          <w:tcPr>
            <w:tcW w:w="136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240" w:type="dxa"/>
            <w:vAlign w:val="bottom"/>
          </w:tcPr>
          <w:p>
            <w:pPr>
              <w:spacing w:after="0"/>
              <w:rPr>
                <w:sz w:val="11"/>
                <w:szCs w:val="11"/>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10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amortization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Lease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40" w:hanging="151"/>
        <w:spacing w:after="0"/>
        <w:tabs>
          <w:tab w:leader="none" w:pos="24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following amounts of energy and capacity revenue relate to leases and are accounted for under ASC 842:</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24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10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Contract Amortization</w:t>
      </w:r>
    </w:p>
    <w:p>
      <w:pPr>
        <w:spacing w:after="0" w:line="17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Assets and liabilities recognized from power sales agreements assumed through acquisitions relating to the sale of electric capacity and energy in future periods arising from differences in contract and market prices are amortized to revenue over the term of each underlying contract based on actual generation and/or contracted volumes or on a straight-line basis, where applicable.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17" w:name="page18"/>
    <w:bookmarkEnd w:id="17"/>
    <w:p>
      <w:pPr>
        <w:ind w:left="42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reflects the contract assets and liabilities included on the Company’s consolidated balance sheets as of June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1"/>
        </w:trPr>
        <w:tc>
          <w:tcPr>
            <w:tcW w:w="7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60" w:type="dxa"/>
            <w:vAlign w:val="bottom"/>
            <w:gridSpan w:val="3"/>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8"/>
                <w:szCs w:val="18"/>
                <w:color w:val="auto"/>
              </w:rPr>
            </w:pPr>
          </w:p>
        </w:tc>
      </w:tr>
      <w:tr>
        <w:trPr>
          <w:trHeight w:val="23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 Contracts with customers</w:t>
            </w:r>
          </w:p>
        </w:tc>
        <w:tc>
          <w:tcPr>
            <w:tcW w:w="1440" w:type="dxa"/>
            <w:vAlign w:val="bottom"/>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Accounts receivable, net - Leases</w:t>
            </w:r>
          </w:p>
        </w:tc>
        <w:tc>
          <w:tcPr>
            <w:tcW w:w="14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8"/>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440" w:type="dxa"/>
            <w:vAlign w:val="bottom"/>
            <w:tcBorders>
              <w:bottom w:val="single" w:sz="8" w:color="auto"/>
            </w:tcBorders>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March 2020, the FASB issued ASU No. 2020-04, Facilitation of the Effects of Reference Rate Reform on Financial Reporting. The amendments provide for optional expedients and exceptions for applying GAAP to contracts, hedging relationships and other transactions affected by reference rate reform if certain criteria are met. These amendments apply only to contracts that reference LIBOR or another reference rate expected to be discontinued because of reference rate reform, which affects certain of the Company’s debt and interest rate swap agreements. The guidance is effective for all entities as of March 12, 2020 through December 31, 2022. As of June 30, 2022, the Company has applied the amendments to all of its eligible contract modifications, where applicable, during the reference rate reform period. Additionally, the Company has not elected any optional expedients provided in the standard.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w:t>
      </w:r>
      <w:r>
        <w:rPr>
          <w:rFonts w:ascii="Times New Roman" w:cs="Times New Roman" w:eastAsia="Times New Roman" w:hAnsi="Times New Roman"/>
          <w:sz w:val="18"/>
          <w:szCs w:val="18"/>
          <w:b w:val="1"/>
          <w:bCs w:val="1"/>
          <w:i w:val="1"/>
          <w:iCs w:val="1"/>
          <w:color w:val="auto"/>
        </w:rPr>
        <w:t>Acquisitions and Dispositions</w:t>
      </w:r>
    </w:p>
    <w:p>
      <w:pPr>
        <w:spacing w:after="0" w:line="17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Mililani I Drop Down — </w:t>
      </w:r>
      <w:r>
        <w:rPr>
          <w:rFonts w:ascii="Times New Roman" w:cs="Times New Roman" w:eastAsia="Times New Roman" w:hAnsi="Times New Roman"/>
          <w:sz w:val="18"/>
          <w:szCs w:val="18"/>
          <w:color w:val="auto"/>
        </w:rPr>
        <w:t>On March 25, 2022, the Company, through its indirect subsidiary, Lighthouse Renewable Holdco LLC, acquired Mililani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BL Borrower Holdco LLC, the indirect owner of the Mililani I solar project, a 39 MW solar project with 156 MWh of storage capacity that is currently under construction, located in Oahu, Hawaii, from Clearway Renew LLC, a subsidiary of CEG, for cash consideration of $22 million. Lighthouse Renewable Holdco LLC is a partnership between the Company and a third-party investor. The third-party investor also contributed cash consideration of $14 million utilized to acquire their portion of the acquired entity. Mililani BL Borrower Holdco LLC consolidates, as the direct owner of the primary beneficiary, a tax equity fund, Mililani TE Holdco LLC, which directly holds the Mililani I solar project, as further described in Note 4,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Accounted for by the Equity Method and Variable Interest Entities</w:t>
      </w:r>
      <w:r>
        <w:rPr>
          <w:rFonts w:ascii="Times New Roman" w:cs="Times New Roman" w:eastAsia="Times New Roman" w:hAnsi="Times New Roman"/>
          <w:sz w:val="18"/>
          <w:szCs w:val="18"/>
          <w:color w:val="auto"/>
        </w:rPr>
        <w:t>. Mililani I has a 20-year power purchase agreement with an investment-grade utility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commenced in July 2022. The Mililani I operations are reflected in the Company’s Renewables segment and the acquisition was funded with existing sources of liquidity. The acquisition was determined to be an asset acquisition and the Company consolidates Mililani I on a prospective basis in its financial statements. The assets and liabilities transferred to the Company relate to interests under common control by GIP and were recorded at historical cost in accordance with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The sum of the cash paid of $22 million and the historical cost of the Company’s net liabilities assumed of $8 million was recorded as an adjustment to CEG’s contributed capital balance. In addition, the Company reflected $15 million of the Company’s purchase price, which was contributed back by CEG to pay down the acquired long-term debt, as distributions to CEG, net of contributions, in the consolidated statement of members’ equity.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8" w:name="page19"/>
    <w:bookmarkEnd w:id="18"/>
    <w:p>
      <w:pPr>
        <w:ind w:left="420"/>
        <w:spacing w:after="0"/>
        <w:rPr>
          <w:sz w:val="20"/>
          <w:szCs w:val="20"/>
          <w:color w:val="auto"/>
        </w:rPr>
      </w:pPr>
      <w:r>
        <w:rPr>
          <w:rFonts w:ascii="Times New Roman" w:cs="Times New Roman" w:eastAsia="Times New Roman" w:hAnsi="Times New Roman"/>
          <w:sz w:val="18"/>
          <w:szCs w:val="18"/>
          <w:color w:val="auto"/>
        </w:rPr>
        <w:t>The following is a summary of assets and liabilities transferred in connection with the acquisition as of March 25, 2022:</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1011"/>
              <w:spacing w:after="0"/>
              <w:rPr>
                <w:sz w:val="20"/>
                <w:szCs w:val="20"/>
                <w:color w:val="auto"/>
              </w:rPr>
            </w:pPr>
            <w:r>
              <w:rPr>
                <w:rFonts w:ascii="Times New Roman" w:cs="Times New Roman" w:eastAsia="Times New Roman" w:hAnsi="Times New Roman"/>
                <w:sz w:val="16"/>
                <w:szCs w:val="16"/>
                <w:b w:val="1"/>
                <w:bCs w:val="1"/>
                <w:color w:val="auto"/>
              </w:rPr>
              <w:t>Mililani I</w:t>
            </w:r>
          </w:p>
        </w:tc>
      </w:tr>
      <w:tr>
        <w:trPr>
          <w:trHeight w:val="226"/>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Right-of-use-assets</w:t>
            </w:r>
          </w:p>
        </w:tc>
        <w:tc>
          <w:tcPr>
            <w:tcW w:w="60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8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6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70"/>
        </w:trPr>
        <w:tc>
          <w:tcPr>
            <w:tcW w:w="8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r>
      <w:tr>
        <w:trPr>
          <w:trHeight w:val="230"/>
        </w:trPr>
        <w:tc>
          <w:tcPr>
            <w:tcW w:w="84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(a)</w:t>
            </w:r>
          </w:p>
        </w:tc>
        <w:tc>
          <w:tcPr>
            <w:tcW w:w="6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6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6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8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60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3"/>
        </w:trPr>
        <w:tc>
          <w:tcPr>
            <w:tcW w:w="8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liabilities assumed</w:t>
            </w: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8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firstLine="89"/>
        <w:spacing w:after="0" w:line="319" w:lineRule="auto"/>
        <w:tabs>
          <w:tab w:leader="none" w:pos="24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Includes a $16 million construction loan, $27 million sponsor equity bridge loan and $60 million tax equity bridge loan, offset by $3 million in unamortized debt issuance costs. The sponsor equity bridge loan was repaid at acquisition date utilizing $14 million from the cash equity investor, as well as $15 million of the Company’s purchase price, which was contributed back to the Company by CEG, of which $27 million was utilized to pay down the acquired long-term debt and $2 million was utilized to pay associated fees. Also at acquisition date, the tax equity investor contributed $18 million into escrow, which was included in restricted cash on the Company’s consolidated balance sheet. The tax equity investor will contribute an additional $42 million when the project reaches substantial completion, which will be utilized, along with the $18 million in escrow, to repay the $60 million tax equity bridge loan. The project is expected to achieve substantial completion in the second half of 2022.</w:t>
      </w:r>
    </w:p>
    <w:p>
      <w:pPr>
        <w:spacing w:after="0" w:line="8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Thermal Disposition </w:t>
      </w:r>
      <w:r>
        <w:rPr>
          <w:rFonts w:ascii="Times New Roman" w:cs="Times New Roman" w:eastAsia="Times New Roman" w:hAnsi="Times New Roman"/>
          <w:sz w:val="18"/>
          <w:szCs w:val="18"/>
          <w:color w:val="auto"/>
        </w:rPr>
        <w:t>— On May 1, 2022, the Company completed the sale of 100% of its interests in the Thermal Business to KKR for net proceeds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approximately $1.46 billion, inclusive of working capital adjustments, which excludes approximately $18 million in transaction expenses that were incurred in connection with the disposition. The Thermal Disposition resulted in a gain on sale of business of approximately $1.29 billion, which is net of the $18 million in transaction expenses referenced above. The proceeds from the sale were utilized to repay certain borrowings outstanding as further described in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with the remaining proceeds invested in short-term investments classified as cash and cash equivalents on the Company’s consolidated balance sheet as of June 30, 2022. Effective with the approval by the Board of Directors and signing of the agreement to sell the Thermal Business on October 22, 2021, the Company concluded that all entities that are included within the Thermal Business will be treated as held for sale on a prospective basis, thus the assets and liabilities were reported as separate held for sale line items on the Company’s consolidated balance sheets as of December 31, 2021. As of December 31, 2021, property, plant and equipment represented 78% and intangible assets represented 9% of assets classified as held for sale while long-term debt represented 85% of liabilities classified as held for sale. The Company’s Thermal segment is comprised solely of the Thermal Business's results of operations.</w:t>
      </w:r>
    </w:p>
    <w:p>
      <w:pPr>
        <w:spacing w:after="0" w:line="128" w:lineRule="exact"/>
        <w:rPr>
          <w:sz w:val="20"/>
          <w:szCs w:val="20"/>
          <w:color w:val="auto"/>
        </w:rPr>
      </w:pPr>
    </w:p>
    <w:p>
      <w:pPr>
        <w:ind w:right="4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4 — </w:t>
      </w:r>
      <w:r>
        <w:rPr>
          <w:rFonts w:ascii="Times New Roman" w:cs="Times New Roman" w:eastAsia="Times New Roman" w:hAnsi="Times New Roman"/>
          <w:sz w:val="18"/>
          <w:szCs w:val="18"/>
          <w:b w:val="1"/>
          <w:bCs w:val="1"/>
          <w:i w:val="1"/>
          <w:iCs w:val="1"/>
          <w:color w:val="auto"/>
        </w:rPr>
        <w:t>Investments Accounted for by the Equity Method and Variable Interest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Entities that are Consolidated</w:t>
      </w:r>
    </w:p>
    <w:p>
      <w:pPr>
        <w:spacing w:after="0" w:line="1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 controlling financial interest in certain entities which have been identified as VIEs under ASC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xml:space="preserve">, or ASC 810. These arrangements are primarily related to tax equity arrangements entered into with third parties in order to monetize certain tax credits associated with wind and solar facilities, as further described under Item 15 —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the consolidated financial statements included in the Company’s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231F20"/>
        </w:rPr>
        <w:t xml:space="preserve"> Form 10</w:t>
      </w:r>
      <w:r>
        <w:rPr>
          <w:rFonts w:ascii="Times New Roman" w:cs="Times New Roman" w:eastAsia="Times New Roman" w:hAnsi="Times New Roman"/>
          <w:sz w:val="18"/>
          <w:szCs w:val="18"/>
          <w:color w:val="000000"/>
        </w:rPr>
        <w:t>-K.</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ind w:left="420"/>
        <w:spacing w:after="0"/>
        <w:rPr>
          <w:sz w:val="20"/>
          <w:szCs w:val="20"/>
          <w:color w:val="auto"/>
        </w:rPr>
      </w:pPr>
      <w:r>
        <w:rPr>
          <w:rFonts w:ascii="Times New Roman" w:cs="Times New Roman" w:eastAsia="Times New Roman" w:hAnsi="Times New Roman"/>
          <w:sz w:val="18"/>
          <w:szCs w:val="18"/>
          <w:color w:val="auto"/>
        </w:rPr>
        <w:t>Summarized financial information for the Company’s consolidated VIEs consisted of the following as of June 30, 2022: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Buckthorn</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Kawailoa</w:t>
            </w:r>
          </w:p>
        </w:tc>
        <w:tc>
          <w:tcPr>
            <w:tcW w:w="14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Langford TE</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Lighthouse</w:t>
            </w:r>
          </w:p>
        </w:tc>
        <w:tc>
          <w:tcPr>
            <w:tcW w:w="1240" w:type="dxa"/>
            <w:vAlign w:val="bottom"/>
            <w:gridSpan w:val="2"/>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Lighthouse</w:t>
            </w:r>
          </w:p>
        </w:tc>
        <w:tc>
          <w:tcPr>
            <w:tcW w:w="0" w:type="dxa"/>
            <w:vAlign w:val="bottom"/>
          </w:tcPr>
          <w:p>
            <w:pPr>
              <w:spacing w:after="0"/>
              <w:rPr>
                <w:sz w:val="1"/>
                <w:szCs w:val="1"/>
                <w:color w:val="auto"/>
              </w:rPr>
            </w:pPr>
          </w:p>
        </w:tc>
      </w:tr>
      <w:tr>
        <w:trPr>
          <w:trHeight w:val="122"/>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Renewable Holdco</w:t>
            </w:r>
          </w:p>
        </w:tc>
        <w:tc>
          <w:tcPr>
            <w:tcW w:w="12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Renewable Holdco 2</w:t>
            </w:r>
          </w:p>
        </w:tc>
        <w:tc>
          <w:tcPr>
            <w:tcW w:w="0" w:type="dxa"/>
            <w:vAlign w:val="bottom"/>
          </w:tcPr>
          <w:p>
            <w:pPr>
              <w:spacing w:after="0"/>
              <w:rPr>
                <w:sz w:val="1"/>
                <w:szCs w:val="1"/>
                <w:color w:val="auto"/>
              </w:rPr>
            </w:pPr>
          </w:p>
        </w:tc>
      </w:tr>
      <w:tr>
        <w:trPr>
          <w:trHeight w:val="189"/>
        </w:trPr>
        <w:tc>
          <w:tcPr>
            <w:tcW w:w="3060" w:type="dxa"/>
            <w:vAlign w:val="bottom"/>
            <w:vMerge w:val="continue"/>
          </w:tcPr>
          <w:p>
            <w:pPr>
              <w:spacing w:after="0"/>
              <w:rPr>
                <w:sz w:val="16"/>
                <w:szCs w:val="16"/>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Alta TE Holdco</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Renewables, LLC</w:t>
            </w:r>
          </w:p>
        </w:tc>
        <w:tc>
          <w:tcPr>
            <w:tcW w:w="12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DGPV Funds</w:t>
            </w:r>
            <w:r>
              <w:rPr>
                <w:rFonts w:ascii="Times New Roman" w:cs="Times New Roman" w:eastAsia="Times New Roman" w:hAnsi="Times New Roman"/>
                <w:sz w:val="16"/>
                <w:szCs w:val="16"/>
                <w:b w:val="1"/>
                <w:bCs w:val="1"/>
                <w:color w:val="auto"/>
                <w:vertAlign w:val="superscript"/>
              </w:rPr>
              <w:t>(a)</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Partnership</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Partnership LLC</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3"/>
                <w:szCs w:val="13"/>
                <w:b w:val="1"/>
                <w:bCs w:val="1"/>
                <w:color w:val="auto"/>
                <w:w w:val="93"/>
              </w:rPr>
              <w:t xml:space="preserve">LLC </w:t>
            </w:r>
            <w:r>
              <w:rPr>
                <w:rFonts w:ascii="Times New Roman" w:cs="Times New Roman" w:eastAsia="Times New Roman" w:hAnsi="Times New Roman"/>
                <w:sz w:val="21"/>
                <w:szCs w:val="21"/>
                <w:b w:val="1"/>
                <w:bCs w:val="1"/>
                <w:color w:val="auto"/>
                <w:w w:val="93"/>
                <w:vertAlign w:val="superscript"/>
              </w:rPr>
              <w:t>(b)</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LLC</w:t>
            </w:r>
          </w:p>
        </w:tc>
        <w:tc>
          <w:tcPr>
            <w:tcW w:w="540" w:type="dxa"/>
            <w:vAlign w:val="bottom"/>
          </w:tcPr>
          <w:p>
            <w:pPr>
              <w:jc w:val="right"/>
              <w:ind w:right="334"/>
              <w:spacing w:after="0"/>
              <w:rPr>
                <w:sz w:val="20"/>
                <w:szCs w:val="20"/>
                <w:color w:val="auto"/>
              </w:rPr>
            </w:pPr>
            <w:r>
              <w:rPr>
                <w:rFonts w:ascii="Times New Roman" w:cs="Times New Roman" w:eastAsia="Times New Roman" w:hAnsi="Times New Roman"/>
                <w:sz w:val="11"/>
                <w:szCs w:val="11"/>
                <w:b w:val="1"/>
                <w:bCs w:val="1"/>
                <w:color w:val="auto"/>
                <w:w w:val="81"/>
              </w:rPr>
              <w:t>(c)</w:t>
            </w:r>
          </w:p>
        </w:tc>
        <w:tc>
          <w:tcPr>
            <w:tcW w:w="0" w:type="dxa"/>
            <w:vAlign w:val="bottom"/>
          </w:tcPr>
          <w:p>
            <w:pPr>
              <w:spacing w:after="0"/>
              <w:rPr>
                <w:sz w:val="1"/>
                <w:szCs w:val="1"/>
                <w:color w:val="auto"/>
              </w:rPr>
            </w:pPr>
          </w:p>
        </w:tc>
      </w:tr>
      <w:tr>
        <w:trPr>
          <w:trHeight w:val="223"/>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2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and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3"/>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3"/>
        </w:trPr>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assets less noncontrolling interests</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20" w:firstLine="89"/>
        <w:spacing w:after="0"/>
        <w:tabs>
          <w:tab w:leader="none" w:pos="255"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DGPV Funds is comprised of DGPV Fund 2 LLC, Clearway &amp; EFS Distributed Solar LLC, DGPV Fund 4 LLC, Golden Puma Fund LLC, Renew Solar CS4 Fund LLC and Chestnut Fund LLC.</w:t>
      </w:r>
    </w:p>
    <w:p>
      <w:pPr>
        <w:spacing w:after="0" w:line="125" w:lineRule="exact"/>
        <w:rPr>
          <w:rFonts w:ascii="Times New Roman" w:cs="Times New Roman" w:eastAsia="Times New Roman" w:hAnsi="Times New Roman"/>
          <w:sz w:val="22"/>
          <w:szCs w:val="22"/>
          <w:color w:val="auto"/>
          <w:vertAlign w:val="superscript"/>
        </w:rPr>
      </w:pPr>
    </w:p>
    <w:p>
      <w:pPr>
        <w:ind w:left="260" w:hanging="171"/>
        <w:spacing w:after="0"/>
        <w:tabs>
          <w:tab w:leader="none" w:pos="26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Lighthouse Renewable Holdco LLC consolidates Mesquite Star Tax Equity Holdco LLC, Black Rock TE Holdco LLC and Mililani TE Holdco LLC, which are also consolidated VIEs.</w:t>
      </w:r>
    </w:p>
    <w:p>
      <w:pPr>
        <w:spacing w:after="0" w:line="78" w:lineRule="exact"/>
        <w:rPr>
          <w:rFonts w:ascii="Times New Roman" w:cs="Times New Roman" w:eastAsia="Times New Roman" w:hAnsi="Times New Roman"/>
          <w:sz w:val="21"/>
          <w:szCs w:val="21"/>
          <w:color w:val="auto"/>
          <w:vertAlign w:val="superscript"/>
        </w:rPr>
      </w:pPr>
    </w:p>
    <w:p>
      <w:pPr>
        <w:ind w:left="260" w:hanging="171"/>
        <w:spacing w:after="0" w:line="185" w:lineRule="auto"/>
        <w:tabs>
          <w:tab w:leader="none" w:pos="26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Lighthouse Renewable Holdco 2 LLC consolidates Mesquite Sky TE Holdco LLC, which is also a consolidated VIE.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Oahu</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Pinnacle Repowering</w:t>
            </w:r>
          </w:p>
        </w:tc>
        <w:tc>
          <w:tcPr>
            <w:tcW w:w="160" w:type="dxa"/>
            <w:vAlign w:val="bottom"/>
          </w:tcPr>
          <w:p>
            <w:pPr>
              <w:spacing w:after="0"/>
              <w:rPr>
                <w:sz w:val="12"/>
                <w:szCs w:val="12"/>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Rattlesnake TE</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Wildorado</w:t>
            </w:r>
          </w:p>
        </w:tc>
        <w:tc>
          <w:tcPr>
            <w:tcW w:w="240" w:type="dxa"/>
            <w:vAlign w:val="bottom"/>
          </w:tcPr>
          <w:p>
            <w:pPr>
              <w:spacing w:after="0"/>
              <w:rPr>
                <w:sz w:val="12"/>
                <w:szCs w:val="12"/>
                <w:color w:val="auto"/>
              </w:rPr>
            </w:pPr>
          </w:p>
        </w:tc>
        <w:tc>
          <w:tcPr>
            <w:tcW w:w="1020" w:type="dxa"/>
            <w:vAlign w:val="bottom"/>
            <w:vMerge w:val="restart"/>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 xml:space="preserve">Other </w:t>
            </w:r>
            <w:r>
              <w:rPr>
                <w:rFonts w:ascii="Times New Roman" w:cs="Times New Roman" w:eastAsia="Times New Roman" w:hAnsi="Times New Roman"/>
                <w:sz w:val="21"/>
                <w:szCs w:val="21"/>
                <w:b w:val="1"/>
                <w:bCs w:val="1"/>
                <w:color w:val="auto"/>
                <w:vertAlign w:val="superscript"/>
              </w:rPr>
              <w:t>(a)</w:t>
            </w:r>
          </w:p>
        </w:tc>
        <w:tc>
          <w:tcPr>
            <w:tcW w:w="0" w:type="dxa"/>
            <w:vAlign w:val="bottom"/>
          </w:tcPr>
          <w:p>
            <w:pPr>
              <w:spacing w:after="0"/>
              <w:rPr>
                <w:sz w:val="1"/>
                <w:szCs w:val="1"/>
                <w:color w:val="auto"/>
              </w:rPr>
            </w:pPr>
          </w:p>
        </w:tc>
      </w:tr>
      <w:tr>
        <w:trPr>
          <w:trHeight w:val="189"/>
        </w:trPr>
        <w:tc>
          <w:tcPr>
            <w:tcW w:w="31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Solar Partnership</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Partnership LLC</w:t>
            </w:r>
          </w:p>
        </w:tc>
        <w:tc>
          <w:tcPr>
            <w:tcW w:w="16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Holdco LLC</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Rosie TargetCo LLC</w:t>
            </w:r>
          </w:p>
        </w:tc>
        <w:tc>
          <w:tcPr>
            <w:tcW w:w="24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TE Holdco</w:t>
            </w: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and non-current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3"/>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3"/>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assets less noncontrolling interests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260" w:hanging="171"/>
        <w:spacing w:after="0"/>
        <w:tabs>
          <w:tab w:leader="none" w:pos="26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Other is comprised of Crosswind Transmission, LLC, Hardin Hilltop Wind LLC, Elbow Creek TE Holdco and Spring Canyon TE Holdco projects.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discussion below describes material changes to VIEs during the six months ended June 30, 2022.</w:t>
      </w:r>
    </w:p>
    <w:p>
      <w:pPr>
        <w:spacing w:after="0" w:line="167"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Lighthouse Renewable Holdco LLC — </w:t>
      </w:r>
      <w:r>
        <w:rPr>
          <w:rFonts w:ascii="Times New Roman" w:cs="Times New Roman" w:eastAsia="Times New Roman" w:hAnsi="Times New Roman"/>
          <w:sz w:val="18"/>
          <w:szCs w:val="18"/>
          <w:color w:val="auto"/>
        </w:rPr>
        <w:t>As described in Note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on March 25, 2022, Lighthouse Renewable Holdco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acquired the Class B interests in a partnership, Mililani BL Borrower Holdco LLC, which consolidates, as the direct owner of the primary beneficiary, a tax equity fund, Mililani TE Holdco LLC, that holds the Mililani I solar project. The tax equity investor’s interest is shown as noncontrolling interest and the HLBV method is utilized to allocate the income or losses of Mililani TE Holdco LLC. The third-party investor in Lighthouse Renewable Holdco LLC also acquired and contributed an interest in Mililani BL Borrower Holdco LLC to Lighthouse Renewable Holdco LLC. The Company recorded the related noncontrolling interest at historical carrying amount, with the offset to contributed capital.</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Entities that are not Consolidated</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 consolidated 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included in the Company’s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231F20"/>
        </w:rPr>
        <w:t xml:space="preserve"> Form 10</w:t>
      </w:r>
      <w:r>
        <w:rPr>
          <w:rFonts w:ascii="Times New Roman" w:cs="Times New Roman" w:eastAsia="Times New Roman" w:hAnsi="Times New Roman"/>
          <w:sz w:val="18"/>
          <w:szCs w:val="18"/>
          <w:color w:val="000000"/>
        </w:rPr>
        <w:t>-K.</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Company’s maximum exposure to loss as of June 30, 2022 is limited to its equity investment in the unconsolidated entities, as further summarized in the table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4660" w:type="dxa"/>
            <w:vAlign w:val="bottom"/>
          </w:tcPr>
          <w:p>
            <w:pPr>
              <w:jc w:val="center"/>
              <w:ind w:left="2813"/>
              <w:spacing w:after="0"/>
              <w:rPr>
                <w:sz w:val="20"/>
                <w:szCs w:val="20"/>
                <w:color w:val="auto"/>
              </w:rPr>
            </w:pPr>
            <w:r>
              <w:rPr>
                <w:rFonts w:ascii="Times New Roman" w:cs="Times New Roman" w:eastAsia="Times New Roman" w:hAnsi="Times New Roman"/>
                <w:sz w:val="16"/>
                <w:szCs w:val="16"/>
                <w:b w:val="1"/>
                <w:bCs w:val="1"/>
                <w:color w:val="auto"/>
              </w:rPr>
              <w:t>Economic</w:t>
            </w:r>
          </w:p>
        </w:tc>
        <w:tc>
          <w:tcPr>
            <w:tcW w:w="220" w:type="dxa"/>
            <w:vAlign w:val="bottom"/>
          </w:tcPr>
          <w:p>
            <w:pPr>
              <w:spacing w:after="0"/>
              <w:rPr>
                <w:sz w:val="16"/>
                <w:szCs w:val="16"/>
                <w:color w:val="auto"/>
              </w:rPr>
            </w:pPr>
          </w:p>
        </w:tc>
        <w:tc>
          <w:tcPr>
            <w:tcW w:w="176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Investment Balance</w:t>
            </w:r>
          </w:p>
        </w:tc>
        <w:tc>
          <w:tcPr>
            <w:tcW w:w="0" w:type="dxa"/>
            <w:vAlign w:val="bottom"/>
          </w:tcPr>
          <w:p>
            <w:pPr>
              <w:spacing w:after="0"/>
              <w:rPr>
                <w:sz w:val="1"/>
                <w:szCs w:val="1"/>
                <w:color w:val="auto"/>
              </w:rPr>
            </w:pPr>
          </w:p>
        </w:tc>
      </w:tr>
      <w:tr>
        <w:trPr>
          <w:trHeight w:val="214"/>
        </w:trPr>
        <w:tc>
          <w:tcPr>
            <w:tcW w:w="4600" w:type="dxa"/>
            <w:vAlign w:val="bottom"/>
            <w:tcBorders>
              <w:bottom w:val="single" w:sz="8" w:color="auto"/>
            </w:tcBorders>
            <w:vMerge w:val="continue"/>
          </w:tcPr>
          <w:p>
            <w:pPr>
              <w:spacing w:after="0"/>
              <w:rPr>
                <w:sz w:val="18"/>
                <w:szCs w:val="18"/>
                <w:color w:val="auto"/>
              </w:rPr>
            </w:pPr>
          </w:p>
        </w:tc>
        <w:tc>
          <w:tcPr>
            <w:tcW w:w="4660" w:type="dxa"/>
            <w:vAlign w:val="bottom"/>
            <w:tcBorders>
              <w:bottom w:val="single" w:sz="8" w:color="auto"/>
            </w:tcBorders>
          </w:tcPr>
          <w:p>
            <w:pPr>
              <w:jc w:val="center"/>
              <w:ind w:left="2833"/>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31"/>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Avenal</w:t>
            </w:r>
          </w:p>
        </w:tc>
        <w:tc>
          <w:tcPr>
            <w:tcW w:w="4660" w:type="dxa"/>
            <w:vAlign w:val="bottom"/>
            <w:shd w:val="clear" w:color="auto" w:fill="CCEEFF"/>
          </w:tcPr>
          <w:p>
            <w:pPr>
              <w:jc w:val="center"/>
              <w:ind w:left="2813"/>
              <w:spacing w:after="0"/>
              <w:rPr>
                <w:sz w:val="20"/>
                <w:szCs w:val="20"/>
                <w:color w:val="auto"/>
              </w:rPr>
            </w:pPr>
            <w:r>
              <w:rPr>
                <w:rFonts w:ascii="Times New Roman" w:cs="Times New Roman" w:eastAsia="Times New Roman" w:hAnsi="Times New Roman"/>
                <w:sz w:val="18"/>
                <w:szCs w:val="18"/>
                <w:color w:val="auto"/>
                <w:w w:val="96"/>
              </w:rPr>
              <w:t>50%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Desert Sunlight</w:t>
            </w:r>
          </w:p>
        </w:tc>
        <w:tc>
          <w:tcPr>
            <w:tcW w:w="4660" w:type="dxa"/>
            <w:vAlign w:val="bottom"/>
          </w:tcPr>
          <w:p>
            <w:pPr>
              <w:jc w:val="center"/>
              <w:ind w:left="2813"/>
              <w:spacing w:after="0"/>
              <w:rPr>
                <w:sz w:val="20"/>
                <w:szCs w:val="20"/>
                <w:color w:val="auto"/>
              </w:rPr>
            </w:pPr>
            <w:r>
              <w:rPr>
                <w:rFonts w:ascii="Times New Roman" w:cs="Times New Roman" w:eastAsia="Times New Roman" w:hAnsi="Times New Roman"/>
                <w:sz w:val="18"/>
                <w:szCs w:val="18"/>
                <w:color w:val="auto"/>
                <w:w w:val="96"/>
              </w:rPr>
              <w:t>25%</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Elkhorn Ridge</w:t>
            </w:r>
          </w:p>
        </w:tc>
        <w:tc>
          <w:tcPr>
            <w:tcW w:w="4660" w:type="dxa"/>
            <w:vAlign w:val="bottom"/>
            <w:shd w:val="clear" w:color="auto" w:fill="CCEEFF"/>
          </w:tcPr>
          <w:p>
            <w:pPr>
              <w:jc w:val="center"/>
              <w:ind w:left="2813"/>
              <w:spacing w:after="0"/>
              <w:rPr>
                <w:sz w:val="20"/>
                <w:szCs w:val="20"/>
                <w:color w:val="auto"/>
              </w:rPr>
            </w:pPr>
            <w:r>
              <w:rPr>
                <w:rFonts w:ascii="Times New Roman" w:cs="Times New Roman" w:eastAsia="Times New Roman" w:hAnsi="Times New Roman"/>
                <w:sz w:val="18"/>
                <w:szCs w:val="18"/>
                <w:color w:val="auto"/>
                <w:w w:val="96"/>
              </w:rPr>
              <w:t>67%</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GenConn </w:t>
            </w:r>
            <w:r>
              <w:rPr>
                <w:rFonts w:ascii="Times New Roman" w:cs="Times New Roman" w:eastAsia="Times New Roman" w:hAnsi="Times New Roman"/>
                <w:sz w:val="23"/>
                <w:szCs w:val="23"/>
                <w:color w:val="auto"/>
                <w:vertAlign w:val="superscript"/>
              </w:rPr>
              <w:t>(a)</w:t>
            </w:r>
          </w:p>
        </w:tc>
        <w:tc>
          <w:tcPr>
            <w:tcW w:w="4660" w:type="dxa"/>
            <w:vAlign w:val="bottom"/>
          </w:tcPr>
          <w:p>
            <w:pPr>
              <w:jc w:val="center"/>
              <w:ind w:left="2813"/>
              <w:spacing w:after="0"/>
              <w:rPr>
                <w:sz w:val="20"/>
                <w:szCs w:val="20"/>
                <w:color w:val="auto"/>
              </w:rPr>
            </w:pPr>
            <w:r>
              <w:rPr>
                <w:rFonts w:ascii="Times New Roman" w:cs="Times New Roman" w:eastAsia="Times New Roman" w:hAnsi="Times New Roman"/>
                <w:sz w:val="18"/>
                <w:szCs w:val="18"/>
                <w:color w:val="auto"/>
                <w:w w:val="96"/>
              </w:rPr>
              <w:t>50%</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 Juan Mesa</w:t>
            </w:r>
          </w:p>
        </w:tc>
        <w:tc>
          <w:tcPr>
            <w:tcW w:w="4660" w:type="dxa"/>
            <w:vAlign w:val="bottom"/>
            <w:shd w:val="clear" w:color="auto" w:fill="CCEEFF"/>
          </w:tcPr>
          <w:p>
            <w:pPr>
              <w:jc w:val="center"/>
              <w:ind w:left="2813"/>
              <w:spacing w:after="0"/>
              <w:rPr>
                <w:sz w:val="20"/>
                <w:szCs w:val="20"/>
                <w:color w:val="auto"/>
              </w:rPr>
            </w:pPr>
            <w:r>
              <w:rPr>
                <w:rFonts w:ascii="Times New Roman" w:cs="Times New Roman" w:eastAsia="Times New Roman" w:hAnsi="Times New Roman"/>
                <w:sz w:val="18"/>
                <w:szCs w:val="18"/>
                <w:color w:val="auto"/>
                <w:w w:val="96"/>
              </w:rPr>
              <w:t>75%</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60" w:hanging="171"/>
        <w:spacing w:after="0"/>
        <w:tabs>
          <w:tab w:leader="none" w:pos="26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GenConn is a variable interest entity.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w:t>
      </w:r>
      <w:r>
        <w:rPr>
          <w:rFonts w:ascii="Times New Roman" w:cs="Times New Roman" w:eastAsia="Times New Roman" w:hAnsi="Times New Roman"/>
          <w:sz w:val="18"/>
          <w:szCs w:val="18"/>
          <w:b w:val="1"/>
          <w:bCs w:val="1"/>
          <w:i w:val="1"/>
          <w:iCs w:val="1"/>
          <w:color w:val="auto"/>
        </w:rPr>
        <w:t>Fair Value of Financial Instruments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Accounting under ASC 820</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ASC 820 establishes a fair value hierarchy that prioritizes the inputs to valuation techniques used to measure fair value into three levels as follows:</w:t>
      </w:r>
    </w:p>
    <w:p>
      <w:pPr>
        <w:spacing w:after="0" w:line="63" w:lineRule="exact"/>
        <w:rPr>
          <w:sz w:val="20"/>
          <w:szCs w:val="20"/>
          <w:color w:val="auto"/>
        </w:rPr>
      </w:pPr>
    </w:p>
    <w:p>
      <w:pPr>
        <w:ind w:left="1220" w:hanging="240"/>
        <w:spacing w:after="0" w:line="281" w:lineRule="auto"/>
        <w:tabs>
          <w:tab w:leader="none" w:pos="12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(unadjusted) in active markets for identical assets or liabilities that the Company has the ability to access as of the measurement date.</w:t>
      </w:r>
    </w:p>
    <w:p>
      <w:pPr>
        <w:spacing w:after="0" w:line="1" w:lineRule="exact"/>
        <w:rPr>
          <w:rFonts w:ascii="Times New Roman" w:cs="Times New Roman" w:eastAsia="Times New Roman" w:hAnsi="Times New Roman"/>
          <w:sz w:val="18"/>
          <w:szCs w:val="18"/>
          <w:color w:val="auto"/>
        </w:rPr>
      </w:pPr>
    </w:p>
    <w:p>
      <w:pPr>
        <w:ind w:left="1220" w:hanging="240"/>
        <w:spacing w:after="0" w:line="281" w:lineRule="auto"/>
        <w:tabs>
          <w:tab w:leader="none" w:pos="12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1" w:lineRule="exact"/>
        <w:rPr>
          <w:rFonts w:ascii="Times New Roman" w:cs="Times New Roman" w:eastAsia="Times New Roman" w:hAnsi="Times New Roman"/>
          <w:sz w:val="18"/>
          <w:szCs w:val="18"/>
          <w:color w:val="auto"/>
        </w:rPr>
      </w:pPr>
    </w:p>
    <w:p>
      <w:pPr>
        <w:ind w:left="1220" w:right="20" w:hanging="240"/>
        <w:spacing w:after="0" w:line="282" w:lineRule="auto"/>
        <w:tabs>
          <w:tab w:leader="none" w:pos="12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for the asset or liability only used when there is little, if any, market activity for the asset or liability at the measurement date.</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cash and cash equivalents, restricted cash, accounts receivable — trade, accounts receivable — affiliates, accounts payable — trade, accounts payable — affiliates and accrued expenses and other current liabilities, the carrying amounts approximate fair value because of the short-term maturity of those instruments and are classified as Level 1 within the fair value hierarchy.</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carrying amounts and estimated fair values of the Company’s recorded financial instruments not carried at fair market value or that do not approximate fair value are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320" w:type="dxa"/>
            <w:vAlign w:val="bottom"/>
          </w:tcPr>
          <w:p>
            <w:pPr>
              <w:spacing w:after="0"/>
              <w:rPr>
                <w:sz w:val="16"/>
                <w:szCs w:val="16"/>
                <w:color w:val="auto"/>
              </w:rPr>
            </w:pPr>
          </w:p>
        </w:tc>
        <w:tc>
          <w:tcPr>
            <w:tcW w:w="2200" w:type="dxa"/>
            <w:vAlign w:val="bottom"/>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23"/>
        </w:trPr>
        <w:tc>
          <w:tcPr>
            <w:tcW w:w="6100" w:type="dxa"/>
            <w:vAlign w:val="bottom"/>
          </w:tcPr>
          <w:p>
            <w:pPr>
              <w:spacing w:after="0"/>
              <w:rPr>
                <w:sz w:val="2"/>
                <w:szCs w:val="2"/>
                <w:color w:val="auto"/>
              </w:rPr>
            </w:pPr>
          </w:p>
        </w:tc>
        <w:tc>
          <w:tcPr>
            <w:tcW w:w="1520" w:type="dxa"/>
            <w:vAlign w:val="bottom"/>
            <w:gridSpan w:val="4"/>
          </w:tcPr>
          <w:p>
            <w:pPr>
              <w:spacing w:after="0"/>
              <w:rPr>
                <w:sz w:val="2"/>
                <w:szCs w:val="2"/>
                <w:color w:val="auto"/>
              </w:rPr>
            </w:pPr>
          </w:p>
        </w:tc>
        <w:tc>
          <w:tcPr>
            <w:tcW w:w="1100" w:type="dxa"/>
            <w:vAlign w:val="bottom"/>
            <w:gridSpan w:val="2"/>
          </w:tcPr>
          <w:p>
            <w:pPr>
              <w:spacing w:after="0"/>
              <w:rPr>
                <w:sz w:val="2"/>
                <w:szCs w:val="2"/>
                <w:color w:val="auto"/>
              </w:rPr>
            </w:pPr>
          </w:p>
        </w:tc>
        <w:tc>
          <w:tcPr>
            <w:tcW w:w="132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9"/>
        </w:trPr>
        <w:tc>
          <w:tcPr>
            <w:tcW w:w="6100" w:type="dxa"/>
            <w:vAlign w:val="bottom"/>
          </w:tcPr>
          <w:p>
            <w:pPr>
              <w:spacing w:after="0"/>
              <w:rPr>
                <w:sz w:val="16"/>
                <w:szCs w:val="16"/>
                <w:color w:val="auto"/>
              </w:rPr>
            </w:pPr>
          </w:p>
        </w:tc>
        <w:tc>
          <w:tcPr>
            <w:tcW w:w="1520" w:type="dxa"/>
            <w:vAlign w:val="bottom"/>
            <w:tcBorders>
              <w:top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00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32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66"/>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r>
      <w:tr>
        <w:trPr>
          <w:trHeight w:val="23"/>
        </w:trPr>
        <w:tc>
          <w:tcPr>
            <w:tcW w:w="6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including current portion — affiliate</w:t>
            </w: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Long-term debt, including current portion — external </w:t>
            </w:r>
            <w:r>
              <w:rPr>
                <w:rFonts w:ascii="Times New Roman" w:cs="Times New Roman" w:eastAsia="Times New Roman" w:hAnsi="Times New Roman"/>
                <w:sz w:val="23"/>
                <w:szCs w:val="23"/>
                <w:color w:val="auto"/>
                <w:vertAlign w:val="superscript"/>
              </w:rPr>
              <w:t>(a)</w:t>
            </w: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3798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63" w:lineRule="exact"/>
        <w:rPr>
          <w:sz w:val="20"/>
          <w:szCs w:val="20"/>
          <w:color w:val="auto"/>
        </w:rPr>
      </w:pPr>
    </w:p>
    <w:p>
      <w:pPr>
        <w:ind w:left="240" w:hanging="151"/>
        <w:spacing w:after="0"/>
        <w:tabs>
          <w:tab w:leader="none" w:pos="24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Excludes net debt issuance costs, which are recorded as a reduction to long-term debt on the Company’s consolidated balance sheets.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June 30, 2022 and December 31, 2021:</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36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23"/>
        </w:trPr>
        <w:tc>
          <w:tcPr>
            <w:tcW w:w="6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6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6"/>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1,795</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4,822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2,160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340" w:type="dxa"/>
            <w:vAlign w:val="bottom"/>
          </w:tcPr>
          <w:p>
            <w:pPr>
              <w:spacing w:after="0"/>
              <w:rPr>
                <w:sz w:val="16"/>
                <w:szCs w:val="16"/>
                <w:color w:val="auto"/>
              </w:rPr>
            </w:pPr>
          </w:p>
        </w:tc>
        <w:tc>
          <w:tcPr>
            <w:tcW w:w="292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23"/>
        </w:trPr>
        <w:tc>
          <w:tcPr>
            <w:tcW w:w="4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line="237"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21"/>
                <w:szCs w:val="21"/>
                <w:b w:val="1"/>
                <w:bCs w:val="1"/>
                <w:color w:val="auto"/>
                <w:vertAlign w:val="superscript"/>
              </w:rPr>
              <w:t>(a)</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30"/>
              <w:spacing w:after="0" w:line="237"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21"/>
                <w:szCs w:val="21"/>
                <w:b w:val="1"/>
                <w:bCs w:val="1"/>
                <w:color w:val="auto"/>
                <w:vertAlign w:val="superscript"/>
              </w:rPr>
              <w:t>(a)</w:t>
            </w:r>
          </w:p>
        </w:tc>
        <w:tc>
          <w:tcPr>
            <w:tcW w:w="1120" w:type="dxa"/>
            <w:vAlign w:val="bottom"/>
            <w:tcBorders>
              <w:bottom w:val="single" w:sz="8" w:color="auto"/>
            </w:tcBorders>
          </w:tcPr>
          <w:p>
            <w:pPr>
              <w:spacing w:after="0"/>
              <w:rPr>
                <w:sz w:val="20"/>
                <w:szCs w:val="20"/>
                <w:color w:val="auto"/>
              </w:rPr>
            </w:pPr>
          </w:p>
        </w:tc>
      </w:tr>
      <w:tr>
        <w:trPr>
          <w:trHeight w:val="190"/>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8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6"/>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contracts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Other financial instruments </w:t>
            </w:r>
            <w:r>
              <w:rPr>
                <w:rFonts w:ascii="Times New Roman" w:cs="Times New Roman" w:eastAsia="Times New Roman" w:hAnsi="Times New Roman"/>
                <w:sz w:val="23"/>
                <w:szCs w:val="23"/>
                <w:b w:val="1"/>
                <w:bCs w:val="1"/>
                <w:color w:val="auto"/>
                <w:vertAlign w:val="superscript"/>
              </w:rPr>
              <w:t>(b)</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4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Derivative liabilities: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contracts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
        </w:trPr>
        <w:tc>
          <w:tcPr>
            <w:tcW w:w="4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left="240" w:hanging="151"/>
        <w:spacing w:after="0"/>
        <w:tabs>
          <w:tab w:leader="none" w:pos="24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There were no derivative assets classified as Level 1 or Level 3 and no liabilities classified as Level 1 as of June 30, 2022 and December 31, 2021.</w:t>
      </w:r>
    </w:p>
    <w:p>
      <w:pPr>
        <w:spacing w:after="0" w:line="64" w:lineRule="exact"/>
        <w:rPr>
          <w:rFonts w:ascii="Times New Roman" w:cs="Times New Roman" w:eastAsia="Times New Roman" w:hAnsi="Times New Roman"/>
          <w:sz w:val="20"/>
          <w:szCs w:val="20"/>
          <w:color w:val="auto"/>
          <w:vertAlign w:val="superscript"/>
        </w:rPr>
      </w:pPr>
    </w:p>
    <w:p>
      <w:pPr>
        <w:ind w:left="260" w:hanging="171"/>
        <w:spacing w:after="0" w:line="191" w:lineRule="auto"/>
        <w:tabs>
          <w:tab w:leader="none" w:pos="26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SREC contract.</w:t>
      </w:r>
    </w:p>
    <w:p>
      <w:pPr>
        <w:spacing w:after="0" w:line="136"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beginning and ending balances for instruments that are recognized at fair value in the consolidated financial statements using significant unobservable inputs: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2740" w:type="dxa"/>
            <w:vAlign w:val="bottom"/>
            <w:gridSpan w:val="4"/>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37"/>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1"/>
                <w:szCs w:val="11"/>
                <w:color w:val="auto"/>
              </w:rPr>
            </w:pPr>
          </w:p>
        </w:tc>
        <w:tc>
          <w:tcPr>
            <w:tcW w:w="2720" w:type="dxa"/>
            <w:vAlign w:val="bottom"/>
            <w:gridSpan w:val="4"/>
          </w:tcPr>
          <w:p>
            <w:pPr>
              <w:jc w:val="center"/>
              <w:ind w:right="13"/>
              <w:spacing w:after="0" w:line="137" w:lineRule="exact"/>
              <w:rPr>
                <w:sz w:val="20"/>
                <w:szCs w:val="20"/>
                <w:color w:val="auto"/>
              </w:rPr>
            </w:pPr>
            <w:r>
              <w:rPr>
                <w:rFonts w:ascii="Times New Roman" w:cs="Times New Roman" w:eastAsia="Times New Roman" w:hAnsi="Times New Roman"/>
                <w:sz w:val="14"/>
                <w:szCs w:val="14"/>
                <w:b w:val="1"/>
                <w:bCs w:val="1"/>
                <w:color w:val="auto"/>
              </w:rPr>
              <w:t>Fair Value Measurement Using Significant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40" w:type="dxa"/>
            <w:vAlign w:val="bottom"/>
            <w:gridSpan w:val="4"/>
          </w:tcPr>
          <w:p>
            <w:pPr>
              <w:jc w:val="center"/>
              <w:ind w:right="33"/>
              <w:spacing w:after="0" w:line="137" w:lineRule="exact"/>
              <w:rPr>
                <w:sz w:val="20"/>
                <w:szCs w:val="20"/>
                <w:color w:val="auto"/>
              </w:rPr>
            </w:pPr>
            <w:r>
              <w:rPr>
                <w:rFonts w:ascii="Times New Roman" w:cs="Times New Roman" w:eastAsia="Times New Roman" w:hAnsi="Times New Roman"/>
                <w:sz w:val="14"/>
                <w:szCs w:val="14"/>
                <w:b w:val="1"/>
                <w:bCs w:val="1"/>
                <w:color w:val="auto"/>
              </w:rPr>
              <w:t>Fair Value Measurement Using Significant</w:t>
            </w:r>
          </w:p>
        </w:tc>
        <w:tc>
          <w:tcPr>
            <w:tcW w:w="0" w:type="dxa"/>
            <w:vAlign w:val="bottom"/>
          </w:tcPr>
          <w:p>
            <w:pPr>
              <w:spacing w:after="0"/>
              <w:rPr>
                <w:sz w:val="1"/>
                <w:szCs w:val="1"/>
                <w:color w:val="auto"/>
              </w:rPr>
            </w:pPr>
          </w:p>
        </w:tc>
      </w:tr>
      <w:tr>
        <w:trPr>
          <w:trHeight w:val="195"/>
        </w:trPr>
        <w:tc>
          <w:tcPr>
            <w:tcW w:w="5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Unobservable Inputs (Level 3)</w:t>
            </w:r>
          </w:p>
        </w:tc>
        <w:tc>
          <w:tcPr>
            <w:tcW w:w="120" w:type="dxa"/>
            <w:vAlign w:val="bottom"/>
          </w:tcPr>
          <w:p>
            <w:pPr>
              <w:spacing w:after="0"/>
              <w:rPr>
                <w:sz w:val="16"/>
                <w:szCs w:val="16"/>
                <w:color w:val="auto"/>
              </w:rPr>
            </w:pPr>
          </w:p>
        </w:tc>
        <w:tc>
          <w:tcPr>
            <w:tcW w:w="2740" w:type="dxa"/>
            <w:vAlign w:val="bottom"/>
            <w:gridSpan w:val="4"/>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Unobservable Inputs (Level 3)</w:t>
            </w:r>
          </w:p>
        </w:tc>
        <w:tc>
          <w:tcPr>
            <w:tcW w:w="0" w:type="dxa"/>
            <w:vAlign w:val="bottom"/>
          </w:tcPr>
          <w:p>
            <w:pPr>
              <w:spacing w:after="0"/>
              <w:rPr>
                <w:sz w:val="1"/>
                <w:szCs w:val="1"/>
                <w:color w:val="auto"/>
              </w:rPr>
            </w:pPr>
          </w:p>
        </w:tc>
      </w:tr>
      <w:tr>
        <w:trPr>
          <w:trHeight w:val="234"/>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losses for the period included in earnings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due to loss of NPNS exception</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2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8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6"/>
                <w:szCs w:val="16"/>
                <w:color w:val="auto"/>
              </w:rPr>
              <w:t>Change in unrealized losses included in earnings for derivatives and</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financial instruments held as of June 30,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and Financial Instruments Fair Value Measurements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Company's contracts are non-exchange-traded and valued using prices provided by external sources. The Company uses quoted observable forward prices to value its energy contracts. To the extent that observable forward prices are not available, the quoted prices reflect the average of the forward prices from the prior year, adjusted for inflation. As of June 30, 2022, contracts valued with prices provided by models and other valuation techniques make up 99% of derivative liabilities and 100% of other financial instruments.</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Company’s significant positions classified as Level 3 include physical commodity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12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quantifies the significant unobservable inputs used in developing the fair value of the Company’s Level 3 positions as of June 30, 2022:</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8"/>
              </w:rPr>
              <w:t>Input/Range</w:t>
            </w: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15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restart"/>
          </w:tcPr>
          <w:p>
            <w:pPr>
              <w:jc w:val="center"/>
              <w:ind w:right="115"/>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60" w:type="dxa"/>
            <w:vAlign w:val="bottom"/>
            <w:vMerge w:val="restart"/>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80" w:type="dxa"/>
            <w:vAlign w:val="bottom"/>
            <w:vMerge w:val="continue"/>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80" w:type="dxa"/>
            <w:vAlign w:val="bottom"/>
          </w:tcPr>
          <w:p>
            <w:pPr>
              <w:spacing w:after="0"/>
              <w:rPr>
                <w:sz w:val="15"/>
                <w:szCs w:val="15"/>
                <w:color w:val="auto"/>
              </w:rPr>
            </w:pPr>
          </w:p>
        </w:tc>
        <w:tc>
          <w:tcPr>
            <w:tcW w:w="1060" w:type="dxa"/>
            <w:vAlign w:val="bottom"/>
            <w:vMerge w:val="restart"/>
          </w:tcPr>
          <w:p>
            <w:pPr>
              <w:jc w:val="right"/>
              <w:ind w:right="416"/>
              <w:spacing w:after="0"/>
              <w:rPr>
                <w:sz w:val="20"/>
                <w:szCs w:val="20"/>
                <w:color w:val="auto"/>
              </w:rPr>
            </w:pPr>
            <w:r>
              <w:rPr>
                <w:rFonts w:ascii="Times New Roman" w:cs="Times New Roman" w:eastAsia="Times New Roman" w:hAnsi="Times New Roman"/>
                <w:sz w:val="18"/>
                <w:szCs w:val="18"/>
                <w:b w:val="1"/>
                <w:bCs w:val="1"/>
                <w:color w:val="auto"/>
              </w:rPr>
              <w:t>Low</w:t>
            </w:r>
          </w:p>
        </w:tc>
        <w:tc>
          <w:tcPr>
            <w:tcW w:w="140" w:type="dxa"/>
            <w:vAlign w:val="bottom"/>
          </w:tcPr>
          <w:p>
            <w:pPr>
              <w:spacing w:after="0"/>
              <w:rPr>
                <w:sz w:val="15"/>
                <w:szCs w:val="15"/>
                <w:color w:val="auto"/>
              </w:rPr>
            </w:pPr>
          </w:p>
        </w:tc>
        <w:tc>
          <w:tcPr>
            <w:tcW w:w="1200" w:type="dxa"/>
            <w:vAlign w:val="bottom"/>
            <w:vMerge w:val="restart"/>
          </w:tcPr>
          <w:p>
            <w:pPr>
              <w:jc w:val="center"/>
              <w:ind w:right="55"/>
              <w:spacing w:after="0"/>
              <w:rPr>
                <w:sz w:val="20"/>
                <w:szCs w:val="20"/>
                <w:color w:val="auto"/>
              </w:rPr>
            </w:pPr>
            <w:r>
              <w:rPr>
                <w:rFonts w:ascii="Times New Roman" w:cs="Times New Roman" w:eastAsia="Times New Roman" w:hAnsi="Times New Roman"/>
                <w:sz w:val="18"/>
                <w:szCs w:val="18"/>
                <w:b w:val="1"/>
                <w:bCs w:val="1"/>
                <w:color w:val="auto"/>
                <w:w w:val="99"/>
              </w:rPr>
              <w:t>High</w:t>
            </w: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Technique</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Input</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08"/>
        </w:trPr>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Commodity Contracts   </w:t>
            </w:r>
            <w:r>
              <w:rPr>
                <w:rFonts w:ascii="Times New Roman" w:cs="Times New Roman" w:eastAsia="Times New Roman" w:hAnsi="Times New Roman"/>
                <w:sz w:val="16"/>
                <w:szCs w:val="16"/>
                <w:color w:val="auto"/>
              </w:rPr>
              <w:t>$</w:t>
            </w:r>
          </w:p>
        </w:tc>
        <w:tc>
          <w:tcPr>
            <w:tcW w:w="1260" w:type="dxa"/>
            <w:vAlign w:val="bottom"/>
            <w:vMerge w:val="restart"/>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8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Discounted Cash</w:t>
            </w:r>
          </w:p>
        </w:tc>
        <w:tc>
          <w:tcPr>
            <w:tcW w:w="15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Forward Market Price</w:t>
            </w: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109.37</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39.23</w:t>
            </w:r>
          </w:p>
        </w:tc>
        <w:tc>
          <w:tcPr>
            <w:tcW w:w="0" w:type="dxa"/>
            <w:vAlign w:val="bottom"/>
          </w:tcPr>
          <w:p>
            <w:pPr>
              <w:spacing w:after="0"/>
              <w:rPr>
                <w:sz w:val="1"/>
                <w:szCs w:val="1"/>
                <w:color w:val="auto"/>
              </w:rPr>
            </w:pPr>
          </w:p>
        </w:tc>
      </w:tr>
      <w:tr>
        <w:trPr>
          <w:trHeight w:val="216"/>
        </w:trPr>
        <w:tc>
          <w:tcPr>
            <w:tcW w:w="2020" w:type="dxa"/>
            <w:vAlign w:val="bottom"/>
            <w:gridSpan w:val="2"/>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Flow</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(per MWh)</w:t>
            </w:r>
          </w:p>
        </w:tc>
        <w:tc>
          <w:tcPr>
            <w:tcW w:w="28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Forecast annual</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Other Financial</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Discounted Cash</w:t>
            </w:r>
          </w:p>
        </w:tc>
        <w:tc>
          <w:tcPr>
            <w:tcW w:w="15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generation levels of</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gridSpan w:val="2"/>
            <w:vMerge w:val="continue"/>
          </w:tcPr>
          <w:p>
            <w:pPr>
              <w:spacing w:after="0"/>
              <w:rPr>
                <w:sz w:val="14"/>
                <w:szCs w:val="14"/>
                <w:color w:val="auto"/>
              </w:rPr>
            </w:pPr>
          </w:p>
        </w:tc>
        <w:tc>
          <w:tcPr>
            <w:tcW w:w="1260" w:type="dxa"/>
            <w:vAlign w:val="bottom"/>
            <w:vMerge w:val="restart"/>
          </w:tcPr>
          <w:p>
            <w:pPr>
              <w:ind w:left="840"/>
              <w:spacing w:after="0"/>
              <w:rPr>
                <w:sz w:val="20"/>
                <w:szCs w:val="20"/>
                <w:color w:val="auto"/>
              </w:rPr>
            </w:pPr>
            <w:r>
              <w:rPr>
                <w:rFonts w:ascii="Times New Roman" w:cs="Times New Roman" w:eastAsia="Times New Roman" w:hAnsi="Times New Roman"/>
                <w:sz w:val="16"/>
                <w:szCs w:val="16"/>
                <w:color w:val="auto"/>
              </w:rPr>
              <w:t>21</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continue"/>
          </w:tcPr>
          <w:p>
            <w:pPr>
              <w:spacing w:after="0"/>
              <w:rPr>
                <w:sz w:val="14"/>
                <w:szCs w:val="14"/>
                <w:color w:val="auto"/>
              </w:rPr>
            </w:pPr>
          </w:p>
        </w:tc>
        <w:tc>
          <w:tcPr>
            <w:tcW w:w="15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certain DG solar</w:t>
            </w:r>
          </w:p>
        </w:tc>
        <w:tc>
          <w:tcPr>
            <w:tcW w:w="2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58,539 MWh</w:t>
            </w: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117,078 MWh</w:t>
            </w:r>
          </w:p>
        </w:tc>
        <w:tc>
          <w:tcPr>
            <w:tcW w:w="2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114,223 MWh</w:t>
            </w:r>
          </w:p>
        </w:tc>
        <w:tc>
          <w:tcPr>
            <w:tcW w:w="0" w:type="dxa"/>
            <w:vAlign w:val="bottom"/>
          </w:tcPr>
          <w:p>
            <w:pPr>
              <w:spacing w:after="0"/>
              <w:rPr>
                <w:sz w:val="1"/>
                <w:szCs w:val="1"/>
                <w:color w:val="auto"/>
              </w:rPr>
            </w:pPr>
          </w:p>
        </w:tc>
      </w:tr>
      <w:tr>
        <w:trPr>
          <w:trHeight w:val="212"/>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26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Flow</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facilities</w:t>
            </w:r>
          </w:p>
        </w:tc>
        <w:tc>
          <w:tcPr>
            <w:tcW w:w="2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impact on the fair value measurements to increases/(decreases) in significant unobservable inputs as of June 30, 2022:</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 Unobservable Input</w:t>
            </w:r>
          </w:p>
        </w:tc>
        <w:tc>
          <w:tcPr>
            <w:tcW w:w="202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246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Change In Input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Impact on Fair Value</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auto"/>
            </w:tcBorders>
            <w:vMerge w:val="continue"/>
          </w:tcPr>
          <w:p>
            <w:pPr>
              <w:spacing w:after="0"/>
              <w:rPr>
                <w:sz w:val="21"/>
                <w:szCs w:val="21"/>
                <w:color w:val="auto"/>
              </w:rPr>
            </w:pPr>
          </w:p>
        </w:tc>
        <w:tc>
          <w:tcPr>
            <w:tcW w:w="2020" w:type="dxa"/>
            <w:vAlign w:val="bottom"/>
            <w:tcBorders>
              <w:bottom w:val="single" w:sz="8" w:color="auto"/>
            </w:tcBorders>
            <w:vMerge w:val="continue"/>
          </w:tcPr>
          <w:p>
            <w:pPr>
              <w:spacing w:after="0"/>
              <w:rPr>
                <w:sz w:val="21"/>
                <w:szCs w:val="21"/>
                <w:color w:val="auto"/>
              </w:rPr>
            </w:pPr>
          </w:p>
        </w:tc>
        <w:tc>
          <w:tcPr>
            <w:tcW w:w="2460" w:type="dxa"/>
            <w:vAlign w:val="bottom"/>
            <w:tcBorders>
              <w:bottom w:val="single" w:sz="8" w:color="auto"/>
            </w:tcBorders>
            <w:vMerge w:val="continue"/>
          </w:tcPr>
          <w:p>
            <w:pPr>
              <w:spacing w:after="0"/>
              <w:rPr>
                <w:sz w:val="21"/>
                <w:szCs w:val="21"/>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Measurement</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Forward Market Price Power</w:t>
            </w:r>
          </w:p>
        </w:tc>
        <w:tc>
          <w:tcPr>
            <w:tcW w:w="202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Sell</w:t>
            </w:r>
          </w:p>
        </w:tc>
        <w:tc>
          <w:tcPr>
            <w:tcW w:w="2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Lower/(Higher)</w:t>
            </w:r>
          </w:p>
        </w:tc>
        <w:tc>
          <w:tcPr>
            <w:tcW w:w="0" w:type="dxa"/>
            <w:vAlign w:val="bottom"/>
          </w:tcPr>
          <w:p>
            <w:pPr>
              <w:spacing w:after="0"/>
              <w:rPr>
                <w:sz w:val="1"/>
                <w:szCs w:val="1"/>
                <w:color w:val="auto"/>
              </w:rPr>
            </w:pPr>
          </w:p>
        </w:tc>
      </w:tr>
      <w:tr>
        <w:trPr>
          <w:trHeight w:val="234"/>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Forecast Generation Levels</w:t>
            </w:r>
          </w:p>
        </w:tc>
        <w:tc>
          <w:tcPr>
            <w:tcW w:w="20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Sell</w:t>
            </w:r>
          </w:p>
        </w:tc>
        <w:tc>
          <w:tcPr>
            <w:tcW w:w="2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Higher/(Lower)</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June 30, 2022, the non-performance reserve was a $47 million gain recorded primarily to total operating revenues in the consolidated statement of income. It is possible that future market prices could vary from those used in recording assets and liabilities and such variations could be material.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addition to the credit risk discussion as disclosed under Item 15 —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w:t>
      </w:r>
      <w:r>
        <w:rPr>
          <w:rFonts w:ascii="Times New Roman" w:cs="Times New Roman" w:eastAsia="Times New Roman" w:hAnsi="Times New Roman"/>
          <w:sz w:val="18"/>
          <w:szCs w:val="18"/>
          <w:color w:val="auto"/>
        </w:rPr>
        <w:t xml:space="preserve"> consolidated financial statements included in the </w:t>
      </w:r>
      <w:r>
        <w:rPr>
          <w:rFonts w:ascii="Times New Roman" w:cs="Times New Roman" w:eastAsia="Times New Roman" w:hAnsi="Times New Roman"/>
          <w:sz w:val="18"/>
          <w:szCs w:val="18"/>
          <w:color w:val="231F20"/>
        </w:rPr>
        <w:t>Company’s</w:t>
      </w:r>
      <w:r>
        <w:rPr>
          <w:rFonts w:ascii="Times New Roman" w:cs="Times New Roman" w:eastAsia="Times New Roman" w:hAnsi="Times New Roman"/>
          <w:sz w:val="18"/>
          <w:szCs w:val="18"/>
          <w:color w:val="auto"/>
        </w:rPr>
        <w:t xml:space="preserve"> 2021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3" w:name="page24"/>
    <w:bookmarkEnd w:id="23"/>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 </w:t>
      </w:r>
      <w:r>
        <w:rPr>
          <w:rFonts w:ascii="Times New Roman" w:cs="Times New Roman" w:eastAsia="Times New Roman" w:hAnsi="Times New Roman"/>
          <w:sz w:val="18"/>
          <w:szCs w:val="18"/>
          <w:b w:val="1"/>
          <w:bCs w:val="1"/>
          <w:i w:val="1"/>
          <w:iCs w:val="1"/>
          <w:color w:val="auto"/>
        </w:rPr>
        <w:t>Derivative Instruments and Hedging Activities</w:t>
      </w:r>
    </w:p>
    <w:p>
      <w:pPr>
        <w:spacing w:after="0" w:line="173"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This footnote should be read in conjunction with the complete description under Item 15 — Note 7, </w:t>
      </w:r>
      <w:r>
        <w:rPr>
          <w:rFonts w:ascii="Times New Roman" w:cs="Times New Roman" w:eastAsia="Times New Roman" w:hAnsi="Times New Roman"/>
          <w:sz w:val="18"/>
          <w:szCs w:val="18"/>
          <w:i w:val="1"/>
          <w:iCs w:val="1"/>
          <w:color w:val="auto"/>
        </w:rPr>
        <w:t>Accounting for Derivative Instruments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 Activities</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to the consolidated financial statements included in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enters into interest rate swap agreements in order to hedge the variability of expected future cash interest payments. As of June 30, 2022, the Company had interest rate derivative instruments on non-recourse debt extending through 2031, a portion of which were designated as cash flow hedges. Under the interest rate swap agreements, the Company pays a fixed rate and the counterparties to the agreements pay a variable interest rate.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Energy-Related Commodities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June 30, 2022, the Company had energy-related derivative instruments extending through 2033. At June 30, 2022, these contracts were not designated as cash flow or fair value hedges.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Volumetric Underlying Derivative Transactions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net notional volume buy/(sell) of the Company’s open derivative transactions broken out by commodity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December 31, 2021:</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40" w:type="dxa"/>
            <w:vAlign w:val="bottom"/>
            <w:gridSpan w:val="3"/>
          </w:tcPr>
          <w:p>
            <w:pPr>
              <w:jc w:val="center"/>
              <w:ind w:right="1255"/>
              <w:spacing w:after="0"/>
              <w:rPr>
                <w:sz w:val="20"/>
                <w:szCs w:val="20"/>
                <w:color w:val="auto"/>
              </w:rPr>
            </w:pPr>
            <w:r>
              <w:rPr>
                <w:rFonts w:ascii="Times New Roman" w:cs="Times New Roman" w:eastAsia="Times New Roman" w:hAnsi="Times New Roman"/>
                <w:sz w:val="14"/>
                <w:szCs w:val="14"/>
                <w:b w:val="1"/>
                <w:bCs w:val="1"/>
                <w:color w:val="auto"/>
                <w:w w:val="99"/>
              </w:rPr>
              <w:t>Total Volume</w:t>
            </w:r>
          </w:p>
        </w:tc>
      </w:tr>
      <w:tr>
        <w:trPr>
          <w:trHeight w:val="23"/>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5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48"/>
        </w:trPr>
        <w:tc>
          <w:tcPr>
            <w:tcW w:w="20" w:type="dxa"/>
            <w:vAlign w:val="bottom"/>
          </w:tcPr>
          <w:p>
            <w:pPr>
              <w:spacing w:after="0"/>
              <w:rPr>
                <w:sz w:val="12"/>
                <w:szCs w:val="12"/>
                <w:color w:val="auto"/>
              </w:rPr>
            </w:pPr>
          </w:p>
        </w:tc>
        <w:tc>
          <w:tcPr>
            <w:tcW w:w="1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Commodity</w:t>
            </w:r>
          </w:p>
        </w:tc>
        <w:tc>
          <w:tcPr>
            <w:tcW w:w="6040" w:type="dxa"/>
            <w:vAlign w:val="bottom"/>
            <w:gridSpan w:val="3"/>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360" w:type="dxa"/>
            <w:vAlign w:val="bottom"/>
          </w:tcPr>
          <w:p>
            <w:pPr>
              <w:spacing w:after="0"/>
              <w:rPr>
                <w:sz w:val="12"/>
                <w:szCs w:val="12"/>
                <w:color w:val="auto"/>
              </w:rPr>
            </w:pPr>
          </w:p>
        </w:tc>
        <w:tc>
          <w:tcPr>
            <w:tcW w:w="920" w:type="dxa"/>
            <w:vAlign w:val="bottom"/>
            <w:gridSpan w:val="2"/>
          </w:tcPr>
          <w:p>
            <w:pPr>
              <w:jc w:val="center"/>
              <w:ind w:left="77"/>
              <w:spacing w:after="0" w:line="14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5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w:t>
            </w:r>
          </w:p>
        </w:tc>
        <w:tc>
          <w:tcPr>
            <w:tcW w:w="60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MMBtu</w:t>
            </w:r>
          </w:p>
        </w:tc>
        <w:tc>
          <w:tcPr>
            <w:tcW w:w="13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2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w:t>
            </w:r>
          </w:p>
        </w:tc>
        <w:tc>
          <w:tcPr>
            <w:tcW w:w="6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MWh</w:t>
            </w:r>
          </w:p>
        </w:tc>
        <w:tc>
          <w:tcPr>
            <w:tcW w:w="1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60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Dollars</w:t>
            </w:r>
          </w:p>
        </w:tc>
        <w:tc>
          <w:tcPr>
            <w:tcW w:w="136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98"/>
              </w:rPr>
              <w:t>1,200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Instruments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fair value within the derivative instrument valuation on the consolidated balance sheets: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
        </w:trPr>
        <w:tc>
          <w:tcPr>
            <w:tcW w:w="4620" w:type="dxa"/>
            <w:vAlign w:val="bottom"/>
          </w:tcPr>
          <w:p>
            <w:pPr>
              <w:spacing w:after="0"/>
              <w:rPr>
                <w:sz w:val="2"/>
                <w:szCs w:val="2"/>
                <w:color w:val="auto"/>
              </w:rPr>
            </w:pPr>
          </w:p>
        </w:tc>
        <w:tc>
          <w:tcPr>
            <w:tcW w:w="3320" w:type="dxa"/>
            <w:vAlign w:val="bottom"/>
            <w:tcBorders>
              <w:bottom w:val="single" w:sz="8" w:color="auto"/>
            </w:tcBorders>
            <w:gridSpan w:val="6"/>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190"/>
        </w:trPr>
        <w:tc>
          <w:tcPr>
            <w:tcW w:w="4620" w:type="dxa"/>
            <w:vAlign w:val="bottom"/>
          </w:tcPr>
          <w:p>
            <w:pPr>
              <w:spacing w:after="0"/>
              <w:rPr>
                <w:sz w:val="16"/>
                <w:szCs w:val="16"/>
                <w:color w:val="auto"/>
              </w:rPr>
            </w:pPr>
          </w:p>
        </w:tc>
        <w:tc>
          <w:tcPr>
            <w:tcW w:w="3320" w:type="dxa"/>
            <w:vAlign w:val="bottom"/>
            <w:gridSpan w:val="6"/>
          </w:tcPr>
          <w:p>
            <w:pPr>
              <w:ind w:left="108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380" w:type="dxa"/>
            <w:vAlign w:val="bottom"/>
          </w:tcPr>
          <w:p>
            <w:pPr>
              <w:spacing w:after="0"/>
              <w:rPr>
                <w:sz w:val="16"/>
                <w:szCs w:val="16"/>
                <w:color w:val="auto"/>
              </w:rPr>
            </w:pPr>
          </w:p>
        </w:tc>
        <w:tc>
          <w:tcPr>
            <w:tcW w:w="2920" w:type="dxa"/>
            <w:vAlign w:val="bottom"/>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r>
      <w:tr>
        <w:trPr>
          <w:trHeight w:val="196"/>
        </w:trPr>
        <w:tc>
          <w:tcPr>
            <w:tcW w:w="462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Borders>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6"/>
        </w:trPr>
        <w:tc>
          <w:tcPr>
            <w:tcW w:w="4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1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1280" w:type="dxa"/>
            <w:vAlign w:val="bottom"/>
          </w:tcPr>
          <w:p>
            <w:pPr>
              <w:jc w:val="right"/>
              <w:ind w:right="107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Designated as Cash Flow Hedges</w:t>
            </w:r>
          </w:p>
        </w:tc>
        <w:tc>
          <w:tcPr>
            <w:tcW w:w="1280" w:type="dxa"/>
            <w:vAlign w:val="bottom"/>
            <w:tcBorders>
              <w:top w:val="single" w:sz="8" w:color="auto"/>
              <w:bottom w:val="single" w:sz="8" w:color="auto"/>
            </w:tcBorders>
          </w:tcPr>
          <w:p>
            <w:pPr>
              <w:jc w:val="right"/>
              <w:ind w:right="107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Cash Flow Hedges:</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1280" w:type="dxa"/>
            <w:vAlign w:val="bottom"/>
          </w:tcPr>
          <w:p>
            <w:pPr>
              <w:jc w:val="right"/>
              <w:ind w:right="107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 current</w:t>
            </w:r>
          </w:p>
        </w:tc>
        <w:tc>
          <w:tcPr>
            <w:tcW w:w="128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 long-term</w:t>
            </w:r>
          </w:p>
        </w:tc>
        <w:tc>
          <w:tcPr>
            <w:tcW w:w="12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Not Designated as Cash Flow Hedges</w:t>
            </w:r>
          </w:p>
        </w:tc>
        <w:tc>
          <w:tcPr>
            <w:tcW w:w="1280" w:type="dxa"/>
            <w:vAlign w:val="bottom"/>
            <w:tcBorders>
              <w:top w:val="single" w:sz="8" w:color="auto"/>
              <w:bottom w:val="single" w:sz="8" w:color="auto"/>
            </w:tcBorders>
          </w:tcPr>
          <w:p>
            <w:pPr>
              <w:jc w:val="right"/>
              <w:ind w:right="107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1280" w:type="dxa"/>
            <w:vAlign w:val="bottom"/>
            <w:tcBorders>
              <w:bottom w:val="single" w:sz="8" w:color="auto"/>
            </w:tcBorders>
            <w:shd w:val="clear" w:color="auto" w:fill="CCEEFF"/>
          </w:tcPr>
          <w:p>
            <w:pPr>
              <w:jc w:val="right"/>
              <w:ind w:right="107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has elected to present derivative assets and liabilities on the balance sheet on a trade-by-trade basis and does not offset amounts at the counterparty level. As of June 30, 2022 and December 31, 2021, there was no outstanding collateral paid or received. The following tables summarize the offsetting of derivatives by counterparty:</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40" w:type="dxa"/>
            <w:vAlign w:val="bottom"/>
            <w:gridSpan w:val="6"/>
          </w:tcPr>
          <w:p>
            <w:pPr>
              <w:jc w:val="center"/>
              <w:ind w:left="1076"/>
              <w:spacing w:after="0"/>
              <w:rPr>
                <w:sz w:val="20"/>
                <w:szCs w:val="20"/>
                <w:color w:val="auto"/>
              </w:rPr>
            </w:pPr>
            <w:r>
              <w:rPr>
                <w:rFonts w:ascii="Times New Roman" w:cs="Times New Roman" w:eastAsia="Times New Roman" w:hAnsi="Times New Roman"/>
                <w:sz w:val="14"/>
                <w:szCs w:val="14"/>
                <w:b w:val="1"/>
                <w:bCs w:val="1"/>
                <w:color w:val="auto"/>
              </w:rPr>
              <w:t>Gross Amounts Not Offset in the Statement of Financial Position</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4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200" w:type="dxa"/>
            <w:vAlign w:val="bottom"/>
          </w:tcPr>
          <w:p>
            <w:pPr>
              <w:spacing w:after="0"/>
              <w:rPr>
                <w:sz w:val="11"/>
                <w:szCs w:val="11"/>
                <w:color w:val="auto"/>
              </w:rPr>
            </w:pPr>
          </w:p>
        </w:tc>
        <w:tc>
          <w:tcPr>
            <w:tcW w:w="23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Gross Amounts of Recognized</w:t>
            </w:r>
          </w:p>
        </w:tc>
        <w:tc>
          <w:tcPr>
            <w:tcW w:w="280" w:type="dxa"/>
            <w:vAlign w:val="bottom"/>
          </w:tcPr>
          <w:p>
            <w:pPr>
              <w:spacing w:after="0"/>
              <w:rPr>
                <w:sz w:val="11"/>
                <w:szCs w:val="11"/>
                <w:color w:val="auto"/>
              </w:rPr>
            </w:pPr>
          </w:p>
        </w:tc>
        <w:tc>
          <w:tcPr>
            <w:tcW w:w="2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460" w:type="dxa"/>
            <w:vAlign w:val="bottom"/>
          </w:tcPr>
          <w:p>
            <w:pPr>
              <w:spacing w:after="0"/>
              <w:rPr>
                <w:sz w:val="11"/>
                <w:szCs w:val="11"/>
                <w:color w:val="auto"/>
              </w:rPr>
            </w:pPr>
          </w:p>
        </w:tc>
        <w:tc>
          <w:tcPr>
            <w:tcW w:w="13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commodity contracts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40" w:type="dxa"/>
            <w:vAlign w:val="bottom"/>
            <w:gridSpan w:val="6"/>
          </w:tcPr>
          <w:p>
            <w:pPr>
              <w:jc w:val="center"/>
              <w:ind w:left="1076"/>
              <w:spacing w:after="0"/>
              <w:rPr>
                <w:sz w:val="20"/>
                <w:szCs w:val="20"/>
                <w:color w:val="auto"/>
              </w:rPr>
            </w:pPr>
            <w:r>
              <w:rPr>
                <w:rFonts w:ascii="Times New Roman" w:cs="Times New Roman" w:eastAsia="Times New Roman" w:hAnsi="Times New Roman"/>
                <w:sz w:val="14"/>
                <w:szCs w:val="14"/>
                <w:b w:val="1"/>
                <w:bCs w:val="1"/>
                <w:color w:val="auto"/>
              </w:rPr>
              <w:t>Gross Amounts Not Offset in the Statement of Financial Position</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200" w:type="dxa"/>
            <w:vAlign w:val="bottom"/>
          </w:tcPr>
          <w:p>
            <w:pPr>
              <w:spacing w:after="0"/>
              <w:rPr>
                <w:sz w:val="11"/>
                <w:szCs w:val="11"/>
                <w:color w:val="auto"/>
              </w:rPr>
            </w:pPr>
          </w:p>
        </w:tc>
        <w:tc>
          <w:tcPr>
            <w:tcW w:w="232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Gross Amounts of Recognized</w:t>
            </w:r>
          </w:p>
        </w:tc>
        <w:tc>
          <w:tcPr>
            <w:tcW w:w="280" w:type="dxa"/>
            <w:vAlign w:val="bottom"/>
          </w:tcPr>
          <w:p>
            <w:pPr>
              <w:spacing w:after="0"/>
              <w:rPr>
                <w:sz w:val="11"/>
                <w:szCs w:val="11"/>
                <w:color w:val="auto"/>
              </w:rPr>
            </w:pPr>
          </w:p>
        </w:tc>
        <w:tc>
          <w:tcPr>
            <w:tcW w:w="2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460" w:type="dxa"/>
            <w:vAlign w:val="bottom"/>
          </w:tcPr>
          <w:p>
            <w:pPr>
              <w:spacing w:after="0"/>
              <w:rPr>
                <w:sz w:val="11"/>
                <w:szCs w:val="11"/>
                <w:color w:val="auto"/>
              </w:rPr>
            </w:pPr>
          </w:p>
        </w:tc>
        <w:tc>
          <w:tcPr>
            <w:tcW w:w="13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200"/>
        </w:trPr>
        <w:tc>
          <w:tcPr>
            <w:tcW w:w="444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Commodity contracts</w:t>
            </w:r>
          </w:p>
        </w:tc>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commodity contracts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on the Company’s accumulated OCI (OCL) balance attributable to interest rate swaps designated as cash flow hedge derivatives: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40" w:type="dxa"/>
            <w:vAlign w:val="bottom"/>
          </w:tcPr>
          <w:p>
            <w:pPr>
              <w:spacing w:after="0"/>
              <w:rPr>
                <w:sz w:val="16"/>
                <w:szCs w:val="16"/>
                <w:color w:val="auto"/>
              </w:rPr>
            </w:pPr>
          </w:p>
        </w:tc>
      </w:tr>
      <w:tr>
        <w:trPr>
          <w:trHeight w:val="23"/>
        </w:trPr>
        <w:tc>
          <w:tcPr>
            <w:tcW w:w="55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0"/>
        </w:trPr>
        <w:tc>
          <w:tcPr>
            <w:tcW w:w="5520" w:type="dxa"/>
            <w:vAlign w:val="bottom"/>
          </w:tcPr>
          <w:p>
            <w:pPr>
              <w:spacing w:after="0"/>
              <w:rPr>
                <w:sz w:val="16"/>
                <w:szCs w:val="16"/>
                <w:color w:val="auto"/>
              </w:rPr>
            </w:pPr>
          </w:p>
        </w:tc>
        <w:tc>
          <w:tcPr>
            <w:tcW w:w="9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r>
      <w:tr>
        <w:trPr>
          <w:trHeight w:val="196"/>
        </w:trPr>
        <w:tc>
          <w:tcPr>
            <w:tcW w:w="5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gridSpan w:val="3"/>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3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OCI (OCL) beginning balance</w:t>
            </w:r>
          </w:p>
        </w:tc>
        <w:tc>
          <w:tcPr>
            <w:tcW w:w="96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176"/>
        </w:trPr>
        <w:tc>
          <w:tcPr>
            <w:tcW w:w="5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Reclassified from accumulated OCI (OCL) to income due to realization of</w:t>
            </w: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4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previously deferred amounts</w:t>
            </w:r>
          </w:p>
        </w:tc>
        <w:tc>
          <w:tcPr>
            <w:tcW w:w="9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Mark-to-market of cash flow hedge accounting contracts</w:t>
            </w:r>
          </w:p>
        </w:tc>
        <w:tc>
          <w:tcPr>
            <w:tcW w:w="9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OCI (OCL) ending balance</w:t>
            </w: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OCI attributable to noncontrolling interests</w:t>
            </w:r>
          </w:p>
        </w:tc>
        <w:tc>
          <w:tcPr>
            <w:tcW w:w="9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OCI (OCL) attributable to Clearway Energy LLC</w:t>
            </w:r>
          </w:p>
        </w:tc>
        <w:tc>
          <w:tcPr>
            <w:tcW w:w="96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expected to be realized from OCI during the next 12 months</w:t>
            </w:r>
          </w:p>
        </w:tc>
        <w:tc>
          <w:tcPr>
            <w:tcW w:w="96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reclassified from accumulated OCI (OCL) into income are recorded to interest expense.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Derivative Instruments on the Consolidated Statements of Income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Mark-to-market gains and losses related to the Company’s derivatives are recorded in the consolidated statements of income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240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5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 (Interest expense)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42424"/>
                <w:w w:val="88"/>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242424"/>
              </w:rPr>
              <w:t>36</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77</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5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w w:val="99"/>
              </w:rPr>
              <w:t xml:space="preserve">Commodity Contracts (Mark-to-market for economic hedging activities) </w:t>
            </w:r>
            <w:r>
              <w:rPr>
                <w:rFonts w:ascii="Times New Roman" w:cs="Times New Roman" w:eastAsia="Times New Roman" w:hAnsi="Times New Roman"/>
                <w:sz w:val="23"/>
                <w:szCs w:val="23"/>
                <w:color w:val="auto"/>
                <w:w w:val="99"/>
                <w:vertAlign w:val="superscript"/>
              </w:rPr>
              <w:t>(a)</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(49)</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112" w:lineRule="exact"/>
        <w:rPr>
          <w:sz w:val="20"/>
          <w:szCs w:val="20"/>
          <w:color w:val="auto"/>
        </w:rPr>
      </w:pPr>
    </w:p>
    <w:p>
      <w:pPr>
        <w:jc w:val="both"/>
        <w:ind w:firstLine="89"/>
        <w:spacing w:after="0" w:line="246" w:lineRule="auto"/>
        <w:tabs>
          <w:tab w:leader="none" w:pos="240"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Relates to long-term commodity contracts at Elbow Creek Wind Project LLC, or Elbow Creek, Mesquite Star, Mt. Storm, Langford and Mesquite Sky and gains or losses are recognized in operating revenues. During the six months ended June 30, 2022, the commodity contract for Langford, which previously met the NPNS exception, no longer qualified for NPNS treatment and, accordingly, is accounted for as a derivative and marked to market value through operating revenues.</w:t>
      </w:r>
    </w:p>
    <w:p>
      <w:pPr>
        <w:spacing w:after="0" w:line="14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Prior to the Thermal Disposition, which is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a portion of the Company’s derivative commodity contracts were related to its Thermal Business for the purchase of fuel/electricity commodities based on the forecasted usage of the thermal district energy centers. Realized gains and losses on these contracts were reflected in the fuel costs that were permitted to be billed to customers through the related customer contracts or tariffs and, accordingly, no gains or losses were reflected in the consolidated statements of income for these contracts through the period that the Company owned the Thermal Business.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See Note 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 xml:space="preserve">Note 7 — </w:t>
      </w:r>
      <w:r>
        <w:rPr>
          <w:rFonts w:ascii="Times New Roman" w:cs="Times New Roman" w:eastAsia="Times New Roman" w:hAnsi="Times New Roman"/>
          <w:sz w:val="18"/>
          <w:szCs w:val="18"/>
          <w:b w:val="1"/>
          <w:bCs w:val="1"/>
          <w:i w:val="1"/>
          <w:iCs w:val="1"/>
          <w:color w:val="auto"/>
        </w:rPr>
        <w:t>Long-term Debt</w:t>
      </w:r>
    </w:p>
    <w:p>
      <w:pPr>
        <w:spacing w:after="0" w:line="173"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This note should be read in conjunction with the complete description under Item 15 —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statements included in the Company’s </w:t>
      </w:r>
      <w:r>
        <w:rPr>
          <w:rFonts w:ascii="Times New Roman" w:cs="Times New Roman" w:eastAsia="Times New Roman" w:hAnsi="Times New Roman"/>
          <w:sz w:val="18"/>
          <w:szCs w:val="18"/>
          <w:color w:val="000000"/>
        </w:rPr>
        <w:t>2021 Form 10-K. The Company’s borrowings, including short-term and long-term portions consisted of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following: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June 30, 2022 interest</w:t>
            </w:r>
          </w:p>
        </w:tc>
        <w:tc>
          <w:tcPr>
            <w:tcW w:w="180" w:type="dxa"/>
            <w:vAlign w:val="bottom"/>
          </w:tcPr>
          <w:p>
            <w:pPr>
              <w:spacing w:after="0"/>
              <w:rPr>
                <w:sz w:val="13"/>
                <w:szCs w:val="13"/>
                <w:color w:val="auto"/>
              </w:rPr>
            </w:pPr>
          </w:p>
        </w:tc>
        <w:tc>
          <w:tcPr>
            <w:tcW w:w="140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Letters of Credit</w:t>
            </w:r>
          </w:p>
        </w:tc>
        <w:tc>
          <w:tcPr>
            <w:tcW w:w="0" w:type="dxa"/>
            <w:vAlign w:val="bottom"/>
          </w:tcPr>
          <w:p>
            <w:pPr>
              <w:spacing w:after="0"/>
              <w:rPr>
                <w:sz w:val="1"/>
                <w:szCs w:val="1"/>
                <w:color w:val="auto"/>
              </w:rPr>
            </w:pPr>
          </w:p>
        </w:tc>
      </w:tr>
      <w:tr>
        <w:trPr>
          <w:trHeight w:val="146"/>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rates)</w:t>
            </w:r>
          </w:p>
        </w:tc>
        <w:tc>
          <w:tcPr>
            <w:tcW w:w="14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5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at June 30,</w:t>
            </w:r>
          </w:p>
        </w:tc>
        <w:tc>
          <w:tcPr>
            <w:tcW w:w="0" w:type="dxa"/>
            <w:vAlign w:val="bottom"/>
          </w:tcPr>
          <w:p>
            <w:pPr>
              <w:spacing w:after="0"/>
              <w:rPr>
                <w:sz w:val="1"/>
                <w:szCs w:val="1"/>
                <w:color w:val="auto"/>
              </w:rPr>
            </w:pPr>
          </w:p>
        </w:tc>
      </w:tr>
      <w:tr>
        <w:trPr>
          <w:trHeight w:val="203"/>
        </w:trPr>
        <w:tc>
          <w:tcPr>
            <w:tcW w:w="53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760" w:type="dxa"/>
            <w:vAlign w:val="bottom"/>
            <w:gridSpan w:val="2"/>
          </w:tcPr>
          <w:p>
            <w:pPr>
              <w:jc w:val="center"/>
              <w:ind w:right="100"/>
              <w:spacing w:after="0" w:line="203" w:lineRule="exact"/>
              <w:rPr>
                <w:sz w:val="20"/>
                <w:szCs w:val="20"/>
                <w:color w:val="auto"/>
              </w:rPr>
            </w:pPr>
            <w:r>
              <w:rPr>
                <w:rFonts w:ascii="Times New Roman" w:cs="Times New Roman" w:eastAsia="Times New Roman" w:hAnsi="Times New Roman"/>
                <w:sz w:val="14"/>
                <w:szCs w:val="14"/>
                <w:b w:val="1"/>
                <w:bCs w:val="1"/>
                <w:color w:val="auto"/>
                <w:w w:val="94"/>
              </w:rPr>
              <w:t xml:space="preserve">rate % </w:t>
            </w:r>
            <w:r>
              <w:rPr>
                <w:rFonts w:ascii="Times New Roman" w:cs="Times New Roman" w:eastAsia="Times New Roman" w:hAnsi="Times New Roman"/>
                <w:sz w:val="21"/>
                <w:szCs w:val="21"/>
                <w:b w:val="1"/>
                <w:bCs w:val="1"/>
                <w:color w:val="auto"/>
                <w:w w:val="94"/>
                <w:vertAlign w:val="superscript"/>
              </w:rPr>
              <w:t>(a)</w:t>
            </w:r>
          </w:p>
        </w:tc>
        <w:tc>
          <w:tcPr>
            <w:tcW w:w="180" w:type="dxa"/>
            <w:vAlign w:val="bottom"/>
          </w:tcPr>
          <w:p>
            <w:pPr>
              <w:spacing w:after="0"/>
              <w:rPr>
                <w:sz w:val="17"/>
                <w:szCs w:val="17"/>
                <w:color w:val="auto"/>
              </w:rPr>
            </w:pPr>
          </w:p>
        </w:tc>
        <w:tc>
          <w:tcPr>
            <w:tcW w:w="140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Note with Clearway Energy, Inc.</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ind w:left="1060"/>
              <w:spacing w:after="0"/>
              <w:rPr>
                <w:sz w:val="20"/>
                <w:szCs w:val="20"/>
                <w:color w:val="auto"/>
              </w:rPr>
            </w:pPr>
            <w:r>
              <w:rPr>
                <w:rFonts w:ascii="Times New Roman" w:cs="Times New Roman" w:eastAsia="Times New Roman" w:hAnsi="Times New Roman"/>
                <w:sz w:val="16"/>
                <w:szCs w:val="16"/>
                <w:color w:val="auto"/>
                <w:w w:val="99"/>
              </w:rPr>
              <w:t>2.210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 Senior Notes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760" w:type="dxa"/>
            <w:vAlign w:val="bottom"/>
            <w:gridSpan w:val="2"/>
          </w:tcPr>
          <w:p>
            <w:pPr>
              <w:jc w:val="center"/>
              <w:ind w:left="1159"/>
              <w:spacing w:after="0"/>
              <w:rPr>
                <w:sz w:val="20"/>
                <w:szCs w:val="20"/>
                <w:color w:val="auto"/>
              </w:rPr>
            </w:pPr>
            <w:r>
              <w:rPr>
                <w:rFonts w:ascii="Times New Roman" w:cs="Times New Roman" w:eastAsia="Times New Roman" w:hAnsi="Times New Roman"/>
                <w:sz w:val="16"/>
                <w:szCs w:val="16"/>
                <w:color w:val="auto"/>
                <w:w w:val="99"/>
              </w:rPr>
              <w:t>4.750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2031 Senior Notes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760" w:type="dxa"/>
            <w:vAlign w:val="bottom"/>
            <w:gridSpan w:val="2"/>
            <w:shd w:val="clear" w:color="auto" w:fill="CCEEFF"/>
          </w:tcPr>
          <w:p>
            <w:pPr>
              <w:jc w:val="center"/>
              <w:ind w:left="1159"/>
              <w:spacing w:after="0"/>
              <w:rPr>
                <w:sz w:val="20"/>
                <w:szCs w:val="20"/>
                <w:color w:val="auto"/>
              </w:rPr>
            </w:pPr>
            <w:r>
              <w:rPr>
                <w:rFonts w:ascii="Times New Roman" w:cs="Times New Roman" w:eastAsia="Times New Roman" w:hAnsi="Times New Roman"/>
                <w:sz w:val="16"/>
                <w:szCs w:val="16"/>
                <w:color w:val="auto"/>
                <w:w w:val="99"/>
              </w:rPr>
              <w:t>3.750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2032 Senior Notes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760" w:type="dxa"/>
            <w:vAlign w:val="bottom"/>
            <w:gridSpan w:val="2"/>
          </w:tcPr>
          <w:p>
            <w:pPr>
              <w:jc w:val="center"/>
              <w:ind w:left="1159"/>
              <w:spacing w:after="0"/>
              <w:rPr>
                <w:sz w:val="20"/>
                <w:szCs w:val="20"/>
                <w:color w:val="auto"/>
              </w:rPr>
            </w:pPr>
            <w:r>
              <w:rPr>
                <w:rFonts w:ascii="Times New Roman" w:cs="Times New Roman" w:eastAsia="Times New Roman" w:hAnsi="Times New Roman"/>
                <w:sz w:val="16"/>
                <w:szCs w:val="16"/>
                <w:color w:val="auto"/>
                <w:w w:val="99"/>
              </w:rPr>
              <w:t>3.750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3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Clearway Energy LLC and Clearway Energy Operating LLC Revolving Credit</w:t>
            </w: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14"/>
                <w:szCs w:val="14"/>
                <w:color w:val="auto"/>
              </w:rPr>
            </w:pPr>
          </w:p>
        </w:tc>
        <w:tc>
          <w:tcPr>
            <w:tcW w:w="1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L+1.750</w:t>
            </w:r>
          </w:p>
        </w:tc>
        <w:tc>
          <w:tcPr>
            <w:tcW w:w="18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242424"/>
                <w:w w:val="99"/>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87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Facility, due 2023 </w:t>
            </w:r>
            <w:r>
              <w:rPr>
                <w:rFonts w:ascii="Times New Roman" w:cs="Times New Roman" w:eastAsia="Times New Roman" w:hAnsi="Times New Roman"/>
                <w:sz w:val="21"/>
                <w:szCs w:val="21"/>
                <w:color w:val="auto"/>
                <w:vertAlign w:val="superscript"/>
              </w:rPr>
              <w:t>(b)</w:t>
            </w: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Bridge Loan, due 2022 </w:t>
            </w:r>
            <w:r>
              <w:rPr>
                <w:rFonts w:ascii="Times New Roman" w:cs="Times New Roman" w:eastAsia="Times New Roman" w:hAnsi="Times New Roman"/>
                <w:sz w:val="21"/>
                <w:szCs w:val="21"/>
                <w:color w:val="auto"/>
                <w:vertAlign w:val="superscript"/>
              </w:rPr>
              <w:t>(c)</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S+1.250</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Project-level debt: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Agua Caliente Solar LLC, due 2037</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2.395 - 3.633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Alta Wind Asset Management LLC, due 2031</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L+2.625</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Alta Wind I-V lease financing arrangements, due 2034 and 2035</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5.696 - 7.015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Alta Wind Realty Investments LLC, due 2031</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760" w:type="dxa"/>
            <w:vAlign w:val="bottom"/>
            <w:gridSpan w:val="2"/>
            <w:shd w:val="clear" w:color="auto" w:fill="CCEEFF"/>
          </w:tcPr>
          <w:p>
            <w:pPr>
              <w:jc w:val="center"/>
              <w:ind w:left="1159"/>
              <w:spacing w:after="0"/>
              <w:rPr>
                <w:sz w:val="20"/>
                <w:szCs w:val="20"/>
                <w:color w:val="auto"/>
              </w:rPr>
            </w:pPr>
            <w:r>
              <w:rPr>
                <w:rFonts w:ascii="Times New Roman" w:cs="Times New Roman" w:eastAsia="Times New Roman" w:hAnsi="Times New Roman"/>
                <w:sz w:val="16"/>
                <w:szCs w:val="16"/>
                <w:color w:val="auto"/>
                <w:w w:val="99"/>
              </w:rPr>
              <w:t>7.000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Borrego, due 2024 and 2038</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1760" w:type="dxa"/>
            <w:vAlign w:val="bottom"/>
            <w:gridSpan w:val="2"/>
          </w:tcPr>
          <w:p>
            <w:pPr>
              <w:jc w:val="center"/>
              <w:ind w:left="940"/>
              <w:spacing w:after="0"/>
              <w:rPr>
                <w:sz w:val="20"/>
                <w:szCs w:val="20"/>
                <w:color w:val="auto"/>
              </w:rPr>
            </w:pPr>
            <w:r>
              <w:rPr>
                <w:rFonts w:ascii="Times New Roman" w:cs="Times New Roman" w:eastAsia="Times New Roman" w:hAnsi="Times New Roman"/>
                <w:sz w:val="16"/>
                <w:szCs w:val="16"/>
                <w:color w:val="auto"/>
                <w:w w:val="98"/>
              </w:rPr>
              <w:t>Various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Buckthorn Solar, due 2025</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L+1.750</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Carlsbad Energy Holdings LLC, due 2027</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L+1.750</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Carlsbad Energy Holdings LLC, due 2038</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760" w:type="dxa"/>
            <w:vAlign w:val="bottom"/>
            <w:gridSpan w:val="2"/>
            <w:shd w:val="clear" w:color="auto" w:fill="CCEEFF"/>
          </w:tcPr>
          <w:p>
            <w:pPr>
              <w:jc w:val="center"/>
              <w:ind w:left="1159"/>
              <w:spacing w:after="0"/>
              <w:rPr>
                <w:sz w:val="20"/>
                <w:szCs w:val="20"/>
                <w:color w:val="auto"/>
              </w:rPr>
            </w:pPr>
            <w:r>
              <w:rPr>
                <w:rFonts w:ascii="Times New Roman" w:cs="Times New Roman" w:eastAsia="Times New Roman" w:hAnsi="Times New Roman"/>
                <w:sz w:val="16"/>
                <w:szCs w:val="16"/>
                <w:color w:val="auto"/>
                <w:w w:val="99"/>
              </w:rPr>
              <w:t>4.120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Carlsbad Holdco, due 2038</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760" w:type="dxa"/>
            <w:vAlign w:val="bottom"/>
            <w:gridSpan w:val="2"/>
          </w:tcPr>
          <w:p>
            <w:pPr>
              <w:jc w:val="center"/>
              <w:ind w:left="1159"/>
              <w:spacing w:after="0"/>
              <w:rPr>
                <w:sz w:val="20"/>
                <w:szCs w:val="20"/>
                <w:color w:val="auto"/>
              </w:rPr>
            </w:pPr>
            <w:r>
              <w:rPr>
                <w:rFonts w:ascii="Times New Roman" w:cs="Times New Roman" w:eastAsia="Times New Roman" w:hAnsi="Times New Roman"/>
                <w:sz w:val="16"/>
                <w:szCs w:val="16"/>
                <w:color w:val="auto"/>
                <w:w w:val="99"/>
              </w:rPr>
              <w:t>4.210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CVSR, due 2037</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2.339 - 3.775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CVSR Holdco Notes, due 2037</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760" w:type="dxa"/>
            <w:vAlign w:val="bottom"/>
            <w:gridSpan w:val="2"/>
          </w:tcPr>
          <w:p>
            <w:pPr>
              <w:jc w:val="center"/>
              <w:ind w:left="1159"/>
              <w:spacing w:after="0"/>
              <w:rPr>
                <w:sz w:val="20"/>
                <w:szCs w:val="20"/>
                <w:color w:val="auto"/>
              </w:rPr>
            </w:pPr>
            <w:r>
              <w:rPr>
                <w:rFonts w:ascii="Times New Roman" w:cs="Times New Roman" w:eastAsia="Times New Roman" w:hAnsi="Times New Roman"/>
                <w:sz w:val="16"/>
                <w:szCs w:val="16"/>
                <w:color w:val="auto"/>
                <w:w w:val="99"/>
              </w:rPr>
              <w:t>4.680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13</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DG-CS Master Borrower LLC, due 2040</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760" w:type="dxa"/>
            <w:vAlign w:val="bottom"/>
            <w:gridSpan w:val="2"/>
            <w:shd w:val="clear" w:color="auto" w:fill="CCEEFF"/>
          </w:tcPr>
          <w:p>
            <w:pPr>
              <w:jc w:val="center"/>
              <w:ind w:left="1159"/>
              <w:spacing w:after="0"/>
              <w:rPr>
                <w:sz w:val="20"/>
                <w:szCs w:val="20"/>
                <w:color w:val="auto"/>
              </w:rPr>
            </w:pPr>
            <w:r>
              <w:rPr>
                <w:rFonts w:ascii="Times New Roman" w:cs="Times New Roman" w:eastAsia="Times New Roman" w:hAnsi="Times New Roman"/>
                <w:sz w:val="16"/>
                <w:szCs w:val="16"/>
                <w:color w:val="auto"/>
                <w:w w:val="99"/>
              </w:rPr>
              <w:t>3.510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 Segundo Energy Center, due 2023</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L+1.875 - L+2.500</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Kawailoa Solar Portfolio LLC, due 2026</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L+1.375</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6"/>
        </w:trPr>
        <w:tc>
          <w:tcPr>
            <w:tcW w:w="53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Laredo Ridge, due 2028 </w:t>
            </w:r>
            <w:r>
              <w:rPr>
                <w:rFonts w:ascii="Times New Roman" w:cs="Times New Roman" w:eastAsia="Times New Roman" w:hAnsi="Times New Roman"/>
                <w:sz w:val="21"/>
                <w:szCs w:val="21"/>
                <w:color w:val="auto"/>
                <w:vertAlign w:val="superscript"/>
              </w:rPr>
              <w:t>(d)</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L+2.125</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Marsh Landing, due 2023</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L+2.375</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Mililani I, due 2022 and 2024</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L+1.000 - L+1.250</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2</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NIMH Solar, due 2024</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L+2.000</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Oahu Solar Holdings LLC, due 2026</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L+1.375</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11</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Rosie Class B LLC, due 2027</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L+1.750</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6"/>
        </w:trPr>
        <w:tc>
          <w:tcPr>
            <w:tcW w:w="53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Tapestry Wind LLC, due 2031 </w:t>
            </w:r>
            <w:r>
              <w:rPr>
                <w:rFonts w:ascii="Times New Roman" w:cs="Times New Roman" w:eastAsia="Times New Roman" w:hAnsi="Times New Roman"/>
                <w:sz w:val="21"/>
                <w:szCs w:val="21"/>
                <w:color w:val="auto"/>
                <w:vertAlign w:val="superscript"/>
              </w:rPr>
              <w:t>(d)</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L+1.375</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Utah Solar Holdings, due 2036</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760" w:type="dxa"/>
            <w:vAlign w:val="bottom"/>
            <w:gridSpan w:val="2"/>
            <w:shd w:val="clear" w:color="auto" w:fill="CCEEFF"/>
          </w:tcPr>
          <w:p>
            <w:pPr>
              <w:jc w:val="center"/>
              <w:ind w:left="1159"/>
              <w:spacing w:after="0"/>
              <w:rPr>
                <w:sz w:val="20"/>
                <w:szCs w:val="20"/>
                <w:color w:val="auto"/>
              </w:rPr>
            </w:pPr>
            <w:r>
              <w:rPr>
                <w:rFonts w:ascii="Times New Roman" w:cs="Times New Roman" w:eastAsia="Times New Roman" w:hAnsi="Times New Roman"/>
                <w:sz w:val="16"/>
                <w:szCs w:val="16"/>
                <w:color w:val="auto"/>
                <w:w w:val="99"/>
              </w:rPr>
              <w:t>3.590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6"/>
        </w:trPr>
        <w:tc>
          <w:tcPr>
            <w:tcW w:w="53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Viento Funding II, LLC, due 2023 and 2029 </w:t>
            </w:r>
            <w:r>
              <w:rPr>
                <w:rFonts w:ascii="Times New Roman" w:cs="Times New Roman" w:eastAsia="Times New Roman" w:hAnsi="Times New Roman"/>
                <w:sz w:val="21"/>
                <w:szCs w:val="21"/>
                <w:color w:val="auto"/>
                <w:vertAlign w:val="superscript"/>
              </w:rPr>
              <w:t>(d)</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S+1.475</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26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Walnut Creek, due 2023</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L+1.750</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WCEP Holdings, LLC, due 2023</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L+3.000</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center"/>
              <w:ind w:left="940"/>
              <w:spacing w:after="0"/>
              <w:rPr>
                <w:sz w:val="20"/>
                <w:szCs w:val="20"/>
                <w:color w:val="auto"/>
              </w:rPr>
            </w:pPr>
            <w:r>
              <w:rPr>
                <w:rFonts w:ascii="Times New Roman" w:cs="Times New Roman" w:eastAsia="Times New Roman" w:hAnsi="Times New Roman"/>
                <w:sz w:val="16"/>
                <w:szCs w:val="16"/>
                <w:color w:val="auto"/>
                <w:w w:val="98"/>
              </w:rPr>
              <w:t>Various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07"/>
        </w:trPr>
        <w:tc>
          <w:tcPr>
            <w:tcW w:w="5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Subtotal project-level debt:</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5,073</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debt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7,779</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current maturities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debt issuance costs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Add premiums </w:t>
            </w:r>
            <w:r>
              <w:rPr>
                <w:rFonts w:ascii="Times New Roman" w:cs="Times New Roman" w:eastAsia="Times New Roman" w:hAnsi="Times New Roman"/>
                <w:sz w:val="21"/>
                <w:szCs w:val="21"/>
                <w:color w:val="auto"/>
                <w:vertAlign w:val="superscript"/>
              </w:rPr>
              <w:t>(e)</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long-term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6,939</w:t>
            </w:r>
          </w:p>
        </w:tc>
        <w:tc>
          <w:tcPr>
            <w:tcW w:w="1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firstLine="89"/>
        <w:spacing w:after="0" w:line="228" w:lineRule="auto"/>
        <w:tabs>
          <w:tab w:leader="none" w:pos="234"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As of June 30, 2022, L+ equals 3 month LIBOR plus x%, except Clearway Energy Operating LLC Revolving Credit Facility, due 2023, Marsh Landing, due 2023, Mililani I, due 2022 and 2024, and Walnut Creek, due 2023, where L+ equals 1 month LIBOR plus x%.</w:t>
      </w:r>
    </w:p>
    <w:p>
      <w:pPr>
        <w:ind w:left="240" w:hanging="151"/>
        <w:spacing w:after="0" w:line="237" w:lineRule="auto"/>
        <w:tabs>
          <w:tab w:leader="none" w:pos="24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Applicable rate is determined by the borrower leverage ratio, as defined in the credit agreement.</w:t>
      </w:r>
    </w:p>
    <w:p>
      <w:pPr>
        <w:spacing w:after="0" w:line="30" w:lineRule="exact"/>
        <w:rPr>
          <w:rFonts w:ascii="Times New Roman" w:cs="Times New Roman" w:eastAsia="Times New Roman" w:hAnsi="Times New Roman"/>
          <w:sz w:val="19"/>
          <w:szCs w:val="19"/>
          <w:color w:val="auto"/>
          <w:vertAlign w:val="superscript"/>
        </w:rPr>
      </w:pPr>
    </w:p>
    <w:p>
      <w:pPr>
        <w:ind w:left="240" w:hanging="151"/>
        <w:spacing w:after="0" w:line="189" w:lineRule="auto"/>
        <w:tabs>
          <w:tab w:leader="none" w:pos="24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S+ equals SOFR, plus x%.</w:t>
      </w:r>
    </w:p>
    <w:p>
      <w:pPr>
        <w:spacing w:after="0" w:line="43" w:lineRule="exact"/>
        <w:rPr>
          <w:rFonts w:ascii="Times New Roman" w:cs="Times New Roman" w:eastAsia="Times New Roman" w:hAnsi="Times New Roman"/>
          <w:sz w:val="19"/>
          <w:szCs w:val="19"/>
          <w:color w:val="auto"/>
          <w:vertAlign w:val="superscript"/>
        </w:rPr>
      </w:pPr>
    </w:p>
    <w:p>
      <w:pPr>
        <w:ind w:firstLine="89"/>
        <w:spacing w:after="0" w:line="226" w:lineRule="auto"/>
        <w:tabs>
          <w:tab w:leader="none" w:pos="239"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Laredo Ridge, due 2028; Tapestry Wind, LLC, due 2031; and Viento Funding II, LLC, due 2023 project-level debt were repaid on March 16, 2022 totaling $186 million and was replaced with $190 million in new project-level debt under Viento Funding II, LLC that was obtained on March 16, 2022 and is due in 2029, as discussed further below.</w:t>
      </w:r>
    </w:p>
    <w:p>
      <w:pPr>
        <w:spacing w:after="0" w:line="1" w:lineRule="exact"/>
        <w:rPr>
          <w:rFonts w:ascii="Times New Roman" w:cs="Times New Roman" w:eastAsia="Times New Roman" w:hAnsi="Times New Roman"/>
          <w:sz w:val="19"/>
          <w:szCs w:val="19"/>
          <w:color w:val="auto"/>
          <w:vertAlign w:val="superscript"/>
        </w:rPr>
      </w:pPr>
    </w:p>
    <w:p>
      <w:pPr>
        <w:ind w:left="240" w:hanging="151"/>
        <w:spacing w:after="0" w:line="211" w:lineRule="auto"/>
        <w:tabs>
          <w:tab w:leader="none" w:pos="24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Premiums relate to the 2028 Senior Notes.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7" w:name="page28"/>
    <w:bookmarkEnd w:id="27"/>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financing arrangements listed above contain certain covenants, including financial covenants that the Company is required to be in compliance with during the term of the respective arrangement. As of June 30, 2022, the Company was in compliance with all of the required covenants.</w:t>
      </w:r>
    </w:p>
    <w:p>
      <w:pPr>
        <w:spacing w:after="0" w:line="108" w:lineRule="exact"/>
        <w:rPr>
          <w:sz w:val="20"/>
          <w:szCs w:val="20"/>
          <w:color w:val="auto"/>
        </w:rPr>
      </w:pPr>
    </w:p>
    <w:p>
      <w:pPr>
        <w:ind w:right="1980" w:firstLine="405"/>
        <w:spacing w:after="0" w:line="438" w:lineRule="auto"/>
        <w:rPr>
          <w:sz w:val="20"/>
          <w:szCs w:val="20"/>
          <w:color w:val="auto"/>
        </w:rPr>
      </w:pPr>
      <w:r>
        <w:rPr>
          <w:rFonts w:ascii="Times New Roman" w:cs="Times New Roman" w:eastAsia="Times New Roman" w:hAnsi="Times New Roman"/>
          <w:sz w:val="18"/>
          <w:szCs w:val="18"/>
          <w:color w:val="auto"/>
        </w:rPr>
        <w:t xml:space="preserve">The discussion below describes material changes to or additions of long-term debt for the six months ended June 30, 2022. </w:t>
      </w:r>
      <w:r>
        <w:rPr>
          <w:rFonts w:ascii="Times New Roman" w:cs="Times New Roman" w:eastAsia="Times New Roman" w:hAnsi="Times New Roman"/>
          <w:sz w:val="18"/>
          <w:szCs w:val="18"/>
          <w:b w:val="1"/>
          <w:bCs w:val="1"/>
          <w:i w:val="1"/>
          <w:iCs w:val="1"/>
          <w:color w:val="auto"/>
        </w:rPr>
        <w:t>Clearway Energy LLC and Clearway Energy Operating LLC Revolving Credit Facility</w:t>
      </w:r>
    </w:p>
    <w:p>
      <w:pPr>
        <w:spacing w:after="0" w:line="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June 30, 2022, the Company had no outstanding borrowings under the revolving credit facility and $87 million in letters of credit outstanding. During the six months ended June 30, 2022, the Company borrowed $80 million under the revolving credit facility and repaid $325 million, $305 million of which was repaid on May 3, 2022, utilizing the proceeds received from the Thermal Disposition.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Loan Agreement</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 xml:space="preserve">On May 3, 2022, the Company repaid the $335 million in outstanding borrowings under the Bridge Loan Agreement utilizing proceeds received from the Thermal Disposition,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Project-level Debt</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Mililani I</w:t>
      </w:r>
    </w:p>
    <w:p>
      <w:pPr>
        <w:spacing w:after="0" w:line="17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On March 25, 2022, as part of the acquisition of Mililani I,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the Company assumed the project’s financing agreement which included a $16 million construction loan that converts to a term loan upon completion of construction, $60 million tax equity bridge loan and a $27 million sponsor equity bridge loan. The sponsor equity bridge loan was repaid at acquisition date, utilizing $14 million from the cash equity investor, as well as $15 million of the Company’s acquisition price, which was contributed back by CEG, and $2 million was utilized to pay associated fees. The tax equity bridge loan will be repaid with the final proceeds from the tax equity investor that will be received when Mililani I achieves substantial completion, which is expected to occur in the second half of 2022. Subsequent to the Mililani I acquisition, the Company borrowed an additional $22 million in construction loans. As of June 30, 2022, the Company had $38 million in outstanding construction loans in addition to the $60 million tax equity bridge loan referenced above.</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Viento Funding II, LLC</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March 16, 2022, the Company, through its indirect subsidiary, Viento Funding II, LLC, entered into a financing agreement which included the issuance of a $190 million term loan as well as $35 million in letters of credit, supported by the Company’s interests in the Elkhorn Ridge, Laredo Ridge, San Juan Mesa and Taloga wind projects. The term loan bears annual interest at a rate of SOFR plus a spread of 0.10% and an applicable margin, which is 1.35% per annum through the fourth anniversary of the term loan and 1.50% per annum thereafter through the maturity date of March 16, 2029. The proceeds from the term loan were used to pay off the existing debt in the amount of $186 million related to Laredo Ridge, Tapestry Wind LLC and Viento Funding II, LLC and to pay related financing costs. The Company recorded a loss on debt extinguishment of $2 million to expense unamortized debt issuance costs.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 xml:space="preserve">Note 8 — </w:t>
      </w: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jc w:val="both"/>
        <w:ind w:right="80" w:firstLine="405"/>
        <w:spacing w:after="0" w:line="256" w:lineRule="auto"/>
        <w:rPr>
          <w:sz w:val="20"/>
          <w:szCs w:val="20"/>
          <w:color w:val="auto"/>
        </w:rPr>
      </w:pPr>
      <w:r>
        <w:rPr>
          <w:rFonts w:ascii="Times New Roman" w:cs="Times New Roman" w:eastAsia="Times New Roman" w:hAnsi="Times New Roman"/>
          <w:sz w:val="18"/>
          <w:szCs w:val="18"/>
          <w:color w:val="auto"/>
        </w:rPr>
        <w:t xml:space="preserve">The Company’s segment structure reflects how management currently operates and allocates resources. The Company’s businesses are segregated based on conventional power generation, renewable businesses which consist of solar and wind, and the Thermal Business, which was sold to KKR on May 1, 2022,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net income (loss).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6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6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60" w:type="dxa"/>
            <w:vAlign w:val="bottom"/>
          </w:tcPr>
          <w:p>
            <w:pPr>
              <w:spacing w:after="0"/>
              <w:rPr>
                <w:sz w:val="11"/>
                <w:szCs w:val="11"/>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 xml:space="preserve">Thermal </w:t>
            </w:r>
            <w:r>
              <w:rPr>
                <w:rFonts w:ascii="Times New Roman" w:cs="Times New Roman" w:eastAsia="Times New Roman" w:hAnsi="Times New Roman"/>
                <w:sz w:val="21"/>
                <w:szCs w:val="21"/>
                <w:b w:val="1"/>
                <w:bCs w:val="1"/>
                <w:color w:val="auto"/>
                <w:w w:val="97"/>
                <w:vertAlign w:val="superscript"/>
              </w:rPr>
              <w:t>(a)</w:t>
            </w:r>
          </w:p>
        </w:tc>
        <w:tc>
          <w:tcPr>
            <w:tcW w:w="14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21"/>
                <w:szCs w:val="21"/>
                <w:b w:val="1"/>
                <w:bCs w:val="1"/>
                <w:color w:val="auto"/>
                <w:vertAlign w:val="superscript"/>
              </w:rPr>
              <w:t>(b)</w:t>
            </w:r>
          </w:p>
        </w:tc>
        <w:tc>
          <w:tcPr>
            <w:tcW w:w="260" w:type="dxa"/>
            <w:vAlign w:val="bottom"/>
          </w:tcPr>
          <w:p>
            <w:pPr>
              <w:spacing w:after="0"/>
              <w:rPr>
                <w:sz w:val="11"/>
                <w:szCs w:val="11"/>
                <w:color w:val="auto"/>
              </w:rPr>
            </w:pPr>
          </w:p>
        </w:tc>
        <w:tc>
          <w:tcPr>
            <w:tcW w:w="88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5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176"/>
        </w:trPr>
        <w:tc>
          <w:tcPr>
            <w:tcW w:w="51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shown separately below</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9"/>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Development costs</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29"/>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Assets </w:t>
            </w:r>
            <w:r>
              <w:rPr>
                <w:rFonts w:ascii="Times New Roman" w:cs="Times New Roman" w:eastAsia="Times New Roman" w:hAnsi="Times New Roman"/>
                <w:sz w:val="23"/>
                <w:szCs w:val="23"/>
                <w:b w:val="1"/>
                <w:bCs w:val="1"/>
                <w:color w:val="auto"/>
                <w:vertAlign w:val="superscript"/>
              </w:rPr>
              <w:t>(a)</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140" w:type="dxa"/>
            <w:vAlign w:val="bottom"/>
            <w:vMerge w:val="continue"/>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12,648</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240" w:hanging="151"/>
        <w:spacing w:after="0"/>
        <w:tabs>
          <w:tab w:leader="none" w:pos="24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Thermal Business was sold on May 1, 2022.</w:t>
      </w:r>
    </w:p>
    <w:p>
      <w:pPr>
        <w:spacing w:after="0" w:line="64" w:lineRule="exact"/>
        <w:rPr>
          <w:rFonts w:ascii="Times New Roman" w:cs="Times New Roman" w:eastAsia="Times New Roman" w:hAnsi="Times New Roman"/>
          <w:sz w:val="20"/>
          <w:szCs w:val="20"/>
          <w:color w:val="auto"/>
          <w:vertAlign w:val="superscript"/>
        </w:rPr>
      </w:pPr>
    </w:p>
    <w:p>
      <w:pPr>
        <w:ind w:left="280" w:hanging="191"/>
        <w:spacing w:after="0" w:line="182" w:lineRule="auto"/>
        <w:tabs>
          <w:tab w:leader="none" w:pos="28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eliminations.</w:t>
      </w:r>
    </w:p>
    <w:p>
      <w:pPr>
        <w:spacing w:after="0" w:line="184"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60" w:type="dxa"/>
            <w:vAlign w:val="bottom"/>
            <w:gridSpan w:val="8"/>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6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1"/>
                <w:szCs w:val="11"/>
                <w:color w:val="auto"/>
              </w:rPr>
            </w:pPr>
          </w:p>
        </w:tc>
        <w:tc>
          <w:tcPr>
            <w:tcW w:w="8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175"/>
        </w:trPr>
        <w:tc>
          <w:tcPr>
            <w:tcW w:w="51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shown separately below</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Development costs</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887" w:right="2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6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6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60" w:type="dxa"/>
            <w:vAlign w:val="bottom"/>
          </w:tcPr>
          <w:p>
            <w:pPr>
              <w:spacing w:after="0"/>
              <w:rPr>
                <w:sz w:val="11"/>
                <w:szCs w:val="11"/>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 xml:space="preserve">Thermal </w:t>
            </w:r>
            <w:r>
              <w:rPr>
                <w:rFonts w:ascii="Times New Roman" w:cs="Times New Roman" w:eastAsia="Times New Roman" w:hAnsi="Times New Roman"/>
                <w:sz w:val="21"/>
                <w:szCs w:val="21"/>
                <w:b w:val="1"/>
                <w:bCs w:val="1"/>
                <w:color w:val="auto"/>
                <w:w w:val="97"/>
                <w:vertAlign w:val="superscript"/>
              </w:rPr>
              <w:t>(a)</w:t>
            </w:r>
          </w:p>
        </w:tc>
        <w:tc>
          <w:tcPr>
            <w:tcW w:w="14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21"/>
                <w:szCs w:val="21"/>
                <w:b w:val="1"/>
                <w:bCs w:val="1"/>
                <w:color w:val="auto"/>
                <w:vertAlign w:val="superscript"/>
              </w:rPr>
              <w:t>(b</w:t>
            </w:r>
            <w:r>
              <w:rPr>
                <w:rFonts w:ascii="Times New Roman" w:cs="Times New Roman" w:eastAsia="Times New Roman" w:hAnsi="Times New Roman"/>
                <w:sz w:val="18"/>
                <w:szCs w:val="18"/>
                <w:b w:val="1"/>
                <w:bCs w:val="1"/>
                <w:color w:val="auto"/>
                <w:vertAlign w:val="superscript"/>
              </w:rPr>
              <w:t>)</w:t>
            </w:r>
          </w:p>
        </w:tc>
        <w:tc>
          <w:tcPr>
            <w:tcW w:w="260" w:type="dxa"/>
            <w:vAlign w:val="bottom"/>
          </w:tcPr>
          <w:p>
            <w:pPr>
              <w:spacing w:after="0"/>
              <w:rPr>
                <w:sz w:val="11"/>
                <w:szCs w:val="11"/>
                <w:color w:val="auto"/>
              </w:rPr>
            </w:pPr>
          </w:p>
        </w:tc>
        <w:tc>
          <w:tcPr>
            <w:tcW w:w="88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5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176"/>
        </w:trPr>
        <w:tc>
          <w:tcPr>
            <w:tcW w:w="51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shown separately below</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9"/>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 costs</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229"/>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40" w:hanging="151"/>
        <w:spacing w:after="0"/>
        <w:tabs>
          <w:tab w:leader="none" w:pos="240"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Thermal Business was sold on May 1, 2022.</w:t>
      </w:r>
    </w:p>
    <w:p>
      <w:pPr>
        <w:spacing w:after="0" w:line="64" w:lineRule="exact"/>
        <w:rPr>
          <w:rFonts w:ascii="Times New Roman" w:cs="Times New Roman" w:eastAsia="Times New Roman" w:hAnsi="Times New Roman"/>
          <w:sz w:val="20"/>
          <w:szCs w:val="20"/>
          <w:color w:val="auto"/>
          <w:vertAlign w:val="superscript"/>
        </w:rPr>
      </w:pPr>
    </w:p>
    <w:p>
      <w:pPr>
        <w:ind w:left="280" w:hanging="191"/>
        <w:spacing w:after="0" w:line="182" w:lineRule="auto"/>
        <w:tabs>
          <w:tab w:leader="none" w:pos="28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eliminations.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60" w:type="dxa"/>
            <w:vAlign w:val="bottom"/>
            <w:gridSpan w:val="8"/>
          </w:tcPr>
          <w:p>
            <w:pPr>
              <w:ind w:left="66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6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1"/>
                <w:szCs w:val="11"/>
                <w:color w:val="auto"/>
              </w:rPr>
            </w:pPr>
          </w:p>
        </w:tc>
        <w:tc>
          <w:tcPr>
            <w:tcW w:w="88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175"/>
        </w:trPr>
        <w:tc>
          <w:tcPr>
            <w:tcW w:w="51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shown separately below</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30"/>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 costs</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9"/>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 </w:t>
      </w:r>
      <w:r>
        <w:rPr>
          <w:rFonts w:ascii="Times New Roman" w:cs="Times New Roman" w:eastAsia="Times New Roman" w:hAnsi="Times New Roman"/>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addition to the transactions and relationships described elsewhere in the notes to the consolidated financial statements, certain subsidiaries of CEG provide services to the Company and its project entities.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O&amp;M Services Agreements by and between the Company and Clearway Renewable Operation &amp; Maintenance LLC</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Various wholly-owned subsidiaries of the Company in the Renewables segment are party to services agreements with Clearway Renewable Operation</w:t>
      </w:r>
    </w:p>
    <w:p>
      <w:pPr>
        <w:spacing w:after="0" w:line="39" w:lineRule="exact"/>
        <w:rPr>
          <w:sz w:val="20"/>
          <w:szCs w:val="20"/>
          <w:color w:val="auto"/>
        </w:rPr>
      </w:pPr>
    </w:p>
    <w:p>
      <w:pPr>
        <w:jc w:val="both"/>
        <w:ind w:firstLine="8"/>
        <w:spacing w:after="0" w:line="253" w:lineRule="auto"/>
        <w:tabs>
          <w:tab w:leader="none" w:pos="1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LLC, or RENOM, a wholly-owned subsidiary of CEG, which provides operation and maintenance, or O&amp;M, services to these subsidiaries. The Company incurred total expenses for these services of $15 million and $14 million for the three months ended June 30, 2022 and 2021, respectively. The Company incurred total expenses for these services of $30 million and $27 million for the six months ended June 30, 2022 and 2021, respectively. There was a balance of $9 million due to RENOM as of both June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30" w:name="page31"/>
    <w:bookmarkEnd w:id="30"/>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Agreements by and between the Company and CEG</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Various wholly-owned subsidiaries of the Company are parties to services agreements with Clearway Asset Services LLC and Solar Asset Management LLC, two wholly-owned subsidiaries of CEG, which provide various administrative services to the Company's subsidiaries. The Company incurred expenses under these agreements of $5 million and $4 million for the three months ended June 30, 2022 and 2021, respectively. The Company incurred expenses under these agreements of $8 million and $7 million for the six months ended June 30, 2022 and 2021, respectively. There was a balance of $2 million due to CEG as of both June 30, 2022 and December 31, 2021.</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CEG Master Services Agreements</w:t>
      </w:r>
    </w:p>
    <w:p>
      <w:pPr>
        <w:spacing w:after="0" w:line="175" w:lineRule="exact"/>
        <w:rPr>
          <w:sz w:val="20"/>
          <w:szCs w:val="20"/>
          <w:color w:val="auto"/>
        </w:rPr>
      </w:pPr>
    </w:p>
    <w:p>
      <w:pPr>
        <w:jc w:val="both"/>
        <w:ind w:firstLine="405"/>
        <w:spacing w:after="0" w:line="263" w:lineRule="auto"/>
        <w:rPr>
          <w:sz w:val="20"/>
          <w:szCs w:val="20"/>
          <w:color w:val="auto"/>
        </w:rPr>
      </w:pPr>
      <w:r>
        <w:rPr>
          <w:rFonts w:ascii="Times New Roman" w:cs="Times New Roman" w:eastAsia="Times New Roman" w:hAnsi="Times New Roman"/>
          <w:sz w:val="18"/>
          <w:szCs w:val="18"/>
          <w:color w:val="auto"/>
        </w:rPr>
        <w:t>The Company is a party to Master Services Agreements with CEG, or MSAs, pursuant to which CEG and certain of its affiliates or third-party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The Company incurred net expenses of $1 million under these agreements for both the three months ended June 30, 2022, and 2021. The Company incurred net expenses of $2 million under these agreements for both the six months ended June 30, 2022, and 2021.</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 </w:t>
      </w:r>
      <w:r>
        <w:rPr>
          <w:rFonts w:ascii="Times New Roman" w:cs="Times New Roman" w:eastAsia="Times New Roman" w:hAnsi="Times New Roman"/>
          <w:sz w:val="18"/>
          <w:szCs w:val="18"/>
          <w:b w:val="1"/>
          <w:bCs w:val="1"/>
          <w:i w:val="1"/>
          <w:iCs w:val="1"/>
          <w:color w:val="auto"/>
        </w:rPr>
        <w:t>Contingencies</w:t>
      </w:r>
    </w:p>
    <w:p>
      <w:pPr>
        <w:spacing w:after="0" w:line="173"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This note should be read in conjunction with the complete description under Item 15 —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consolidated financial statements included in the Company’s 2021 Form 10-K.</w:t>
      </w:r>
    </w:p>
    <w:p>
      <w:pPr>
        <w:spacing w:after="0" w:line="10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3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Buckthorn Solar Litigation</w:t>
      </w:r>
    </w:p>
    <w:p>
      <w:pPr>
        <w:spacing w:after="0" w:line="17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The case is currently in discovery and is expected to proceed to trial in June 2023. Buckthorn Westex believes the allegations of Georgetown are meritless, and Buckthorn Westex is vigorously defending its rights under the PPA.</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ind w:right="3160"/>
        <w:spacing w:after="0" w:line="466" w:lineRule="auto"/>
        <w:rPr>
          <w:sz w:val="20"/>
          <w:szCs w:val="20"/>
          <w:color w:val="auto"/>
        </w:rPr>
      </w:pPr>
      <w:r>
        <w:rPr>
          <w:rFonts w:ascii="Times New Roman" w:cs="Times New Roman" w:eastAsia="Times New Roman" w:hAnsi="Times New Roman"/>
          <w:sz w:val="17"/>
          <w:szCs w:val="17"/>
          <w:b w:val="1"/>
          <w:bCs w:val="1"/>
          <w:color w:val="auto"/>
        </w:rPr>
        <w:t xml:space="preserve">ITEM 2 — Management's Discussion and Analysis of Financial Condition and the Results of Operations </w:t>
      </w:r>
      <w:r>
        <w:rPr>
          <w:rFonts w:ascii="Times New Roman" w:cs="Times New Roman" w:eastAsia="Times New Roman" w:hAnsi="Times New Roman"/>
          <w:sz w:val="17"/>
          <w:szCs w:val="17"/>
          <w:color w:val="auto"/>
        </w:rPr>
        <w:t>The following discussion analyzes the Company’s historical financial condition and results of operations.</w:t>
      </w:r>
    </w:p>
    <w:p>
      <w:pPr>
        <w:spacing w:after="0" w:line="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you read this discussion and analysis, refer to the Company’s consolidated financial statements to this Form 10-Q, which present the results of operations for the three and six months ended June 30, 2022 and 2021. Also refer to the Company’s 2021 Form 10-K, which includes detailed discussions of various items impacting the Company’s business, results of operations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discussion and analysis below has been organized as follows:</w:t>
      </w:r>
    </w:p>
    <w:p>
      <w:pPr>
        <w:spacing w:after="0" w:line="117" w:lineRule="exact"/>
        <w:rPr>
          <w:sz w:val="20"/>
          <w:szCs w:val="20"/>
          <w:color w:val="auto"/>
        </w:rPr>
      </w:pPr>
    </w:p>
    <w:p>
      <w:pPr>
        <w:ind w:left="980" w:right="80"/>
        <w:spacing w:after="0" w:line="281" w:lineRule="auto"/>
        <w:tabs>
          <w:tab w:leader="none" w:pos="1299"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Executive Summary, including a description of the business and significant events that are important to understanding the results of operations and financial condition;</w:t>
      </w:r>
    </w:p>
    <w:p>
      <w:pPr>
        <w:spacing w:after="0" w:line="1" w:lineRule="exact"/>
        <w:rPr>
          <w:rFonts w:ascii="Times New Roman" w:cs="Times New Roman" w:eastAsia="Times New Roman" w:hAnsi="Times New Roman"/>
          <w:sz w:val="18"/>
          <w:szCs w:val="18"/>
          <w:color w:val="231F20"/>
        </w:rPr>
      </w:pPr>
    </w:p>
    <w:p>
      <w:pPr>
        <w:ind w:left="980" w:right="80"/>
        <w:spacing w:after="0" w:line="281" w:lineRule="auto"/>
        <w:tabs>
          <w:tab w:leader="none" w:pos="129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Results of operations, including an explanation of significant differences between the periods in the specific line items of the consolidated statements of income;</w:t>
      </w:r>
    </w:p>
    <w:p>
      <w:pPr>
        <w:spacing w:after="0" w:line="1" w:lineRule="exact"/>
        <w:rPr>
          <w:rFonts w:ascii="Times New Roman" w:cs="Times New Roman" w:eastAsia="Times New Roman" w:hAnsi="Times New Roman"/>
          <w:sz w:val="18"/>
          <w:szCs w:val="18"/>
          <w:color w:val="auto"/>
        </w:rPr>
      </w:pPr>
    </w:p>
    <w:p>
      <w:pPr>
        <w:ind w:left="980" w:right="100"/>
        <w:spacing w:after="0" w:line="281" w:lineRule="auto"/>
        <w:tabs>
          <w:tab w:leader="none" w:pos="1299"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Financial condition addressing liquidity position, sources and uses of cash, capital resources and requirements, commitments and off-balance sheet arrangements;</w:t>
      </w:r>
    </w:p>
    <w:p>
      <w:pPr>
        <w:spacing w:after="0" w:line="1" w:lineRule="exact"/>
        <w:rPr>
          <w:rFonts w:ascii="Times New Roman" w:cs="Times New Roman" w:eastAsia="Times New Roman" w:hAnsi="Times New Roman"/>
          <w:sz w:val="18"/>
          <w:szCs w:val="18"/>
          <w:color w:val="231F20"/>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Known trends that may affect the Company’s results of operations and financial condition in the future; and</w:t>
      </w:r>
    </w:p>
    <w:p>
      <w:pPr>
        <w:spacing w:after="0" w:line="63" w:lineRule="exact"/>
        <w:rPr>
          <w:rFonts w:ascii="Times New Roman" w:cs="Times New Roman" w:eastAsia="Times New Roman" w:hAnsi="Times New Roman"/>
          <w:sz w:val="18"/>
          <w:szCs w:val="18"/>
          <w:color w:val="231F20"/>
        </w:rPr>
      </w:pPr>
    </w:p>
    <w:p>
      <w:pPr>
        <w:ind w:left="980" w:right="80"/>
        <w:spacing w:after="0" w:line="282" w:lineRule="auto"/>
        <w:tabs>
          <w:tab w:leader="none" w:pos="129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 and Overview</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Clearway Energy LLC, together with its consolidated subsidiaries, or the Company, is an energy infrastructure investor in and owner of modern, sustainable and long-term contracted assets across North America. The Company is indirectly owned by Global Infrastructure Partners, or GIP. GIP is an independent infrastructure fund manager that makes equity and debt investments in infrastructure assets and businesses. The Company is sponsored by GIP through GIP's portfolio company, Clearway Energy Group LLC, or CEG. On May 25, 2022, TotalEnergies entered into an agreement to acquire 50% of GIP’s interest in CEG. The closing of the transaction is subject to customary conditions, including regulatory approvals, and is expected to close in the second half of 2022.</w:t>
      </w:r>
    </w:p>
    <w:p>
      <w:pPr>
        <w:spacing w:after="0" w:line="13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Company is one of the largest renewable energy owners in the U.S. with over 5,000 net MW of installed wind and solar generation projects. The Company’s over 7,500 net MW of assets also includes approximately 2,500 net MW of environmentally-sound, highly efficient natural gas-fired generation facilities. Through this environmentally-sound, diversified and primarily contracted portfolio, the Company endeavors to increase distributions to its unit holders. Substantially all of the Company’s generation assets are under long-term contractual arrangements for the output or capacity from these assets. The weighted average remaining contract duration of these offtake agreements was approximately 11 years </w:t>
      </w:r>
      <w:r>
        <w:rPr>
          <w:rFonts w:ascii="Times New Roman" w:cs="Times New Roman" w:eastAsia="Times New Roman" w:hAnsi="Times New Roman"/>
          <w:sz w:val="18"/>
          <w:szCs w:val="18"/>
          <w:color w:val="231F20"/>
        </w:rPr>
        <w:t>as of</w:t>
      </w:r>
      <w:r>
        <w:rPr>
          <w:rFonts w:ascii="Times New Roman" w:cs="Times New Roman" w:eastAsia="Times New Roman" w:hAnsi="Times New Roman"/>
          <w:sz w:val="18"/>
          <w:szCs w:val="18"/>
          <w:color w:val="auto"/>
        </w:rPr>
        <w:t xml:space="preserve"> June 30, 2022 </w:t>
      </w:r>
      <w:r>
        <w:rPr>
          <w:rFonts w:ascii="Times New Roman" w:cs="Times New Roman" w:eastAsia="Times New Roman" w:hAnsi="Times New Roman"/>
          <w:sz w:val="18"/>
          <w:szCs w:val="18"/>
          <w:color w:val="231F20"/>
        </w:rPr>
        <w:t>based on CAFD.</w:t>
      </w:r>
    </w:p>
    <w:p>
      <w:pPr>
        <w:spacing w:after="0" w:line="12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 xml:space="preserve">On May 1, 2022, the Company completed the sale of 100% of its interests in the Thermal Business to KKR. For further details of the Thermal Disposition, refer to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2022, the Company’s operating assets are comprised of the following projects: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2640" w:type="dxa"/>
            <w:vAlign w:val="bottom"/>
          </w:tcPr>
          <w:p>
            <w:pPr>
              <w:ind w:left="17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940" w:type="dxa"/>
            <w:vAlign w:val="bottom"/>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Net Capacity</w:t>
            </w:r>
          </w:p>
        </w:tc>
        <w:tc>
          <w:tcPr>
            <w:tcW w:w="264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58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0" w:type="dxa"/>
            <w:vAlign w:val="bottom"/>
          </w:tcPr>
          <w:p>
            <w:pPr>
              <w:spacing w:after="0"/>
              <w:rPr>
                <w:sz w:val="1"/>
                <w:szCs w:val="1"/>
                <w:color w:val="auto"/>
              </w:rPr>
            </w:pPr>
          </w:p>
        </w:tc>
      </w:tr>
      <w:tr>
        <w:trPr>
          <w:trHeight w:val="234"/>
        </w:trPr>
        <w:tc>
          <w:tcPr>
            <w:tcW w:w="2220" w:type="dxa"/>
            <w:vAlign w:val="bottom"/>
            <w:vMerge w:val="continue"/>
          </w:tcPr>
          <w:p>
            <w:pPr>
              <w:spacing w:after="0"/>
              <w:rPr>
                <w:sz w:val="20"/>
                <w:szCs w:val="20"/>
                <w:color w:val="auto"/>
              </w:rPr>
            </w:pPr>
          </w:p>
        </w:tc>
        <w:tc>
          <w:tcPr>
            <w:tcW w:w="2640" w:type="dxa"/>
            <w:vAlign w:val="bottom"/>
          </w:tcPr>
          <w:p>
            <w:pPr>
              <w:ind w:left="170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940" w:type="dxa"/>
            <w:vAlign w:val="bottom"/>
          </w:tcPr>
          <w:p>
            <w:pPr>
              <w:jc w:val="center"/>
              <w:ind w:right="608"/>
              <w:spacing w:after="0" w:line="234" w:lineRule="exact"/>
              <w:rPr>
                <w:sz w:val="20"/>
                <w:szCs w:val="20"/>
                <w:color w:val="auto"/>
              </w:rPr>
            </w:pPr>
            <w:r>
              <w:rPr>
                <w:rFonts w:ascii="Times New Roman" w:cs="Times New Roman" w:eastAsia="Times New Roman" w:hAnsi="Times New Roman"/>
                <w:sz w:val="14"/>
                <w:szCs w:val="14"/>
                <w:b w:val="1"/>
                <w:bCs w:val="1"/>
                <w:color w:val="auto"/>
                <w:w w:val="95"/>
              </w:rPr>
              <w:t xml:space="preserve">(MW) </w:t>
            </w:r>
            <w:r>
              <w:rPr>
                <w:rFonts w:ascii="Times New Roman" w:cs="Times New Roman" w:eastAsia="Times New Roman" w:hAnsi="Times New Roman"/>
                <w:sz w:val="21"/>
                <w:szCs w:val="21"/>
                <w:b w:val="1"/>
                <w:bCs w:val="1"/>
                <w:color w:val="auto"/>
                <w:w w:val="95"/>
                <w:vertAlign w:val="superscript"/>
              </w:rPr>
              <w:t>(a)</w:t>
            </w:r>
          </w:p>
        </w:tc>
        <w:tc>
          <w:tcPr>
            <w:tcW w:w="2640" w:type="dxa"/>
            <w:vAlign w:val="bottom"/>
            <w:vMerge w:val="continue"/>
          </w:tcPr>
          <w:p>
            <w:pPr>
              <w:spacing w:after="0"/>
              <w:rPr>
                <w:sz w:val="20"/>
                <w:szCs w:val="20"/>
                <w:color w:val="auto"/>
              </w:rPr>
            </w:pP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Conventional</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Carlsbad</w:t>
            </w:r>
          </w:p>
        </w:tc>
        <w:tc>
          <w:tcPr>
            <w:tcW w:w="2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San Diego Gas &amp; Electric</w:t>
            </w:r>
          </w:p>
        </w:tc>
        <w:tc>
          <w:tcPr>
            <w:tcW w:w="2180" w:type="dxa"/>
            <w:vAlign w:val="bottom"/>
          </w:tcPr>
          <w:p>
            <w:pPr>
              <w:jc w:val="center"/>
              <w:ind w:left="1048"/>
              <w:spacing w:after="0"/>
              <w:rPr>
                <w:sz w:val="20"/>
                <w:szCs w:val="20"/>
                <w:color w:val="auto"/>
              </w:rPr>
            </w:pPr>
            <w:r>
              <w:rPr>
                <w:rFonts w:ascii="Times New Roman" w:cs="Times New Roman" w:eastAsia="Times New Roman" w:hAnsi="Times New Roman"/>
                <w:sz w:val="14"/>
                <w:szCs w:val="14"/>
                <w:color w:val="auto"/>
              </w:rPr>
              <w:t>2038</w:t>
            </w:r>
          </w:p>
        </w:tc>
      </w:tr>
      <w:tr>
        <w:trPr>
          <w:trHeight w:val="20"/>
        </w:trPr>
        <w:tc>
          <w:tcPr>
            <w:tcW w:w="2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03"/>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El Segundo</w:t>
            </w:r>
          </w:p>
        </w:tc>
        <w:tc>
          <w:tcPr>
            <w:tcW w:w="2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2180" w:type="dxa"/>
            <w:vAlign w:val="bottom"/>
            <w:shd w:val="clear" w:color="auto" w:fill="CCEEFF"/>
          </w:tcPr>
          <w:p>
            <w:pPr>
              <w:jc w:val="center"/>
              <w:ind w:left="1048"/>
              <w:spacing w:after="0"/>
              <w:rPr>
                <w:sz w:val="20"/>
                <w:szCs w:val="20"/>
                <w:color w:val="auto"/>
              </w:rPr>
            </w:pPr>
            <w:r>
              <w:rPr>
                <w:rFonts w:ascii="Times New Roman" w:cs="Times New Roman" w:eastAsia="Times New Roman" w:hAnsi="Times New Roman"/>
                <w:sz w:val="14"/>
                <w:szCs w:val="14"/>
                <w:color w:val="auto"/>
              </w:rPr>
              <w:t>2023</w:t>
            </w:r>
          </w:p>
        </w:tc>
      </w:tr>
      <w:tr>
        <w:trPr>
          <w:trHeight w:val="195"/>
        </w:trPr>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GenConn Devon</w:t>
            </w:r>
          </w:p>
        </w:tc>
        <w:tc>
          <w:tcPr>
            <w:tcW w:w="2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2180" w:type="dxa"/>
            <w:vAlign w:val="bottom"/>
          </w:tcPr>
          <w:p>
            <w:pPr>
              <w:jc w:val="center"/>
              <w:ind w:left="1048"/>
              <w:spacing w:after="0"/>
              <w:rPr>
                <w:sz w:val="20"/>
                <w:szCs w:val="20"/>
                <w:color w:val="auto"/>
              </w:rPr>
            </w:pPr>
            <w:r>
              <w:rPr>
                <w:rFonts w:ascii="Times New Roman" w:cs="Times New Roman" w:eastAsia="Times New Roman" w:hAnsi="Times New Roman"/>
                <w:sz w:val="14"/>
                <w:szCs w:val="14"/>
                <w:color w:val="auto"/>
              </w:rPr>
              <w:t>2040</w:t>
            </w:r>
          </w:p>
        </w:tc>
      </w:tr>
      <w:tr>
        <w:trPr>
          <w:trHeight w:val="210"/>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GenConn Middletown</w:t>
            </w:r>
          </w:p>
        </w:tc>
        <w:tc>
          <w:tcPr>
            <w:tcW w:w="2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2180" w:type="dxa"/>
            <w:vAlign w:val="bottom"/>
            <w:shd w:val="clear" w:color="auto" w:fill="CCEEFF"/>
          </w:tcPr>
          <w:p>
            <w:pPr>
              <w:jc w:val="center"/>
              <w:ind w:left="1048"/>
              <w:spacing w:after="0"/>
              <w:rPr>
                <w:sz w:val="20"/>
                <w:szCs w:val="20"/>
                <w:color w:val="auto"/>
              </w:rPr>
            </w:pPr>
            <w:r>
              <w:rPr>
                <w:rFonts w:ascii="Times New Roman" w:cs="Times New Roman" w:eastAsia="Times New Roman" w:hAnsi="Times New Roman"/>
                <w:sz w:val="14"/>
                <w:szCs w:val="14"/>
                <w:color w:val="auto"/>
              </w:rPr>
              <w:t>2041</w:t>
            </w:r>
          </w:p>
        </w:tc>
      </w:tr>
      <w:tr>
        <w:trPr>
          <w:trHeight w:val="195"/>
        </w:trPr>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Marsh Landing</w:t>
            </w:r>
          </w:p>
        </w:tc>
        <w:tc>
          <w:tcPr>
            <w:tcW w:w="2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2180" w:type="dxa"/>
            <w:vAlign w:val="bottom"/>
          </w:tcPr>
          <w:p>
            <w:pPr>
              <w:jc w:val="center"/>
              <w:ind w:left="1048"/>
              <w:spacing w:after="0"/>
              <w:rPr>
                <w:sz w:val="20"/>
                <w:szCs w:val="20"/>
                <w:color w:val="auto"/>
              </w:rPr>
            </w:pPr>
            <w:r>
              <w:rPr>
                <w:rFonts w:ascii="Times New Roman" w:cs="Times New Roman" w:eastAsia="Times New Roman" w:hAnsi="Times New Roman"/>
                <w:sz w:val="14"/>
                <w:szCs w:val="14"/>
                <w:color w:val="auto"/>
              </w:rPr>
              <w:t>2023 - 2030</w:t>
            </w:r>
          </w:p>
        </w:tc>
      </w:tr>
      <w:tr>
        <w:trPr>
          <w:trHeight w:val="203"/>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Walnut Creek</w:t>
            </w:r>
          </w:p>
        </w:tc>
        <w:tc>
          <w:tcPr>
            <w:tcW w:w="2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2180" w:type="dxa"/>
            <w:vAlign w:val="bottom"/>
            <w:shd w:val="clear" w:color="auto" w:fill="CCEEFF"/>
          </w:tcPr>
          <w:p>
            <w:pPr>
              <w:jc w:val="center"/>
              <w:ind w:left="1048"/>
              <w:spacing w:after="0"/>
              <w:rPr>
                <w:sz w:val="20"/>
                <w:szCs w:val="20"/>
                <w:color w:val="auto"/>
              </w:rPr>
            </w:pPr>
            <w:r>
              <w:rPr>
                <w:rFonts w:ascii="Times New Roman" w:cs="Times New Roman" w:eastAsia="Times New Roman" w:hAnsi="Times New Roman"/>
                <w:sz w:val="14"/>
                <w:szCs w:val="14"/>
                <w:color w:val="auto"/>
              </w:rPr>
              <w:t>2023 - 2026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Total Conventional</w:t>
            </w:r>
          </w:p>
        </w:tc>
        <w:tc>
          <w:tcPr>
            <w:tcW w:w="1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30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Utility Scale Solar</w:t>
            </w:r>
          </w:p>
        </w:tc>
        <w:tc>
          <w:tcPr>
            <w:tcW w:w="1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195"/>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Agua Caliente</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2039</w:t>
            </w:r>
          </w:p>
        </w:tc>
      </w:tr>
      <w:tr>
        <w:trPr>
          <w:trHeight w:val="21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Alpine</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2033</w:t>
            </w:r>
          </w:p>
        </w:tc>
      </w:tr>
      <w:tr>
        <w:trPr>
          <w:trHeight w:val="195"/>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Avenal</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2031</w:t>
            </w:r>
          </w:p>
        </w:tc>
      </w:tr>
      <w:tr>
        <w:trPr>
          <w:trHeight w:val="21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Avra Valley</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Tucson Electric Power</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2032</w:t>
            </w:r>
          </w:p>
        </w:tc>
      </w:tr>
      <w:tr>
        <w:trPr>
          <w:trHeight w:val="195"/>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Blythe</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21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2029</w:t>
            </w:r>
          </w:p>
        </w:tc>
      </w:tr>
      <w:tr>
        <w:trPr>
          <w:trHeight w:val="21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Borrego</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San Diego Gas and Electric</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2038</w:t>
            </w:r>
          </w:p>
        </w:tc>
      </w:tr>
      <w:tr>
        <w:trPr>
          <w:trHeight w:val="230"/>
        </w:trPr>
        <w:tc>
          <w:tcPr>
            <w:tcW w:w="334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Buckthorn Solar </w:t>
            </w:r>
            <w:r>
              <w:rPr>
                <w:rFonts w:ascii="Times New Roman" w:cs="Times New Roman" w:eastAsia="Times New Roman" w:hAnsi="Times New Roman"/>
                <w:sz w:val="21"/>
                <w:szCs w:val="21"/>
                <w:color w:val="auto"/>
                <w:vertAlign w:val="superscript"/>
              </w:rPr>
              <w:t>(b)</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City of Georgetown, TX</w:t>
            </w:r>
          </w:p>
        </w:tc>
        <w:tc>
          <w:tcPr>
            <w:tcW w:w="21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2043</w:t>
            </w:r>
          </w:p>
        </w:tc>
      </w:tr>
      <w:tr>
        <w:trPr>
          <w:trHeight w:val="203"/>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CVSR</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2038</w:t>
            </w:r>
          </w:p>
        </w:tc>
      </w:tr>
      <w:tr>
        <w:trPr>
          <w:trHeight w:val="195"/>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Desert Sunlight 250</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21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2034</w:t>
            </w:r>
          </w:p>
        </w:tc>
      </w:tr>
      <w:tr>
        <w:trPr>
          <w:trHeight w:val="21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Desert Sunlight 300</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2039</w:t>
            </w:r>
          </w:p>
        </w:tc>
      </w:tr>
      <w:tr>
        <w:trPr>
          <w:trHeight w:val="195"/>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Kansas South</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2033</w:t>
            </w:r>
          </w:p>
        </w:tc>
      </w:tr>
      <w:tr>
        <w:trPr>
          <w:trHeight w:val="210"/>
        </w:trPr>
        <w:tc>
          <w:tcPr>
            <w:tcW w:w="3340" w:type="dxa"/>
            <w:vAlign w:val="bottom"/>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Kawailoa </w:t>
            </w:r>
            <w:r>
              <w:rPr>
                <w:rFonts w:ascii="Times New Roman" w:cs="Times New Roman" w:eastAsia="Times New Roman" w:hAnsi="Times New Roman"/>
                <w:sz w:val="21"/>
                <w:szCs w:val="21"/>
                <w:color w:val="auto"/>
                <w:vertAlign w:val="superscript"/>
              </w:rPr>
              <w:t>(b)</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2041</w:t>
            </w:r>
          </w:p>
        </w:tc>
      </w:tr>
      <w:tr>
        <w:trPr>
          <w:trHeight w:val="230"/>
        </w:trPr>
        <w:tc>
          <w:tcPr>
            <w:tcW w:w="334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Oahu Solar Projects </w:t>
            </w:r>
            <w:r>
              <w:rPr>
                <w:rFonts w:ascii="Times New Roman" w:cs="Times New Roman" w:eastAsia="Times New Roman" w:hAnsi="Times New Roman"/>
                <w:sz w:val="21"/>
                <w:szCs w:val="21"/>
                <w:color w:val="auto"/>
                <w:vertAlign w:val="superscript"/>
              </w:rPr>
              <w:t>(b)</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21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2041</w:t>
            </w:r>
          </w:p>
        </w:tc>
      </w:tr>
      <w:tr>
        <w:trPr>
          <w:trHeight w:val="203"/>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Roadrunner</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El Paso Electric</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2031</w:t>
            </w:r>
          </w:p>
        </w:tc>
      </w:tr>
      <w:tr>
        <w:trPr>
          <w:trHeight w:val="230"/>
        </w:trPr>
        <w:tc>
          <w:tcPr>
            <w:tcW w:w="334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Rosamond Central </w:t>
            </w:r>
            <w:r>
              <w:rPr>
                <w:rFonts w:ascii="Times New Roman" w:cs="Times New Roman" w:eastAsia="Times New Roman" w:hAnsi="Times New Roman"/>
                <w:sz w:val="21"/>
                <w:szCs w:val="21"/>
                <w:color w:val="auto"/>
                <w:vertAlign w:val="superscript"/>
              </w:rPr>
              <w:t>(b)</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21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2035 - 2047</w:t>
            </w:r>
          </w:p>
        </w:tc>
      </w:tr>
      <w:tr>
        <w:trPr>
          <w:trHeight w:val="203"/>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 High Desert</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2033</w:t>
            </w:r>
          </w:p>
        </w:tc>
      </w:tr>
      <w:tr>
        <w:trPr>
          <w:trHeight w:val="196"/>
        </w:trPr>
        <w:tc>
          <w:tcPr>
            <w:tcW w:w="3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Utah Solar Portfolio</w:t>
            </w:r>
          </w:p>
        </w:tc>
        <w:tc>
          <w:tcPr>
            <w:tcW w:w="164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3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PacifiCorp</w:t>
            </w:r>
          </w:p>
        </w:tc>
        <w:tc>
          <w:tcPr>
            <w:tcW w:w="2160" w:type="dxa"/>
            <w:vAlign w:val="bottom"/>
            <w:tcBorders>
              <w:bottom w:val="single" w:sz="8" w:color="CCEEFF"/>
            </w:tcBorders>
          </w:tcPr>
          <w:p>
            <w:pPr>
              <w:jc w:val="center"/>
              <w:ind w:left="1028"/>
              <w:spacing w:after="0"/>
              <w:rPr>
                <w:sz w:val="20"/>
                <w:szCs w:val="20"/>
                <w:color w:val="auto"/>
              </w:rPr>
            </w:pPr>
            <w:r>
              <w:rPr>
                <w:rFonts w:ascii="Times New Roman" w:cs="Times New Roman" w:eastAsia="Times New Roman" w:hAnsi="Times New Roman"/>
                <w:sz w:val="14"/>
                <w:szCs w:val="14"/>
                <w:color w:val="auto"/>
              </w:rPr>
              <w:t>2036</w:t>
            </w:r>
          </w:p>
        </w:tc>
      </w:tr>
      <w:tr>
        <w:trPr>
          <w:trHeight w:val="203"/>
        </w:trPr>
        <w:tc>
          <w:tcPr>
            <w:tcW w:w="3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Total Utility Scale Solar</w:t>
            </w:r>
          </w:p>
        </w:tc>
        <w:tc>
          <w:tcPr>
            <w:tcW w:w="16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30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r>
      <w:tr>
        <w:trPr>
          <w:trHeight w:val="215"/>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Distributed Solar</w:t>
            </w:r>
          </w:p>
        </w:tc>
        <w:tc>
          <w:tcPr>
            <w:tcW w:w="1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03"/>
        </w:trPr>
        <w:tc>
          <w:tcPr>
            <w:tcW w:w="3340" w:type="dxa"/>
            <w:vAlign w:val="bottom"/>
            <w:shd w:val="clear" w:color="auto" w:fill="CCEEFF"/>
          </w:tcPr>
          <w:p>
            <w:pPr>
              <w:ind w:left="120"/>
              <w:spacing w:after="0" w:line="204" w:lineRule="exact"/>
              <w:rPr>
                <w:sz w:val="20"/>
                <w:szCs w:val="20"/>
                <w:color w:val="auto"/>
              </w:rPr>
            </w:pPr>
            <w:r>
              <w:rPr>
                <w:rFonts w:ascii="Times New Roman" w:cs="Times New Roman" w:eastAsia="Times New Roman" w:hAnsi="Times New Roman"/>
                <w:sz w:val="14"/>
                <w:szCs w:val="14"/>
                <w:color w:val="auto"/>
              </w:rPr>
              <w:t xml:space="preserve">DGPV Fund Projects </w:t>
            </w:r>
            <w:r>
              <w:rPr>
                <w:rFonts w:ascii="Times New Roman" w:cs="Times New Roman" w:eastAsia="Times New Roman" w:hAnsi="Times New Roman"/>
                <w:sz w:val="21"/>
                <w:szCs w:val="21"/>
                <w:color w:val="auto"/>
                <w:vertAlign w:val="superscript"/>
              </w:rPr>
              <w:t>(b)</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2030 - 2044</w:t>
            </w:r>
          </w:p>
        </w:tc>
      </w:tr>
      <w:tr>
        <w:trPr>
          <w:trHeight w:val="195"/>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Solar Power Partners (SPP) Projects</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21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2026 - 2037</w:t>
            </w:r>
          </w:p>
        </w:tc>
      </w:tr>
      <w:tr>
        <w:trPr>
          <w:trHeight w:val="21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DG Projects</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2023 -2039</w:t>
            </w:r>
          </w:p>
        </w:tc>
      </w:tr>
      <w:tr>
        <w:trPr>
          <w:trHeight w:val="194"/>
        </w:trPr>
        <w:tc>
          <w:tcPr>
            <w:tcW w:w="3340" w:type="dxa"/>
            <w:vAlign w:val="bottom"/>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Total Distributed Solar</w:t>
            </w:r>
          </w:p>
        </w:tc>
        <w:tc>
          <w:tcPr>
            <w:tcW w:w="16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3040" w:type="dxa"/>
            <w:vAlign w:val="bottom"/>
          </w:tcPr>
          <w:p>
            <w:pPr>
              <w:spacing w:after="0"/>
              <w:rPr>
                <w:sz w:val="16"/>
                <w:szCs w:val="16"/>
                <w:color w:val="auto"/>
              </w:rPr>
            </w:pPr>
          </w:p>
        </w:tc>
        <w:tc>
          <w:tcPr>
            <w:tcW w:w="21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tbl>
      <w:tblPr>
        <w:tblLayout w:type="fixed"/>
        <w:tblInd w:w="20" w:type="dxa"/>
        <w:tblCellMar>
          <w:top w:w="0" w:type="dxa"/>
          <w:left w:w="0" w:type="dxa"/>
          <w:bottom w:w="0" w:type="dxa"/>
          <w:right w:w="0" w:type="dxa"/>
        </w:tblCellMar>
      </w:tblPr>
      <w:tr>
        <w:trPr>
          <w:trHeight w:val="161"/>
        </w:trPr>
        <w:tc>
          <w:tcPr>
            <w:tcW w:w="2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2620" w:type="dxa"/>
            <w:vAlign w:val="bottom"/>
          </w:tcPr>
          <w:p>
            <w:pPr>
              <w:ind w:left="17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940" w:type="dxa"/>
            <w:vAlign w:val="bottom"/>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Net Capacity</w:t>
            </w:r>
          </w:p>
        </w:tc>
        <w:tc>
          <w:tcPr>
            <w:tcW w:w="266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58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0" w:type="dxa"/>
            <w:vAlign w:val="bottom"/>
          </w:tcPr>
          <w:p>
            <w:pPr>
              <w:spacing w:after="0"/>
              <w:rPr>
                <w:sz w:val="1"/>
                <w:szCs w:val="1"/>
                <w:color w:val="auto"/>
              </w:rPr>
            </w:pPr>
          </w:p>
        </w:tc>
      </w:tr>
      <w:tr>
        <w:trPr>
          <w:trHeight w:val="234"/>
        </w:trPr>
        <w:tc>
          <w:tcPr>
            <w:tcW w:w="2220" w:type="dxa"/>
            <w:vAlign w:val="bottom"/>
            <w:vMerge w:val="continue"/>
          </w:tcPr>
          <w:p>
            <w:pPr>
              <w:spacing w:after="0"/>
              <w:rPr>
                <w:sz w:val="20"/>
                <w:szCs w:val="20"/>
                <w:color w:val="auto"/>
              </w:rPr>
            </w:pPr>
          </w:p>
        </w:tc>
        <w:tc>
          <w:tcPr>
            <w:tcW w:w="2620" w:type="dxa"/>
            <w:vAlign w:val="bottom"/>
          </w:tcPr>
          <w:p>
            <w:pPr>
              <w:ind w:left="170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940" w:type="dxa"/>
            <w:vAlign w:val="bottom"/>
          </w:tcPr>
          <w:p>
            <w:pPr>
              <w:jc w:val="center"/>
              <w:ind w:right="588"/>
              <w:spacing w:after="0" w:line="234" w:lineRule="exact"/>
              <w:rPr>
                <w:sz w:val="20"/>
                <w:szCs w:val="20"/>
                <w:color w:val="auto"/>
              </w:rPr>
            </w:pPr>
            <w:r>
              <w:rPr>
                <w:rFonts w:ascii="Times New Roman" w:cs="Times New Roman" w:eastAsia="Times New Roman" w:hAnsi="Times New Roman"/>
                <w:sz w:val="14"/>
                <w:szCs w:val="14"/>
                <w:b w:val="1"/>
                <w:bCs w:val="1"/>
                <w:color w:val="auto"/>
                <w:w w:val="92"/>
              </w:rPr>
              <w:t xml:space="preserve">(MW) </w:t>
            </w:r>
            <w:r>
              <w:rPr>
                <w:rFonts w:ascii="Times New Roman" w:cs="Times New Roman" w:eastAsia="Times New Roman" w:hAnsi="Times New Roman"/>
                <w:sz w:val="21"/>
                <w:szCs w:val="21"/>
                <w:b w:val="1"/>
                <w:bCs w:val="1"/>
                <w:color w:val="auto"/>
                <w:w w:val="92"/>
                <w:vertAlign w:val="superscript"/>
              </w:rPr>
              <w:t>(a)</w:t>
            </w:r>
          </w:p>
        </w:tc>
        <w:tc>
          <w:tcPr>
            <w:tcW w:w="2660" w:type="dxa"/>
            <w:vAlign w:val="bottom"/>
            <w:vMerge w:val="continue"/>
          </w:tcPr>
          <w:p>
            <w:pPr>
              <w:spacing w:after="0"/>
              <w:rPr>
                <w:sz w:val="20"/>
                <w:szCs w:val="20"/>
                <w:color w:val="auto"/>
              </w:rPr>
            </w:pP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Wind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Alta I</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SCE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Alta II</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SCE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95"/>
        </w:trPr>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Alta III</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SCE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Alta IV</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SCE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95"/>
        </w:trPr>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Alta V</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SCE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Alta X </w:t>
            </w:r>
            <w:r>
              <w:rPr>
                <w:rFonts w:ascii="Times New Roman" w:cs="Times New Roman" w:eastAsia="Times New Roman" w:hAnsi="Times New Roman"/>
                <w:sz w:val="21"/>
                <w:szCs w:val="21"/>
                <w:color w:val="auto"/>
                <w:vertAlign w:val="superscript"/>
              </w:rPr>
              <w:t>(b)</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SCE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29"/>
        </w:trPr>
        <w:tc>
          <w:tcPr>
            <w:tcW w:w="324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Alta XI </w:t>
            </w:r>
            <w:r>
              <w:rPr>
                <w:rFonts w:ascii="Times New Roman" w:cs="Times New Roman" w:eastAsia="Times New Roman" w:hAnsi="Times New Roman"/>
                <w:sz w:val="21"/>
                <w:szCs w:val="21"/>
                <w:color w:val="auto"/>
                <w:vertAlign w:val="superscript"/>
              </w:rPr>
              <w:t>(b)</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SCE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Black Rock </w:t>
            </w:r>
            <w:r>
              <w:rPr>
                <w:rFonts w:ascii="Times New Roman" w:cs="Times New Roman" w:eastAsia="Times New Roman" w:hAnsi="Times New Roman"/>
                <w:sz w:val="21"/>
                <w:szCs w:val="21"/>
                <w:color w:val="auto"/>
                <w:vertAlign w:val="superscript"/>
              </w:rPr>
              <w:t>(b)</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Toyota and AEP</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2036</w:t>
            </w:r>
          </w:p>
        </w:tc>
        <w:tc>
          <w:tcPr>
            <w:tcW w:w="0" w:type="dxa"/>
            <w:vAlign w:val="bottom"/>
          </w:tcPr>
          <w:p>
            <w:pPr>
              <w:spacing w:after="0"/>
              <w:rPr>
                <w:sz w:val="1"/>
                <w:szCs w:val="1"/>
                <w:color w:val="auto"/>
              </w:rPr>
            </w:pPr>
          </w:p>
        </w:tc>
      </w:tr>
      <w:tr>
        <w:trPr>
          <w:trHeight w:val="195"/>
        </w:trPr>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Buffalo Bear</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Western Farmers Electric Co-operative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Crosswinds</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Corn Belt Power Cooperative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203"/>
        </w:trPr>
        <w:tc>
          <w:tcPr>
            <w:tcW w:w="324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Elbow Creek </w:t>
            </w:r>
            <w:r>
              <w:rPr>
                <w:rFonts w:ascii="Times New Roman" w:cs="Times New Roman" w:eastAsia="Times New Roman" w:hAnsi="Times New Roman"/>
                <w:sz w:val="21"/>
                <w:szCs w:val="21"/>
                <w:color w:val="auto"/>
                <w:vertAlign w:val="superscript"/>
              </w:rPr>
              <w:t>(b)</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Various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Elkhorn Ridge</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66.7 %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195"/>
        </w:trPr>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Forward</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Constellation NewEnergy, Inc.</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Goat Wind</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Dow Pipeline Company</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95"/>
        </w:trPr>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Hardin</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99 %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Interstate Power and Light Company</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ind w:left="120"/>
              <w:spacing w:after="0" w:line="237" w:lineRule="exact"/>
              <w:rPr>
                <w:sz w:val="20"/>
                <w:szCs w:val="20"/>
                <w:color w:val="auto"/>
              </w:rPr>
            </w:pPr>
            <w:r>
              <w:rPr>
                <w:rFonts w:ascii="Times New Roman" w:cs="Times New Roman" w:eastAsia="Times New Roman" w:hAnsi="Times New Roman"/>
                <w:sz w:val="14"/>
                <w:szCs w:val="14"/>
                <w:color w:val="auto"/>
              </w:rPr>
              <w:t xml:space="preserve">Langford </w:t>
            </w:r>
            <w:r>
              <w:rPr>
                <w:rFonts w:ascii="Times New Roman" w:cs="Times New Roman" w:eastAsia="Times New Roman" w:hAnsi="Times New Roman"/>
                <w:sz w:val="21"/>
                <w:szCs w:val="21"/>
                <w:color w:val="auto"/>
                <w:vertAlign w:val="superscript"/>
              </w:rPr>
              <w:t>(b)</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Goldman Sachs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195"/>
        </w:trPr>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Laredo Ridge</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ind w:left="120"/>
              <w:spacing w:after="0" w:line="237" w:lineRule="exact"/>
              <w:rPr>
                <w:sz w:val="20"/>
                <w:szCs w:val="20"/>
                <w:color w:val="auto"/>
              </w:rPr>
            </w:pPr>
            <w:r>
              <w:rPr>
                <w:rFonts w:ascii="Times New Roman" w:cs="Times New Roman" w:eastAsia="Times New Roman" w:hAnsi="Times New Roman"/>
                <w:sz w:val="14"/>
                <w:szCs w:val="14"/>
                <w:color w:val="auto"/>
              </w:rPr>
              <w:t xml:space="preserve">Lookout </w:t>
            </w:r>
            <w:r>
              <w:rPr>
                <w:rFonts w:ascii="Times New Roman" w:cs="Times New Roman" w:eastAsia="Times New Roman" w:hAnsi="Times New Roman"/>
                <w:sz w:val="21"/>
                <w:szCs w:val="21"/>
                <w:color w:val="auto"/>
                <w:vertAlign w:val="superscript"/>
              </w:rPr>
              <w:t>(b)</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Southern Maryland Electric Cooperative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203"/>
        </w:trPr>
        <w:tc>
          <w:tcPr>
            <w:tcW w:w="324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Mesquite Sky </w:t>
            </w:r>
            <w:r>
              <w:rPr>
                <w:rFonts w:ascii="Times New Roman" w:cs="Times New Roman" w:eastAsia="Times New Roman" w:hAnsi="Times New Roman"/>
                <w:sz w:val="21"/>
                <w:szCs w:val="21"/>
                <w:color w:val="auto"/>
                <w:vertAlign w:val="superscript"/>
              </w:rPr>
              <w:t>(b)</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Various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2033 - 2036</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4"/>
                <w:szCs w:val="14"/>
                <w:color w:val="auto"/>
              </w:rPr>
              <w:t>Mesquite Sta</w:t>
            </w:r>
            <w:r>
              <w:rPr>
                <w:rFonts w:ascii="Times New Roman" w:cs="Times New Roman" w:eastAsia="Times New Roman" w:hAnsi="Times New Roman"/>
                <w:sz w:val="16"/>
                <w:szCs w:val="16"/>
                <w:color w:val="auto"/>
              </w:rPr>
              <w:t>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1"/>
                <w:szCs w:val="21"/>
                <w:color w:val="auto"/>
                <w:vertAlign w:val="superscript"/>
              </w:rPr>
              <w:t>(b)</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Various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2032 - 2035</w:t>
            </w:r>
          </w:p>
        </w:tc>
        <w:tc>
          <w:tcPr>
            <w:tcW w:w="0" w:type="dxa"/>
            <w:vAlign w:val="bottom"/>
          </w:tcPr>
          <w:p>
            <w:pPr>
              <w:spacing w:after="0"/>
              <w:rPr>
                <w:sz w:val="1"/>
                <w:szCs w:val="1"/>
                <w:color w:val="auto"/>
              </w:rPr>
            </w:pPr>
          </w:p>
        </w:tc>
      </w:tr>
      <w:tr>
        <w:trPr>
          <w:trHeight w:val="195"/>
        </w:trPr>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Mt. Storm</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Citigroup</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Ocotillo</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Odin</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99.9 %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Missouri River Energy Services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146"/>
        </w:trPr>
        <w:tc>
          <w:tcPr>
            <w:tcW w:w="32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Pinnacle </w:t>
            </w:r>
            <w:r>
              <w:rPr>
                <w:rFonts w:ascii="Times New Roman" w:cs="Times New Roman" w:eastAsia="Times New Roman" w:hAnsi="Times New Roman"/>
                <w:sz w:val="21"/>
                <w:szCs w:val="21"/>
                <w:color w:val="auto"/>
                <w:vertAlign w:val="superscript"/>
              </w:rPr>
              <w:t>(b)</w:t>
            </w:r>
          </w:p>
        </w:tc>
        <w:tc>
          <w:tcPr>
            <w:tcW w:w="17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1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Maryland Department of General Services and University System</w:t>
            </w: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98"/>
        </w:trPr>
        <w:tc>
          <w:tcPr>
            <w:tcW w:w="3240" w:type="dxa"/>
            <w:vAlign w:val="bottom"/>
            <w:vMerge w:val="continue"/>
            <w:shd w:val="clear" w:color="auto" w:fill="CCEEFF"/>
          </w:tcPr>
          <w:p>
            <w:pPr>
              <w:spacing w:after="0"/>
              <w:rPr>
                <w:sz w:val="17"/>
                <w:szCs w:val="17"/>
                <w:color w:val="auto"/>
              </w:rPr>
            </w:pPr>
          </w:p>
        </w:tc>
        <w:tc>
          <w:tcPr>
            <w:tcW w:w="174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 Maryland</w:t>
            </w: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Rattlesnake </w:t>
            </w:r>
            <w:r>
              <w:rPr>
                <w:rFonts w:ascii="Times New Roman" w:cs="Times New Roman" w:eastAsia="Times New Roman" w:hAnsi="Times New Roman"/>
                <w:sz w:val="21"/>
                <w:szCs w:val="21"/>
                <w:color w:val="auto"/>
                <w:vertAlign w:val="superscript"/>
              </w:rPr>
              <w:t>(b) (c)</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Avista Corporation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San Juan Mesa</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Southwestern Public Service Company</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95"/>
        </w:trPr>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Sleeping Bear</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Public Service Company of Oklahoma</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South Trent</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AEP Energy Partners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195"/>
        </w:trPr>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Spanish Fork</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PacifiCorp</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ind w:left="120"/>
              <w:spacing w:after="0" w:line="237" w:lineRule="exact"/>
              <w:rPr>
                <w:sz w:val="20"/>
                <w:szCs w:val="20"/>
                <w:color w:val="auto"/>
              </w:rPr>
            </w:pPr>
            <w:r>
              <w:rPr>
                <w:rFonts w:ascii="Times New Roman" w:cs="Times New Roman" w:eastAsia="Times New Roman" w:hAnsi="Times New Roman"/>
                <w:sz w:val="14"/>
                <w:szCs w:val="14"/>
                <w:color w:val="auto"/>
              </w:rPr>
              <w:t xml:space="preserve">Spring Canyon II </w:t>
            </w:r>
            <w:r>
              <w:rPr>
                <w:rFonts w:ascii="Times New Roman" w:cs="Times New Roman" w:eastAsia="Times New Roman" w:hAnsi="Times New Roman"/>
                <w:sz w:val="21"/>
                <w:szCs w:val="21"/>
                <w:color w:val="auto"/>
                <w:vertAlign w:val="superscript"/>
              </w:rPr>
              <w:t>(b)</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90.1 %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Platte River Power Authority</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30"/>
        </w:trPr>
        <w:tc>
          <w:tcPr>
            <w:tcW w:w="324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Spring Canyon III </w:t>
            </w:r>
            <w:r>
              <w:rPr>
                <w:rFonts w:ascii="Times New Roman" w:cs="Times New Roman" w:eastAsia="Times New Roman" w:hAnsi="Times New Roman"/>
                <w:sz w:val="21"/>
                <w:szCs w:val="21"/>
                <w:color w:val="auto"/>
                <w:vertAlign w:val="superscript"/>
              </w:rPr>
              <w:t>(b)</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90.1 %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Platte River Power Authority</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Taloga</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Oklahoma Gas &amp; Electric</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03"/>
        </w:trPr>
        <w:tc>
          <w:tcPr>
            <w:tcW w:w="3240" w:type="dxa"/>
            <w:vAlign w:val="bottom"/>
            <w:tcBorders>
              <w:bottom w:val="single" w:sz="8" w:color="CCEEFF"/>
            </w:tcBorders>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Wildorado </w:t>
            </w:r>
            <w:r>
              <w:rPr>
                <w:rFonts w:ascii="Times New Roman" w:cs="Times New Roman" w:eastAsia="Times New Roman" w:hAnsi="Times New Roman"/>
                <w:sz w:val="21"/>
                <w:szCs w:val="21"/>
                <w:color w:val="auto"/>
                <w:vertAlign w:val="superscript"/>
              </w:rPr>
              <w:t>(b)</w:t>
            </w:r>
          </w:p>
        </w:tc>
        <w:tc>
          <w:tcPr>
            <w:tcW w:w="174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4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Southwestern Public Service Company</w:t>
            </w:r>
          </w:p>
        </w:tc>
        <w:tc>
          <w:tcPr>
            <w:tcW w:w="10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195"/>
        </w:trPr>
        <w:tc>
          <w:tcPr>
            <w:tcW w:w="3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Total Wind</w:t>
            </w:r>
          </w:p>
        </w:tc>
        <w:tc>
          <w:tcPr>
            <w:tcW w:w="174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3,285</w:t>
            </w:r>
          </w:p>
        </w:tc>
        <w:tc>
          <w:tcPr>
            <w:tcW w:w="4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generation capacity</w:t>
            </w:r>
          </w:p>
        </w:tc>
        <w:tc>
          <w:tcPr>
            <w:tcW w:w="174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7,710</w:t>
            </w:r>
          </w:p>
        </w:tc>
        <w:tc>
          <w:tcPr>
            <w:tcW w:w="4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186" w:lineRule="exact"/>
        <w:rPr>
          <w:sz w:val="20"/>
          <w:szCs w:val="20"/>
          <w:color w:val="auto"/>
        </w:rPr>
      </w:pPr>
    </w:p>
    <w:p>
      <w:pPr>
        <w:ind w:left="240" w:hanging="151"/>
        <w:spacing w:after="0"/>
        <w:tabs>
          <w:tab w:leader="none" w:pos="240"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Net capacity represents the maximum, or rated, generating capacity of the facility multiplied by the Company’s percentage ownership in the facility as of June 30, 2022.</w:t>
      </w:r>
    </w:p>
    <w:p>
      <w:pPr>
        <w:spacing w:after="0" w:line="57" w:lineRule="exact"/>
        <w:rPr>
          <w:rFonts w:ascii="Times New Roman" w:cs="Times New Roman" w:eastAsia="Times New Roman" w:hAnsi="Times New Roman"/>
          <w:sz w:val="20"/>
          <w:szCs w:val="20"/>
          <w:color w:val="auto"/>
          <w:vertAlign w:val="superscript"/>
        </w:rPr>
      </w:pPr>
    </w:p>
    <w:p>
      <w:pPr>
        <w:ind w:firstLine="89"/>
        <w:spacing w:after="0" w:line="219" w:lineRule="auto"/>
        <w:tabs>
          <w:tab w:leader="none" w:pos="246"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 xml:space="preserve">Projects are part of tax equity arrangements and ownership percentage is based on cash to be distributed, as further described in Note 4, </w:t>
      </w:r>
      <w:r>
        <w:rPr>
          <w:rFonts w:ascii="Times New Roman" w:cs="Times New Roman" w:eastAsia="Times New Roman" w:hAnsi="Times New Roman"/>
          <w:sz w:val="13"/>
          <w:szCs w:val="13"/>
          <w:i w:val="1"/>
          <w:iCs w:val="1"/>
          <w:color w:val="auto"/>
        </w:rPr>
        <w:t>Investments Accounted for by the Equity Method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Variable Interest Entities.</w:t>
      </w:r>
    </w:p>
    <w:p>
      <w:pPr>
        <w:spacing w:after="0" w:line="1" w:lineRule="exact"/>
        <w:rPr>
          <w:rFonts w:ascii="Times New Roman" w:cs="Times New Roman" w:eastAsia="Times New Roman" w:hAnsi="Times New Roman"/>
          <w:sz w:val="20"/>
          <w:szCs w:val="20"/>
          <w:color w:val="auto"/>
          <w:vertAlign w:val="superscript"/>
        </w:rPr>
      </w:pPr>
    </w:p>
    <w:p>
      <w:pPr>
        <w:ind w:left="240" w:hanging="151"/>
        <w:spacing w:after="0"/>
        <w:tabs>
          <w:tab w:leader="none" w:pos="240"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Rattlesnake has a deliverable capacity of 144 MW.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Significant Events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Thermal Disposition</w:t>
      </w:r>
    </w:p>
    <w:p>
      <w:pPr>
        <w:spacing w:after="0" w:line="173" w:lineRule="exact"/>
        <w:rPr>
          <w:sz w:val="20"/>
          <w:szCs w:val="20"/>
          <w:color w:val="auto"/>
        </w:rPr>
      </w:pPr>
    </w:p>
    <w:p>
      <w:pPr>
        <w:jc w:val="both"/>
        <w:ind w:left="660" w:hanging="328"/>
        <w:spacing w:after="0" w:line="256" w:lineRule="auto"/>
        <w:tabs>
          <w:tab w:leader="none" w:pos="655" w:val="left"/>
        </w:tabs>
        <w:numPr>
          <w:ilvl w:val="0"/>
          <w:numId w:val="22"/>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color w:val="auto"/>
        </w:rPr>
        <w:t>On May 1, 2022, the Company completed the sale of 100% of its interests in the Thermal Business to KKR for net proceeds of approximately $1.46 billion, inclusive of working capital adjustments, which excludes approximately $18 million in transaction expenses that were incurred in connection with the disposition. The transaction resulted in a gain on sale of business of approximately $1.29 billion, which is net of the $18 million in transaction expenses referenced above. The proceeds from the sale were utilized to repay certain borrowings outstanding, as described under “Corporate Financing Activities” below, with the remaining proceeds invested in short-term investments classified as cash and cash equivalents on the Company’s consolidated balance sheet as of June 30,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Capistrano Portfolio Acquisition</w:t>
      </w:r>
    </w:p>
    <w:p>
      <w:pPr>
        <w:spacing w:after="0" w:line="173" w:lineRule="exact"/>
        <w:rPr>
          <w:sz w:val="20"/>
          <w:szCs w:val="20"/>
          <w:color w:val="auto"/>
        </w:rPr>
      </w:pPr>
    </w:p>
    <w:p>
      <w:pPr>
        <w:jc w:val="both"/>
        <w:ind w:left="660" w:hanging="328"/>
        <w:spacing w:after="0" w:line="254" w:lineRule="auto"/>
        <w:tabs>
          <w:tab w:leader="none" w:pos="655"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June 23, 2022, an indirect subsidiary of the Company entered into a binding agreement to acquire the Capistrano Portfolio from Capistrano Wind Partners, LLC, an indirect subsidiary of CEG, for cash consideration of $255 million, plus the assumption of $160 million of non-recourse debt, subject to working capital and other closing adjustments. The Capistrano Portfolio consists of five wind projects located in Texas, Nebraska and Wyoming with a combined capacity of 413 MW. Concurrent with the acquisition, the Company has also entered into a development agreement with CEG, whereby CEG will pay $10 million to the Company to partially fund the acquisition of the Capistrano Portfolio for an exclusive right to develop, construct and repower the projects in the Capistrano Portfolio, or the Rights Fee. After factoring in estimated closing adjustments, proceeds from the Rights Fee and new non-recourse debt, the Company expects its long-term corporate capital commitment to acquire the Capistrano Portfolio to be between approximately $110 and $130 million, which the Company expects to fund with cash on hand. The transaction is subject to customary regulatory approvals and is expected to close in the second half of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Drop Down Transactions</w:t>
      </w:r>
    </w:p>
    <w:p>
      <w:pPr>
        <w:spacing w:after="0" w:line="173" w:lineRule="exact"/>
        <w:rPr>
          <w:sz w:val="20"/>
          <w:szCs w:val="20"/>
          <w:color w:val="auto"/>
        </w:rPr>
      </w:pPr>
    </w:p>
    <w:p>
      <w:pPr>
        <w:jc w:val="both"/>
        <w:ind w:left="660" w:hanging="328"/>
        <w:spacing w:after="0" w:line="253"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25, 2022, the Company, through its indirect subsidiary, Lighthouse Renewable Holdco LLC, acquired Mililani BL Borrower Holdco LLC, the indirect owner of the Mililani I solar project, a 39 MW Solar project with 156 MWh of storage capacity that is currently under construction, located in Oahu, Hawaii, from Clearway Renew LLC, a subsidiary of CEG, for cash consideration of $22 million. Lighthouse Renewable Holdco LLC is a partnership between the Company and a third-party investor. The third-party investor also contributed cash consideration of $14 million utilized to acquire their portion of the acquired entity. Mililani BL Borrower Holdco LLC consolidates, as the direct owner of the primary beneficiary, a tax equity fund, Mililani TE Holdco LLC, which directly holds the Mililani I solar project. Mililani I has a 20-year power purchase agreement with an investment-grade utility that commenced in July 2022. The acquisition was funded with existing sources of liquidity. As part of the acquisition of Mililani I, the Company assumed the project’s financing agreement which included a $16 million construction loan that converts to a term loan upon completion of construction, $60 million tax equity bridge loan and a $27 million sponsor equity bridge loan. The sponsor equity bridge loan was repaid at acquisition date, utilizing $14 million from the cash equity investor, as well as $15 million of the Company’s acquisition price, which was contributed back by CEG, and $2 million was utilized to pay associated fees. The tax equity bridge loan will be repaid with the final proceeds from the tax equity investor that will be received when Mililani I achieves substantial completion, which is expected to occur in the second half of 2022.</w:t>
      </w:r>
    </w:p>
    <w:p>
      <w:pPr>
        <w:spacing w:after="0" w:line="13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in connection with the Company’s 2021 acquisition of the Class B membership interests in Black Rock Wind Holding LLC, through its indirect subsidiary Lighthouse Renewable Holding Sub LLC, from Clearway Renew LLC, a subsidiary of CEG, the Company paid an additional $23 million as final funding after all remaining turbines of the Black Rock wind project became operational. Concurrent with the final funding, the $59 million that was contributed in 2021 by third-party investors, consisting of $36 million contributed by the cash equity investor and $23 million contributed by the tax equity investor, was released to Clearway Renew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Marsh Landing Resource Adequacy Agreements</w:t>
      </w:r>
    </w:p>
    <w:p>
      <w:pPr>
        <w:spacing w:after="0" w:line="173" w:lineRule="exact"/>
        <w:rPr>
          <w:sz w:val="20"/>
          <w:szCs w:val="20"/>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2022, the Company contracted with several load serving entities to sell the remaining 20% of Marsh Landing’s available capacity commencing in May 2023. The agreements are for approximately three and a half years. Marsh Landing’s capacity is now 100% contracted for a weighted average contract tenor of approximately four years commencing in May 2023.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Corporate Financing Activities</w:t>
      </w:r>
    </w:p>
    <w:p>
      <w:pPr>
        <w:spacing w:after="0" w:line="173" w:lineRule="exact"/>
        <w:rPr>
          <w:sz w:val="20"/>
          <w:szCs w:val="20"/>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May 3, 2022, the Company repaid (i) $305 million in outstanding borrowings under the revolving credit facility and (ii) $335 million in outstanding borrowings under the Bridge Loan Agreement utilizing proceeds received from the Thermal Disposition.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Project-level Financing Activities</w:t>
      </w:r>
    </w:p>
    <w:p>
      <w:pPr>
        <w:spacing w:after="0" w:line="173" w:lineRule="exact"/>
        <w:rPr>
          <w:sz w:val="20"/>
          <w:szCs w:val="20"/>
          <w:color w:val="auto"/>
        </w:rPr>
      </w:pPr>
    </w:p>
    <w:p>
      <w:pPr>
        <w:jc w:val="both"/>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16, 2022, the Company, through its indirect subsidiary, Viento Funding II, LLC, entered into a financing agreement which included the issuance of a $190 million term loan as well as $35 million in letters of credit, supported by the Company’s interests in the Elkhorn Ridge, Laredo Ridge, San Juan Mesa and Taloga wind projects. The proceeds from the term loan were used to pay off the existing debt in the amount of $186 million related to Laredo Ridge, Tapestry Wind LLC and Viento Funding II, LLC and to pay related financing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13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Proposed Federal Reclassification of Northern Long-Eared Bat </w:t>
      </w:r>
      <w:r>
        <w:rPr>
          <w:rFonts w:ascii="Times New Roman" w:cs="Times New Roman" w:eastAsia="Times New Roman" w:hAnsi="Times New Roman"/>
          <w:sz w:val="18"/>
          <w:szCs w:val="18"/>
          <w:color w:val="auto"/>
        </w:rPr>
        <w:t>— On March 23, 2022, the U.S. Fish and Wildlife Service (FWS) announced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 to reclassify the northern long-eared bat as endangered under the Endangered Species Act. The bat, currently listed as threatened, faces extinction due to the range-wide impacts of white-nose syndrome, a deadly disease affecting cave-dwelling bats across the continent. The northern long-eared bat is found in 37 states in the eastern and north central United States and in Canada. The Company is working with renewable energy industry groups to provide comments on the proposed reclassification as this proposal could affect renewable energy facility siting and operations. The proposed listing was recently published by FWS in the Federal Register and comments on the proposal are due by May 23, 2022. The Company is participating in this comment process through the renewable industry group.</w:t>
      </w:r>
    </w:p>
    <w:p>
      <w:pPr>
        <w:spacing w:after="0" w:line="129"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Company’s environmental matters are further described in the Company’s 2021 Form 10-K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3"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color w:val="auto"/>
        </w:rPr>
        <w:t xml:space="preserve">The Company’s regulatory matters are described in the Company’s 2021 Form 10-K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Results of Operations and Future Business Performance</w:t>
      </w:r>
    </w:p>
    <w:p>
      <w:pPr>
        <w:spacing w:after="0" w:line="173"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Company’s trends are described in the Company’s 2021 Form 10-K in Item 7, </w:t>
      </w:r>
      <w:r>
        <w:rPr>
          <w:rFonts w:ascii="Times New Roman" w:cs="Times New Roman" w:eastAsia="Times New Roman" w:hAnsi="Times New Roman"/>
          <w:sz w:val="18"/>
          <w:szCs w:val="18"/>
          <w:i w:val="1"/>
          <w:iCs w:val="1"/>
          <w:color w:val="auto"/>
        </w:rPr>
        <w:t>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Trends Affecting Results of Operations and Future Business Performance.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Affecting Industry Conditions and the Company’s Business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COVID-19 Update</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As of the date of this report, the Company has not experienced any material financial or operational impacts related to COVID-19, or variants thereof. All of the Company’s facilities have remained operational. The Company will continue to assess any financial or operational impacts based on any future developments. For additional discussion regarding risks associated with the COVID-19 pandemic, 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the Company’s 2021 Form 10-K.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selected financial information: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9"/>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9"/>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top w:val="single" w:sz="8" w:color="auto"/>
            </w:tcBorders>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vMerge w:val="restart"/>
          </w:tcPr>
          <w:p>
            <w:pPr>
              <w:spacing w:after="0"/>
              <w:rPr>
                <w:sz w:val="2"/>
                <w:szCs w:val="2"/>
                <w:color w:val="auto"/>
              </w:rPr>
            </w:pPr>
          </w:p>
        </w:tc>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Energy and capacity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333333"/>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431</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w w:val="88"/>
              </w:rPr>
              <w:t>$</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791</w:t>
            </w:r>
          </w:p>
        </w:tc>
        <w:tc>
          <w:tcPr>
            <w:tcW w:w="5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Other revenues</w:t>
            </w: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33333"/>
              </w:rPr>
              <w:t>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52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amortization</w:t>
            </w: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(83)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333333"/>
              </w:rPr>
              <w:t>(52)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(178)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fuels</w:t>
            </w: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152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costs of operations</w:t>
            </w: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Development costs</w:t>
            </w: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interest income (expense)</w:t>
            </w: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interest expense</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840" w:type="dxa"/>
            <w:vAlign w:val="bottom"/>
            <w:gridSpan w:val="2"/>
            <w:shd w:val="clear" w:color="auto" w:fill="CCEEFF"/>
          </w:tcPr>
          <w:p>
            <w:pPr>
              <w:ind w:left="120"/>
              <w:spacing w:after="0" w:line="156" w:lineRule="exact"/>
              <w:rPr>
                <w:sz w:val="20"/>
                <w:szCs w:val="20"/>
                <w:color w:val="auto"/>
              </w:rPr>
            </w:pPr>
            <w:r>
              <w:rPr>
                <w:rFonts w:ascii="Times New Roman" w:cs="Times New Roman" w:eastAsia="Times New Roman" w:hAnsi="Times New Roman"/>
                <w:sz w:val="18"/>
                <w:szCs w:val="18"/>
                <w:color w:val="auto"/>
              </w:rPr>
              <w:t>Less: Loss attributable to noncontrolling interests and</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Clearway Energy LLC</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gridSpan w:val="8"/>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9"/>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Business metrics:</w:t>
            </w: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4840" w:type="dxa"/>
            <w:vAlign w:val="bottom"/>
            <w:tcBorders>
              <w:bottom w:val="single" w:sz="8" w:color="CCEEFF"/>
            </w:tcBorders>
            <w:gridSpan w:val="2"/>
            <w:vMerge w:val="continue"/>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Renewables MWh generated/sold (in thousands) </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3,370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7,735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Thermal MWt sold (in thousands) </w:t>
            </w:r>
            <w:r>
              <w:rPr>
                <w:rFonts w:ascii="Times New Roman" w:cs="Times New Roman" w:eastAsia="Times New Roman" w:hAnsi="Times New Roman"/>
                <w:sz w:val="23"/>
                <w:szCs w:val="23"/>
                <w:color w:val="auto"/>
                <w:vertAlign w:val="superscript"/>
              </w:rPr>
              <w:t>(b)</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Thermal MWh sold (in thousands) </w:t>
            </w:r>
            <w:r>
              <w:rPr>
                <w:rFonts w:ascii="Times New Roman" w:cs="Times New Roman" w:eastAsia="Times New Roman" w:hAnsi="Times New Roman"/>
                <w:sz w:val="23"/>
                <w:szCs w:val="23"/>
                <w:color w:val="auto"/>
                <w:vertAlign w:val="superscript"/>
              </w:rPr>
              <w:t>(b)</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Conventional MWh generated (in thousands) </w:t>
            </w:r>
            <w:r>
              <w:rPr>
                <w:rFonts w:ascii="Times New Roman" w:cs="Times New Roman" w:eastAsia="Times New Roman" w:hAnsi="Times New Roman"/>
                <w:sz w:val="23"/>
                <w:szCs w:val="23"/>
                <w:color w:val="auto"/>
                <w:vertAlign w:val="superscript"/>
              </w:rPr>
              <w:t>(a) (c)</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Conventional equivalent availability factor</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97.2 %</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455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86" w:lineRule="exact"/>
        <w:rPr>
          <w:sz w:val="20"/>
          <w:szCs w:val="20"/>
          <w:color w:val="auto"/>
        </w:rPr>
      </w:pPr>
    </w:p>
    <w:p>
      <w:pPr>
        <w:ind w:left="240" w:hanging="151"/>
        <w:spacing w:after="0"/>
        <w:tabs>
          <w:tab w:leader="none" w:pos="240" w:val="left"/>
        </w:tabs>
        <w:numPr>
          <w:ilvl w:val="0"/>
          <w:numId w:val="2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Volumes do not include the MWh generated/sold by the Company’s equity method investments.</w:t>
      </w:r>
    </w:p>
    <w:p>
      <w:pPr>
        <w:spacing w:after="0" w:line="3" w:lineRule="exact"/>
        <w:rPr>
          <w:rFonts w:ascii="Times New Roman" w:cs="Times New Roman" w:eastAsia="Times New Roman" w:hAnsi="Times New Roman"/>
          <w:sz w:val="20"/>
          <w:szCs w:val="20"/>
          <w:color w:val="auto"/>
          <w:vertAlign w:val="superscript"/>
        </w:rPr>
      </w:pPr>
    </w:p>
    <w:p>
      <w:pPr>
        <w:ind w:left="260" w:hanging="171"/>
        <w:spacing w:after="0" w:line="189" w:lineRule="auto"/>
        <w:tabs>
          <w:tab w:leader="none" w:pos="26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On May 1, 2022, the Company completed the sale of 100% of its interests in the Thermal Business to KKR.</w:t>
      </w:r>
    </w:p>
    <w:p>
      <w:pPr>
        <w:spacing w:after="0" w:line="3" w:lineRule="exact"/>
        <w:rPr>
          <w:rFonts w:ascii="Times New Roman" w:cs="Times New Roman" w:eastAsia="Times New Roman" w:hAnsi="Times New Roman"/>
          <w:sz w:val="19"/>
          <w:szCs w:val="19"/>
          <w:color w:val="auto"/>
          <w:vertAlign w:val="superscript"/>
        </w:rPr>
      </w:pPr>
    </w:p>
    <w:p>
      <w:pPr>
        <w:ind w:left="240" w:hanging="151"/>
        <w:spacing w:after="0" w:line="189" w:lineRule="auto"/>
        <w:tabs>
          <w:tab w:leader="none" w:pos="24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Volumes generated are not sold as the Conventional facilities sell capacity rather than energy.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ind w:right="29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of the Results of Operations for the Three Months Ended June 30, 2022 and 2021 </w:t>
      </w:r>
      <w:r>
        <w:rPr>
          <w:rFonts w:ascii="Times New Roman" w:cs="Times New Roman" w:eastAsia="Times New Roman" w:hAnsi="Times New Roman"/>
          <w:sz w:val="18"/>
          <w:szCs w:val="18"/>
          <w:b w:val="1"/>
          <w:bCs w:val="1"/>
          <w:i w:val="1"/>
          <w:iCs w:val="1"/>
          <w:color w:val="auto"/>
        </w:rPr>
        <w:t>Operating Revenues</w:t>
      </w:r>
    </w:p>
    <w:p>
      <w:pPr>
        <w:spacing w:after="0" w:line="1"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Operating revenues decreased by $12 million during the three months ended June 30, 2022, compared to the same period in 2021, due to a combination of the drivers summarized in the table below:</w:t>
      </w:r>
    </w:p>
    <w:p>
      <w:pPr>
        <w:spacing w:after="0" w:line="43"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6"/>
          <w:szCs w:val="16"/>
          <w:b w:val="1"/>
          <w:bCs w:val="1"/>
          <w:color w:val="auto"/>
        </w:rPr>
        <w:t>(In millions)</w:t>
      </w:r>
    </w:p>
    <w:p>
      <w:pPr>
        <w:sectPr>
          <w:pgSz w:w="11900" w:h="16838" w:orient="portrait"/>
          <w:cols w:equalWidth="0" w:num="1">
            <w:col w:w="11240"/>
          </w:cols>
          <w:pgMar w:left="320" w:top="887" w:right="339" w:bottom="1440" w:gutter="0" w:footer="0" w:header="0"/>
        </w:sectPr>
      </w:pP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Renewables Segment</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 primarily due to the acquisitions of the Utah Solar Portfolio in December 2021 and Mt.</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Storm in April 2021, along with increased wind generation at Alta and various other wind facilities</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Conventional Segment</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 driven by the timing of annual planned maintenance outages at the El Segundo facility</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Thermal Segment</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 primarily driven by the sale of the Thermal Business on May 1, 2022</w:t>
            </w:r>
          </w:p>
        </w:tc>
        <w:tc>
          <w:tcPr>
            <w:tcW w:w="0" w:type="dxa"/>
            <w:vAlign w:val="bottom"/>
          </w:tcPr>
          <w:p>
            <w:pPr>
              <w:spacing w:after="0"/>
              <w:rPr>
                <w:sz w:val="1"/>
                <w:szCs w:val="1"/>
                <w:color w:val="auto"/>
              </w:rPr>
            </w:pPr>
          </w:p>
        </w:tc>
      </w:tr>
      <w:tr>
        <w:trPr>
          <w:trHeight w:val="184"/>
        </w:trPr>
        <w:tc>
          <w:tcPr>
            <w:tcW w:w="246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Mark-to-market for economic</w:t>
            </w:r>
          </w:p>
        </w:tc>
        <w:tc>
          <w:tcPr>
            <w:tcW w:w="73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Increase in unrealized losses from changes in the fair value of commodity contracts, primarily</w:t>
            </w:r>
          </w:p>
        </w:tc>
        <w:tc>
          <w:tcPr>
            <w:tcW w:w="0" w:type="dxa"/>
            <w:vAlign w:val="bottom"/>
          </w:tcPr>
          <w:p>
            <w:pPr>
              <w:spacing w:after="0"/>
              <w:rPr>
                <w:sz w:val="1"/>
                <w:szCs w:val="1"/>
                <w:color w:val="auto"/>
              </w:rPr>
            </w:pPr>
          </w:p>
        </w:tc>
      </w:tr>
      <w:tr>
        <w:trPr>
          <w:trHeight w:val="184"/>
        </w:trPr>
        <w:tc>
          <w:tcPr>
            <w:tcW w:w="246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hedges</w:t>
            </w:r>
          </w:p>
        </w:tc>
        <w:tc>
          <w:tcPr>
            <w:tcW w:w="73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driven by the 2021 acquisitions of Mesquite Sky and Mt. Storm and the mark-to-market of the</w:t>
            </w:r>
          </w:p>
        </w:tc>
        <w:tc>
          <w:tcPr>
            <w:tcW w:w="0" w:type="dxa"/>
            <w:vAlign w:val="bottom"/>
          </w:tcPr>
          <w:p>
            <w:pPr>
              <w:spacing w:after="0"/>
              <w:rPr>
                <w:sz w:val="1"/>
                <w:szCs w:val="1"/>
                <w:color w:val="auto"/>
              </w:rPr>
            </w:pPr>
          </w:p>
        </w:tc>
      </w:tr>
      <w:tr>
        <w:trPr>
          <w:trHeight w:val="229"/>
        </w:trPr>
        <w:tc>
          <w:tcPr>
            <w:tcW w:w="2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amortization</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Langford commodity contract, which previously qualified for the NPNS exception</w:t>
            </w:r>
          </w:p>
        </w:tc>
        <w:tc>
          <w:tcPr>
            <w:tcW w:w="0" w:type="dxa"/>
            <w:vAlign w:val="bottom"/>
          </w:tcPr>
          <w:p>
            <w:pPr>
              <w:spacing w:after="0"/>
              <w:rPr>
                <w:sz w:val="1"/>
                <w:szCs w:val="1"/>
                <w:color w:val="auto"/>
              </w:rPr>
            </w:pPr>
          </w:p>
        </w:tc>
      </w:tr>
      <w:tr>
        <w:trPr>
          <w:trHeight w:val="180"/>
        </w:trPr>
        <w:tc>
          <w:tcPr>
            <w:tcW w:w="2460" w:type="dxa"/>
            <w:vAlign w:val="bottom"/>
            <w:vMerge w:val="continue"/>
          </w:tcPr>
          <w:p>
            <w:pPr>
              <w:spacing w:after="0"/>
              <w:rPr>
                <w:sz w:val="15"/>
                <w:szCs w:val="15"/>
                <w:color w:val="auto"/>
              </w:rPr>
            </w:pPr>
          </w:p>
        </w:tc>
        <w:tc>
          <w:tcPr>
            <w:tcW w:w="738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Increase primarily driven by amortization of the intangible assets for power purchase agreements</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to the 2021 acquisition of the Utah Solar Portfolio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-782320</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265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-1193800</wp:posOffset>
            </wp:positionV>
            <wp:extent cx="7132320" cy="266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1086" w:hanging="1086"/>
        <w:spacing w:after="0"/>
        <w:tabs>
          <w:tab w:leader="none" w:pos="108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w:t>
      </w:r>
    </w:p>
    <w:p>
      <w:pPr>
        <w:spacing w:after="0" w:line="27" w:lineRule="exact"/>
        <w:rPr>
          <w:rFonts w:ascii="Times New Roman" w:cs="Times New Roman" w:eastAsia="Times New Roman" w:hAnsi="Times New Roman"/>
          <w:sz w:val="18"/>
          <w:szCs w:val="18"/>
          <w:color w:val="auto"/>
        </w:rPr>
      </w:pPr>
    </w:p>
    <w:p>
      <w:pPr>
        <w:ind w:left="110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3" w:lineRule="exact"/>
        <w:rPr>
          <w:sz w:val="20"/>
          <w:szCs w:val="20"/>
          <w:color w:val="auto"/>
        </w:rPr>
      </w:pPr>
    </w:p>
    <w:p>
      <w:pPr>
        <w:ind w:left="1026"/>
        <w:spacing w:after="0"/>
        <w:rPr>
          <w:sz w:val="20"/>
          <w:szCs w:val="20"/>
          <w:color w:val="auto"/>
        </w:rPr>
      </w:pPr>
      <w:r>
        <w:rPr>
          <w:rFonts w:ascii="Times New Roman" w:cs="Times New Roman" w:eastAsia="Times New Roman" w:hAnsi="Times New Roman"/>
          <w:sz w:val="18"/>
          <w:szCs w:val="18"/>
          <w:color w:val="auto"/>
        </w:rPr>
        <w:t>(32)</w:t>
      </w:r>
    </w:p>
    <w:p>
      <w:pPr>
        <w:spacing w:after="0" w:line="38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1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8655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6" w:lineRule="exact"/>
        <w:rPr>
          <w:sz w:val="20"/>
          <w:szCs w:val="20"/>
          <w:color w:val="auto"/>
        </w:rPr>
      </w:pPr>
    </w:p>
    <w:p>
      <w:pPr>
        <w:ind w:left="1026" w:hanging="1026"/>
        <w:spacing w:after="0"/>
        <w:tabs>
          <w:tab w:leader="none" w:pos="102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8655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8655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60" w:space="34"/>
            <w:col w:w="1346"/>
          </w:cols>
          <w:pgMar w:left="320" w:top="887" w:right="33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Fuels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 xml:space="preserve">Cost of fuels decreased by $9 million during the three months ended June 30, 2022, compared to the same period in 2021, due to the sale of the Thermal Business on May 1, 2022,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Maintenance Expense</w:t>
      </w:r>
    </w:p>
    <w:p>
      <w:pPr>
        <w:spacing w:after="0" w:line="175"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Operations and maintenance expense increased by $7 million during the three months ended June 30, 2022, compared to the same period in 2021, due to a combination of the drivers summarized in the table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tcBorders>
              <w:bottom w:val="single" w:sz="8" w:color="CCEEFF"/>
            </w:tcBorders>
          </w:tcPr>
          <w:p>
            <w:pPr>
              <w:spacing w:after="0"/>
              <w:rPr>
                <w:sz w:val="18"/>
                <w:szCs w:val="18"/>
                <w:color w:val="auto"/>
              </w:rPr>
            </w:pPr>
          </w:p>
        </w:tc>
        <w:tc>
          <w:tcPr>
            <w:tcW w:w="76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158"/>
        </w:trPr>
        <w:tc>
          <w:tcPr>
            <w:tcW w:w="22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b w:val="1"/>
                <w:bCs w:val="1"/>
                <w:color w:val="auto"/>
              </w:rPr>
              <w:t>Renewables Segment</w:t>
            </w:r>
          </w:p>
        </w:tc>
        <w:tc>
          <w:tcPr>
            <w:tcW w:w="7680" w:type="dxa"/>
            <w:vAlign w:val="bottom"/>
            <w:shd w:val="clear" w:color="auto" w:fill="CCEEFF"/>
          </w:tcPr>
          <w:p>
            <w:pPr>
              <w:ind w:left="440"/>
              <w:spacing w:after="0" w:line="158" w:lineRule="exact"/>
              <w:rPr>
                <w:sz w:val="20"/>
                <w:szCs w:val="20"/>
                <w:color w:val="auto"/>
              </w:rPr>
            </w:pPr>
            <w:r>
              <w:rPr>
                <w:rFonts w:ascii="Times New Roman" w:cs="Times New Roman" w:eastAsia="Times New Roman" w:hAnsi="Times New Roman"/>
                <w:sz w:val="18"/>
                <w:szCs w:val="18"/>
                <w:color w:val="auto"/>
              </w:rPr>
              <w:t>Increase primarily from the 2021 acquisitions of the Utah Solar Portfolio, Mesquite Sky, Black</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43"/>
        </w:trPr>
        <w:tc>
          <w:tcPr>
            <w:tcW w:w="2200" w:type="dxa"/>
            <w:vAlign w:val="bottom"/>
            <w:shd w:val="clear" w:color="auto" w:fill="CCEEFF"/>
          </w:tcPr>
          <w:p>
            <w:pPr>
              <w:spacing w:after="0"/>
              <w:rPr>
                <w:sz w:val="21"/>
                <w:szCs w:val="21"/>
                <w:color w:val="auto"/>
              </w:rPr>
            </w:pPr>
          </w:p>
        </w:tc>
        <w:tc>
          <w:tcPr>
            <w:tcW w:w="7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Rock and Mt. Storm.</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Conventional Segment</w:t>
            </w:r>
          </w:p>
        </w:tc>
        <w:tc>
          <w:tcPr>
            <w:tcW w:w="7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Increase primarily driven by the timing of the annual planned maintenance outages at El Segundo</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Thermal Segment</w:t>
            </w:r>
          </w:p>
        </w:tc>
        <w:tc>
          <w:tcPr>
            <w:tcW w:w="7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Decrease primarily driven by the sale of the Thermal Business on May 1, 2022</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220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20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Costs of Operations Expense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cost of operations increased $7 million during the three months ended June 30, 2022, compared to the same period in 2021, primarily from the</w:t>
      </w:r>
    </w:p>
    <w:p>
      <w:pPr>
        <w:spacing w:after="0" w:line="27" w:lineRule="exact"/>
        <w:rPr>
          <w:sz w:val="20"/>
          <w:szCs w:val="20"/>
          <w:color w:val="auto"/>
        </w:rPr>
      </w:pPr>
    </w:p>
    <w:p>
      <w:pPr>
        <w:ind w:right="1440"/>
        <w:spacing w:after="0" w:line="427" w:lineRule="auto"/>
        <w:rPr>
          <w:sz w:val="20"/>
          <w:szCs w:val="20"/>
          <w:color w:val="auto"/>
        </w:rPr>
      </w:pPr>
      <w:r>
        <w:rPr>
          <w:rFonts w:ascii="Times New Roman" w:cs="Times New Roman" w:eastAsia="Times New Roman" w:hAnsi="Times New Roman"/>
          <w:sz w:val="18"/>
          <w:szCs w:val="18"/>
          <w:color w:val="auto"/>
        </w:rPr>
        <w:t xml:space="preserve">2021 acquisitions of Mt. Storm, Mesquite Sky, Black Rock and the Utah Solar Portfolio, as well as the timing of property tax payments. </w:t>
      </w:r>
      <w:r>
        <w:rPr>
          <w:rFonts w:ascii="Times New Roman" w:cs="Times New Roman" w:eastAsia="Times New Roman" w:hAnsi="Times New Roman"/>
          <w:sz w:val="18"/>
          <w:szCs w:val="18"/>
          <w:b w:val="1"/>
          <w:bCs w:val="1"/>
          <w:i w:val="1"/>
          <w:iCs w:val="1"/>
          <w:color w:val="auto"/>
        </w:rPr>
        <w:t>Gain on Sale of Business</w:t>
      </w:r>
    </w:p>
    <w:p>
      <w:pPr>
        <w:spacing w:after="0" w:line="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 xml:space="preserve">On May 1, 2022, the Company completed the sale of 100% of its interests in the Thermal Business to KKR resulting in a gain on sale of business of approximately $1.29 billion, as further described in Note 3, </w:t>
      </w:r>
      <w:r>
        <w:rPr>
          <w:rFonts w:ascii="Times New Roman" w:cs="Times New Roman" w:eastAsia="Times New Roman" w:hAnsi="Times New Roman"/>
          <w:sz w:val="18"/>
          <w:szCs w:val="18"/>
          <w:i w:val="1"/>
          <w:iCs w:val="1"/>
          <w:color w:val="auto"/>
        </w:rPr>
        <w:t>Acquisitions and Dispositions.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decreased by $56 million during the three months ended June 30, 2022, compared to the same period in 2021, primarily due to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interest expense due to decreased principal balances of project-level debt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interest due to the sale of the Thermal Business on May 1, 2022</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96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9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Noncontrolling Interests and Redeemable Noncontrolling Interests</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2022, the Company had a loss of $6 million attributable to noncontrolling interests and redeemable noncontrolling interests with respect to its tax equity financing arrangements and application of the HLBV method.</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2021, the Company had a loss of $35 million attributable to noncontrolling interests and redeemable noncontrolling interests comprised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HLBV</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attributable to third-party partnerships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Management’s Discussion of the Results of Operations for the Six Months Ended June 30, 2022 and 2021</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Operating revenues decreased by $35 million during the six months ended June 30, 2022, compared to the same period in 2021, due to a combination of the drivers summarized in the table below:</w:t>
      </w:r>
    </w:p>
    <w:p>
      <w:pPr>
        <w:spacing w:after="0" w:line="43"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6"/>
          <w:szCs w:val="16"/>
          <w:b w:val="1"/>
          <w:bCs w:val="1"/>
          <w:color w:val="auto"/>
        </w:rPr>
        <w:t>(In millions)</w:t>
      </w:r>
    </w:p>
    <w:p>
      <w:pPr>
        <w:sectPr>
          <w:pgSz w:w="11900" w:h="16838" w:orient="portrait"/>
          <w:cols w:equalWidth="0" w:num="1">
            <w:col w:w="11240"/>
          </w:cols>
          <w:pgMar w:left="320" w:top="887" w:right="339" w:bottom="1440" w:gutter="0" w:footer="0" w:header="0"/>
        </w:sectPr>
      </w:pP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Renewables Segment</w:t>
            </w:r>
          </w:p>
        </w:tc>
        <w:tc>
          <w:tcPr>
            <w:tcW w:w="7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Increase due to a loss of $50 million in February 2021 related to net settlements of obligations for</w:t>
            </w:r>
          </w:p>
        </w:tc>
        <w:tc>
          <w:tcPr>
            <w:tcW w:w="0" w:type="dxa"/>
            <w:vAlign w:val="bottom"/>
          </w:tcPr>
          <w:p>
            <w:pPr>
              <w:spacing w:after="0"/>
              <w:rPr>
                <w:sz w:val="1"/>
                <w:szCs w:val="1"/>
                <w:color w:val="auto"/>
              </w:rPr>
            </w:pPr>
          </w:p>
        </w:tc>
      </w:tr>
      <w:tr>
        <w:trPr>
          <w:trHeight w:val="184"/>
        </w:trPr>
        <w:tc>
          <w:tcPr>
            <w:tcW w:w="2340" w:type="dxa"/>
            <w:vAlign w:val="bottom"/>
          </w:tcPr>
          <w:p>
            <w:pPr>
              <w:spacing w:after="0"/>
              <w:rPr>
                <w:sz w:val="16"/>
                <w:szCs w:val="16"/>
                <w:color w:val="auto"/>
              </w:rPr>
            </w:pPr>
          </w:p>
        </w:tc>
        <w:tc>
          <w:tcPr>
            <w:tcW w:w="750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wind facilities that were unable to produce the required output during extreme weather conditions</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15"/>
                <w:szCs w:val="15"/>
                <w:color w:val="auto"/>
              </w:rPr>
            </w:pPr>
          </w:p>
        </w:tc>
        <w:tc>
          <w:tcPr>
            <w:tcW w:w="750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in Texas, as well as the 2021 acquisitions of the Utah Solar Portfolio, Agua Caliente, Mesquite Sky,</w:t>
            </w:r>
          </w:p>
        </w:tc>
        <w:tc>
          <w:tcPr>
            <w:tcW w:w="0" w:type="dxa"/>
            <w:vAlign w:val="bottom"/>
          </w:tcPr>
          <w:p>
            <w:pPr>
              <w:spacing w:after="0"/>
              <w:rPr>
                <w:sz w:val="1"/>
                <w:szCs w:val="1"/>
                <w:color w:val="auto"/>
              </w:rPr>
            </w:pPr>
          </w:p>
        </w:tc>
      </w:tr>
      <w:tr>
        <w:trPr>
          <w:trHeight w:val="225"/>
        </w:trPr>
        <w:tc>
          <w:tcPr>
            <w:tcW w:w="2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Thermal Segment</w:t>
            </w:r>
          </w:p>
        </w:tc>
        <w:tc>
          <w:tcPr>
            <w:tcW w:w="7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Black Rock and Mt. Storm</w:t>
            </w:r>
          </w:p>
        </w:tc>
        <w:tc>
          <w:tcPr>
            <w:tcW w:w="0" w:type="dxa"/>
            <w:vAlign w:val="bottom"/>
          </w:tcPr>
          <w:p>
            <w:pPr>
              <w:spacing w:after="0"/>
              <w:rPr>
                <w:sz w:val="1"/>
                <w:szCs w:val="1"/>
                <w:color w:val="auto"/>
              </w:rPr>
            </w:pPr>
          </w:p>
        </w:tc>
      </w:tr>
      <w:tr>
        <w:trPr>
          <w:trHeight w:val="225"/>
        </w:trPr>
        <w:tc>
          <w:tcPr>
            <w:tcW w:w="2340" w:type="dxa"/>
            <w:vAlign w:val="bottom"/>
            <w:vMerge w:val="continue"/>
          </w:tcPr>
          <w:p>
            <w:pPr>
              <w:spacing w:after="0"/>
              <w:rPr>
                <w:sz w:val="19"/>
                <w:szCs w:val="19"/>
                <w:color w:val="auto"/>
              </w:rPr>
            </w:pPr>
          </w:p>
        </w:tc>
        <w:tc>
          <w:tcPr>
            <w:tcW w:w="7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Decrease due to the sale of the Thermal business on May 1, 2022</w:t>
            </w:r>
          </w:p>
        </w:tc>
        <w:tc>
          <w:tcPr>
            <w:tcW w:w="0" w:type="dxa"/>
            <w:vAlign w:val="bottom"/>
          </w:tcPr>
          <w:p>
            <w:pPr>
              <w:spacing w:after="0"/>
              <w:rPr>
                <w:sz w:val="1"/>
                <w:szCs w:val="1"/>
                <w:color w:val="auto"/>
              </w:rPr>
            </w:pPr>
          </w:p>
        </w:tc>
      </w:tr>
      <w:tr>
        <w:trPr>
          <w:trHeight w:val="184"/>
        </w:trPr>
        <w:tc>
          <w:tcPr>
            <w:tcW w:w="234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Mark-to-market economic</w:t>
            </w:r>
          </w:p>
        </w:tc>
        <w:tc>
          <w:tcPr>
            <w:tcW w:w="750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Increase in unrealized losses from changes in the fair value of commodity contracts, primarily</w:t>
            </w:r>
          </w:p>
        </w:tc>
        <w:tc>
          <w:tcPr>
            <w:tcW w:w="0" w:type="dxa"/>
            <w:vAlign w:val="bottom"/>
          </w:tcPr>
          <w:p>
            <w:pPr>
              <w:spacing w:after="0"/>
              <w:rPr>
                <w:sz w:val="1"/>
                <w:szCs w:val="1"/>
                <w:color w:val="auto"/>
              </w:rPr>
            </w:pPr>
          </w:p>
        </w:tc>
      </w:tr>
      <w:tr>
        <w:trPr>
          <w:trHeight w:val="184"/>
        </w:trPr>
        <w:tc>
          <w:tcPr>
            <w:tcW w:w="234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hedging activities</w:t>
            </w:r>
          </w:p>
        </w:tc>
        <w:tc>
          <w:tcPr>
            <w:tcW w:w="750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driven by an increase in forward power prices in the ERCOT and PJM markets, as well as the 2021</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15"/>
                <w:szCs w:val="15"/>
                <w:color w:val="auto"/>
              </w:rPr>
            </w:pPr>
          </w:p>
        </w:tc>
        <w:tc>
          <w:tcPr>
            <w:tcW w:w="750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acquisitions of Mt. Storm and Mesquite Sky and the mark-to-market of the Langford commodity</w:t>
            </w:r>
          </w:p>
        </w:tc>
        <w:tc>
          <w:tcPr>
            <w:tcW w:w="0" w:type="dxa"/>
            <w:vAlign w:val="bottom"/>
          </w:tcPr>
          <w:p>
            <w:pPr>
              <w:spacing w:after="0"/>
              <w:rPr>
                <w:sz w:val="1"/>
                <w:szCs w:val="1"/>
                <w:color w:val="auto"/>
              </w:rPr>
            </w:pPr>
          </w:p>
        </w:tc>
      </w:tr>
      <w:tr>
        <w:trPr>
          <w:trHeight w:val="225"/>
        </w:trPr>
        <w:tc>
          <w:tcPr>
            <w:tcW w:w="2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amortization</w:t>
            </w:r>
          </w:p>
        </w:tc>
        <w:tc>
          <w:tcPr>
            <w:tcW w:w="7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contract, which previously qualified for the NPNS exception</w:t>
            </w:r>
          </w:p>
        </w:tc>
        <w:tc>
          <w:tcPr>
            <w:tcW w:w="0" w:type="dxa"/>
            <w:vAlign w:val="bottom"/>
          </w:tcPr>
          <w:p>
            <w:pPr>
              <w:spacing w:after="0"/>
              <w:rPr>
                <w:sz w:val="1"/>
                <w:szCs w:val="1"/>
                <w:color w:val="auto"/>
              </w:rPr>
            </w:pPr>
          </w:p>
        </w:tc>
      </w:tr>
      <w:tr>
        <w:trPr>
          <w:trHeight w:val="180"/>
        </w:trPr>
        <w:tc>
          <w:tcPr>
            <w:tcW w:w="2340" w:type="dxa"/>
            <w:vAlign w:val="bottom"/>
            <w:vMerge w:val="continue"/>
          </w:tcPr>
          <w:p>
            <w:pPr>
              <w:spacing w:after="0"/>
              <w:rPr>
                <w:sz w:val="15"/>
                <w:szCs w:val="15"/>
                <w:color w:val="auto"/>
              </w:rPr>
            </w:pPr>
          </w:p>
        </w:tc>
        <w:tc>
          <w:tcPr>
            <w:tcW w:w="750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Increase primarily driven by amortization of the intangible assets for power purchase agreements</w:t>
            </w: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7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related to the 2021 acquisitions of Agua Caliente and the Utah Solar Portfolio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-748030</wp:posOffset>
            </wp:positionV>
            <wp:extent cx="7132320" cy="4883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883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-1382395</wp:posOffset>
            </wp:positionV>
            <wp:extent cx="7132320" cy="4889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ind w:left="1026" w:hanging="1026"/>
        <w:spacing w:after="0"/>
        <w:tabs>
          <w:tab w:leader="none" w:pos="102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125</w:t>
      </w:r>
    </w:p>
    <w:p>
      <w:pPr>
        <w:spacing w:after="0" w:line="27" w:lineRule="exact"/>
        <w:rPr>
          <w:rFonts w:ascii="Times New Roman" w:cs="Times New Roman" w:eastAsia="Times New Roman" w:hAnsi="Times New Roman"/>
          <w:sz w:val="16"/>
          <w:szCs w:val="16"/>
          <w:color w:val="auto"/>
        </w:rPr>
      </w:pPr>
    </w:p>
    <w:p>
      <w:pPr>
        <w:ind w:left="102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(23)</w:t>
      </w:r>
    </w:p>
    <w:p>
      <w:pPr>
        <w:spacing w:after="0" w:line="200" w:lineRule="exact"/>
        <w:rPr>
          <w:sz w:val="20"/>
          <w:szCs w:val="20"/>
          <w:color w:val="auto"/>
        </w:rPr>
      </w:pPr>
    </w:p>
    <w:p>
      <w:pPr>
        <w:spacing w:after="0" w:line="363" w:lineRule="exact"/>
        <w:rPr>
          <w:sz w:val="20"/>
          <w:szCs w:val="20"/>
          <w:color w:val="auto"/>
        </w:rPr>
      </w:pPr>
    </w:p>
    <w:p>
      <w:pPr>
        <w:ind w:left="926"/>
        <w:spacing w:after="0"/>
        <w:rPr>
          <w:sz w:val="20"/>
          <w:szCs w:val="20"/>
          <w:color w:val="auto"/>
        </w:rPr>
      </w:pPr>
      <w:r>
        <w:rPr>
          <w:rFonts w:ascii="Times New Roman" w:cs="Times New Roman" w:eastAsia="Times New Roman" w:hAnsi="Times New Roman"/>
          <w:sz w:val="18"/>
          <w:szCs w:val="18"/>
          <w:color w:val="auto"/>
        </w:rPr>
        <w:t>(123)</w:t>
      </w:r>
    </w:p>
    <w:p>
      <w:pPr>
        <w:spacing w:after="0" w:line="212" w:lineRule="exact"/>
        <w:rPr>
          <w:sz w:val="20"/>
          <w:szCs w:val="20"/>
          <w:color w:val="auto"/>
        </w:rPr>
      </w:pPr>
    </w:p>
    <w:p>
      <w:pPr>
        <w:ind w:left="1026"/>
        <w:spacing w:after="0"/>
        <w:rPr>
          <w:sz w:val="20"/>
          <w:szCs w:val="20"/>
          <w:color w:val="auto"/>
        </w:rPr>
      </w:pPr>
      <w:r>
        <w:rPr>
          <w:rFonts w:ascii="Times New Roman" w:cs="Times New Roman" w:eastAsia="Times New Roman" w:hAnsi="Times New Roman"/>
          <w:sz w:val="18"/>
          <w:szCs w:val="18"/>
          <w:color w:val="auto"/>
        </w:rPr>
        <w:t>(14)</w:t>
      </w:r>
    </w:p>
    <w:p>
      <w:pPr>
        <w:spacing w:after="0" w:line="36" w:lineRule="exact"/>
        <w:rPr>
          <w:sz w:val="20"/>
          <w:szCs w:val="20"/>
          <w:color w:val="auto"/>
        </w:rPr>
      </w:pPr>
    </w:p>
    <w:p>
      <w:pPr>
        <w:ind w:left="1026" w:hanging="1026"/>
        <w:spacing w:after="0"/>
        <w:tabs>
          <w:tab w:leader="none" w:pos="10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8655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60" w:space="34"/>
            <w:col w:w="1346"/>
          </w:cols>
          <w:pgMar w:left="320" w:top="887" w:right="33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Fuels</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 xml:space="preserve">Cost of fuels decreased by $6 million during the six months ended June 30, 2022, compared to the same period in 2021, due to the sale of the Thermal Business on May 1, 2022,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Maintenance Expense</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Operations and maintenance expense increased by $15 million during the six months ended June 30, 2022, compared to the same period in 2021, primarily due to the 2021 acquisitions of the Utah Solar Portfolio, Mesquite Sky, Black Rock and Mt. Storm, partially offset by the sale of the Thermal Business on May 1, 2022,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Costs of Operations Expense</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costs of operations expense increased by $14 million during the six months ended June 30, 2022, compared to the same period in 2021, primarily from the 2021 acquisitions of Mt. Storm, Mesquite Sky, Black Rock and the Utah Solar Portfolio, as well as the timing of property tax payments and refunds for certain projects.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Business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 xml:space="preserve">On May 1, 2022, the Company completed the sale of 100% of its interests in the Thermal Business to KKR resulting in a gain on sale of business of approximately $1.29 billion,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Extinguishment</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The Company recorded a loss on debt extinguishment of $2 million during the six months ended June 30, 2022, which reflects the write-off of previously deferred finance costs related to the Laredo Ridge, Tapestry Wind LLC and Viento Funding II, LLC, as further described in Note 7, </w:t>
      </w:r>
      <w:r>
        <w:rPr>
          <w:rFonts w:ascii="Times New Roman" w:cs="Times New Roman" w:eastAsia="Times New Roman" w:hAnsi="Times New Roman"/>
          <w:sz w:val="18"/>
          <w:szCs w:val="18"/>
          <w:i w:val="1"/>
          <w:iCs w:val="1"/>
          <w:color w:val="auto"/>
        </w:rPr>
        <w:t>Long-term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recorded a loss on debt extinguishment of $42 million during the six months ended, June 30, 2021, which primarily reflects the write-off of previously deferred finance costs and payment of premiums related to the redemption of the 2025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decreased by $54 million during the six months ended June 30, 2022, compared to the same period in 2021, primarily due to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interest expense due to decreased principal balances of project-level debt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interest expense due to the sale of the Thermal Business on May 1, 2022</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76"/>
        </w:trPr>
        <w:tc>
          <w:tcPr>
            <w:tcW w:w="9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deferred financing costs related to the Bridge Loan that was entered into during the fourth quarter of 2021 and</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43"/>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paid in full on May 3, 2022</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Noncontrolling Interests and Redeemable Noncontrolling Interests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the Company had a loss of $46 million attributable to noncontrolling interests and redeemable noncontrolling interests comprised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HLBV</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Losses attributable to third-party partnerships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2021, the Company had a loss of $102 million attributable to noncontrolling interests and redeemable noncontrolling interests comprised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HLBV</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Losses attributable to third-party partnerships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Times New Roman" w:cs="Times New Roman" w:eastAsia="Times New Roman" w:hAnsi="Times New Roman"/>
          <w:sz w:val="18"/>
          <w:szCs w:val="18"/>
          <w:color w:val="000000"/>
        </w:rPr>
        <w:t>As a normal part of the Company’s business, depending on market conditions,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Current Liquidity Position</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June 30, 2022</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December 31, 2021</w:t>
      </w:r>
      <w:r>
        <w:rPr>
          <w:rFonts w:ascii="Times New Roman" w:cs="Times New Roman" w:eastAsia="Times New Roman" w:hAnsi="Times New Roman"/>
          <w:sz w:val="18"/>
          <w:szCs w:val="18"/>
          <w:color w:val="231F20"/>
        </w:rPr>
        <w:t>, the Company’s liquidity was approximately $1.70 billion and $821 million, respectively, comprised of cash, restricted cash and availability under the Company’s revolving credit facility.</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3"/>
                <w:szCs w:val="13"/>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3"/>
                <w:szCs w:val="13"/>
                <w:color w:val="auto"/>
              </w:rPr>
            </w:pPr>
          </w:p>
        </w:tc>
        <w:tc>
          <w:tcPr>
            <w:tcW w:w="15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Clearway Energy, Inc. and Clearway Energy LLC, excluding subsidiaries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Subsidiaries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accounts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9"/>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Reserves, including debt service, distributions, performance obligations and other reserves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3"/>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23"/>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Revolving credit facility availability</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liquidity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 xml:space="preserve">The Company’s liquidity includes $333 million and $475 million of restricted cash balances as of June 30, 2022 and December 31,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231F20"/>
        </w:rPr>
        <w:t xml:space="preserve">, respectively. Restricted cash consists primarily of funds to satisfy the requirements of certain debt arrangements and funds held within the Company’s projects that are restricted in their use. As of </w:t>
      </w:r>
      <w:r>
        <w:rPr>
          <w:rFonts w:ascii="Times New Roman" w:cs="Times New Roman" w:eastAsia="Times New Roman" w:hAnsi="Times New Roman"/>
          <w:sz w:val="18"/>
          <w:szCs w:val="18"/>
          <w:color w:val="000000"/>
        </w:rPr>
        <w:t>June 30, 2022, these restricted funds were comprised of $143 million designated to fund operating expenses,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approximately $42 million designated for current debt service payments and $122 million restricted for reserves including debt service, performance obligations and other reserves, as well as capital expenditures. The remaining $26 million is held in distribution reserve accounts.</w:t>
      </w:r>
    </w:p>
    <w:p>
      <w:pPr>
        <w:spacing w:after="0" w:line="1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As of June 30, 2022, the Company had no outstanding borrowings under the revolving credit facility and $87 million in letters of credit outstanding. During the six months ended June 30, 2022, the Company borrowed $80 million under the revolving credit facility and repaid $325 million, $305 million of which was repaid on May 3, 2022, utilizing the proceeds received from the Thermal Disposition. </w:t>
      </w:r>
      <w:r>
        <w:rPr>
          <w:rFonts w:ascii="Times New Roman" w:cs="Times New Roman" w:eastAsia="Times New Roman" w:hAnsi="Times New Roman"/>
          <w:sz w:val="18"/>
          <w:szCs w:val="18"/>
          <w:color w:val="231F20"/>
        </w:rPr>
        <w:t>The facility will continue to be used for 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corporate purposes including financing of future acquisitions and posting letters of credit.</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Energy, Inc. and CEG. Management continues to regularly monitor the Company’s ability to finance the needs of its operating, financing and investing activity within the dictates of prudent balance sheet management.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Sources of Liquidity</w:t>
      </w:r>
    </w:p>
    <w:p>
      <w:pPr>
        <w:spacing w:after="0" w:line="175"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Note 7, </w:t>
      </w:r>
      <w:r>
        <w:rPr>
          <w:rFonts w:ascii="Times New Roman" w:cs="Times New Roman" w:eastAsia="Times New Roman" w:hAnsi="Times New Roman"/>
          <w:sz w:val="18"/>
          <w:szCs w:val="18"/>
          <w:i w:val="1"/>
          <w:iCs w:val="1"/>
          <w:color w:val="231F20"/>
        </w:rPr>
        <w:t>Long-term Debt</w:t>
      </w:r>
      <w:r>
        <w:rPr>
          <w:rFonts w:ascii="Times New Roman" w:cs="Times New Roman" w:eastAsia="Times New Roman" w:hAnsi="Times New Roman"/>
          <w:sz w:val="18"/>
          <w:szCs w:val="18"/>
          <w:color w:val="231F20"/>
        </w:rPr>
        <w:t xml:space="preserve">, to this Form 10-Q and Item 15 — Note 10, </w:t>
      </w:r>
      <w:r>
        <w:rPr>
          <w:rFonts w:ascii="Times New Roman" w:cs="Times New Roman" w:eastAsia="Times New Roman" w:hAnsi="Times New Roman"/>
          <w:sz w:val="18"/>
          <w:szCs w:val="18"/>
          <w:i w:val="1"/>
          <w:iCs w:val="1"/>
          <w:color w:val="231F20"/>
        </w:rPr>
        <w:t>Long-term Debt</w:t>
      </w:r>
      <w:r>
        <w:rPr>
          <w:rFonts w:ascii="Times New Roman" w:cs="Times New Roman" w:eastAsia="Times New Roman" w:hAnsi="Times New Roman"/>
          <w:sz w:val="18"/>
          <w:szCs w:val="18"/>
          <w:color w:val="231F20"/>
        </w:rPr>
        <w:t xml:space="preserve">, to the consolidated financial statements included in the Company’s </w:t>
      </w:r>
      <w:r>
        <w:rPr>
          <w:rFonts w:ascii="Times New Roman" w:cs="Times New Roman" w:eastAsia="Times New Roman" w:hAnsi="Times New Roman"/>
          <w:sz w:val="18"/>
          <w:szCs w:val="18"/>
          <w:color w:val="000000"/>
        </w:rPr>
        <w:t>2021 Form 10-K</w:t>
      </w:r>
      <w:r>
        <w:rPr>
          <w:rFonts w:ascii="Times New Roman" w:cs="Times New Roman" w:eastAsia="Times New Roman" w:hAnsi="Times New Roman"/>
          <w:sz w:val="18"/>
          <w:szCs w:val="18"/>
          <w:color w:val="231F20"/>
        </w:rPr>
        <w:t>, the Company’s financing arrangements consist of</w:t>
      </w:r>
      <w:r>
        <w:rPr>
          <w:rFonts w:ascii="Times New Roman" w:cs="Times New Roman" w:eastAsia="Times New Roman" w:hAnsi="Times New Roman"/>
          <w:sz w:val="18"/>
          <w:szCs w:val="18"/>
          <w:color w:val="000000"/>
        </w:rPr>
        <w:t xml:space="preserve"> corporate level debt, which includes Senior Notes and the revolving credit facility; the ATM Programs; and project-level financings for its various assets.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2" w:name="page43"/>
    <w:bookmarkEnd w:id="42"/>
    <w:p>
      <w:pPr>
        <w:ind w:left="420"/>
        <w:spacing w:after="0"/>
        <w:rPr>
          <w:sz w:val="20"/>
          <w:szCs w:val="20"/>
          <w:color w:val="auto"/>
        </w:rPr>
      </w:pPr>
      <w:r>
        <w:rPr>
          <w:rFonts w:ascii="Times New Roman" w:cs="Times New Roman" w:eastAsia="Times New Roman" w:hAnsi="Times New Roman"/>
          <w:sz w:val="18"/>
          <w:szCs w:val="18"/>
          <w:i w:val="1"/>
          <w:iCs w:val="1"/>
          <w:color w:val="231F20"/>
        </w:rPr>
        <w:t>Thermal Disposition</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On May 1, 2022, the Company completed the sale of 100% of its interests in the Thermal Business to KKR for net proceeds of approximately $1.46 billion, inclusive of working capital adjustments, which excludes approximately $18 million in transaction expenses that were incurred in connection with the disposition. The transaction resulted in a gain on sale of business of approximately $1.29 billion, which is net of the $18 million in transaction expenses referenced above. The proceeds from the sale were utilized to repay certain borrowings outstanding, as further described in </w:t>
      </w:r>
      <w:r>
        <w:rPr>
          <w:rFonts w:ascii="Times New Roman" w:cs="Times New Roman" w:eastAsia="Times New Roman" w:hAnsi="Times New Roman"/>
          <w:sz w:val="18"/>
          <w:szCs w:val="18"/>
          <w:color w:val="231F20"/>
        </w:rPr>
        <w:t>Note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31F20"/>
        </w:rPr>
        <w:t>Long-term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31F20"/>
        </w:rPr>
        <w:t>Debt</w:t>
      </w:r>
      <w:r>
        <w:rPr>
          <w:rFonts w:ascii="Times New Roman" w:cs="Times New Roman" w:eastAsia="Times New Roman" w:hAnsi="Times New Roman"/>
          <w:sz w:val="18"/>
          <w:szCs w:val="18"/>
          <w:color w:val="000000"/>
        </w:rPr>
        <w:t>, with the remaining proceeds invested in short-term investments classified as cash and cash equivalents on the Company’s consolidated balance sheet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as of June 30, 2022.</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Credit Ratings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June 30, 2022, the Company’s 2028 Senior Notes, 2031 Senior Notes and 2032 Senior Notes were rated BB by S&amp;P and Ba2 by Moody’s.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Uses of Liquidity</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Company’s requirements for liquidity and capital resources, other than for operating its facilities, are categorized as: (i) debt service obligations, as described more fully in </w:t>
      </w:r>
      <w:r>
        <w:rPr>
          <w:rFonts w:ascii="Times New Roman" w:cs="Times New Roman" w:eastAsia="Times New Roman" w:hAnsi="Times New Roman"/>
          <w:sz w:val="18"/>
          <w:szCs w:val="18"/>
          <w:color w:val="000000"/>
        </w:rPr>
        <w:t>Note 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color w:val="231F20"/>
        </w:rPr>
        <w:t xml:space="preserve"> to the consolidated financial statements; (ii) capital expenditures; (iii) off-balance sheet arrangements;</w:t>
      </w:r>
    </w:p>
    <w:p>
      <w:pPr>
        <w:ind w:left="420" w:right="7260" w:hanging="412"/>
        <w:spacing w:after="0" w:line="427" w:lineRule="auto"/>
        <w:tabs>
          <w:tab w:leader="none" w:pos="3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acquisitions and investments; and (v) distributions. </w:t>
      </w:r>
      <w:r>
        <w:rPr>
          <w:rFonts w:ascii="Times New Roman" w:cs="Times New Roman" w:eastAsia="Times New Roman" w:hAnsi="Times New Roman"/>
          <w:sz w:val="18"/>
          <w:szCs w:val="18"/>
          <w:i w:val="1"/>
          <w:iCs w:val="1"/>
          <w:color w:val="000000"/>
        </w:rPr>
        <w:t>Capital Expenditures</w:t>
      </w:r>
    </w:p>
    <w:p>
      <w:pPr>
        <w:spacing w:after="0" w:line="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complete the construction of assets where construction is in process, and capital expenditures related to acquiring additional thermal customers.</w:t>
      </w:r>
    </w:p>
    <w:p>
      <w:pPr>
        <w:spacing w:after="0" w:line="12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 xml:space="preserve">For the six months ended </w:t>
      </w:r>
      <w:r>
        <w:rPr>
          <w:rFonts w:ascii="Times New Roman" w:cs="Times New Roman" w:eastAsia="Times New Roman" w:hAnsi="Times New Roman"/>
          <w:sz w:val="18"/>
          <w:szCs w:val="18"/>
          <w:color w:val="000000"/>
        </w:rPr>
        <w:t>June 30, 2022</w:t>
      </w:r>
      <w:r>
        <w:rPr>
          <w:rFonts w:ascii="Times New Roman" w:cs="Times New Roman" w:eastAsia="Times New Roman" w:hAnsi="Times New Roman"/>
          <w:sz w:val="18"/>
          <w:szCs w:val="18"/>
          <w:color w:val="231F20"/>
        </w:rPr>
        <w:t xml:space="preserve">, the Company used approximately $81 million to fund capital expenditures, including growth </w:t>
      </w:r>
      <w:r>
        <w:rPr>
          <w:rFonts w:ascii="Times New Roman" w:cs="Times New Roman" w:eastAsia="Times New Roman" w:hAnsi="Times New Roman"/>
          <w:sz w:val="18"/>
          <w:szCs w:val="18"/>
          <w:color w:val="000000"/>
        </w:rPr>
        <w:t>expenditures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$65 million in the Renewables segment, funded through construction-related financing. Renewables segment capital expenditures included $21 million incurred in connection with the Mililani solar project, $21 million incurred in connection with the Mesquite Sky wind project, $13 million incurred in connection with the Black Rock wind project, $5 million incurred in connection with the Rattlesnake wind project and $5 million incurred by other wind and solar projects. Prior to the sale of the Thermal Business on May 1, 2022, the Company incurred $4 million of growth capital expenditures in the Thermal segment in connection with various development projects. In addition, the Company incurred $12 million in maintenance capital expenditures. The Company estimates $30 million of maintenance expenditures for 2022. These estimates are subject to continuing review and adjustment. Actual capital expenditures may vary from these estimates.</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Acquisitions and Investments</w:t>
      </w:r>
    </w:p>
    <w:p>
      <w:pPr>
        <w:spacing w:after="0" w:line="16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11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Capistrano Portfolio Acquisition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June 23, 2022, an indirect subsidiary of the Company entered into a binding agreement to acquire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Capistrano Portfolio from Capistrano Wind Partners, LLC, an indirect subsidiary of CEG, for cash consideration of $255 million, plus the assumption of $160 million of non-recourse debt, subject to working capital and other closing adjustments. The Capistrano Portfolio consists of five wind projects located in Texas, Nebraska and Wyoming with a combined capacity of 413 MW. Concurrent with the acquisition, the Company has also entered into a development agreement with CEG, whereby CEG will pay $10 million to the Company to partially fund the acquisition of the Capistrano Portfolio for an exclusive right to develop, construct and repower the projects in the Capistrano Portfolio, or the Rights Fee. After factoring in estimated closing adjustments, proceeds from the Rights Fee and new non-recourse debt, the Company expects its long-term corporate capital commitment to acquire the Capistrano Portfolio to be between approximately $110 and $130 million, which the Company expects to fund with cash on hand. The transaction is subject to customary regulatory approvals and is expected to close in the second half of 2022.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3" w:name="page44"/>
    <w:bookmarkEnd w:id="43"/>
    <w:p>
      <w:pPr>
        <w:jc w:val="both"/>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Mililani I Drop Down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March 25, 2022, the Company, through its indirect subsidiary, Lighthouse Renewable Holdco LLC, acquired Mililani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 Borrower Holdco LLC, the indirect owner of the Mililani I solar project, a 39 MW Solar project with 156 MWh of storage capacity that is currently under construction, located in Oahu, Hawaii, from Clearway Renew LLC, a subsidiary of CEG, for cash consideration of $22 million. Lighthouse Renewable Holdco LLC is a partnership between the Company and a third-party investor. The third-party investor also contributed cash consideration of $14 million utilized to acquire their portion of the acquired entity. Mililani BL Borrower Holdco LLC consolidates, as the direct owner of the primary beneficiary, a tax equity fund, Mililani TE Holdco LLC, which directly holds the Mililani I solar project. Mililani I has a 20-year power purchase agreement with an investment-grade utility that commenced in July 2022. The acquisition was funded with existing sources of liquidity. As part of the acquisition of Mililani I, the Company assumed the project’s financing agreement which included a $16 million construction loan that converts to a term loan upon completion of construction, $60 million tax equity bridge loan and a $27 million sponsor equity bridge loan. The sponsor equity bridge loan was repaid at acquisition date, utilizing $14 million from the cash equity investor, as well as $15 million of the Company’s acquisition price, which was contributed back by CEG, and $2 million was utilized to pay associated fees. The tax equity bridge loan will be repaid with the final proceeds from the tax equity investor that will be received when Mililani I achieves substantial completion, which is expected to occur in the second half of 2022.</w:t>
      </w:r>
    </w:p>
    <w:p>
      <w:pPr>
        <w:spacing w:after="0" w:line="136"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Black Rock Drop Down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February 2022, in connection with the Company’s 2021 acquisition of the Class B membership interests in Black Rock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Wind Holding LLC, through its indirect subsidiary Lighthouse Renewable Holding Sub LLC, from Clearway Renew LLC, as subsidiary of CEG, the Company paid an additional $23 million as final funding after all remaining turbines of the Black Rock wind project became operational. Concurrent with the final funding, the $59 million that was contributed in 2021 by third-party investors, consisting of $36 million contributed by the cash equity investor and $23 million contributed by the tax equity investor, was released to Clearway Renew LLC.</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Bridge Loan Agreement</w:t>
      </w:r>
    </w:p>
    <w:p>
      <w:pPr>
        <w:spacing w:after="0" w:line="17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On May 3, 2022, the Company repaid the $335 million in outstanding borrowings under the Bridge Loan Agreement utilizing proceeds received from the Thermal Disposition.</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Cash Distributions to Clearway Energy, Inc. and CEG</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Distributions on the Company’s units are subject to available capital, market conditions and compliance with associated laws, regulations and other contractual obligations. The Company expects that, based on current circumstances, comparable cash distributions will continue to be paid in the foreseeable future.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the distributions paid on the Company’s Class A, B, C and D units during the six months ended June 30, 2022:</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 2022</w:t>
            </w:r>
          </w:p>
        </w:tc>
        <w:tc>
          <w:tcPr>
            <w:tcW w:w="0" w:type="dxa"/>
            <w:vAlign w:val="bottom"/>
          </w:tcPr>
          <w:p>
            <w:pPr>
              <w:spacing w:after="0"/>
              <w:rPr>
                <w:sz w:val="1"/>
                <w:szCs w:val="1"/>
                <w:color w:val="auto"/>
              </w:rPr>
            </w:pPr>
          </w:p>
        </w:tc>
      </w:tr>
      <w:tr>
        <w:trPr>
          <w:trHeight w:val="196"/>
        </w:trPr>
        <w:tc>
          <w:tcPr>
            <w:tcW w:w="85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per Class A, B, C and D unit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0.3468</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August 1, 2022, the Company declared a distribution on its Class A, Class B, Class C and Class D units of $0.3604 per unit payable on September 15, 2022 to unit holders of record as of September 1, 2022.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Obligations under Certain Guarantee Contracts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Company may enter into guarantee arrangements in the normal course of business to facilitate commercial transactions with third parties.</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Retained or Contingent Interests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does not have any material retained or contingent interests in assets transferred to an unconsolidated entity.</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Obligations Arising Out of a Variable Interest in an Unconsolidated Entity</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June 30, 2022, the Company has several investments with an ownership interest percentage of 50% or less in energy and an energy-related entity that is accounted for under the equity method. GenConn is a variable interest entity for which the Company is not the primary beneficiary. The Company’s pro-rata share of non-recourse debt held by unconsolidated affiliates was approximately $338 million as of June 30, 2022. This indebtedness may restrict the ability of these subsidiaries to issue dividends or distributions to the Company.</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Contractual Obligations and Commercial Commitments</w:t>
      </w:r>
    </w:p>
    <w:p>
      <w:pPr>
        <w:spacing w:after="0" w:line="17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has a variety of contractual obligations and other commercial commitments that represent prospective cash requirements in addition to the Company’s capital expenditure programs, as disclosed in the Company’s 2021 Form 10-K.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reflects the changes in cash flows for the six months ended June 30, 2022, compared to the six months ended June 30, 2021: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29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71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714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7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4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657"/>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4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1,331</w:t>
            </w:r>
          </w:p>
        </w:tc>
        <w:tc>
          <w:tcPr>
            <w:tcW w:w="220" w:type="dxa"/>
            <w:vAlign w:val="bottom"/>
          </w:tcPr>
          <w:p>
            <w:pPr>
              <w:spacing w:after="0"/>
              <w:rPr>
                <w:sz w:val="19"/>
                <w:szCs w:val="19"/>
                <w:color w:val="auto"/>
              </w:rPr>
            </w:pPr>
          </w:p>
        </w:tc>
        <w:tc>
          <w:tcPr>
            <w:tcW w:w="1180" w:type="dxa"/>
            <w:vAlign w:val="bottom"/>
          </w:tcPr>
          <w:p>
            <w:pPr>
              <w:jc w:val="center"/>
              <w:ind w:left="637"/>
              <w:spacing w:after="0"/>
              <w:rPr>
                <w:sz w:val="20"/>
                <w:szCs w:val="20"/>
                <w:color w:val="auto"/>
              </w:rPr>
            </w:pPr>
            <w:r>
              <w:rPr>
                <w:rFonts w:ascii="Times New Roman" w:cs="Times New Roman" w:eastAsia="Times New Roman" w:hAnsi="Times New Roman"/>
                <w:sz w:val="18"/>
                <w:szCs w:val="18"/>
                <w:color w:val="auto"/>
                <w:w w:val="97"/>
              </w:rPr>
              <w:t>(420)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657"/>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r>
    </w:tbl>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ectPr>
          <w:pgSz w:w="11900" w:h="16838" w:orient="portrait"/>
          <w:cols w:equalWidth="0" w:num="1">
            <w:col w:w="11240"/>
          </w:cols>
          <w:pgMar w:left="320" w:top="887" w:right="339" w:bottom="1440" w:gutter="0" w:footer="0" w:header="0"/>
        </w:sectPr>
      </w:pP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to net cash provided by operating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Increase in operating income adjusted for non-cash items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Increase in distributions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40"/>
        <w:spacing w:after="0" w:line="292" w:lineRule="auto"/>
        <w:rPr>
          <w:sz w:val="20"/>
          <w:szCs w:val="20"/>
          <w:color w:val="auto"/>
        </w:rPr>
      </w:pPr>
      <w:r>
        <w:rPr>
          <w:rFonts w:ascii="Times New Roman" w:cs="Times New Roman" w:eastAsia="Times New Roman" w:hAnsi="Times New Roman"/>
          <w:sz w:val="18"/>
          <w:szCs w:val="18"/>
          <w:color w:val="auto"/>
        </w:rPr>
        <w:t>Increase in working capital primarily driven by the timing of accounts receivable collections and payments of accounts payable Transaction expenses paid on May 1, 2022 in connection with the sale of the Thermal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0628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3" w:lineRule="exact"/>
        <w:rPr>
          <w:sz w:val="20"/>
          <w:szCs w:val="20"/>
          <w:color w:val="auto"/>
        </w:rPr>
      </w:pPr>
    </w:p>
    <w:p>
      <w:pPr>
        <w:ind w:left="1000" w:hanging="992"/>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w:t>
      </w:r>
    </w:p>
    <w:p>
      <w:pPr>
        <w:spacing w:after="0" w:line="2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(30)</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(18)</w:t>
      </w:r>
    </w:p>
    <w:p>
      <w:pPr>
        <w:spacing w:after="0" w:line="31" w:lineRule="exact"/>
        <w:rPr>
          <w:sz w:val="20"/>
          <w:szCs w:val="20"/>
          <w:color w:val="auto"/>
        </w:rPr>
      </w:pPr>
    </w:p>
    <w:p>
      <w:pPr>
        <w:ind w:left="1000" w:hanging="992"/>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8058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2">
            <w:col w:w="9300" w:space="640"/>
            <w:col w:w="1300"/>
          </w:cols>
          <w:pgMar w:left="320" w:top="88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Changes to net cash provided by (used in)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Proceeds from the sale of the Thermal Business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Cash paid for Agua Caliente, net of cash acquired,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in cash paid for Drop Down assets</w:t>
      </w:r>
    </w:p>
    <w:p>
      <w:pPr>
        <w:spacing w:after="0" w:line="23" w:lineRule="exact"/>
        <w:rPr>
          <w:sz w:val="20"/>
          <w:szCs w:val="20"/>
          <w:color w:val="auto"/>
        </w:rPr>
      </w:pPr>
    </w:p>
    <w:p>
      <w:pPr>
        <w:ind w:left="140" w:right="3148"/>
        <w:spacing w:after="0" w:line="266" w:lineRule="auto"/>
        <w:rPr>
          <w:sz w:val="20"/>
          <w:szCs w:val="20"/>
          <w:color w:val="auto"/>
        </w:rPr>
      </w:pPr>
      <w:r>
        <w:rPr>
          <w:rFonts w:ascii="Times New Roman" w:cs="Times New Roman" w:eastAsia="Times New Roman" w:hAnsi="Times New Roman"/>
          <w:sz w:val="18"/>
          <w:szCs w:val="18"/>
          <w:color w:val="auto"/>
        </w:rPr>
        <w:t>Cash paid to CEG in 2021 for equipment for the Pinnacle wind project repowering Decrease in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06285"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Decrease in the return of investment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w:t>
      </w:r>
    </w:p>
    <w:p>
      <w:pPr>
        <w:spacing w:after="0" w:line="200" w:lineRule="exact"/>
        <w:rPr>
          <w:sz w:val="20"/>
          <w:szCs w:val="20"/>
          <w:color w:val="auto"/>
        </w:rPr>
      </w:pPr>
    </w:p>
    <w:p>
      <w:pPr>
        <w:spacing w:after="0" w:line="3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Financing Activities</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net cash (used in) provided by financing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in proceeds from the issuance of long-term debt, net of payments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in proceeds from the revolving credit facility, net of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Decrease in contributions from noncontrolling interest members, net of distributions</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in contributions from CEG, net of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Cash released from escrow distributed to CEG in 2022</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Increase in payments of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br w:type="column"/>
      </w:r>
    </w:p>
    <w:p>
      <w:pPr>
        <w:ind w:left="192"/>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3" w:lineRule="exact"/>
        <w:rPr>
          <w:sz w:val="20"/>
          <w:szCs w:val="20"/>
          <w:color w:val="auto"/>
        </w:rPr>
      </w:pPr>
    </w:p>
    <w:p>
      <w:pPr>
        <w:ind w:left="772" w:hanging="772"/>
        <w:spacing w:after="0"/>
        <w:tabs>
          <w:tab w:leader="none" w:pos="77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1,457</w:t>
      </w:r>
    </w:p>
    <w:p>
      <w:pPr>
        <w:spacing w:after="0" w:line="27" w:lineRule="exact"/>
        <w:rPr>
          <w:rFonts w:ascii="Times New Roman" w:cs="Times New Roman" w:eastAsia="Times New Roman" w:hAnsi="Times New Roman"/>
          <w:sz w:val="18"/>
          <w:szCs w:val="18"/>
          <w:color w:val="auto"/>
        </w:rPr>
      </w:pPr>
    </w:p>
    <w:p>
      <w:pPr>
        <w:ind w:left="9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w:t>
      </w:r>
    </w:p>
    <w:p>
      <w:pPr>
        <w:spacing w:after="0" w:line="22" w:lineRule="exact"/>
        <w:rPr>
          <w:rFonts w:ascii="Times New Roman" w:cs="Times New Roman" w:eastAsia="Times New Roman" w:hAnsi="Times New Roman"/>
          <w:sz w:val="18"/>
          <w:szCs w:val="18"/>
          <w:color w:val="auto"/>
        </w:rPr>
      </w:pPr>
    </w:p>
    <w:p>
      <w:pPr>
        <w:ind w:left="9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w:t>
      </w:r>
    </w:p>
    <w:p>
      <w:pPr>
        <w:spacing w:after="0" w:line="22" w:lineRule="exact"/>
        <w:rPr>
          <w:rFonts w:ascii="Times New Roman" w:cs="Times New Roman" w:eastAsia="Times New Roman" w:hAnsi="Times New Roman"/>
          <w:sz w:val="18"/>
          <w:szCs w:val="18"/>
          <w:color w:val="auto"/>
        </w:rPr>
      </w:pPr>
    </w:p>
    <w:p>
      <w:pPr>
        <w:ind w:left="9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p>
    <w:p>
      <w:pPr>
        <w:spacing w:after="0" w:line="22" w:lineRule="exact"/>
        <w:rPr>
          <w:rFonts w:ascii="Times New Roman" w:cs="Times New Roman" w:eastAsia="Times New Roman" w:hAnsi="Times New Roman"/>
          <w:sz w:val="18"/>
          <w:szCs w:val="18"/>
          <w:color w:val="auto"/>
        </w:rPr>
      </w:pPr>
    </w:p>
    <w:p>
      <w:pPr>
        <w:ind w:left="9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2" w:lineRule="exact"/>
        <w:rPr>
          <w:rFonts w:ascii="Times New Roman" w:cs="Times New Roman" w:eastAsia="Times New Roman" w:hAnsi="Times New Roman"/>
          <w:sz w:val="18"/>
          <w:szCs w:val="18"/>
          <w:color w:val="auto"/>
        </w:rPr>
      </w:pPr>
    </w:p>
    <w:p>
      <w:pPr>
        <w:ind w:left="9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22" w:lineRule="exact"/>
        <w:rPr>
          <w:rFonts w:ascii="Times New Roman" w:cs="Times New Roman" w:eastAsia="Times New Roman" w:hAnsi="Times New Roman"/>
          <w:sz w:val="18"/>
          <w:szCs w:val="18"/>
          <w:color w:val="auto"/>
        </w:rPr>
      </w:pPr>
    </w:p>
    <w:p>
      <w:pPr>
        <w:ind w:left="9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058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1" w:lineRule="exact"/>
        <w:rPr>
          <w:sz w:val="20"/>
          <w:szCs w:val="20"/>
          <w:color w:val="auto"/>
        </w:rPr>
      </w:pPr>
    </w:p>
    <w:p>
      <w:pPr>
        <w:ind w:left="772" w:hanging="772"/>
        <w:spacing w:after="0"/>
        <w:tabs>
          <w:tab w:leader="none" w:pos="7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8058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8058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192"/>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3" w:lineRule="exact"/>
        <w:rPr>
          <w:sz w:val="20"/>
          <w:szCs w:val="20"/>
          <w:color w:val="auto"/>
        </w:rPr>
      </w:pPr>
    </w:p>
    <w:p>
      <w:pPr>
        <w:ind w:left="832" w:hanging="832"/>
        <w:spacing w:after="0"/>
        <w:tabs>
          <w:tab w:leader="none" w:pos="83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(497)</w:t>
      </w:r>
    </w:p>
    <w:p>
      <w:pPr>
        <w:spacing w:after="0" w:line="27" w:lineRule="exact"/>
        <w:rPr>
          <w:rFonts w:ascii="Times New Roman" w:cs="Times New Roman" w:eastAsia="Times New Roman" w:hAnsi="Times New Roman"/>
          <w:sz w:val="18"/>
          <w:szCs w:val="18"/>
          <w:color w:val="auto"/>
        </w:rPr>
      </w:pPr>
    </w:p>
    <w:p>
      <w:pPr>
        <w:ind w:left="8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w:t>
      </w:r>
    </w:p>
    <w:p>
      <w:pPr>
        <w:spacing w:after="0" w:line="22" w:lineRule="exact"/>
        <w:rPr>
          <w:rFonts w:ascii="Times New Roman" w:cs="Times New Roman" w:eastAsia="Times New Roman" w:hAnsi="Times New Roman"/>
          <w:sz w:val="18"/>
          <w:szCs w:val="18"/>
          <w:color w:val="auto"/>
        </w:rPr>
      </w:pPr>
    </w:p>
    <w:p>
      <w:pPr>
        <w:ind w:left="8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w:t>
      </w:r>
    </w:p>
    <w:p>
      <w:pPr>
        <w:spacing w:after="0" w:line="22" w:lineRule="exact"/>
        <w:rPr>
          <w:rFonts w:ascii="Times New Roman" w:cs="Times New Roman" w:eastAsia="Times New Roman" w:hAnsi="Times New Roman"/>
          <w:sz w:val="18"/>
          <w:szCs w:val="18"/>
          <w:color w:val="auto"/>
        </w:rPr>
      </w:pPr>
    </w:p>
    <w:p>
      <w:pPr>
        <w:ind w:left="8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w:t>
      </w:r>
    </w:p>
    <w:p>
      <w:pPr>
        <w:spacing w:after="0" w:line="22" w:lineRule="exact"/>
        <w:rPr>
          <w:rFonts w:ascii="Times New Roman" w:cs="Times New Roman" w:eastAsia="Times New Roman" w:hAnsi="Times New Roman"/>
          <w:sz w:val="18"/>
          <w:szCs w:val="18"/>
          <w:color w:val="auto"/>
        </w:rPr>
      </w:pPr>
    </w:p>
    <w:p>
      <w:pPr>
        <w:ind w:left="9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w:t>
      </w:r>
    </w:p>
    <w:p>
      <w:pPr>
        <w:spacing w:after="0" w:line="22" w:lineRule="exact"/>
        <w:rPr>
          <w:rFonts w:ascii="Times New Roman" w:cs="Times New Roman" w:eastAsia="Times New Roman" w:hAnsi="Times New Roman"/>
          <w:sz w:val="18"/>
          <w:szCs w:val="18"/>
          <w:color w:val="auto"/>
        </w:rPr>
      </w:pPr>
    </w:p>
    <w:p>
      <w:pPr>
        <w:ind w:left="10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22" w:lineRule="exact"/>
        <w:rPr>
          <w:rFonts w:ascii="Times New Roman" w:cs="Times New Roman" w:eastAsia="Times New Roman" w:hAnsi="Times New Roman"/>
          <w:sz w:val="18"/>
          <w:szCs w:val="18"/>
          <w:color w:val="auto"/>
        </w:rPr>
      </w:pPr>
    </w:p>
    <w:p>
      <w:pPr>
        <w:ind w:left="10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058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11" w:lineRule="exact"/>
        <w:rPr>
          <w:sz w:val="20"/>
          <w:szCs w:val="20"/>
          <w:color w:val="auto"/>
        </w:rPr>
      </w:pPr>
    </w:p>
    <w:p>
      <w:pPr>
        <w:ind w:left="692" w:hanging="692"/>
        <w:spacing w:after="0"/>
        <w:tabs>
          <w:tab w:leader="none" w:pos="69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8058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8058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28" w:space="720"/>
            <w:col w:w="1292"/>
          </w:cols>
          <w:pgMar w:left="320" w:top="8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The Company may enter into commodity purchase contracts and other energy-related financial instruments to mitigate variability in earnings due to fluctuations in spot market prices. In addition, in order to mitigate interest rate risk associated with the issuance of variable rate debt, the Company enters into interest rate swap agreements.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 w:cs="Times New Roman" w:eastAsia="Times New Roman" w:hAnsi="Times New Roman"/>
          <w:sz w:val="18"/>
          <w:szCs w:val="18"/>
          <w:color w:val="000000"/>
        </w:rPr>
        <w:t>June 30, 2022</w:t>
      </w:r>
      <w:r>
        <w:rPr>
          <w:rFonts w:ascii="Times New Roman" w:cs="Times New Roman" w:eastAsia="Times New Roman" w:hAnsi="Times New Roman"/>
          <w:sz w:val="18"/>
          <w:szCs w:val="18"/>
          <w:color w:val="231F20"/>
        </w:rPr>
        <w:t xml:space="preserve">, based on their level within the fair value hierarchy defined in ASC 820; and indicate the maturities of contracts at </w:t>
      </w:r>
      <w:r>
        <w:rPr>
          <w:rFonts w:ascii="Times New Roman" w:cs="Times New Roman" w:eastAsia="Times New Roman" w:hAnsi="Times New Roman"/>
          <w:sz w:val="18"/>
          <w:szCs w:val="18"/>
          <w:color w:val="000000"/>
        </w:rPr>
        <w:t>June 30, 2022</w:t>
      </w:r>
      <w:r>
        <w:rPr>
          <w:rFonts w:ascii="Times New Roman" w:cs="Times New Roman" w:eastAsia="Times New Roman" w:hAnsi="Times New Roman"/>
          <w:sz w:val="18"/>
          <w:szCs w:val="18"/>
          <w:color w:val="231F20"/>
        </w:rPr>
        <w:t xml:space="preserve">. For a full discussion of the Company’s valuation methodology of its contracts, see </w:t>
      </w:r>
      <w:r>
        <w:rPr>
          <w:rFonts w:ascii="Times New Roman" w:cs="Times New Roman" w:eastAsia="Times New Roman" w:hAnsi="Times New Roman"/>
          <w:sz w:val="18"/>
          <w:szCs w:val="18"/>
          <w:i w:val="1"/>
          <w:iCs w:val="1"/>
          <w:color w:val="231F20"/>
        </w:rPr>
        <w:t>Derivative Fair Value Measurements</w:t>
      </w:r>
      <w:r>
        <w:rPr>
          <w:rFonts w:ascii="Times New Roman" w:cs="Times New Roman" w:eastAsia="Times New Roman" w:hAnsi="Times New Roman"/>
          <w:sz w:val="18"/>
          <w:szCs w:val="18"/>
          <w:color w:val="231F20"/>
        </w:rPr>
        <w:t xml:space="preserve"> in </w:t>
      </w:r>
      <w:r>
        <w:rPr>
          <w:rFonts w:ascii="Times New Roman" w:cs="Times New Roman" w:eastAsia="Times New Roman" w:hAnsi="Times New Roman"/>
          <w:sz w:val="18"/>
          <w:szCs w:val="18"/>
          <w:color w:val="000000"/>
        </w:rPr>
        <w:t>Note 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Fair Value of Financial Instruments</w:t>
      </w:r>
      <w:r>
        <w:rPr>
          <w:rFonts w:ascii="Times New Roman" w:cs="Times New Roman" w:eastAsia="Times New Roman" w:hAnsi="Times New Roman"/>
          <w:sz w:val="18"/>
          <w:szCs w:val="18"/>
          <w:color w:val="231F20"/>
        </w:rPr>
        <w:t>.</w:t>
      </w:r>
    </w:p>
    <w:p>
      <w:pPr>
        <w:sectPr>
          <w:pgSz w:w="11900" w:h="16838" w:orient="portrait"/>
          <w:cols w:equalWidth="0" w:num="1">
            <w:col w:w="11240"/>
          </w:cols>
          <w:pgMar w:left="320" w:top="887" w:right="339" w:bottom="1440" w:gutter="0" w:footer="0" w:header="0"/>
        </w:sectPr>
      </w:pP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Activity (Losses) Gains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of contracts as of December 31, 2021</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Contracts realized or otherwise settled during the period</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Contracts acquired during the period</w:t>
      </w:r>
    </w:p>
    <w:p>
      <w:pPr>
        <w:spacing w:after="0" w:line="23" w:lineRule="exact"/>
        <w:rPr>
          <w:sz w:val="20"/>
          <w:szCs w:val="20"/>
          <w:color w:val="auto"/>
        </w:rPr>
      </w:pPr>
    </w:p>
    <w:p>
      <w:pPr>
        <w:ind w:left="220" w:right="620"/>
        <w:spacing w:after="0" w:line="284" w:lineRule="auto"/>
        <w:rPr>
          <w:sz w:val="20"/>
          <w:szCs w:val="20"/>
          <w:color w:val="auto"/>
        </w:rPr>
      </w:pPr>
      <w:r>
        <w:rPr>
          <w:rFonts w:ascii="Times New Roman" w:cs="Times New Roman" w:eastAsia="Times New Roman" w:hAnsi="Times New Roman"/>
          <w:sz w:val="18"/>
          <w:szCs w:val="18"/>
          <w:color w:val="auto"/>
        </w:rPr>
        <w:t>Contracts added due to loss of NPNS exception Changes in fair value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of contracts as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Fair Value Hierarchy (Losses) Gains</w:t>
      </w:r>
    </w:p>
    <w:p>
      <w:pPr>
        <w:spacing w:after="0" w:line="2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Level 2</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Level 3</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gridSpan w:val="9"/>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 of contracts as of June 30, 2022</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4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1 Year or Less</w:t>
            </w:r>
          </w:p>
        </w:tc>
        <w:tc>
          <w:tcPr>
            <w:tcW w:w="120" w:type="dxa"/>
            <w:vAlign w:val="bottom"/>
          </w:tcPr>
          <w:p>
            <w:pPr>
              <w:spacing w:after="0"/>
              <w:rPr>
                <w:sz w:val="13"/>
                <w:szCs w:val="13"/>
                <w:color w:val="auto"/>
              </w:rPr>
            </w:pPr>
          </w:p>
        </w:tc>
        <w:tc>
          <w:tcPr>
            <w:tcW w:w="114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Greater Than</w:t>
            </w:r>
          </w:p>
        </w:tc>
        <w:tc>
          <w:tcPr>
            <w:tcW w:w="120" w:type="dxa"/>
            <w:vAlign w:val="bottom"/>
          </w:tcPr>
          <w:p>
            <w:pPr>
              <w:spacing w:after="0"/>
              <w:rPr>
                <w:sz w:val="13"/>
                <w:szCs w:val="13"/>
                <w:color w:val="auto"/>
              </w:rPr>
            </w:pPr>
          </w:p>
        </w:tc>
        <w:tc>
          <w:tcPr>
            <w:tcW w:w="114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Greater Than</w:t>
            </w:r>
          </w:p>
        </w:tc>
        <w:tc>
          <w:tcPr>
            <w:tcW w:w="160" w:type="dxa"/>
            <w:vAlign w:val="bottom"/>
          </w:tcPr>
          <w:p>
            <w:pPr>
              <w:spacing w:after="0"/>
              <w:rPr>
                <w:sz w:val="13"/>
                <w:szCs w:val="13"/>
                <w:color w:val="auto"/>
              </w:rPr>
            </w:pPr>
          </w:p>
        </w:tc>
        <w:tc>
          <w:tcPr>
            <w:tcW w:w="1260" w:type="dxa"/>
            <w:vAlign w:val="bottom"/>
            <w:gridSpan w:val="3"/>
          </w:tcPr>
          <w:p>
            <w:pPr>
              <w:jc w:val="right"/>
              <w:ind w:right="360"/>
              <w:spacing w:after="0" w:line="151" w:lineRule="exact"/>
              <w:rPr>
                <w:sz w:val="20"/>
                <w:szCs w:val="20"/>
                <w:color w:val="auto"/>
              </w:rPr>
            </w:pPr>
            <w:r>
              <w:rPr>
                <w:rFonts w:ascii="Times New Roman" w:cs="Times New Roman" w:eastAsia="Times New Roman" w:hAnsi="Times New Roman"/>
                <w:sz w:val="14"/>
                <w:szCs w:val="14"/>
                <w:b w:val="1"/>
                <w:bCs w:val="1"/>
                <w:color w:val="auto"/>
              </w:rPr>
              <w:t>Greater Than</w:t>
            </w:r>
          </w:p>
        </w:tc>
        <w:tc>
          <w:tcPr>
            <w:tcW w:w="180" w:type="dxa"/>
            <w:vAlign w:val="bottom"/>
          </w:tcPr>
          <w:p>
            <w:pPr>
              <w:spacing w:after="0"/>
              <w:rPr>
                <w:sz w:val="13"/>
                <w:szCs w:val="13"/>
                <w:color w:val="auto"/>
              </w:rPr>
            </w:pPr>
          </w:p>
        </w:tc>
        <w:tc>
          <w:tcPr>
            <w:tcW w:w="960" w:type="dxa"/>
            <w:vAlign w:val="bottom"/>
            <w:gridSpan w:val="2"/>
          </w:tcPr>
          <w:p>
            <w:pPr>
              <w:jc w:val="center"/>
              <w:ind w:right="200"/>
              <w:spacing w:after="0" w:line="151" w:lineRule="exact"/>
              <w:rPr>
                <w:sz w:val="20"/>
                <w:szCs w:val="20"/>
                <w:color w:val="auto"/>
              </w:rPr>
            </w:pPr>
            <w:r>
              <w:rPr>
                <w:rFonts w:ascii="Times New Roman" w:cs="Times New Roman" w:eastAsia="Times New Roman" w:hAnsi="Times New Roman"/>
                <w:sz w:val="14"/>
                <w:szCs w:val="14"/>
                <w:b w:val="1"/>
                <w:bCs w:val="1"/>
                <w:color w:val="auto"/>
                <w:w w:val="98"/>
              </w:rPr>
              <w:t>Total Fair</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1 Year to 3 Years</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3 Years to 5 Years</w:t>
            </w:r>
          </w:p>
        </w:tc>
        <w:tc>
          <w:tcPr>
            <w:tcW w:w="160" w:type="dxa"/>
            <w:vAlign w:val="bottom"/>
          </w:tcPr>
          <w:p>
            <w:pPr>
              <w:spacing w:after="0"/>
              <w:rPr>
                <w:sz w:val="16"/>
                <w:szCs w:val="16"/>
                <w:color w:val="auto"/>
              </w:rPr>
            </w:pPr>
          </w:p>
        </w:tc>
        <w:tc>
          <w:tcPr>
            <w:tcW w:w="126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8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left="619"/>
              <w:spacing w:after="0"/>
              <w:rPr>
                <w:sz w:val="20"/>
                <w:szCs w:val="20"/>
                <w:color w:val="auto"/>
              </w:rPr>
            </w:pPr>
            <w:r>
              <w:rPr>
                <w:rFonts w:ascii="Times New Roman" w:cs="Times New Roman" w:eastAsia="Times New Roman" w:hAnsi="Times New Roman"/>
                <w:sz w:val="18"/>
                <w:szCs w:val="18"/>
                <w:color w:val="auto"/>
                <w:w w:val="99"/>
              </w:rPr>
              <w:t>20</w:t>
            </w:r>
          </w:p>
        </w:tc>
        <w:tc>
          <w:tcPr>
            <w:tcW w:w="1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left="579"/>
              <w:spacing w:after="0"/>
              <w:rPr>
                <w:sz w:val="20"/>
                <w:szCs w:val="20"/>
                <w:color w:val="auto"/>
              </w:rPr>
            </w:pPr>
            <w:r>
              <w:rPr>
                <w:rFonts w:ascii="Times New Roman" w:cs="Times New Roman" w:eastAsia="Times New Roman" w:hAnsi="Times New Roman"/>
                <w:sz w:val="18"/>
                <w:szCs w:val="18"/>
                <w:color w:val="auto"/>
                <w:w w:val="99"/>
              </w:rPr>
              <w:t>(89)</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center"/>
              <w:ind w:left="579"/>
              <w:spacing w:after="0"/>
              <w:rPr>
                <w:sz w:val="20"/>
                <w:szCs w:val="20"/>
                <w:color w:val="auto"/>
              </w:rPr>
            </w:pPr>
            <w:r>
              <w:rPr>
                <w:rFonts w:ascii="Times New Roman" w:cs="Times New Roman" w:eastAsia="Times New Roman" w:hAnsi="Times New Roman"/>
                <w:sz w:val="18"/>
                <w:szCs w:val="18"/>
                <w:color w:val="auto"/>
                <w:w w:val="99"/>
              </w:rPr>
              <w:t>(69)</w:t>
            </w:r>
          </w:p>
        </w:tc>
        <w:tc>
          <w:tcPr>
            <w:tcW w:w="14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-2228215</wp:posOffset>
            </wp:positionV>
            <wp:extent cx="71323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-1928495</wp:posOffset>
            </wp:positionV>
            <wp:extent cx="71323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-1636395</wp:posOffset>
            </wp:positionV>
            <wp:extent cx="713232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-3034030</wp:posOffset>
            </wp:positionH>
            <wp:positionV relativeFrom="paragraph">
              <wp:posOffset>-334010</wp:posOffset>
            </wp:positionV>
            <wp:extent cx="7115175"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520"/>
            <w:col w:w="6440"/>
          </w:cols>
          <w:pgMar w:left="320" w:top="887" w:right="339" w:bottom="1440" w:gutter="0" w:footer="0" w:header="0"/>
          <w:type w:val="continuous"/>
        </w:sectPr>
      </w:pPr>
    </w:p>
    <w:p>
      <w:pPr>
        <w:spacing w:after="0" w:line="2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 has elected to disclose derivative assets and liabilities on a trade-by-trade basis and does not offset amounts at the counterparty master agreement level. As discussed below in </w:t>
      </w:r>
      <w:r>
        <w:rPr>
          <w:rFonts w:ascii="Times New Roman" w:cs="Times New Roman" w:eastAsia="Times New Roman" w:hAnsi="Times New Roman"/>
          <w:sz w:val="18"/>
          <w:szCs w:val="18"/>
          <w:i w:val="1"/>
          <w:iCs w:val="1"/>
          <w:color w:val="231F20"/>
        </w:rPr>
        <w:t>Quantitative and Qualitative Disclosures about Market Risk - Commodity Price Risk</w:t>
      </w:r>
      <w:r>
        <w:rPr>
          <w:rFonts w:ascii="Times New Roman" w:cs="Times New Roman" w:eastAsia="Times New Roman" w:hAnsi="Times New Roman"/>
          <w:sz w:val="18"/>
          <w:szCs w:val="18"/>
          <w:color w:val="231F20"/>
        </w:rPr>
        <w:t xml:space="preserve">, the </w:t>
      </w:r>
      <w:r>
        <w:rPr>
          <w:rFonts w:ascii="Times New Roman" w:cs="Times New Roman" w:eastAsia="Times New Roman" w:hAnsi="Times New Roman"/>
          <w:sz w:val="18"/>
          <w:szCs w:val="18"/>
          <w:color w:val="000000"/>
        </w:rPr>
        <w:t>Company, measures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sensitivity of the portfolio to potential changes in market prices using VaR, a statistical model which attempts to predict risk of loss based on market price and volatility. The Company’s risk management policy places a limit on one-day holding period VaR, which limits the net open position.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Hypothetical Liquidation at Book Value, or HLBV, and acquisition accounting.</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Times New Roman" w:cs="Times New Roman" w:eastAsia="Times New Roman" w:hAnsi="Times New Roman"/>
          <w:sz w:val="18"/>
          <w:szCs w:val="18"/>
          <w:color w:val="000000"/>
        </w:rPr>
        <w:t>The following disclosures about market risk provide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an update to, and should be read in conjunction with, Item 7A — </w:t>
      </w:r>
      <w:r>
        <w:rPr>
          <w:rFonts w:ascii="Times New Roman" w:cs="Times New Roman" w:eastAsia="Times New Roman" w:hAnsi="Times New Roman"/>
          <w:sz w:val="18"/>
          <w:szCs w:val="18"/>
          <w:i w:val="1"/>
          <w:iCs w:val="1"/>
          <w:color w:val="000000"/>
        </w:rPr>
        <w:t>Quantitative and Qualitative Disclosures About Market Risk,</w:t>
      </w:r>
      <w:r>
        <w:rPr>
          <w:rFonts w:ascii="Times New Roman" w:cs="Times New Roman" w:eastAsia="Times New Roman" w:hAnsi="Times New Roman"/>
          <w:sz w:val="18"/>
          <w:szCs w:val="18"/>
          <w:color w:val="000000"/>
        </w:rPr>
        <w:t xml:space="preserve"> of the Company’s 2021 Form 10-K.</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Interest Rate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w:t>
      </w:r>
      <w:r>
        <w:rPr>
          <w:rFonts w:ascii="Times New Roman" w:cs="Times New Roman" w:eastAsia="Times New Roman" w:hAnsi="Times New Roman"/>
          <w:sz w:val="18"/>
          <w:szCs w:val="18"/>
          <w:color w:val="000000"/>
        </w:rPr>
        <w:t>Note 6</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Derivative Instruments and Hedging Activities</w:t>
      </w:r>
      <w:r>
        <w:rPr>
          <w:rFonts w:ascii="Times New Roman" w:cs="Times New Roman" w:eastAsia="Times New Roman" w:hAnsi="Times New Roman"/>
          <w:sz w:val="18"/>
          <w:szCs w:val="18"/>
          <w:color w:val="231F20"/>
        </w:rPr>
        <w:t>, for more information.</w:t>
      </w:r>
    </w:p>
    <w:p>
      <w:pPr>
        <w:spacing w:after="0" w:line="126"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Most of the Company’s project subsidiaries enter into interest rate swaps, intended to hedge the risks associated with interest rates on non-recourse project-level debt. See Item 15 — </w:t>
      </w:r>
      <w:r>
        <w:rPr>
          <w:rFonts w:ascii="Times New Roman" w:cs="Times New Roman" w:eastAsia="Times New Roman" w:hAnsi="Times New Roman"/>
          <w:sz w:val="18"/>
          <w:szCs w:val="18"/>
          <w:color w:val="000000"/>
        </w:rPr>
        <w:t>Note 10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to the Company’s </w:t>
      </w:r>
      <w:r>
        <w:rPr>
          <w:rFonts w:ascii="Times New Roman" w:cs="Times New Roman" w:eastAsia="Times New Roman" w:hAnsi="Times New Roman"/>
          <w:sz w:val="18"/>
          <w:szCs w:val="18"/>
          <w:color w:val="000000"/>
        </w:rPr>
        <w:t>audited consolidated financial statements for the year ended December 31,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2021 included in the 2021 Form 10-K </w:t>
      </w:r>
      <w:r>
        <w:rPr>
          <w:rFonts w:ascii="Times New Roman" w:cs="Times New Roman" w:eastAsia="Times New Roman" w:hAnsi="Times New Roman"/>
          <w:sz w:val="18"/>
          <w:szCs w:val="18"/>
          <w:color w:val="231F20"/>
        </w:rPr>
        <w:t>for more information about interest rate swaps of the Company’s project subsidiaries.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If all of the interest rate swaps had been discontinued on </w:t>
      </w:r>
      <w:r>
        <w:rPr>
          <w:rFonts w:ascii="Times New Roman" w:cs="Times New Roman" w:eastAsia="Times New Roman" w:hAnsi="Times New Roman"/>
          <w:sz w:val="18"/>
          <w:szCs w:val="18"/>
          <w:color w:val="000000"/>
        </w:rPr>
        <w:t>June 30, 2022</w:t>
      </w:r>
      <w:r>
        <w:rPr>
          <w:rFonts w:ascii="Times New Roman" w:cs="Times New Roman" w:eastAsia="Times New Roman" w:hAnsi="Times New Roman"/>
          <w:sz w:val="18"/>
          <w:szCs w:val="18"/>
          <w:color w:val="231F20"/>
        </w:rPr>
        <w:t xml:space="preserve">, the Company would have owed the counterparties </w:t>
      </w:r>
      <w:r>
        <w:rPr>
          <w:rFonts w:ascii="Times New Roman" w:cs="Times New Roman" w:eastAsia="Times New Roman" w:hAnsi="Times New Roman"/>
          <w:sz w:val="18"/>
          <w:szCs w:val="18"/>
          <w:color w:val="000000"/>
        </w:rPr>
        <w:t>$34 million.</w:t>
      </w:r>
      <w:r>
        <w:rPr>
          <w:rFonts w:ascii="Times New Roman" w:cs="Times New Roman" w:eastAsia="Times New Roman" w:hAnsi="Times New Roman"/>
          <w:sz w:val="18"/>
          <w:szCs w:val="18"/>
          <w:color w:val="231F20"/>
        </w:rPr>
        <w:t xml:space="preserve"> Based on the credit ratings of the counterparties, the Company believes its exposure to credit risk due to nonperformance by counterparties to its hedge contracts to be insignificant.</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The Company has long-term debt instruments that subject it to the risk of loss associated with movements in market interest rates. As of </w:t>
      </w:r>
      <w:r>
        <w:rPr>
          <w:rFonts w:ascii="Times New Roman" w:cs="Times New Roman" w:eastAsia="Times New Roman" w:hAnsi="Times New Roman"/>
          <w:sz w:val="18"/>
          <w:szCs w:val="18"/>
          <w:color w:val="000000"/>
        </w:rPr>
        <w:t>June 30,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 a change of 1%, or 100 basis points, in interest rates would result in an approximately $1 million change in market interest expense on a rolling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twelve-month basis.</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June 30, 2022</w:t>
      </w:r>
      <w:r>
        <w:rPr>
          <w:rFonts w:ascii="Times New Roman" w:cs="Times New Roman" w:eastAsia="Times New Roman" w:hAnsi="Times New Roman"/>
          <w:sz w:val="18"/>
          <w:szCs w:val="18"/>
          <w:color w:val="231F20"/>
        </w:rPr>
        <w:t>, the fair value of the Company’s debt was $6.62 billion and the carrying value was $7.13 billion. The Company estimates that a decrease of 1%, or 100 basis points, in market interest rates would have increased the fair value of its long-term debt by approximately $389 million.</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Liquidity Risk</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Liquidity risk arises from the general funding needs of the Company’s activities and in the management of the Company’s assets and liabilities.</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Commodity Price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Commodity price risks result from exposures to changes in spot prices, forward prices, volatilities, and correlations between various commodities, such as electricity and emissions credits. The Company manages the commodity price risk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Based on a sensitivity analysis using simplified assumptions, the impact of a $0.50 per MWh increase or decrease in power prices across the term of the derivatives contracts would cause a change of approximately $7 million to the net value of power derivatives as of June 30, 2022.</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Counterparty Credit Risk</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w:t>
      </w:r>
      <w:r>
        <w:rPr>
          <w:rFonts w:ascii="Times New Roman" w:cs="Times New Roman" w:eastAsia="Times New Roman" w:hAnsi="Times New Roman"/>
          <w:sz w:val="18"/>
          <w:szCs w:val="18"/>
          <w:color w:val="000000"/>
        </w:rPr>
        <w:t>Note 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Fair Value of Financial Instruments</w:t>
      </w:r>
      <w:r>
        <w:rPr>
          <w:rFonts w:ascii="Times New Roman" w:cs="Times New Roman" w:eastAsia="Times New Roman" w:hAnsi="Times New Roman"/>
          <w:sz w:val="18"/>
          <w:szCs w:val="18"/>
          <w:color w:val="231F20"/>
        </w:rPr>
        <w:t>, to the consolidated financial statements for more information about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such term is defined in Rule 13a-15(f) under the Exchange Act) during the quarter ended June 30, 2022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173" w:lineRule="exact"/>
        <w:rPr>
          <w:sz w:val="20"/>
          <w:szCs w:val="20"/>
          <w:color w:val="auto"/>
        </w:rPr>
      </w:pPr>
    </w:p>
    <w:p>
      <w:pPr>
        <w:ind w:firstLine="445"/>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the material legal proceedings in which the Company was involved through June 30, 2022, see Note 10,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to this Form 10-Q.</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73" w:lineRule="exact"/>
        <w:rPr>
          <w:sz w:val="20"/>
          <w:szCs w:val="20"/>
          <w:color w:val="auto"/>
        </w:rPr>
      </w:pPr>
    </w:p>
    <w:p>
      <w:pPr>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risk factors appears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the Company’s 2021 Form 10-K. There have been no material changes in the Company’s risk factors since those reported in its 2021 Form 10-K.</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6 — EXHIBITS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78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43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Method of Filing</w:t>
            </w:r>
          </w:p>
        </w:tc>
        <w:tc>
          <w:tcPr>
            <w:tcW w:w="0" w:type="dxa"/>
            <w:vAlign w:val="bottom"/>
          </w:tcPr>
          <w:p>
            <w:pPr>
              <w:spacing w:after="0"/>
              <w:rPr>
                <w:sz w:val="1"/>
                <w:szCs w:val="1"/>
                <w:color w:val="auto"/>
              </w:rPr>
            </w:pPr>
          </w:p>
        </w:tc>
      </w:tr>
      <w:tr>
        <w:trPr>
          <w:trHeight w:val="181"/>
        </w:trPr>
        <w:tc>
          <w:tcPr>
            <w:tcW w:w="2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4.1</w:t>
            </w:r>
          </w:p>
        </w:tc>
        <w:tc>
          <w:tcPr>
            <w:tcW w:w="740" w:type="dxa"/>
            <w:vAlign w:val="bottom"/>
          </w:tcPr>
          <w:p>
            <w:pPr>
              <w:spacing w:after="0"/>
              <w:rPr>
                <w:sz w:val="15"/>
                <w:szCs w:val="15"/>
                <w:color w:val="auto"/>
              </w:rPr>
            </w:pPr>
          </w:p>
        </w:tc>
        <w:tc>
          <w:tcPr>
            <w:tcW w:w="5780" w:type="dxa"/>
            <w:vAlign w:val="bottom"/>
            <w:gridSpan w:val="9"/>
          </w:tcPr>
          <w:p>
            <w:pPr>
              <w:spacing w:after="0" w:line="181"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Eleventh Supplemental Indenture, dated as of May 25, 2022, among Clearway Energy</w:t>
              </w:r>
            </w:hyperlink>
          </w:p>
        </w:tc>
        <w:tc>
          <w:tcPr>
            <w:tcW w:w="4300" w:type="dxa"/>
            <w:vAlign w:val="bottom"/>
          </w:tcPr>
          <w:p>
            <w:pPr>
              <w:ind w:left="100"/>
              <w:spacing w:after="0" w:line="181" w:lineRule="exact"/>
              <w:rPr>
                <w:sz w:val="20"/>
                <w:szCs w:val="20"/>
                <w:color w:val="auto"/>
              </w:rPr>
            </w:pPr>
            <w:r>
              <w:rPr>
                <w:rFonts w:ascii="Times New Roman" w:cs="Times New Roman" w:eastAsia="Times New Roman" w:hAnsi="Times New Roman"/>
                <w:sz w:val="16"/>
                <w:szCs w:val="16"/>
                <w:color w:val="auto"/>
              </w:rPr>
              <w:t>Incorporated herein by reference to Exhibit 4.1 to the Company's</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Operating LLC, the guarantors named therein and Delaware Trust Company.</w:t>
              </w:r>
            </w:hyperlink>
          </w:p>
        </w:tc>
        <w:tc>
          <w:tcPr>
            <w:tcW w:w="600" w:type="dxa"/>
            <w:vAlign w:val="bottom"/>
            <w:tcBorders>
              <w:top w:val="single" w:sz="8" w:color="0000FF"/>
            </w:tcBorders>
            <w:gridSpan w:val="3"/>
          </w:tcPr>
          <w:p>
            <w:pPr>
              <w:spacing w:after="0"/>
              <w:rPr>
                <w:sz w:val="14"/>
                <w:szCs w:val="14"/>
                <w:color w:val="auto"/>
              </w:rPr>
            </w:pPr>
          </w:p>
        </w:tc>
        <w:tc>
          <w:tcPr>
            <w:tcW w:w="200" w:type="dxa"/>
            <w:vAlign w:val="bottom"/>
          </w:tcPr>
          <w:p>
            <w:pPr>
              <w:spacing w:after="0"/>
              <w:rPr>
                <w:sz w:val="14"/>
                <w:szCs w:val="14"/>
                <w:color w:val="auto"/>
              </w:rPr>
            </w:pPr>
          </w:p>
        </w:tc>
        <w:tc>
          <w:tcPr>
            <w:tcW w:w="4300" w:type="dxa"/>
            <w:vAlign w:val="bottom"/>
          </w:tcPr>
          <w:p>
            <w:pPr>
              <w:ind w:left="100"/>
              <w:spacing w:after="0" w:line="169" w:lineRule="exact"/>
              <w:rPr>
                <w:sz w:val="20"/>
                <w:szCs w:val="20"/>
                <w:color w:val="auto"/>
              </w:rPr>
            </w:pPr>
            <w:r>
              <w:rPr>
                <w:rFonts w:ascii="Times New Roman" w:cs="Times New Roman" w:eastAsia="Times New Roman" w:hAnsi="Times New Roman"/>
                <w:sz w:val="16"/>
                <w:szCs w:val="16"/>
                <w:color w:val="auto"/>
              </w:rPr>
              <w:t>Current Report on Form 8-K filed on June 1, 2022.</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740" w:type="dxa"/>
            <w:vAlign w:val="bottom"/>
          </w:tcPr>
          <w:p>
            <w:pPr>
              <w:spacing w:after="0"/>
              <w:rPr>
                <w:sz w:val="19"/>
                <w:szCs w:val="19"/>
                <w:color w:val="auto"/>
              </w:rPr>
            </w:pPr>
          </w:p>
        </w:tc>
        <w:tc>
          <w:tcPr>
            <w:tcW w:w="5780" w:type="dxa"/>
            <w:vAlign w:val="bottom"/>
            <w:gridSpan w:val="9"/>
          </w:tcPr>
          <w:p>
            <w:pPr>
              <w:spacing w:after="0"/>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Third Supplemental Indenture, dated as of May 25, 2022, among Clearway Energy</w:t>
              </w:r>
            </w:hyperlink>
          </w:p>
        </w:tc>
        <w:tc>
          <w:tcPr>
            <w:tcW w:w="4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Incorporated herein by reference to Exhibit 4.2 to the Company's</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Operating LLC, the guarantors named therein and Delaware Trust Company.</w:t>
              </w:r>
            </w:hyperlink>
          </w:p>
        </w:tc>
        <w:tc>
          <w:tcPr>
            <w:tcW w:w="38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c>
          <w:tcPr>
            <w:tcW w:w="4300" w:type="dxa"/>
            <w:vAlign w:val="bottom"/>
          </w:tcPr>
          <w:p>
            <w:pPr>
              <w:ind w:left="100"/>
              <w:spacing w:after="0" w:line="169" w:lineRule="exact"/>
              <w:rPr>
                <w:sz w:val="20"/>
                <w:szCs w:val="20"/>
                <w:color w:val="auto"/>
              </w:rPr>
            </w:pPr>
            <w:r>
              <w:rPr>
                <w:rFonts w:ascii="Times New Roman" w:cs="Times New Roman" w:eastAsia="Times New Roman" w:hAnsi="Times New Roman"/>
                <w:sz w:val="16"/>
                <w:szCs w:val="16"/>
                <w:color w:val="auto"/>
              </w:rPr>
              <w:t>Current Report on Form 8-K filed on June 1, 2022.</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740" w:type="dxa"/>
            <w:vAlign w:val="bottom"/>
          </w:tcPr>
          <w:p>
            <w:pPr>
              <w:spacing w:after="0"/>
              <w:rPr>
                <w:sz w:val="19"/>
                <w:szCs w:val="19"/>
                <w:color w:val="auto"/>
              </w:rPr>
            </w:pPr>
          </w:p>
        </w:tc>
        <w:tc>
          <w:tcPr>
            <w:tcW w:w="5780" w:type="dxa"/>
            <w:vAlign w:val="bottom"/>
            <w:gridSpan w:val="9"/>
          </w:tcPr>
          <w:p>
            <w:pPr>
              <w:spacing w:after="0"/>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Second Supplemental Indenture, dated as of May 25, 2022, among Clearway Energy</w:t>
              </w:r>
            </w:hyperlink>
          </w:p>
        </w:tc>
        <w:tc>
          <w:tcPr>
            <w:tcW w:w="4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Incorporated herein by reference to Exhibit 4.3 to the Company's</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Operating LLC, the guarantors named therein and Delaware Trust Company.</w:t>
              </w:r>
            </w:hyperlink>
          </w:p>
        </w:tc>
        <w:tc>
          <w:tcPr>
            <w:tcW w:w="500" w:type="dxa"/>
            <w:vAlign w:val="bottom"/>
            <w:tcBorders>
              <w:top w:val="single" w:sz="8" w:color="0000FF"/>
            </w:tcBorders>
            <w:gridSpan w:val="2"/>
          </w:tcPr>
          <w:p>
            <w:pPr>
              <w:spacing w:after="0"/>
              <w:rPr>
                <w:sz w:val="14"/>
                <w:szCs w:val="14"/>
                <w:color w:val="auto"/>
              </w:rPr>
            </w:pPr>
          </w:p>
        </w:tc>
        <w:tc>
          <w:tcPr>
            <w:tcW w:w="300" w:type="dxa"/>
            <w:vAlign w:val="bottom"/>
            <w:gridSpan w:val="2"/>
          </w:tcPr>
          <w:p>
            <w:pPr>
              <w:spacing w:after="0"/>
              <w:rPr>
                <w:sz w:val="14"/>
                <w:szCs w:val="14"/>
                <w:color w:val="auto"/>
              </w:rPr>
            </w:pPr>
          </w:p>
        </w:tc>
        <w:tc>
          <w:tcPr>
            <w:tcW w:w="4300" w:type="dxa"/>
            <w:vAlign w:val="bottom"/>
          </w:tcPr>
          <w:p>
            <w:pPr>
              <w:ind w:left="100"/>
              <w:spacing w:after="0" w:line="169" w:lineRule="exact"/>
              <w:rPr>
                <w:sz w:val="20"/>
                <w:szCs w:val="20"/>
                <w:color w:val="auto"/>
              </w:rPr>
            </w:pPr>
            <w:r>
              <w:rPr>
                <w:rFonts w:ascii="Times New Roman" w:cs="Times New Roman" w:eastAsia="Times New Roman" w:hAnsi="Times New Roman"/>
                <w:sz w:val="16"/>
                <w:szCs w:val="16"/>
                <w:color w:val="auto"/>
              </w:rPr>
              <w:t>Current Report on Form 8-K filed on June 1, 2022.</w:t>
            </w:r>
          </w:p>
        </w:tc>
        <w:tc>
          <w:tcPr>
            <w:tcW w:w="0" w:type="dxa"/>
            <w:vAlign w:val="bottom"/>
          </w:tcPr>
          <w:p>
            <w:pPr>
              <w:spacing w:after="0"/>
              <w:rPr>
                <w:sz w:val="1"/>
                <w:szCs w:val="1"/>
                <w:color w:val="auto"/>
              </w:rPr>
            </w:pPr>
          </w:p>
        </w:tc>
      </w:tr>
      <w:tr>
        <w:trPr>
          <w:trHeight w:val="23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92"/>
              </w:rPr>
              <w:t>31.1</w:t>
            </w:r>
          </w:p>
        </w:tc>
        <w:tc>
          <w:tcPr>
            <w:tcW w:w="740" w:type="dxa"/>
            <w:vAlign w:val="bottom"/>
          </w:tcPr>
          <w:p>
            <w:pPr>
              <w:spacing w:after="0"/>
              <w:rPr>
                <w:sz w:val="20"/>
                <w:szCs w:val="20"/>
                <w:color w:val="auto"/>
              </w:rPr>
            </w:pPr>
          </w:p>
        </w:tc>
        <w:tc>
          <w:tcPr>
            <w:tcW w:w="40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Rule 13a-14(a)/15d-14(a) certification of Christopher S. Sotos.</w:t>
            </w:r>
          </w:p>
        </w:tc>
        <w:tc>
          <w:tcPr>
            <w:tcW w:w="1700" w:type="dxa"/>
            <w:vAlign w:val="bottom"/>
            <w:gridSpan w:val="5"/>
          </w:tcPr>
          <w:p>
            <w:pPr>
              <w:spacing w:after="0"/>
              <w:rPr>
                <w:sz w:val="20"/>
                <w:szCs w:val="20"/>
                <w:color w:val="auto"/>
              </w:rPr>
            </w:pPr>
          </w:p>
        </w:tc>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92"/>
              </w:rPr>
              <w:t>31.2</w:t>
            </w:r>
          </w:p>
        </w:tc>
        <w:tc>
          <w:tcPr>
            <w:tcW w:w="740" w:type="dxa"/>
            <w:vAlign w:val="bottom"/>
          </w:tcPr>
          <w:p>
            <w:pPr>
              <w:spacing w:after="0"/>
              <w:rPr>
                <w:sz w:val="18"/>
                <w:szCs w:val="18"/>
                <w:color w:val="auto"/>
              </w:rPr>
            </w:pPr>
          </w:p>
        </w:tc>
        <w:tc>
          <w:tcPr>
            <w:tcW w:w="57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Rule 13a-14(a)/15d-14(a) certification of Chad Plotkin.</w:t>
            </w:r>
          </w:p>
        </w:tc>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4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line="20" w:lineRule="exact"/>
              <w:rPr>
                <w:sz w:val="1"/>
                <w:szCs w:val="1"/>
                <w:color w:val="auto"/>
              </w:rPr>
            </w:pPr>
          </w:p>
        </w:tc>
      </w:tr>
      <w:tr>
        <w:trPr>
          <w:trHeight w:val="209"/>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92"/>
              </w:rPr>
              <w:t>31.3</w:t>
            </w:r>
          </w:p>
        </w:tc>
        <w:tc>
          <w:tcPr>
            <w:tcW w:w="740" w:type="dxa"/>
            <w:vAlign w:val="bottom"/>
          </w:tcPr>
          <w:p>
            <w:pPr>
              <w:spacing w:after="0"/>
              <w:rPr>
                <w:sz w:val="18"/>
                <w:szCs w:val="18"/>
                <w:color w:val="auto"/>
              </w:rPr>
            </w:pPr>
          </w:p>
        </w:tc>
        <w:tc>
          <w:tcPr>
            <w:tcW w:w="3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Rule 13a-14(a)/15d-14(a) certification of Sarah Rubenstein.</w:t>
            </w:r>
          </w:p>
        </w:tc>
        <w:tc>
          <w:tcPr>
            <w:tcW w:w="1900" w:type="dxa"/>
            <w:vAlign w:val="bottom"/>
            <w:gridSpan w:val="6"/>
          </w:tcPr>
          <w:p>
            <w:pPr>
              <w:spacing w:after="0"/>
              <w:rPr>
                <w:sz w:val="18"/>
                <w:szCs w:val="18"/>
                <w:color w:val="auto"/>
              </w:rPr>
            </w:pPr>
          </w:p>
        </w:tc>
        <w:tc>
          <w:tcPr>
            <w:tcW w:w="4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740" w:type="dxa"/>
            <w:vAlign w:val="bottom"/>
          </w:tcPr>
          <w:p>
            <w:pPr>
              <w:spacing w:after="0"/>
              <w:rPr>
                <w:sz w:val="18"/>
                <w:szCs w:val="18"/>
                <w:color w:val="auto"/>
              </w:rPr>
            </w:pPr>
          </w:p>
        </w:tc>
        <w:tc>
          <w:tcPr>
            <w:tcW w:w="57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Section 1350 Certification.</w:t>
            </w:r>
          </w:p>
        </w:tc>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040" w:type="dxa"/>
            <w:vAlign w:val="bottom"/>
            <w:gridSpan w:val="8"/>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INS</w:t>
            </w:r>
          </w:p>
        </w:tc>
        <w:tc>
          <w:tcPr>
            <w:tcW w:w="57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4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SCH</w:t>
            </w:r>
          </w:p>
        </w:tc>
        <w:tc>
          <w:tcPr>
            <w:tcW w:w="57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c>
          <w:tcPr>
            <w:tcW w:w="4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CAL</w:t>
            </w:r>
          </w:p>
        </w:tc>
        <w:tc>
          <w:tcPr>
            <w:tcW w:w="57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c>
          <w:tcPr>
            <w:tcW w:w="4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DEF</w:t>
            </w:r>
          </w:p>
        </w:tc>
        <w:tc>
          <w:tcPr>
            <w:tcW w:w="57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c>
          <w:tcPr>
            <w:tcW w:w="4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LAB</w:t>
            </w:r>
          </w:p>
        </w:tc>
        <w:tc>
          <w:tcPr>
            <w:tcW w:w="57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c>
          <w:tcPr>
            <w:tcW w:w="4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PRE</w:t>
            </w:r>
          </w:p>
        </w:tc>
        <w:tc>
          <w:tcPr>
            <w:tcW w:w="57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c>
          <w:tcPr>
            <w:tcW w:w="4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168"/>
        </w:trPr>
        <w:tc>
          <w:tcPr>
            <w:tcW w:w="28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104</w:t>
            </w:r>
          </w:p>
        </w:tc>
        <w:tc>
          <w:tcPr>
            <w:tcW w:w="740" w:type="dxa"/>
            <w:vAlign w:val="bottom"/>
          </w:tcPr>
          <w:p>
            <w:pPr>
              <w:spacing w:after="0"/>
              <w:rPr>
                <w:sz w:val="14"/>
                <w:szCs w:val="14"/>
                <w:color w:val="auto"/>
              </w:rPr>
            </w:pPr>
          </w:p>
        </w:tc>
        <w:tc>
          <w:tcPr>
            <w:tcW w:w="5780" w:type="dxa"/>
            <w:vAlign w:val="bottom"/>
            <w:gridSpan w:val="9"/>
          </w:tcPr>
          <w:p>
            <w:pPr>
              <w:spacing w:after="0" w:line="168" w:lineRule="exact"/>
              <w:rPr>
                <w:sz w:val="20"/>
                <w:szCs w:val="20"/>
                <w:color w:val="auto"/>
              </w:rPr>
            </w:pPr>
            <w:r>
              <w:rPr>
                <w:rFonts w:ascii="Times New Roman" w:cs="Times New Roman" w:eastAsia="Times New Roman" w:hAnsi="Times New Roman"/>
                <w:sz w:val="16"/>
                <w:szCs w:val="16"/>
                <w:color w:val="auto"/>
              </w:rPr>
              <w:t>Cover Page Interactive Data File (the cover page interactive data file does not appear in</w:t>
            </w:r>
          </w:p>
        </w:tc>
        <w:tc>
          <w:tcPr>
            <w:tcW w:w="4300" w:type="dxa"/>
            <w:vAlign w:val="bottom"/>
          </w:tcPr>
          <w:p>
            <w:pPr>
              <w:ind w:left="100"/>
              <w:spacing w:after="0" w:line="168" w:lineRule="exact"/>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78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Exhibit 104 because its Inline XBRL tags are embedded within the Inline XBRL</w:t>
            </w:r>
          </w:p>
        </w:tc>
        <w:tc>
          <w:tcPr>
            <w:tcW w:w="4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7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document).</w:t>
            </w:r>
          </w:p>
        </w:tc>
        <w:tc>
          <w:tcPr>
            <w:tcW w:w="4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7" w:right="45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620" w:type="dxa"/>
            <w:vAlign w:val="bottom"/>
          </w:tcPr>
          <w:p>
            <w:pPr>
              <w:spacing w:after="0"/>
              <w:rPr>
                <w:sz w:val="17"/>
                <w:szCs w:val="17"/>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CLEARWAY ENERGY LLC</w:t>
            </w:r>
          </w:p>
        </w:tc>
      </w:tr>
      <w:tr>
        <w:trPr>
          <w:trHeight w:val="234"/>
        </w:trPr>
        <w:tc>
          <w:tcPr>
            <w:tcW w:w="662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95"/>
        </w:trPr>
        <w:tc>
          <w:tcPr>
            <w:tcW w:w="6620" w:type="dxa"/>
            <w:vAlign w:val="bottom"/>
          </w:tcPr>
          <w:p>
            <w:pPr>
              <w:spacing w:after="0"/>
              <w:rPr>
                <w:sz w:val="24"/>
                <w:szCs w:val="24"/>
                <w:color w:val="auto"/>
              </w:rPr>
            </w:pPr>
          </w:p>
        </w:tc>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S. SOTOS</w:t>
            </w:r>
          </w:p>
        </w:tc>
      </w:tr>
      <w:tr>
        <w:trPr>
          <w:trHeight w:val="216"/>
        </w:trPr>
        <w:tc>
          <w:tcPr>
            <w:tcW w:w="662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Sotos</w:t>
            </w:r>
          </w:p>
        </w:tc>
      </w:tr>
      <w:tr>
        <w:trPr>
          <w:trHeight w:val="182"/>
        </w:trPr>
        <w:tc>
          <w:tcPr>
            <w:tcW w:w="6620" w:type="dxa"/>
            <w:vAlign w:val="bottom"/>
          </w:tcPr>
          <w:p>
            <w:pPr>
              <w:spacing w:after="0"/>
              <w:rPr>
                <w:sz w:val="15"/>
                <w:szCs w:val="15"/>
                <w:color w:val="auto"/>
              </w:rPr>
            </w:pPr>
          </w:p>
        </w:tc>
        <w:tc>
          <w:tcPr>
            <w:tcW w:w="44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662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95"/>
        </w:trPr>
        <w:tc>
          <w:tcPr>
            <w:tcW w:w="6620" w:type="dxa"/>
            <w:vAlign w:val="bottom"/>
          </w:tcPr>
          <w:p>
            <w:pPr>
              <w:spacing w:after="0"/>
              <w:rPr>
                <w:sz w:val="24"/>
                <w:szCs w:val="24"/>
                <w:color w:val="auto"/>
              </w:rPr>
            </w:pPr>
          </w:p>
        </w:tc>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CHAD PLOTKIN</w:t>
            </w:r>
          </w:p>
        </w:tc>
      </w:tr>
      <w:tr>
        <w:trPr>
          <w:trHeight w:val="216"/>
        </w:trPr>
        <w:tc>
          <w:tcPr>
            <w:tcW w:w="662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Chad Plotkin</w:t>
            </w:r>
          </w:p>
        </w:tc>
      </w:tr>
      <w:tr>
        <w:trPr>
          <w:trHeight w:val="182"/>
        </w:trPr>
        <w:tc>
          <w:tcPr>
            <w:tcW w:w="6620" w:type="dxa"/>
            <w:vAlign w:val="bottom"/>
          </w:tcPr>
          <w:p>
            <w:pPr>
              <w:spacing w:after="0"/>
              <w:rPr>
                <w:sz w:val="15"/>
                <w:szCs w:val="15"/>
                <w:color w:val="auto"/>
              </w:rPr>
            </w:pPr>
          </w:p>
        </w:tc>
        <w:tc>
          <w:tcPr>
            <w:tcW w:w="44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Executive Vice President and Chief Financial</w:t>
            </w:r>
          </w:p>
        </w:tc>
      </w:tr>
      <w:tr>
        <w:trPr>
          <w:trHeight w:val="182"/>
        </w:trPr>
        <w:tc>
          <w:tcPr>
            <w:tcW w:w="6620" w:type="dxa"/>
            <w:vAlign w:val="bottom"/>
          </w:tcPr>
          <w:p>
            <w:pPr>
              <w:spacing w:after="0"/>
              <w:rPr>
                <w:sz w:val="15"/>
                <w:szCs w:val="15"/>
                <w:color w:val="auto"/>
              </w:rPr>
            </w:pPr>
          </w:p>
        </w:tc>
        <w:tc>
          <w:tcPr>
            <w:tcW w:w="44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Officer</w:t>
            </w:r>
          </w:p>
        </w:tc>
      </w:tr>
      <w:tr>
        <w:trPr>
          <w:trHeight w:val="236"/>
        </w:trPr>
        <w:tc>
          <w:tcPr>
            <w:tcW w:w="662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688"/>
        </w:trPr>
        <w:tc>
          <w:tcPr>
            <w:tcW w:w="6620" w:type="dxa"/>
            <w:vAlign w:val="bottom"/>
          </w:tcPr>
          <w:p>
            <w:pPr>
              <w:spacing w:after="0"/>
              <w:rPr>
                <w:sz w:val="24"/>
                <w:szCs w:val="24"/>
                <w:color w:val="auto"/>
              </w:rPr>
            </w:pPr>
          </w:p>
        </w:tc>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SARAH RUBENSTEIN</w:t>
            </w:r>
          </w:p>
        </w:tc>
      </w:tr>
      <w:tr>
        <w:trPr>
          <w:trHeight w:val="216"/>
        </w:trPr>
        <w:tc>
          <w:tcPr>
            <w:tcW w:w="662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Sarah Rubenstein</w:t>
            </w:r>
          </w:p>
        </w:tc>
      </w:tr>
      <w:tr>
        <w:trPr>
          <w:trHeight w:val="182"/>
        </w:trPr>
        <w:tc>
          <w:tcPr>
            <w:tcW w:w="6620" w:type="dxa"/>
            <w:vAlign w:val="bottom"/>
          </w:tcPr>
          <w:p>
            <w:pPr>
              <w:spacing w:after="0"/>
              <w:rPr>
                <w:sz w:val="15"/>
                <w:szCs w:val="15"/>
                <w:color w:val="auto"/>
              </w:rPr>
            </w:pPr>
          </w:p>
        </w:tc>
        <w:tc>
          <w:tcPr>
            <w:tcW w:w="44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Senior Vice President and Chief Accounting</w:t>
            </w:r>
          </w:p>
        </w:tc>
      </w:tr>
      <w:tr>
        <w:trPr>
          <w:trHeight w:val="182"/>
        </w:trPr>
        <w:tc>
          <w:tcPr>
            <w:tcW w:w="6620" w:type="dxa"/>
            <w:vAlign w:val="bottom"/>
          </w:tcPr>
          <w:p>
            <w:pPr>
              <w:spacing w:after="0"/>
              <w:rPr>
                <w:sz w:val="15"/>
                <w:szCs w:val="15"/>
                <w:color w:val="auto"/>
              </w:rPr>
            </w:pPr>
          </w:p>
        </w:tc>
        <w:tc>
          <w:tcPr>
            <w:tcW w:w="44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Officer</w:t>
            </w:r>
          </w:p>
        </w:tc>
      </w:tr>
      <w:tr>
        <w:trPr>
          <w:trHeight w:val="23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 2022</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320" w:top="887" w:right="35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S. Sotos, certify that:</w:t>
      </w:r>
    </w:p>
    <w:p>
      <w:pPr>
        <w:spacing w:after="0" w:line="347"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LLC;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17748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spacing w:after="0" w:line="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Christopher S. Sotos</w:t>
      </w:r>
    </w:p>
    <w:p>
      <w:pPr>
        <w:ind w:left="7240"/>
        <w:spacing w:after="0" w:line="203" w:lineRule="auto"/>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72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2022</w:t>
      </w:r>
    </w:p>
    <w:p>
      <w:pPr>
        <w:sectPr>
          <w:pgSz w:w="11900" w:h="16838" w:orient="portrait"/>
          <w:cols w:equalWidth="0" w:num="1">
            <w:col w:w="11240"/>
          </w:cols>
          <w:pgMar w:left="320" w:top="981"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Chad Plotkin, certify that:</w:t>
      </w:r>
    </w:p>
    <w:p>
      <w:pPr>
        <w:spacing w:after="0" w:line="347"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LLC;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18516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Chad Plotkin</w:t>
      </w:r>
    </w:p>
    <w:p>
      <w:pPr>
        <w:ind w:left="7120"/>
        <w:spacing w:after="0" w:line="203" w:lineRule="auto"/>
        <w:rPr>
          <w:sz w:val="20"/>
          <w:szCs w:val="20"/>
          <w:color w:val="auto"/>
        </w:rPr>
      </w:pPr>
      <w:r>
        <w:rPr>
          <w:rFonts w:ascii="Times New Roman" w:cs="Times New Roman" w:eastAsia="Times New Roman" w:hAnsi="Times New Roman"/>
          <w:sz w:val="18"/>
          <w:szCs w:val="18"/>
          <w:i w:val="1"/>
          <w:iCs w:val="1"/>
          <w:color w:val="auto"/>
        </w:rPr>
        <w:t>Executive Vice President and Chief</w:t>
      </w:r>
    </w:p>
    <w:p>
      <w:pPr>
        <w:ind w:left="7120"/>
        <w:spacing w:after="0" w:line="219" w:lineRule="auto"/>
        <w:rPr>
          <w:sz w:val="20"/>
          <w:szCs w:val="20"/>
          <w:color w:val="auto"/>
        </w:rPr>
      </w:pPr>
      <w:r>
        <w:rPr>
          <w:rFonts w:ascii="Times New Roman" w:cs="Times New Roman" w:eastAsia="Times New Roman" w:hAnsi="Times New Roman"/>
          <w:sz w:val="18"/>
          <w:szCs w:val="18"/>
          <w:i w:val="1"/>
          <w:iCs w:val="1"/>
          <w:color w:val="auto"/>
        </w:rPr>
        <w:t>Financial Officer</w:t>
      </w:r>
    </w:p>
    <w:p>
      <w:pPr>
        <w:spacing w:after="0" w:line="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2022</w:t>
      </w:r>
    </w:p>
    <w:p>
      <w:pPr>
        <w:sectPr>
          <w:pgSz w:w="11900" w:h="16838" w:orient="portrait"/>
          <w:cols w:equalWidth="0" w:num="1">
            <w:col w:w="11240"/>
          </w:cols>
          <w:pgMar w:left="320" w:top="981"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Sarah Rubenstein, certify that:</w:t>
      </w:r>
    </w:p>
    <w:p>
      <w:pPr>
        <w:spacing w:after="0" w:line="347"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LLC;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17145</wp:posOffset>
            </wp:positionV>
            <wp:extent cx="16973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5"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Sarah Rubenstein</w:t>
      </w:r>
    </w:p>
    <w:p>
      <w:pPr>
        <w:ind w:left="7540"/>
        <w:spacing w:after="0" w:line="219" w:lineRule="auto"/>
        <w:rPr>
          <w:sz w:val="20"/>
          <w:szCs w:val="20"/>
          <w:color w:val="auto"/>
        </w:rPr>
      </w:pPr>
      <w:r>
        <w:rPr>
          <w:rFonts w:ascii="Times New Roman" w:cs="Times New Roman" w:eastAsia="Times New Roman" w:hAnsi="Times New Roman"/>
          <w:sz w:val="18"/>
          <w:szCs w:val="18"/>
          <w:i w:val="1"/>
          <w:iCs w:val="1"/>
          <w:color w:val="auto"/>
        </w:rPr>
        <w:t>Senior Vice President and Chief</w:t>
      </w:r>
    </w:p>
    <w:p>
      <w:pPr>
        <w:ind w:left="7540"/>
        <w:spacing w:after="0" w:line="203" w:lineRule="auto"/>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2022</w:t>
      </w:r>
    </w:p>
    <w:p>
      <w:pPr>
        <w:sectPr>
          <w:pgSz w:w="11900" w:h="16838" w:orient="portrait"/>
          <w:cols w:equalWidth="0" w:num="1">
            <w:col w:w="11240"/>
          </w:cols>
          <w:pgMar w:left="320" w:top="88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Clearway Energy LLC on Form 10-Q for the quarter ended June 30, 2022,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4" w:lineRule="exact"/>
        <w:rPr>
          <w:sz w:val="20"/>
          <w:szCs w:val="20"/>
          <w:color w:val="auto"/>
        </w:rPr>
      </w:pPr>
    </w:p>
    <w:p>
      <w:pPr>
        <w:ind w:left="640" w:hanging="30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2022</w:t>
      </w:r>
    </w:p>
    <w:p>
      <w:pPr>
        <w:spacing w:after="0" w:line="10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0861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Christopher S. Sotos</w:t>
      </w:r>
    </w:p>
    <w:p>
      <w:pPr>
        <w:spacing w:after="0" w:line="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58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0861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Chad Plotkin</w:t>
      </w:r>
    </w:p>
    <w:p>
      <w:pPr>
        <w:spacing w:after="0" w:line="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ind w:left="58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7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0861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Sarah Rubenstein</w:t>
      </w:r>
    </w:p>
    <w:p>
      <w:pPr>
        <w:spacing w:after="0" w:line="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Senior Vice President and Chief Accounting Officer</w:t>
      </w:r>
    </w:p>
    <w:p>
      <w:pPr>
        <w:ind w:left="58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this Form 10-Q or as a separate disclosure document.</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lowerLetter"/>
      <w:start w:val="1"/>
    </w:lvl>
  </w:abstractNum>
  <w:abstractNum w:abstractNumId="4">
    <w:nsid w:val="75A2A8D4"/>
    <w:multiLevelType w:val="hybridMultilevel"/>
    <w:lvl w:ilvl="0">
      <w:lvlJc w:val="left"/>
      <w:lvlText w:val="(%1)"/>
      <w:numFmt w:val="lowerLetter"/>
      <w:start w:val="1"/>
    </w:lvl>
  </w:abstractNum>
  <w:abstractNum w:abstractNumId="5">
    <w:nsid w:val="8EDBDAB"/>
    <w:multiLevelType w:val="hybridMultilevel"/>
    <w:lvl w:ilvl="0">
      <w:lvlJc w:val="left"/>
      <w:lvlText w:val="(%1)"/>
      <w:numFmt w:val="lowerLetter"/>
      <w:start w:val="1"/>
    </w:lvl>
  </w:abstractNum>
  <w:abstractNum w:abstractNumId="6">
    <w:nsid w:val="79838CB2"/>
    <w:multiLevelType w:val="hybridMultilevel"/>
    <w:lvl w:ilvl="0">
      <w:lvlJc w:val="left"/>
      <w:lvlText w:val="(%1)"/>
      <w:numFmt w:val="lowerLetter"/>
      <w:start w:val="1"/>
    </w:lvl>
  </w:abstractNum>
  <w:abstractNum w:abstractNumId="7">
    <w:nsid w:val="4353D0CD"/>
    <w:multiLevelType w:val="hybridMultilevel"/>
    <w:lvl w:ilvl="0">
      <w:lvlJc w:val="left"/>
      <w:lvlText w:val="(%1)"/>
      <w:numFmt w:val="lowerLetter"/>
      <w:start w:val="1"/>
    </w:lvl>
  </w:abstractNum>
  <w:abstractNum w:abstractNumId="8">
    <w:nsid w:val="B03E0C6"/>
    <w:multiLevelType w:val="hybridMultilevel"/>
    <w:lvl w:ilvl="0">
      <w:lvlJc w:val="left"/>
      <w:lvlText w:val="(%1)"/>
      <w:numFmt w:val="lowerLetter"/>
      <w:start w:val="1"/>
    </w:lvl>
  </w:abstractNum>
  <w:abstractNum w:abstractNumId="9">
    <w:nsid w:val="189A769B"/>
    <w:multiLevelType w:val="hybridMultilevel"/>
    <w:lvl w:ilvl="0">
      <w:lvlJc w:val="left"/>
      <w:lvlText w:val="(%1)"/>
      <w:numFmt w:val="lowerLetter"/>
      <w:start w:val="1"/>
    </w:lvl>
  </w:abstractNum>
  <w:abstractNum w:abstractNumId="10">
    <w:nsid w:val="54E49EB4"/>
    <w:multiLevelType w:val="hybridMultilevel"/>
    <w:lvl w:ilvl="0">
      <w:lvlJc w:val="left"/>
      <w:lvlText w:val="(%1)"/>
      <w:numFmt w:val="lowerLetter"/>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lowerLetter"/>
      <w:start w:val="1"/>
    </w:lvl>
  </w:abstractNum>
  <w:abstractNum w:abstractNumId="13">
    <w:nsid w:val="836C40E"/>
    <w:multiLevelType w:val="hybridMultilevel"/>
    <w:lvl w:ilvl="0">
      <w:lvlJc w:val="left"/>
      <w:lvlText w:val="(%1)"/>
      <w:numFmt w:val="lowerLetter"/>
      <w:start w:val="1"/>
    </w:lvl>
  </w:abstractNum>
  <w:abstractNum w:abstractNumId="14">
    <w:nsid w:val="2901D82"/>
    <w:multiLevelType w:val="hybridMultilevel"/>
    <w:lvl w:ilvl="0">
      <w:lvlJc w:val="left"/>
      <w:lvlText w:val="(%1)"/>
      <w:numFmt w:val="lowerLetter"/>
      <w:start w:val="1"/>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1)"/>
      <w:numFmt w:val="lowerLetter"/>
      <w:start w:val="1"/>
    </w:lvl>
  </w:abstractNum>
  <w:abstractNum w:abstractNumId="17">
    <w:nsid w:val="1E7FF521"/>
    <w:multiLevelType w:val="hybridMultilevel"/>
    <w:lvl w:ilvl="0">
      <w:lvlJc w:val="left"/>
      <w:lvlText w:val="(%1)"/>
      <w:numFmt w:val="lowerLetter"/>
      <w:start w:val="1"/>
    </w:lvl>
  </w:abstractNum>
  <w:abstractNum w:abstractNumId="18">
    <w:nsid w:val="7C3DBD3D"/>
    <w:multiLevelType w:val="hybridMultilevel"/>
    <w:lvl w:ilvl="0">
      <w:lvlJc w:val="left"/>
      <w:lvlText w:val="&amp;"/>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lowerLetter"/>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lowerLetter"/>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lowerRoman"/>
      <w:start w:val="4"/>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06" Type="http://schemas.openxmlformats.org/officeDocument/2006/relationships/hyperlink" Target="https://www.sec.gov/Archives/edgar/data/1567683/000110465922066895/tm2217299d1_ex4-1.htm" TargetMode="External"/><Relationship Id="rId107" Type="http://schemas.openxmlformats.org/officeDocument/2006/relationships/hyperlink" Target="https://www.sec.gov/Archives/edgar/data/1567683/000110465922066895/tm2217299d1_ex4-2.htm" TargetMode="External"/><Relationship Id="rId108" Type="http://schemas.openxmlformats.org/officeDocument/2006/relationships/hyperlink" Target="https://www.sec.gov/Archives/edgar/data/1567683/000110465922066895/tm2217299d1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2022-08-02T09:55:38Z</dcterms:created>
  <dcterms:modified xsi:type="dcterms:W3CDTF">2022-08-02T09:55:38Z</dcterms:modified>
</cp:coreProperties>
</file>