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Malcarney Kevin P.</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09/01/2020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25"/>
        <w:spacing w:after="0"/>
        <w:rPr>
          <w:sz w:val="20"/>
          <w:szCs w:val="20"/>
          <w:color w:val="auto"/>
        </w:rPr>
      </w:pPr>
      <w:r>
        <w:rPr>
          <w:rFonts w:ascii="Times New Roman" w:cs="Times New Roman" w:eastAsia="Times New Roman" w:hAnsi="Times New Roman"/>
          <w:sz w:val="17"/>
          <w:szCs w:val="17"/>
          <w:color w:val="0000FF"/>
        </w:rPr>
        <w:t>SVP, Gen Counsel and Corp Secr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Times New Roman" w:cs="Times New Roman" w:eastAsia="Times New Roman" w:hAnsi="Times New Roman"/>
                <w:sz w:val="17"/>
                <w:szCs w:val="17"/>
                <w:color w:val="0000FF"/>
              </w:rPr>
              <w:t>09/01/2020</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446</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42,786</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-3014345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2,032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Kevin P. Malcarney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09/03/2020</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859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2020-09-03T16:10:33Z</dcterms:created>
  <dcterms:modified xsi:type="dcterms:W3CDTF">2020-09-03T16:10:33Z</dcterms:modified>
</cp:coreProperties>
</file>