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75" w:lineRule="exact"/>
        <w:rPr>
          <w:sz w:val="24"/>
          <w:szCs w:val="24"/>
          <w:color w:val="auto"/>
        </w:rPr>
      </w:pPr>
    </w:p>
    <w:p>
      <w:pPr>
        <w:jc w:val="center"/>
        <w:ind w:right="-4"/>
        <w:spacing w:after="0" w:line="368" w:lineRule="exact"/>
        <w:rPr>
          <w:sz w:val="20"/>
          <w:szCs w:val="20"/>
          <w:color w:val="auto"/>
        </w:rPr>
      </w:pPr>
      <w:r>
        <w:rPr>
          <w:rFonts w:ascii="Times New Roman" w:cs="Times New Roman" w:eastAsia="Times New Roman" w:hAnsi="Times New Roman"/>
          <w:sz w:val="32"/>
          <w:szCs w:val="32"/>
          <w:b w:val="1"/>
          <w:bCs w:val="1"/>
          <w:color w:val="auto"/>
        </w:rPr>
        <w:t>FORM 8</w:t>
      </w:r>
      <w:r>
        <w:rPr>
          <w:rFonts w:ascii="MS PGothic" w:cs="MS PGothic" w:eastAsia="MS PGothic" w:hAnsi="MS PGothic"/>
          <w:sz w:val="32"/>
          <w:szCs w:val="32"/>
          <w:color w:val="auto"/>
          <w:strike w:val="1"/>
        </w:rPr>
        <w:t>‑</w:t>
      </w:r>
      <w:r>
        <w:rPr>
          <w:rFonts w:ascii="Times New Roman" w:cs="Times New Roman" w:eastAsia="Times New Roman" w:hAnsi="Times New Roman"/>
          <w:sz w:val="32"/>
          <w:szCs w:val="32"/>
          <w:b w:val="1"/>
          <w:bCs w:val="1"/>
          <w:color w:val="auto"/>
        </w:rPr>
        <w:t>K</w:t>
      </w:r>
    </w:p>
    <w:p>
      <w:pPr>
        <w:spacing w:after="0" w:line="95" w:lineRule="exact"/>
        <w:rPr>
          <w:sz w:val="24"/>
          <w:szCs w:val="24"/>
          <w:color w:val="auto"/>
        </w:rPr>
      </w:pPr>
    </w:p>
    <w:p>
      <w:pPr>
        <w:jc w:val="center"/>
        <w:ind w:right="-44"/>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36" w:lineRule="exact"/>
        <w:rPr>
          <w:sz w:val="24"/>
          <w:szCs w:val="24"/>
          <w:color w:val="auto"/>
        </w:rPr>
      </w:pPr>
    </w:p>
    <w:p>
      <w:pPr>
        <w:jc w:val="center"/>
        <w:ind w:right="-44"/>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14" w:lineRule="exact"/>
        <w:rPr>
          <w:sz w:val="24"/>
          <w:szCs w:val="24"/>
          <w:color w:val="auto"/>
        </w:rPr>
      </w:pPr>
    </w:p>
    <w:p>
      <w:pPr>
        <w:jc w:val="center"/>
        <w:ind w:right="-44"/>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28, 2019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44"/>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6" w:lineRule="exact"/>
        <w:rPr>
          <w:sz w:val="24"/>
          <w:szCs w:val="24"/>
          <w:color w:val="auto"/>
        </w:rPr>
      </w:pPr>
    </w:p>
    <w:p>
      <w:pPr>
        <w:jc w:val="center"/>
        <w:ind w:right="-44"/>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05"/>
          </w:cols>
          <w:pgMar w:left="275" w:top="1063"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75"/>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740"/>
        <w:spacing w:after="0" w:line="207" w:lineRule="exact"/>
        <w:rPr>
          <w:sz w:val="20"/>
          <w:szCs w:val="20"/>
          <w:color w:val="auto"/>
        </w:rPr>
      </w:pPr>
      <w:r>
        <w:rPr>
          <w:rFonts w:ascii="Times New Roman" w:cs="Times New Roman" w:eastAsia="Times New Roman" w:hAnsi="Times New Roman"/>
          <w:sz w:val="18"/>
          <w:szCs w:val="18"/>
          <w:b w:val="1"/>
          <w:bCs w:val="1"/>
          <w:color w:val="auto"/>
        </w:rPr>
        <w:t>001</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36002</w:t>
      </w:r>
    </w:p>
    <w:p>
      <w:pPr>
        <w:spacing w:after="0" w:line="5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3" w:lineRule="exact"/>
        <w:rPr>
          <w:sz w:val="24"/>
          <w:szCs w:val="24"/>
          <w:color w:val="auto"/>
        </w:rPr>
      </w:pPr>
    </w:p>
    <w:p>
      <w:pPr>
        <w:sectPr>
          <w:pgSz w:w="11900" w:h="16838" w:orient="portrait"/>
          <w:cols w:equalWidth="0" w:num="3">
            <w:col w:w="4085" w:space="720"/>
            <w:col w:w="2680" w:space="720"/>
            <w:col w:w="3100"/>
          </w:cols>
          <w:pgMar w:left="275" w:top="1063" w:right="319" w:bottom="1440" w:gutter="0" w:footer="0" w:header="0"/>
          <w:type w:val="continuous"/>
        </w:sectPr>
      </w:pPr>
    </w:p>
    <w:p>
      <w:pPr>
        <w:spacing w:after="0" w:line="379" w:lineRule="exact"/>
        <w:rPr>
          <w:sz w:val="24"/>
          <w:szCs w:val="24"/>
          <w:color w:val="auto"/>
        </w:rPr>
      </w:pPr>
    </w:p>
    <w:p>
      <w:pPr>
        <w:ind w:left="3325"/>
        <w:spacing w:after="0"/>
        <w:rPr>
          <w:sz w:val="20"/>
          <w:szCs w:val="20"/>
          <w:color w:val="auto"/>
        </w:rPr>
      </w:pPr>
      <w:r>
        <w:rPr>
          <w:rFonts w:ascii="Times New Roman" w:cs="Times New Roman" w:eastAsia="Times New Roman" w:hAnsi="Times New Roman"/>
          <w:sz w:val="18"/>
          <w:szCs w:val="18"/>
          <w:b w:val="1"/>
          <w:bCs w:val="1"/>
          <w:color w:val="auto"/>
        </w:rPr>
        <w:t>300 Carnegie Center, Suite 300, Princeton, New Jersey 08540</w:t>
      </w:r>
    </w:p>
    <w:p>
      <w:pPr>
        <w:spacing w:after="0" w:line="31" w:lineRule="exact"/>
        <w:rPr>
          <w:sz w:val="24"/>
          <w:szCs w:val="24"/>
          <w:color w:val="auto"/>
        </w:rPr>
      </w:pPr>
    </w:p>
    <w:p>
      <w:pPr>
        <w:ind w:left="3545"/>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0" w:lineRule="exact"/>
        <w:rPr>
          <w:sz w:val="24"/>
          <w:szCs w:val="24"/>
          <w:color w:val="auto"/>
        </w:rPr>
      </w:pPr>
    </w:p>
    <w:p>
      <w:pPr>
        <w:spacing w:after="0" w:line="356" w:lineRule="exact"/>
        <w:rPr>
          <w:sz w:val="24"/>
          <w:szCs w:val="24"/>
          <w:color w:val="auto"/>
        </w:rPr>
      </w:pPr>
    </w:p>
    <w:p>
      <w:pPr>
        <w:jc w:val="center"/>
        <w:ind w:right="-4"/>
        <w:spacing w:after="0" w:line="207" w:lineRule="exact"/>
        <w:rPr>
          <w:sz w:val="20"/>
          <w:szCs w:val="20"/>
          <w:color w:val="auto"/>
        </w:rPr>
      </w:pPr>
      <w:r>
        <w:rPr>
          <w:rFonts w:ascii="Times New Roman" w:cs="Times New Roman" w:eastAsia="Times New Roman" w:hAnsi="Times New Roman"/>
          <w:sz w:val="18"/>
          <w:szCs w:val="18"/>
          <w:b w:val="1"/>
          <w:bCs w:val="1"/>
          <w:color w:val="auto"/>
        </w:rPr>
        <w:t>(609) 608</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1525</w:t>
      </w:r>
    </w:p>
    <w:p>
      <w:pPr>
        <w:spacing w:after="0" w:line="58" w:lineRule="exact"/>
        <w:rPr>
          <w:sz w:val="24"/>
          <w:szCs w:val="24"/>
          <w:color w:val="auto"/>
        </w:rPr>
      </w:pPr>
    </w:p>
    <w:p>
      <w:pPr>
        <w:jc w:val="center"/>
        <w:ind w:right="-6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3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64"/>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8" w:lineRule="exact"/>
        <w:rPr>
          <w:sz w:val="24"/>
          <w:szCs w:val="24"/>
          <w:color w:val="auto"/>
        </w:rPr>
      </w:pPr>
    </w:p>
    <w:p>
      <w:pPr>
        <w:ind w:left="5"/>
        <w:spacing w:after="0" w:line="239"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05" w:hanging="105"/>
        <w:spacing w:after="0"/>
        <w:tabs>
          <w:tab w:leader="none" w:pos="1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9" w:lineRule="exact"/>
        <w:rPr>
          <w:rFonts w:ascii="Times New Roman" w:cs="Times New Roman" w:eastAsia="Times New Roman" w:hAnsi="Times New Roman"/>
          <w:sz w:val="18"/>
          <w:szCs w:val="18"/>
          <w:color w:val="auto"/>
        </w:rPr>
      </w:pPr>
    </w:p>
    <w:p>
      <w:pPr>
        <w:ind w:left="105" w:hanging="105"/>
        <w:spacing w:after="0" w:line="207" w:lineRule="exact"/>
        <w:tabs>
          <w:tab w:leader="none" w:pos="1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10" w:lineRule="exact"/>
        <w:rPr>
          <w:rFonts w:ascii="Times New Roman" w:cs="Times New Roman" w:eastAsia="Times New Roman" w:hAnsi="Times New Roman"/>
          <w:sz w:val="18"/>
          <w:szCs w:val="18"/>
          <w:color w:val="auto"/>
        </w:rPr>
      </w:pPr>
    </w:p>
    <w:p>
      <w:pPr>
        <w:ind w:left="105" w:hanging="105"/>
        <w:spacing w:after="0" w:line="207" w:lineRule="exact"/>
        <w:tabs>
          <w:tab w:leader="none" w:pos="1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9" w:lineRule="exact"/>
        <w:rPr>
          <w:rFonts w:ascii="Times New Roman" w:cs="Times New Roman" w:eastAsia="Times New Roman" w:hAnsi="Times New Roman"/>
          <w:sz w:val="18"/>
          <w:szCs w:val="18"/>
          <w:color w:val="auto"/>
        </w:rPr>
      </w:pPr>
    </w:p>
    <w:p>
      <w:pPr>
        <w:ind w:left="105" w:hanging="105"/>
        <w:spacing w:after="0" w:line="207" w:lineRule="exact"/>
        <w:tabs>
          <w:tab w:leader="none" w:pos="1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w:t>
      </w:r>
    </w:p>
    <w:p>
      <w:pPr>
        <w:spacing w:after="0" w:line="165" w:lineRule="exact"/>
        <w:rPr>
          <w:sz w:val="24"/>
          <w:szCs w:val="24"/>
          <w:color w:val="auto"/>
        </w:rPr>
      </w:pPr>
    </w:p>
    <w:p>
      <w:pPr>
        <w:ind w:left="5" w:right="58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5185"/>
        <w:spacing w:after="0"/>
        <w:tabs>
          <w:tab w:leader="none" w:pos="7365"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Times New Roman" w:cs="Times New Roman" w:eastAsia="Times New Roman" w:hAnsi="Times New Roman"/>
          <w:sz w:val="17"/>
          <w:szCs w:val="17"/>
          <w:color w:val="auto"/>
        </w:rPr>
        <w:t>[ ]</w:t>
      </w:r>
    </w:p>
    <w:p>
      <w:pPr>
        <w:spacing w:after="0" w:line="207" w:lineRule="exact"/>
        <w:rPr>
          <w:sz w:val="24"/>
          <w:szCs w:val="24"/>
          <w:color w:val="auto"/>
        </w:rPr>
      </w:pPr>
    </w:p>
    <w:p>
      <w:pPr>
        <w:ind w:left="5" w:right="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131445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5"/>
          </w:cols>
          <w:pgMar w:left="275" w:top="1063" w:right="31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February 28, 2019, Clearway Energy, Inc. issued a press release announcing its financial results for the year ended December 31, 2018. A copy of the press release is furnished as Exhibit 99.1 to this report on Form 8-K and is hereby incorporated by reference.</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w:t>
            </w:r>
          </w:p>
        </w:tc>
        <w:tc>
          <w:tcPr>
            <w:tcW w:w="68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Exhibits</w:t>
            </w:r>
          </w:p>
        </w:tc>
      </w:tr>
      <w:tr>
        <w:trPr>
          <w:trHeight w:val="356"/>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8"/>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27"/>
        </w:trPr>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line="196"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Press Release, dated February 28, 2019</w:t>
              </w:r>
            </w:hyperlink>
          </w:p>
        </w:tc>
      </w:tr>
      <w:tr>
        <w:trPr>
          <w:trHeight w:val="20"/>
        </w:trPr>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80"/>
          </w:cols>
          <w:pgMar w:left="240" w:top="576"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(Registrant)</w:t>
      </w:r>
    </w:p>
    <w:p>
      <w:pPr>
        <w:spacing w:after="0" w:line="360" w:lineRule="exact"/>
        <w:rPr>
          <w:sz w:val="20"/>
          <w:szCs w:val="20"/>
          <w:color w:val="auto"/>
        </w:rPr>
      </w:pPr>
    </w:p>
    <w:p>
      <w:pPr>
        <w:ind w:left="57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February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833"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44411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441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Clearway Energy, Inc. Reports Full Year 2018 Financial Results</w:t>
      </w:r>
    </w:p>
    <w:p>
      <w:pPr>
        <w:spacing w:after="0" w:line="28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 year financial performance in-line with expectations</w:t>
      </w:r>
    </w:p>
    <w:p>
      <w:pPr>
        <w:spacing w:after="0" w:line="6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Completed new sponsorship with Global Infrastructure Partners (GIP) as the Company’s controlling shareholder</w:t>
      </w:r>
    </w:p>
    <w:p>
      <w:pPr>
        <w:spacing w:after="0" w:line="31" w:lineRule="exact"/>
        <w:rPr>
          <w:rFonts w:ascii="Times New Roman" w:cs="Times New Roman" w:eastAsia="Times New Roman" w:hAnsi="Times New Roman"/>
          <w:sz w:val="18"/>
          <w:szCs w:val="18"/>
          <w:color w:val="auto"/>
        </w:rPr>
      </w:pPr>
    </w:p>
    <w:p>
      <w:pPr>
        <w:ind w:left="660" w:hanging="328"/>
        <w:spacing w:after="0" w:line="18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Invested $94 million</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8"/>
          <w:szCs w:val="18"/>
          <w:b w:val="1"/>
          <w:bCs w:val="1"/>
          <w:color w:val="auto"/>
        </w:rPr>
        <w:t xml:space="preserve"> in new accretive growth investments in 2018</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Raised $754 million in new corporate level capital for growth investments and balance sheet management</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Announced modified capital allocation approach on February 14, 2019 due to Pacific Gas &amp; Electric’s (PG&amp;E) bankruptcy filing</w:t>
      </w:r>
    </w:p>
    <w:p>
      <w:pPr>
        <w:spacing w:after="0" w:line="200" w:lineRule="exact"/>
        <w:rPr>
          <w:sz w:val="20"/>
          <w:szCs w:val="20"/>
          <w:color w:val="auto"/>
        </w:rPr>
      </w:pPr>
    </w:p>
    <w:p>
      <w:pPr>
        <w:spacing w:after="0" w:line="2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PRINCETON, NJ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February 28, 2019 </w:t>
      </w:r>
      <w:r>
        <w:rPr>
          <w:rFonts w:ascii="Times New Roman" w:cs="Times New Roman" w:eastAsia="Times New Roman" w:hAnsi="Times New Roman"/>
          <w:sz w:val="18"/>
          <w:szCs w:val="18"/>
          <w:color w:val="auto"/>
        </w:rPr>
        <w:t>— Clearway Energy, Inc. (NYSE: CWEN, CWEN.A) today reported full year 2018 financial results including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of $54 million, Adjusted EBITDA of $983 million, Cash from Operating Activities of $498 million, and Cash Available for Distribution (CAFD) of $291 million.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2018, Clearway Energy began a new era under sponsorship by GIP, raised $754 million in new capital for growth and balance sheet management, closed on $94 million of accretive transactions, and met financial expectations despite weak renewable energy conditions in the fourth quarter." said Christopher Sotos, Clearway Energy, Inc.’s President and Chief Executive Officer. “As we move forward into 2019, we are confident that our recently announced modified capital allocation approach will allow us to prudently navigate the impacts on the Company caused by the Pacific Gas and Electric bankruptcy. Additionally, and under GIP's stewardship, Clearway Group's continued investment in its development pipeline will over time lead to additional projects placed into the Company's Right of First Offer pipeline. The addition of Hawaii Solar Phase II to the ROFO pipeline, as well as the backstop of the Carlsbad purchase, were the most recent examples of our strong partnership with Clearway Group and GIP.”</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Overview of Financial and Operating Results</w:t>
            </w: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Segment Results</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5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1: Net (Loss)/Income</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7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70"/>
        </w:trPr>
        <w:tc>
          <w:tcPr>
            <w:tcW w:w="340" w:type="dxa"/>
            <w:vAlign w:val="bottom"/>
          </w:tcPr>
          <w:p>
            <w:pPr>
              <w:spacing w:after="0"/>
              <w:rPr>
                <w:sz w:val="23"/>
                <w:szCs w:val="23"/>
                <w:color w:val="auto"/>
              </w:rPr>
            </w:pPr>
          </w:p>
        </w:tc>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12/31/18</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12/31/17</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12/31/18</w:t>
            </w:r>
          </w:p>
        </w:tc>
        <w:tc>
          <w:tcPr>
            <w:tcW w:w="12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12/31/17</w:t>
            </w:r>
          </w:p>
        </w:tc>
      </w:tr>
      <w:tr>
        <w:trPr>
          <w:trHeight w:val="27"/>
        </w:trPr>
        <w:tc>
          <w:tcPr>
            <w:tcW w:w="3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Conventional</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340" w:type="dxa"/>
            <w:vAlign w:val="bottom"/>
          </w:tcPr>
          <w:p>
            <w:pPr>
              <w:spacing w:after="0"/>
              <w:rPr>
                <w:sz w:val="21"/>
                <w:szCs w:val="21"/>
                <w:color w:val="auto"/>
              </w:rPr>
            </w:pPr>
          </w:p>
        </w:tc>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Renewables</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Thermal</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340" w:type="dxa"/>
            <w:vAlign w:val="bottom"/>
          </w:tcPr>
          <w:p>
            <w:pPr>
              <w:spacing w:after="0"/>
              <w:rPr>
                <w:sz w:val="21"/>
                <w:szCs w:val="21"/>
                <w:color w:val="auto"/>
              </w:rPr>
            </w:pPr>
          </w:p>
        </w:tc>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7"/>
        </w:trPr>
        <w:tc>
          <w:tcPr>
            <w:tcW w:w="3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340" w:type="dxa"/>
            <w:vAlign w:val="bottom"/>
          </w:tcPr>
          <w:p>
            <w:pPr>
              <w:spacing w:after="0"/>
              <w:rPr>
                <w:sz w:val="22"/>
                <w:szCs w:val="22"/>
                <w:color w:val="auto"/>
              </w:rPr>
            </w:pPr>
          </w:p>
        </w:tc>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(Loss)/Income</w:t>
            </w:r>
          </w:p>
        </w:tc>
        <w:tc>
          <w:tcPr>
            <w:tcW w:w="1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4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3"/>
          <w:szCs w:val="13"/>
          <w:color w:val="auto"/>
        </w:rPr>
        <w:t xml:space="preserve"> Includes Buckthorn Solar ($42 MM), UPMC ($7 MM), Tulare ($11 MM), and DG Partnerships ($34 MM); net of project level financings</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420"/>
          </w:cols>
          <w:pgMar w:left="240" w:top="12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2: Adjusted EBITDA</w:t>
            </w: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7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36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12/31/18</w:t>
            </w:r>
          </w:p>
        </w:tc>
        <w:tc>
          <w:tcPr>
            <w:tcW w:w="1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12/31/17</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12/31/18</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12/31/17</w:t>
            </w:r>
          </w:p>
        </w:tc>
        <w:tc>
          <w:tcPr>
            <w:tcW w:w="360" w:type="dxa"/>
            <w:vAlign w:val="bottom"/>
          </w:tcPr>
          <w:p>
            <w:pPr>
              <w:spacing w:after="0"/>
              <w:rPr>
                <w:sz w:val="23"/>
                <w:szCs w:val="23"/>
                <w:color w:val="auto"/>
              </w:rPr>
            </w:pPr>
          </w:p>
        </w:tc>
      </w:tr>
      <w:tr>
        <w:trPr>
          <w:trHeight w:val="27"/>
        </w:trPr>
        <w:tc>
          <w:tcPr>
            <w:tcW w:w="3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Conventional</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305</w:t>
            </w:r>
          </w:p>
        </w:tc>
      </w:tr>
      <w:tr>
        <w:trPr>
          <w:trHeight w:val="243"/>
        </w:trPr>
        <w:tc>
          <w:tcPr>
            <w:tcW w:w="34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Renewables</w:t>
            </w:r>
          </w:p>
        </w:tc>
        <w:tc>
          <w:tcPr>
            <w:tcW w:w="11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110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634</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589</w:t>
            </w:r>
          </w:p>
        </w:tc>
      </w:tr>
      <w:tr>
        <w:trPr>
          <w:trHeight w:val="27"/>
        </w:trPr>
        <w:tc>
          <w:tcPr>
            <w:tcW w:w="3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Thermal</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34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w:t>
            </w:r>
          </w:p>
        </w:tc>
      </w:tr>
      <w:tr>
        <w:trPr>
          <w:trHeight w:val="27"/>
        </w:trPr>
        <w:tc>
          <w:tcPr>
            <w:tcW w:w="3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69"/>
        </w:trPr>
        <w:tc>
          <w:tcPr>
            <w:tcW w:w="340" w:type="dxa"/>
            <w:vAlign w:val="bottom"/>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983</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935</w:t>
            </w:r>
          </w:p>
        </w:tc>
      </w:tr>
      <w:tr>
        <w:trPr>
          <w:trHeight w:val="20"/>
        </w:trPr>
        <w:tc>
          <w:tcPr>
            <w:tcW w:w="340" w:type="dxa"/>
            <w:vAlign w:val="bottom"/>
          </w:tcPr>
          <w:p>
            <w:pPr>
              <w:spacing w:after="0" w:line="20" w:lineRule="exact"/>
              <w:rPr>
                <w:sz w:val="1"/>
                <w:szCs w:val="1"/>
                <w:color w:val="auto"/>
              </w:rPr>
            </w:pPr>
          </w:p>
        </w:tc>
        <w:tc>
          <w:tcPr>
            <w:tcW w:w="4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3: Cash from Operating Activities and Cash Available for Distribution (CAFD)</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7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12/31/18</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12/31/17</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12/31/18</w:t>
            </w:r>
          </w:p>
        </w:tc>
        <w:tc>
          <w:tcPr>
            <w:tcW w:w="120" w:type="dxa"/>
            <w:vAlign w:val="bottom"/>
          </w:tcPr>
          <w:p>
            <w:pPr>
              <w:spacing w:after="0"/>
              <w:rPr>
                <w:sz w:val="23"/>
                <w:szCs w:val="23"/>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12/31/17</w:t>
            </w:r>
          </w:p>
        </w:tc>
      </w:tr>
      <w:tr>
        <w:trPr>
          <w:trHeight w:val="27"/>
        </w:trPr>
        <w:tc>
          <w:tcPr>
            <w:tcW w:w="4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r>
      <w:tr>
        <w:trPr>
          <w:trHeight w:val="24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Available for Distribution (CAFD)</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r>
      <w:tr>
        <w:trPr>
          <w:trHeight w:val="27"/>
        </w:trPr>
        <w:tc>
          <w:tcPr>
            <w:tcW w:w="4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fourth quarter of 2018, the Company reported a Net Loss of $91 million, Adjusted EBITDA of $200 million, Cash from Operating Activities of $102 million, and CAFD of $41 million. Adjusted EBITDA results were lower than 2017 primarily due to outages at the Conventional segment and weaker renewable energy conditions versus fourth quarter 2017. This was partially offset by the contribution from growth investments made during 2018 and lower corporate costs. In the fourth quarter, CAFD results were lower than 2017 primarily due to lower Adjusted EBITDA, additional maintenance capex in 2018, the timing of insurance proceeds, and the roll off of network upgrade reimbursements.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full year of 2018, the Company reported Net Income of $54 million, Adjusted EBITDA of $983 million, Cash from Operating Activities of $498 million, and CAFD of $291 million. Adjusted EBITDA results were higher than 2017 primarily due to growth investments made in 2018 and higher wind production for the full year relative to 2017. For the full year, CAFD results were higher than 2017 primarily due to the growth in Adjusted EBITDA, lower principal amortization at Thermal due to the refinancing of the Series C notes, and the full year impact of growth from the November 2017 Drop Down Assets</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Operational Performance</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4: Selected Operating Results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(MWh and MWht in thousands)</w:t>
            </w:r>
          </w:p>
        </w:tc>
        <w:tc>
          <w:tcPr>
            <w:tcW w:w="340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3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70"/>
        </w:trPr>
        <w:tc>
          <w:tcPr>
            <w:tcW w:w="16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12/31/18</w:t>
            </w:r>
          </w:p>
        </w:tc>
        <w:tc>
          <w:tcPr>
            <w:tcW w:w="120" w:type="dxa"/>
            <w:vAlign w:val="bottom"/>
          </w:tcPr>
          <w:p>
            <w:pPr>
              <w:spacing w:after="0"/>
              <w:rPr>
                <w:sz w:val="23"/>
                <w:szCs w:val="23"/>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12/31/17</w:t>
            </w:r>
          </w:p>
        </w:tc>
        <w:tc>
          <w:tcPr>
            <w:tcW w:w="120" w:type="dxa"/>
            <w:vAlign w:val="bottom"/>
          </w:tcPr>
          <w:p>
            <w:pPr>
              <w:spacing w:after="0"/>
              <w:rPr>
                <w:sz w:val="23"/>
                <w:szCs w:val="23"/>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12/31/18</w:t>
            </w:r>
          </w:p>
        </w:tc>
        <w:tc>
          <w:tcPr>
            <w:tcW w:w="120" w:type="dxa"/>
            <w:vAlign w:val="bottom"/>
          </w:tcPr>
          <w:p>
            <w:pPr>
              <w:spacing w:after="0"/>
              <w:rPr>
                <w:sz w:val="23"/>
                <w:szCs w:val="23"/>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12/31/17</w:t>
            </w:r>
          </w:p>
        </w:tc>
      </w:tr>
      <w:tr>
        <w:trPr>
          <w:trHeight w:val="27"/>
        </w:trPr>
        <w:tc>
          <w:tcPr>
            <w:tcW w:w="1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16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Equivalent Availability Factor (Conventional)</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43"/>
        </w:trPr>
        <w:tc>
          <w:tcPr>
            <w:tcW w:w="160" w:type="dxa"/>
            <w:vAlign w:val="bottom"/>
          </w:tcPr>
          <w:p>
            <w:pPr>
              <w:spacing w:after="0"/>
              <w:rPr>
                <w:sz w:val="21"/>
                <w:szCs w:val="21"/>
                <w:color w:val="auto"/>
              </w:rPr>
            </w:pP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Renewables Generation Sold (MWh)</w:t>
            </w: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7,197</w:t>
            </w:r>
          </w:p>
        </w:tc>
        <w:tc>
          <w:tcPr>
            <w:tcW w:w="120" w:type="dxa"/>
            <w:vAlign w:val="bottom"/>
          </w:tcPr>
          <w:p>
            <w:pPr>
              <w:spacing w:after="0"/>
              <w:rPr>
                <w:sz w:val="21"/>
                <w:szCs w:val="21"/>
                <w:color w:val="auto"/>
              </w:rPr>
            </w:pPr>
          </w:p>
        </w:tc>
        <w:tc>
          <w:tcPr>
            <w:tcW w:w="1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6,844</w:t>
            </w:r>
          </w:p>
        </w:tc>
      </w:tr>
      <w:tr>
        <w:trPr>
          <w:trHeight w:val="27"/>
        </w:trPr>
        <w:tc>
          <w:tcPr>
            <w:tcW w:w="1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Thermal Generation Sold (MWh/MWht)</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1,961</w:t>
            </w:r>
          </w:p>
        </w:tc>
      </w:tr>
      <w:tr>
        <w:trPr>
          <w:trHeight w:val="20"/>
        </w:trPr>
        <w:tc>
          <w:tcPr>
            <w:tcW w:w="16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fourth quarter of 2018, availability at the Conventional segment was lower than the fourth quarter of 2017 due to a forced outage event at Walnut Creek's Unit 2. The amendment to the comprehensive service agreement executed in 2017 with the original equipment manufacturer provided for a portion of cost recovery on this outage.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generation in the renewables segment was significantly below median expectations and 1% lower than the fourth quarter of 2017 primarily due to weak wind conditions. This was partially offset by the addition of Buckthorn Solar which closed in 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1646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3"/>
          <w:szCs w:val="13"/>
          <w:color w:val="auto"/>
        </w:rPr>
        <w:t xml:space="preserve"> November 2017 Drop Down Assets: a 38 MW portfolio of distributed and small utility-scale solar assets</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420"/>
          </w:cols>
          <w:pgMar w:left="240" w:top="36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5: Liquidity</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20" w:type="dxa"/>
            <w:vAlign w:val="bottom"/>
          </w:tcPr>
          <w:p>
            <w:pPr>
              <w:spacing w:after="0"/>
              <w:rPr>
                <w:sz w:val="24"/>
                <w:szCs w:val="24"/>
                <w:color w:val="auto"/>
              </w:rPr>
            </w:pPr>
          </w:p>
        </w:tc>
        <w:tc>
          <w:tcPr>
            <w:tcW w:w="1060" w:type="dxa"/>
            <w:vAlign w:val="bottom"/>
          </w:tcPr>
          <w:p>
            <w:pPr>
              <w:jc w:val="right"/>
              <w:ind w:right="238"/>
              <w:spacing w:after="0"/>
              <w:rPr>
                <w:sz w:val="20"/>
                <w:szCs w:val="20"/>
                <w:color w:val="auto"/>
              </w:rPr>
            </w:pPr>
            <w:r>
              <w:rPr>
                <w:rFonts w:ascii="Times New Roman" w:cs="Times New Roman" w:eastAsia="Times New Roman" w:hAnsi="Times New Roman"/>
                <w:sz w:val="18"/>
                <w:szCs w:val="18"/>
                <w:b w:val="1"/>
                <w:bCs w:val="1"/>
                <w:color w:val="auto"/>
              </w:rPr>
              <w:t>12/31/18</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rPr>
              <w:t>9/30/18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12/31/17</w:t>
            </w:r>
          </w:p>
        </w:tc>
      </w:tr>
      <w:tr>
        <w:trPr>
          <w:trHeight w:val="27"/>
        </w:trPr>
        <w:tc>
          <w:tcPr>
            <w:tcW w:w="7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Clearway Energy, Inc. and Clearway Energy LLC, excluding subsidiaries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298</w:t>
            </w:r>
          </w:p>
        </w:tc>
        <w:tc>
          <w:tcPr>
            <w:tcW w:w="14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24</w:t>
            </w: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124</w:t>
            </w:r>
          </w:p>
        </w:tc>
      </w:tr>
      <w:tr>
        <w:trPr>
          <w:trHeight w:val="224"/>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Operating accounts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25</w:t>
            </w:r>
          </w:p>
        </w:tc>
      </w:tr>
      <w:tr>
        <w:trPr>
          <w:trHeight w:val="237"/>
        </w:trPr>
        <w:tc>
          <w:tcPr>
            <w:tcW w:w="72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Reserves, including debt service, distributions, performance obligations and other reserves</w:t>
            </w:r>
          </w:p>
        </w:tc>
        <w:tc>
          <w:tcPr>
            <w:tcW w:w="220" w:type="dxa"/>
            <w:vAlign w:val="bottom"/>
          </w:tcPr>
          <w:p>
            <w:pPr>
              <w:spacing w:after="0"/>
              <w:rPr>
                <w:sz w:val="20"/>
                <w:szCs w:val="20"/>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143</w:t>
            </w: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Cash</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583</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316</w:t>
            </w:r>
          </w:p>
        </w:tc>
      </w:tr>
      <w:tr>
        <w:trPr>
          <w:trHeight w:val="23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Revolving credit facility availability</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454</w:t>
            </w:r>
          </w:p>
        </w:tc>
        <w:tc>
          <w:tcPr>
            <w:tcW w:w="14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366</w:t>
            </w: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Liquidity</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1,037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682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liquidity as of December 31, 2018, was $1,037 million, $355 million higher relative to December 31, 2017. This increase was primarily driven by higher total cash balances of $267 million primarily from the issuance of the 2025 Senior Notes partially offset by the tendered 2019 and 2020 convertible notes from the Fundamental Change Tender Offer. Borrowing capacity under the revolving credit facility also increased by $88 million due the repayment of outstanding balances and lower letter of credit postings.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The Company's liquidity includes $176 million of restricted cash balances as of December 31, 2018. Restricted cash consists primarily of funds to satisfy the requirements of certain debt arrangements and funds held within the Company's projects that are restricted in their use. As </w:t>
      </w:r>
      <w:r>
        <w:rPr>
          <w:rFonts w:ascii="Times New Roman" w:cs="Times New Roman" w:eastAsia="Times New Roman" w:hAnsi="Times New Roman"/>
          <w:sz w:val="18"/>
          <w:szCs w:val="18"/>
          <w:color w:val="000000"/>
        </w:rPr>
        <w:t>of December 31, 2018, these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restricted funds were comprised of $84 million designated to fund operating expenses, approximately $26 million designated for current debt service payments, and $32 million of reserves for debt service, performance obligations and other items including capital expenditures. The remaining $34 million is held in distribution accounts, of which $31 million related to subsidiaries affected by the PG&amp;E bankruptcy.</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first quarter of 2019 the Company used approximately $239 million of cash to repay the remaining $220 million of 2019 Convertible notes at maturity and for $19 million buy out of the Wind TE HoldCo tax equity partnership as described below.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future sources of liquidity include excess operating cash flow, the existing $150 million ATM program, of which $36 million remained available as of February 28, 2019, availability under the revolving credit facility, and, subject to market conditions, new corporate financings.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PG&amp;E Bankruptcy Update</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January 29, 2019, Pacific Gas and Electric Company filed for reorganization under Chapter 11 of the U.S. Bankruptcy Code. The Company either owns or invests in 1,200 net MW of electric generation projects with long-term supply or capacity contracts with PG&amp;E. As of December 31, 2018, the Company’s balance sheet included approximately $1.4 billion of non-recourse debt associated with these projects. Additionally, these projects represent approximately $90 million</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8"/>
          <w:szCs w:val="18"/>
          <w:color w:val="auto"/>
        </w:rPr>
        <w:t xml:space="preserve"> of potential exposure to 2019 project level CAFD. The PG&amp;E bankruptcy filing has triggered defaults under the power purchase agreements with PG&amp;E and related project level financing agreements. While the Company is actively working with project level lenders on forbearance agreements, unless such lenders for the related project level debt otherwise agree, distributions to the Company from these projects may not be made during the pendency of the bankruptcy, although the Company currently expects these projects to otherwise operate in the normal course of business. These restrictions, therefore, could result in the Company accumulating less unrestricted cash and thus decrease the Company’s corporate liquidity and cash available for shareholder dividends and growth investments.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27, 2019, PG&amp;E has neither assumed, rejected, or sought to renegotiate contracts.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00" w:firstLine="8"/>
        <w:spacing w:after="0" w:line="216" w:lineRule="auto"/>
        <w:tabs>
          <w:tab w:leader="none" w:pos="108"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See Appendix Table A-8 of this news release, potential exposure includes Desert Sunlight 250 (contracted with Southern California Edison) due to provisions in the financing agreements with Desert Sunlight 300 (contracted with Pacific Gas &amp; Electric)</w:t>
      </w: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36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Carlsbad Energy Center: Exercised the Backstop with GIP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exercised the equity backstop with GIP for the acquisition of the Carlsbad Energy Center. On February 27, 2019, after considering final purchase price adjustments, GIP acquired Carlsbad from NRG for $387 million, excluding working capital. Pursuant to the terms previously agreed by and between the Company and GIP, the Company maintains the option for a period of eighteen (18) months to acquire Carlsbad from GIP at the same terms and conditions previously negotiated with NRG. Should the Company not acquire Carlsbad during such eighteen months, Carlsbad will become a Clearway Group ROFO Asset.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 Agua Caliente: Forgoing the Drop Down Offer from NRG Energy, Inc.</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 2018, NRG offered the Company the opportunity to acquire Agua Caliente Borrower 1 LLC, which owns a 35% interest in Agua Caliente, a 290 MW utility-scale solar project located in Dateland, Arizona with PG&amp;E as the project’s customer. The Company has elected to forgo the acquisition. The Company continues to own a 16% interest in the project through Agua Caliente Borrower 2 LLC.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to the ROFO Pipeline with Clearway Group</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February 14, 2019, the Company entered into a First Amendment to the Right of First Offer Agreement with Clearway Group to add Hawaii Solar Phase II, the first addition to the ROFO pipeline since the closing of the GIP Transaction. Hawaii Solar Phase II consists of two solar and storage projects located in Oahu, Hawaii with a combined capacity of 75MW. The Mililani I Solar project, located in the Mililani Agricultural Park, is sized at 39 MW and will include battery storage capability. The Waiawa Solar Power project, located in the Waiawa region, is sized at 36 MW and will also include battery storage capability. Subject to approval by the </w:t>
      </w:r>
      <w:r>
        <w:rPr>
          <w:rFonts w:ascii="Times New Roman" w:cs="Times New Roman" w:eastAsia="Times New Roman" w:hAnsi="Times New Roman"/>
          <w:sz w:val="18"/>
          <w:szCs w:val="18"/>
          <w:color w:val="373737"/>
        </w:rPr>
        <w:t>Hawaii Public Utilities Commission (PUC) both projects will sell power to Hawaii Electric under 20-year PPAs.</w:t>
      </w:r>
      <w:r>
        <w:rPr>
          <w:rFonts w:ascii="Times New Roman" w:cs="Times New Roman" w:eastAsia="Times New Roman" w:hAnsi="Times New Roman"/>
          <w:sz w:val="18"/>
          <w:szCs w:val="18"/>
          <w:color w:val="auto"/>
        </w:rPr>
        <w:t xml:space="preserve"> The expected commercial operation date for these projects is currently estimated in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Repowering Partnership with Clearway Group</w:t>
      </w:r>
    </w:p>
    <w:p>
      <w:pPr>
        <w:spacing w:after="0" w:line="2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September 11, 2018, the Company entered into a repowering partnership with Clearway Group for 283 MW of wind assets (Wildorado and Elbow Creek). To facilitate this new partnership, the Company agreed to buy out the existing Wind TE Holdco tax equity partner for $19 million, subject to purchase price adjustments. In January 2019, the Company completed the transaction with the tax equity partner for $19 million. The Company expects to provide further updates with respect to the Repowering Partnership during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Liability Management Update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2018 the Company issued $600 million of 2025 Senior Notes. A portion of these proceeds was used to fund the repurchase of $352 million of the 2019 and 2020 Convertible Notes tendered as part of the Fundamental Change Tender Offer.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2019 the Company repaid the remaining $220 million of 2019 Convertible Notes at maturity with cash on hand. Other than the remaining $45 million of 2020 Convertible Notes due in June 2020, the Company has no outstanding corporate maturities due until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12, 2019, Clearway Energy, Inc.’s Board of Directors declared a quarterly dividend on Class A and Class C common stock of $0.20 per share payable on March 15, 2019, to stockholders of record as of March 1, 2019. The Company will continue to assess the level of the dividend pending developments in the PG&amp;E Bankruptcy, including the Company's ability to receive unrestricted project distributions.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Clearway Energy, Inc.’s quarterly operating results are impacted by seasonal factors, as well as variability in renewable energy resources. The majority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15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summer capacity prices from conventional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solar insolation during the summer months;</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576" w:right="239" w:bottom="1440" w:gutter="0" w:footer="0" w:header="0"/>
        </w:sectPr>
      </w:pPr>
    </w:p>
    <w:bookmarkStart w:id="7" w:name="page8"/>
    <w:bookmarkEnd w:id="7"/>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wind resources during the spring and summer months;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payments which are made either quarterly or semi-annually;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maintenance capital expenditures and the impact of both unforced and forced outages.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takes into consideration the timing of these factors to ensure sufficient funds are available for distribution and operating activities on a quarterly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Financial Guidance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updated on February 14, 2019, the Company's 2019 CAFD guidance is $270 million. This financial guidance reflects no additional corporate level financing and assumes that all CAFD related to the projects impacted by the PG&amp;E Bankruptcy is realized in 2019. Financial guidance for 2019 continues to be based on median renewable energy production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28, 2019,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(GIP), an independent infrastructure fund manager that invests in infrastructure and businesses in both OECD and select emerging market countries, through GIP’s portfolio company, Clearway Energy Group.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“outlook,” “believe” and similar terms. Such forward-looking statements include, but are not limited to, statements regarding impacts resulting from the PG&amp;E bankruptcy, the benefits of the relationship with Global Infrastructure Partners III (GIP) and GIP’s expertise, the Company’s future relationship and arrangements with GIP and Clearway Energy Group, as well as our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effects relating to the PG&amp;E bankruptcy,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our ability to access capital markets, cyber terrorism and inadequate cybersecurity, the ability to engage in successful acquisitions activity, unanticipated outages at our generation facilities, adverse results in current and future litigation, failure to identify, execute or successfully implement acquisitions (including receipt of third party consents and regulatory approvals), our ability to enter into new contracts as existing contracts expire, risk relating to the Company's relationships with GIP and Clearway Energy Group, our ability to acquire assets from GIP, Clearway Energy Group or third parties, our ability to close drop down transactions, and our ability to maintain and grow our quarterly dividends. Furthermore, any dividends are subject to available capital, market conditions, and compliance with associated laws and regulations.</w:t>
      </w: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420"/>
          </w:cols>
          <w:pgMar w:left="240" w:top="364" w:right="239" w:bottom="1440" w:gutter="0" w:footer="0" w:header="0"/>
        </w:sectPr>
      </w:pPr>
    </w:p>
    <w:bookmarkStart w:id="8" w:name="page9"/>
    <w:bookmarkEnd w:id="8"/>
    <w:p>
      <w:pPr>
        <w:ind w:right="20"/>
        <w:spacing w:after="0" w:line="255" w:lineRule="auto"/>
        <w:rPr>
          <w:sz w:val="20"/>
          <w:szCs w:val="20"/>
          <w:color w:val="auto"/>
        </w:rPr>
      </w:pPr>
      <w:r>
        <w:rPr>
          <w:rFonts w:ascii="Times New Roman" w:cs="Times New Roman" w:eastAsia="Times New Roman" w:hAnsi="Times New Roman"/>
          <w:sz w:val="18"/>
          <w:szCs w:val="18"/>
          <w:color w:val="auto"/>
        </w:rPr>
        <w:t>Clearway Energy, Inc. undertakes no obligation to update or revise any forward-looking statements, whether as a result of new information, future events or otherwise. The Adjusted EBITDA and Cash Available for Distribution are estimates as of today’s date, February 28, 2019, and are based on assumptions believed to be reasonable as of this date. Clearway Energy expressly disclaims any current intention to update such guidance.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with the Securities and Exchange Commission at www.sec.gov. In addition, Clearway Energy makes available free of charge at www.clearwayenergy.com, copies of materials it files with, or furnishes to, the SEC.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420"/>
          </w:cols>
          <w:pgMar w:left="240" w:top="364" w:right="239" w:bottom="1440" w:gutter="0" w:footer="0" w:header="0"/>
        </w:sectPr>
      </w:pPr>
    </w:p>
    <w:p>
      <w:pPr>
        <w:spacing w:after="0" w:line="20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Investors: Media: </w:t>
      </w:r>
      <w:r>
        <w:rPr>
          <w:rFonts w:ascii="Times New Roman" w:cs="Times New Roman" w:eastAsia="Times New Roman" w:hAnsi="Times New Roman"/>
          <w:sz w:val="17"/>
          <w:szCs w:val="17"/>
          <w:color w:val="auto"/>
        </w:rPr>
        <w:t>Akil Marsh Ray Long akil.marsh@clearwayenergy.com 609-608-1500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media@clearwayenergy.com</w:t>
      </w:r>
    </w:p>
    <w:p>
      <w:pPr>
        <w:spacing w:after="0" w:line="487" w:lineRule="exact"/>
        <w:rPr>
          <w:sz w:val="20"/>
          <w:szCs w:val="20"/>
          <w:color w:val="auto"/>
        </w:rPr>
      </w:pPr>
    </w:p>
    <w:p>
      <w:pPr>
        <w:sectPr>
          <w:pgSz w:w="11900" w:h="16838" w:orient="portrait"/>
          <w:cols w:equalWidth="0" w:num="2">
            <w:col w:w="3060" w:space="360"/>
            <w:col w:w="8000"/>
          </w:cols>
          <w:pgMar w:left="240" w:top="36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420"/>
          </w:cols>
          <w:pgMar w:left="240" w:top="364" w:right="2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40" w:type="dxa"/>
            <w:vAlign w:val="bottom"/>
          </w:tcPr>
          <w:p>
            <w:pPr>
              <w:spacing w:after="0"/>
              <w:rPr>
                <w:sz w:val="19"/>
                <w:szCs w:val="19"/>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Cost of operations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Impairment losses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Development costs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Pre-acquisition net income (loss) of Drop Down Assets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Excluding Pre-acquisition Net Income (Loss) of Drop Down Assets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Inc.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Clearway Energy, Inc. Class A and Class C Common 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 - basic and diluted</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Class C common shares outstanding - basic and diluted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04"/>
        </w:trPr>
        <w:tc>
          <w:tcPr>
            <w:tcW w:w="812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(Loss) per Weighted Average Class A and Class C Common Share - Basic and Diluted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51"/>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Per Class A Common Share</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Per Class C Common Share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0.945</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ind w:left="566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81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7"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8"/>
                <w:szCs w:val="18"/>
                <w:color w:val="auto"/>
              </w:rPr>
            </w:pPr>
          </w:p>
        </w:tc>
        <w:tc>
          <w:tcPr>
            <w:tcW w:w="7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derivatives, net of income tax expense of $2, $7, and $0</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Pre-acquisition net income (loss) of Drop Down Assets</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Clearway Energy, Inc.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jc w:val="right"/>
              <w:ind w:right="236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81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360" w:right="2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200" w:type="dxa"/>
            <w:vAlign w:val="bottom"/>
          </w:tcPr>
          <w:p>
            <w:pPr>
              <w:spacing w:after="0"/>
              <w:rPr>
                <w:sz w:val="13"/>
                <w:szCs w:val="13"/>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0" w:type="dxa"/>
            <w:vAlign w:val="bottom"/>
          </w:tcPr>
          <w:p>
            <w:pPr>
              <w:spacing w:after="0"/>
              <w:rPr>
                <w:sz w:val="13"/>
                <w:szCs w:val="13"/>
                <w:color w:val="auto"/>
              </w:rPr>
            </w:pPr>
          </w:p>
        </w:tc>
        <w:tc>
          <w:tcPr>
            <w:tcW w:w="15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6180" w:type="dxa"/>
            <w:vAlign w:val="bottom"/>
            <w:vMerge w:val="restart"/>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1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Notes receivable — current</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other assets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180" w:type="dxa"/>
            <w:vAlign w:val="bottom"/>
            <w:vMerge w:val="restart"/>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1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 trade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 affiliate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interest expense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6,330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2294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ectPr>
          <w:pgSz w:w="11900" w:h="16838" w:orient="portrait"/>
          <w:cols w:equalWidth="0" w:num="1">
            <w:col w:w="11380"/>
          </w:cols>
          <w:pgMar w:left="260" w:top="360" w:right="259" w:bottom="1440" w:gutter="0" w:footer="0" w:header="0"/>
        </w:sectPr>
      </w:pP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p>
      <w:pPr>
        <w:spacing w:after="0" w:line="225" w:lineRule="exact"/>
        <w:rPr>
          <w:sz w:val="20"/>
          <w:szCs w:val="20"/>
          <w:color w:val="auto"/>
        </w:rPr>
      </w:pPr>
    </w:p>
    <w:p>
      <w:pPr>
        <w:ind w:left="160" w:right="680"/>
        <w:spacing w:after="0" w:line="276" w:lineRule="auto"/>
        <w:rPr>
          <w:sz w:val="20"/>
          <w:szCs w:val="20"/>
          <w:color w:val="auto"/>
        </w:rPr>
      </w:pPr>
      <w:r>
        <w:rPr>
          <w:rFonts w:ascii="Times New Roman" w:cs="Times New Roman" w:eastAsia="Times New Roman" w:hAnsi="Times New Roman"/>
          <w:sz w:val="17"/>
          <w:szCs w:val="17"/>
          <w:color w:val="auto"/>
        </w:rPr>
        <w:t>Class A, Class B, Class C and Class D common stock, $0.01 par value; 3,000,000,000 shares authorized (Class A 500,000,000, Class B 500,000,000, Class C 1,000,000,000, Class D 1,000,000,000);</w:t>
      </w:r>
    </w:p>
    <w:p>
      <w:pPr>
        <w:spacing w:after="0" w:line="1" w:lineRule="exact"/>
        <w:rPr>
          <w:sz w:val="20"/>
          <w:szCs w:val="20"/>
          <w:color w:val="auto"/>
        </w:rPr>
      </w:pPr>
    </w:p>
    <w:p>
      <w:pPr>
        <w:ind w:left="160" w:right="520"/>
        <w:spacing w:after="0" w:line="255" w:lineRule="auto"/>
        <w:rPr>
          <w:sz w:val="20"/>
          <w:szCs w:val="20"/>
          <w:color w:val="auto"/>
        </w:rPr>
      </w:pPr>
      <w:r>
        <w:rPr>
          <w:rFonts w:ascii="Times New Roman" w:cs="Times New Roman" w:eastAsia="Times New Roman" w:hAnsi="Times New Roman"/>
          <w:sz w:val="18"/>
          <w:szCs w:val="18"/>
          <w:color w:val="auto"/>
        </w:rPr>
        <w:t>193,251,396 shares issued and outstanding (Class A 34,586,250, Class B 42,738,750, Class C 73,187,646, Class D 42,738,750) at December 31, 2018 and 184,780,837 shares issued and outstanding (Class A 34,586,250, Class B 42,738,750, Class C 64,717,087, Class D 42,738,750)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20"/>
        <w:spacing w:after="0"/>
        <w:tabs>
          <w:tab w:leader="none" w:pos="2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3"/>
              </w:rPr>
              <w:t>1,897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70"/>
        </w:trPr>
        <w:tc>
          <w:tcPr>
            <w:tcW w:w="11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0"/>
        </w:trPr>
        <w:tc>
          <w:tcPr>
            <w:tcW w:w="11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1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402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bl>
    <w:p>
      <w:pPr>
        <w:spacing w:after="0" w:line="7" w:lineRule="exact"/>
        <w:rPr>
          <w:sz w:val="20"/>
          <w:szCs w:val="20"/>
          <w:color w:val="auto"/>
        </w:rPr>
      </w:pPr>
    </w:p>
    <w:p>
      <w:pPr>
        <w:sectPr>
          <w:pgSz w:w="11900" w:h="16838" w:orient="portrait"/>
          <w:cols w:equalWidth="0" w:num="2">
            <w:col w:w="8340" w:space="720"/>
            <w:col w:w="2320"/>
          </w:cols>
          <w:pgMar w:left="260" w:top="360" w:right="259" w:bottom="144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660" w:type="dxa"/>
            <w:vAlign w:val="bottom"/>
            <w:tcBorders>
              <w:top w:val="single" w:sz="8" w:color="auto"/>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660" w:type="dxa"/>
            <w:vAlign w:val="bottom"/>
            <w:tcBorders>
              <w:top w:val="single" w:sz="8" w:color="auto"/>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2,159</w:t>
            </w:r>
          </w:p>
        </w:tc>
      </w:tr>
      <w:tr>
        <w:trPr>
          <w:trHeight w:val="25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8,489</w:t>
            </w:r>
          </w:p>
        </w:tc>
      </w:tr>
      <w:tr>
        <w:trPr>
          <w:trHeight w:val="20"/>
        </w:trPr>
        <w:tc>
          <w:tcPr>
            <w:tcW w:w="78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360" w:right="259" w:bottom="1440" w:gutter="0" w:footer="0" w:header="0"/>
          <w:type w:val="continuous"/>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60" w:top="360" w:right="259" w:bottom="1440" w:gutter="0" w:footer="0" w:header="0"/>
          <w:type w:val="continuous"/>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r>
      <w:tr>
        <w:trPr>
          <w:trHeight w:val="262"/>
        </w:trPr>
        <w:tc>
          <w:tcPr>
            <w:tcW w:w="8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8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37"/>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2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303</w:t>
            </w:r>
          </w:p>
        </w:tc>
      </w:tr>
      <w:tr>
        <w:trPr>
          <w:trHeight w:val="237"/>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2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Amortization of intangibles and out-of-market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w:t>
            </w:r>
          </w:p>
        </w:tc>
      </w:tr>
      <w:tr>
        <w:trPr>
          <w:trHeight w:val="237"/>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 in 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 losses</w:t>
            </w:r>
          </w:p>
        </w:tc>
        <w:tc>
          <w:tcPr>
            <w:tcW w:w="2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185</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Changes in 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7"/>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loss on disposal of asset components</w:t>
            </w:r>
          </w:p>
        </w:tc>
        <w:tc>
          <w:tcPr>
            <w:tcW w:w="2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provided by (used in) changes in other working capital:</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in prepaid and accrued capacity payments</w:t>
            </w:r>
          </w:p>
        </w:tc>
        <w:tc>
          <w:tcPr>
            <w:tcW w:w="2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Changes in other working capital</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r>
      <w:tr>
        <w:trPr>
          <w:trHeight w:val="21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577</w:t>
            </w:r>
          </w:p>
        </w:tc>
      </w:tr>
      <w:tr>
        <w:trPr>
          <w:trHeight w:val="33"/>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 of business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Acquisition of Drop Down Assets,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37"/>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receipts from 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Return of investment from unconsolidated affiliates</w:t>
            </w:r>
          </w:p>
        </w:tc>
        <w:tc>
          <w:tcPr>
            <w:tcW w:w="2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37"/>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31"/>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contributions from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r>
      <w:tr>
        <w:trPr>
          <w:trHeight w:val="237"/>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distributions and return of capital to NRG prior to the acquisition of Drop Down Assets</w:t>
            </w:r>
          </w:p>
        </w:tc>
        <w:tc>
          <w:tcPr>
            <w:tcW w:w="22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of dividends and distributions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the revolving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r>
      <w:tr>
        <w:trPr>
          <w:trHeight w:val="237"/>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for the revolving credit facility</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740</w:t>
            </w:r>
          </w:p>
        </w:tc>
      </w:tr>
      <w:tr>
        <w:trPr>
          <w:trHeight w:val="237"/>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Payments for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1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33"/>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244</w:t>
            </w:r>
          </w:p>
        </w:tc>
      </w:tr>
      <w:tr>
        <w:trPr>
          <w:trHeight w:val="23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2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254</w:t>
            </w:r>
          </w:p>
        </w:tc>
      </w:tr>
      <w:tr>
        <w:trPr>
          <w:trHeight w:val="33"/>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498</w:t>
            </w: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3"/>
        </w:trPr>
        <w:tc>
          <w:tcPr>
            <w:tcW w:w="8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65"/>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paid, net of amount capitalized</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Pr>
          <w:p>
            <w:pPr>
              <w:spacing w:after="0"/>
              <w:rPr>
                <w:sz w:val="23"/>
                <w:szCs w:val="23"/>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27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5"/>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(Reductions) Additions to fixed assets for accrued capital expenditures</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r>
      <w:tr>
        <w:trPr>
          <w:trHeight w:val="275"/>
        </w:trPr>
        <w:tc>
          <w:tcPr>
            <w:tcW w:w="8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Non-cash adjustment for change in tax basis of assets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w:t>
            </w:r>
          </w:p>
        </w:tc>
      </w:tr>
      <w:tr>
        <w:trPr>
          <w:trHeight w:val="260"/>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contributions from CEG, NRG, net of distributions</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4"/>
                <w:szCs w:val="14"/>
                <w:color w:val="auto"/>
              </w:rPr>
              <w:t>90</w:t>
            </w:r>
          </w:p>
        </w:tc>
      </w:tr>
    </w:tbl>
    <w:p>
      <w:pPr>
        <w:spacing w:after="0" w:line="200" w:lineRule="exact"/>
        <w:rPr>
          <w:sz w:val="20"/>
          <w:szCs w:val="20"/>
          <w:color w:val="auto"/>
        </w:rPr>
      </w:pPr>
    </w:p>
    <w:p>
      <w:pPr>
        <w:sectPr>
          <w:pgSz w:w="11900" w:h="16838" w:orient="portrait"/>
          <w:cols w:equalWidth="0" w:num="1">
            <w:col w:w="11360"/>
          </w:cols>
          <w:pgMar w:left="280" w:top="387" w:right="259" w:bottom="1440" w:gutter="0" w:footer="0" w:header="0"/>
        </w:sectPr>
      </w:pPr>
    </w:p>
    <w:p>
      <w:pPr>
        <w:spacing w:after="0" w:line="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60"/>
          </w:cols>
          <w:pgMar w:left="280" w:top="387" w:right="2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Appendix Table A-1: Three Months Ended December 31, 2018, Segment Adjusted EBITDA Reconciliation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calculation of Adjusted EBITDA and provides a reconciliation to Net Income/(Loss):</w:t>
      </w:r>
    </w:p>
    <w:p>
      <w:pPr>
        <w:spacing w:after="0" w:line="359"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20" w:type="dxa"/>
            <w:vAlign w:val="bottom"/>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non-recurring charges</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4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reflect CWEN’s pro-rata share of Adjusted</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1"/>
        </w:trPr>
        <w:tc>
          <w:tcPr>
            <w:tcW w:w="45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EBITDA from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Table A-2: Three Months Ended December 31, 2017, Segment Adjusted EBITDA Reconciliation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calculation of Adjusted EBITDA and provides a reconciliation to Net Income/(Loss):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20" w:type="dxa"/>
            <w:vAlign w:val="bottom"/>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Losses</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non-recurring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reflect CWEN’s pro-rata share of Adjusted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EBITDA from Unconsolidated Affiliates</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84</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113</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205</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420"/>
          </w:cols>
          <w:pgMar w:left="240" w:top="356"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Appendix Table A-3: Twelve Months Ended December 31, 2018, Segment Adjusted EBITDA Reconciliation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calculation of Adjusted EBITDA and provides a reconciliation to Net Income/(Loss):</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6"/>
                <w:szCs w:val="16"/>
                <w:color w:val="auto"/>
              </w:rPr>
              <w:t>54</w:t>
            </w:r>
          </w:p>
        </w:tc>
      </w:tr>
      <w:tr>
        <w:trPr>
          <w:trHeight w:val="237"/>
        </w:trPr>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335</w:t>
            </w: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non-recurring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reflect CWEN’s pro-rata share of Adjusted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EBITDA from Unconsolidated Affiliates</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302</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634</w:t>
            </w:r>
          </w:p>
        </w:tc>
        <w:tc>
          <w:tcPr>
            <w:tcW w:w="120" w:type="dxa"/>
            <w:vAlign w:val="bottom"/>
          </w:tcPr>
          <w:p>
            <w:pPr>
              <w:spacing w:after="0"/>
              <w:rPr>
                <w:sz w:val="20"/>
                <w:szCs w:val="20"/>
                <w:color w:val="auto"/>
              </w:rPr>
            </w:pPr>
          </w:p>
        </w:tc>
        <w:tc>
          <w:tcPr>
            <w:tcW w:w="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9"/>
              </w:rPr>
              <w:t>64</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983</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Table A-4: Twelve Months Ended December 31, 2017, Segment Adjusted EBITDA Reconciliation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calculation of Adjusted EBITDA and provides a reconciliation to Net Income/(Loss):</w:t>
      </w:r>
    </w:p>
    <w:p>
      <w:pPr>
        <w:spacing w:after="0" w:line="372" w:lineRule="exact"/>
        <w:rPr>
          <w:sz w:val="20"/>
          <w:szCs w:val="20"/>
          <w:color w:val="auto"/>
        </w:rPr>
      </w:pPr>
    </w:p>
    <w:tbl>
      <w:tblPr>
        <w:tblLayout w:type="fixed"/>
        <w:tblInd w:w="180" w:type="dxa"/>
        <w:tblCellMar>
          <w:top w:w="0" w:type="dxa"/>
          <w:left w:w="0" w:type="dxa"/>
          <w:bottom w:w="0" w:type="dxa"/>
          <w:right w:w="0" w:type="dxa"/>
        </w:tblCellMar>
      </w:tblPr>
      <w:tr>
        <w:trPr>
          <w:trHeight w:val="277"/>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7"/>
        </w:trPr>
        <w:tc>
          <w:tcPr>
            <w:tcW w:w="4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304</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338</w:t>
            </w: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non-recurring charges</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4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reflect CWEN’s pro-rata share of Adjusted</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1"/>
        </w:trPr>
        <w:tc>
          <w:tcPr>
            <w:tcW w:w="45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EBITDA from 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r>
      <w:tr>
        <w:trPr>
          <w:trHeight w:val="243"/>
        </w:trPr>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589</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9"/>
              </w:rPr>
              <w:t>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935</w:t>
            </w:r>
          </w:p>
        </w:tc>
      </w:tr>
      <w:tr>
        <w:trPr>
          <w:trHeight w:val="20"/>
        </w:trPr>
        <w:tc>
          <w:tcPr>
            <w:tcW w:w="4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420"/>
          </w:cols>
          <w:pgMar w:left="240" w:top="585"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Appendix Table A-5: Cash Available for Distribution Reconciliation</w:t>
      </w:r>
    </w:p>
    <w:p>
      <w:pPr>
        <w:spacing w:after="0" w:line="26" w:lineRule="exact"/>
        <w:rPr>
          <w:sz w:val="20"/>
          <w:szCs w:val="20"/>
          <w:color w:val="auto"/>
        </w:rPr>
      </w:pPr>
    </w:p>
    <w:p>
      <w:pPr>
        <w:ind w:right="640"/>
        <w:spacing w:after="0" w:line="246" w:lineRule="auto"/>
        <w:rPr>
          <w:sz w:val="20"/>
          <w:szCs w:val="20"/>
          <w:color w:val="auto"/>
        </w:rPr>
      </w:pPr>
      <w:r>
        <w:rPr>
          <w:rFonts w:ascii="Times New Roman" w:cs="Times New Roman" w:eastAsia="Times New Roman" w:hAnsi="Times New Roman"/>
          <w:sz w:val="20"/>
          <w:szCs w:val="20"/>
          <w:color w:val="auto"/>
        </w:rPr>
        <w:t>The following table summarizes the calculation of Cash Available for Distribution and provides a reconciliation to Cash from Operating Activities:</w:t>
      </w:r>
    </w:p>
    <w:p>
      <w:pPr>
        <w:spacing w:after="0" w:line="128"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1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7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420" w:type="dxa"/>
            <w:vAlign w:val="bottom"/>
          </w:tcPr>
          <w:p>
            <w:pPr>
              <w:spacing w:after="0"/>
              <w:rPr>
                <w:sz w:val="23"/>
                <w:szCs w:val="23"/>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12/31/18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12/31/17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12/31/18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12/31/17</w:t>
            </w:r>
          </w:p>
        </w:tc>
      </w:tr>
      <w:tr>
        <w:trPr>
          <w:trHeight w:val="27"/>
        </w:trPr>
        <w:tc>
          <w:tcPr>
            <w:tcW w:w="5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w:t>
            </w:r>
          </w:p>
        </w:tc>
      </w:tr>
      <w:tr>
        <w:trPr>
          <w:trHeight w:val="237"/>
        </w:trPr>
        <w:tc>
          <w:tcPr>
            <w:tcW w:w="52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Cash interest paid</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7"/>
        </w:trPr>
        <w:tc>
          <w:tcPr>
            <w:tcW w:w="5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to reflect Walnut Creek investment payments</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43"/>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5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working capital and other</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5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w:t>
            </w:r>
          </w:p>
        </w:tc>
      </w:tr>
      <w:tr>
        <w:trPr>
          <w:trHeight w:val="27"/>
        </w:trPr>
        <w:tc>
          <w:tcPr>
            <w:tcW w:w="5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working capital and other</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Development Expenses</w:t>
            </w: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0"/>
        </w:trPr>
        <w:tc>
          <w:tcPr>
            <w:tcW w:w="5220" w:type="dxa"/>
            <w:vAlign w:val="bottom"/>
          </w:tcPr>
          <w:p>
            <w:pPr>
              <w:ind w:left="160"/>
              <w:spacing w:after="0" w:line="270" w:lineRule="exact"/>
              <w:rPr>
                <w:sz w:val="20"/>
                <w:szCs w:val="20"/>
                <w:color w:val="auto"/>
              </w:rPr>
            </w:pPr>
            <w:r>
              <w:rPr>
                <w:rFonts w:ascii="Times New Roman" w:cs="Times New Roman" w:eastAsia="Times New Roman" w:hAnsi="Times New Roman"/>
                <w:sz w:val="18"/>
                <w:szCs w:val="18"/>
                <w:color w:val="auto"/>
              </w:rPr>
              <w:t>Net contributions from/(to) non-controlling interest</w:t>
            </w:r>
            <w:r>
              <w:rPr>
                <w:rFonts w:ascii="Times New Roman" w:cs="Times New Roman" w:eastAsia="Times New Roman" w:hAnsi="Times New Roman"/>
                <w:sz w:val="25"/>
                <w:szCs w:val="25"/>
                <w:color w:val="auto"/>
                <w:vertAlign w:val="superscript"/>
              </w:rPr>
              <w:t>4</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522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Maintenance capital expenditures</w:t>
            </w:r>
            <w:r>
              <w:rPr>
                <w:rFonts w:ascii="Times New Roman" w:cs="Times New Roman" w:eastAsia="Times New Roman" w:hAnsi="Times New Roman"/>
                <w:sz w:val="25"/>
                <w:szCs w:val="25"/>
                <w:color w:val="auto"/>
                <w:vertAlign w:val="superscript"/>
              </w:rPr>
              <w:t>5</w:t>
            </w: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5220" w:type="dxa"/>
            <w:vAlign w:val="bottom"/>
          </w:tcPr>
          <w:p>
            <w:pPr>
              <w:ind w:left="160"/>
              <w:spacing w:after="0" w:line="270" w:lineRule="exact"/>
              <w:rPr>
                <w:sz w:val="20"/>
                <w:szCs w:val="20"/>
                <w:color w:val="auto"/>
              </w:rPr>
            </w:pPr>
            <w:r>
              <w:rPr>
                <w:rFonts w:ascii="Times New Roman" w:cs="Times New Roman" w:eastAsia="Times New Roman" w:hAnsi="Times New Roman"/>
                <w:sz w:val="18"/>
                <w:szCs w:val="18"/>
                <w:color w:val="auto"/>
              </w:rPr>
              <w:t>Principal amortization of indebtedness</w:t>
            </w:r>
            <w:r>
              <w:rPr>
                <w:rFonts w:ascii="Times New Roman" w:cs="Times New Roman" w:eastAsia="Times New Roman" w:hAnsi="Times New Roman"/>
                <w:sz w:val="25"/>
                <w:szCs w:val="25"/>
                <w:color w:val="auto"/>
                <w:vertAlign w:val="superscript"/>
              </w:rPr>
              <w:t>6</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70"/>
        </w:trPr>
        <w:tc>
          <w:tcPr>
            <w:tcW w:w="5220" w:type="dxa"/>
            <w:vAlign w:val="bottom"/>
            <w:tcBorders>
              <w:bottom w:val="single" w:sz="8" w:color="auto"/>
            </w:tcBorders>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Cash receipts from notes receivable</w:t>
            </w:r>
            <w:r>
              <w:rPr>
                <w:rFonts w:ascii="Times New Roman" w:cs="Times New Roman" w:eastAsia="Times New Roman" w:hAnsi="Times New Roman"/>
                <w:sz w:val="25"/>
                <w:szCs w:val="25"/>
                <w:color w:val="auto"/>
                <w:vertAlign w:val="superscript"/>
              </w:rPr>
              <w:t>7</w:t>
            </w: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 (Recast)</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r>
      <w:tr>
        <w:trPr>
          <w:trHeight w:val="27"/>
        </w:trPr>
        <w:tc>
          <w:tcPr>
            <w:tcW w:w="5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220" w:type="dxa"/>
            <w:vAlign w:val="bottom"/>
            <w:shd w:val="clear" w:color="auto" w:fill="CCEEFF"/>
          </w:tcPr>
          <w:p>
            <w:pPr>
              <w:ind w:left="160"/>
              <w:spacing w:after="0" w:line="264" w:lineRule="exact"/>
              <w:rPr>
                <w:sz w:val="20"/>
                <w:szCs w:val="20"/>
                <w:color w:val="auto"/>
              </w:rPr>
            </w:pPr>
            <w:r>
              <w:rPr>
                <w:rFonts w:ascii="Times New Roman" w:cs="Times New Roman" w:eastAsia="Times New Roman" w:hAnsi="Times New Roman"/>
                <w:sz w:val="18"/>
                <w:szCs w:val="18"/>
                <w:color w:val="auto"/>
              </w:rPr>
              <w:t>Adjustment to reflect CWEN's CAFD pre Drop Down acquisition</w:t>
            </w:r>
            <w:r>
              <w:rPr>
                <w:rFonts w:ascii="Times New Roman" w:cs="Times New Roman" w:eastAsia="Times New Roman" w:hAnsi="Times New Roman"/>
                <w:sz w:val="25"/>
                <w:szCs w:val="25"/>
                <w:color w:val="auto"/>
                <w:vertAlign w:val="superscript"/>
              </w:rPr>
              <w:t>8</w:t>
            </w:r>
          </w:p>
        </w:tc>
        <w:tc>
          <w:tcPr>
            <w:tcW w:w="4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5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w:t>
            </w: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r>
      <w:tr>
        <w:trPr>
          <w:trHeight w:val="27"/>
        </w:trPr>
        <w:tc>
          <w:tcPr>
            <w:tcW w:w="5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646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25"/>
          <w:szCs w:val="25"/>
          <w:color w:val="auto"/>
          <w:vertAlign w:val="superscript"/>
        </w:rPr>
      </w:pPr>
      <w:r>
        <w:rPr>
          <w:rFonts w:ascii="Arial" w:cs="Arial" w:eastAsia="Arial" w:hAnsi="Arial"/>
          <w:sz w:val="13"/>
          <w:szCs w:val="13"/>
          <w:color w:val="auto"/>
        </w:rPr>
        <w:t>Excludes $99 million of contributions in 2018 related to funding of Buckthorn Solar tax equity partnership</w:t>
      </w:r>
    </w:p>
    <w:p>
      <w:pPr>
        <w:ind w:left="120" w:hanging="112"/>
        <w:spacing w:after="0" w:line="191" w:lineRule="auto"/>
        <w:tabs>
          <w:tab w:leader="none" w:pos="120" w:val="left"/>
        </w:tabs>
        <w:numPr>
          <w:ilvl w:val="0"/>
          <w:numId w:val="7"/>
        </w:numPr>
        <w:rPr>
          <w:rFonts w:ascii="Times New Roman" w:cs="Times New Roman" w:eastAsia="Times New Roman" w:hAnsi="Times New Roman"/>
          <w:sz w:val="25"/>
          <w:szCs w:val="25"/>
          <w:color w:val="auto"/>
          <w:vertAlign w:val="superscript"/>
        </w:rPr>
      </w:pPr>
      <w:r>
        <w:rPr>
          <w:rFonts w:ascii="Arial" w:cs="Arial" w:eastAsia="Arial" w:hAnsi="Arial"/>
          <w:sz w:val="13"/>
          <w:szCs w:val="13"/>
          <w:color w:val="auto"/>
        </w:rPr>
        <w:t>Net of allocated insurance proceeds</w:t>
      </w:r>
    </w:p>
    <w:p>
      <w:pPr>
        <w:spacing w:after="0" w:line="60" w:lineRule="exact"/>
        <w:rPr>
          <w:sz w:val="20"/>
          <w:szCs w:val="20"/>
          <w:color w:val="auto"/>
        </w:rPr>
      </w:pPr>
    </w:p>
    <w:p>
      <w:pPr>
        <w:ind w:right="80" w:firstLine="8"/>
        <w:spacing w:after="0" w:line="223" w:lineRule="auto"/>
        <w:tabs>
          <w:tab w:leader="none" w:pos="108" w:val="left"/>
        </w:tabs>
        <w:numPr>
          <w:ilvl w:val="0"/>
          <w:numId w:val="8"/>
        </w:numPr>
        <w:rPr>
          <w:rFonts w:ascii="Times New Roman" w:cs="Times New Roman" w:eastAsia="Times New Roman" w:hAnsi="Times New Roman"/>
          <w:sz w:val="24"/>
          <w:szCs w:val="24"/>
          <w:color w:val="auto"/>
          <w:vertAlign w:val="superscript"/>
        </w:rPr>
      </w:pPr>
      <w:r>
        <w:rPr>
          <w:rFonts w:ascii="Arial" w:cs="Arial" w:eastAsia="Arial" w:hAnsi="Arial"/>
          <w:sz w:val="12"/>
          <w:szCs w:val="12"/>
          <w:color w:val="auto"/>
        </w:rPr>
        <w:t>Excludes $7 million in Q4 2017 and $37 million in 2017 for SPP discretionary debt retirements made by NRG as reflected in the financial statements due to common control; Excludes $61 million in 2018 for Buckthorn Solar debt term conversion, $83 million for Thermal Series C Notes and $367 million in Q4 2018 and 2018 for Convertible Note Tender Offers in connection with the GIP transaction;</w:t>
      </w:r>
    </w:p>
    <w:p>
      <w:pPr>
        <w:ind w:left="120" w:hanging="112"/>
        <w:spacing w:after="0" w:line="192" w:lineRule="auto"/>
        <w:tabs>
          <w:tab w:leader="none" w:pos="120" w:val="left"/>
        </w:tabs>
        <w:numPr>
          <w:ilvl w:val="0"/>
          <w:numId w:val="9"/>
        </w:numPr>
        <w:rPr>
          <w:rFonts w:ascii="Times New Roman" w:cs="Times New Roman" w:eastAsia="Times New Roman" w:hAnsi="Times New Roman"/>
          <w:sz w:val="25"/>
          <w:szCs w:val="25"/>
          <w:color w:val="auto"/>
          <w:vertAlign w:val="superscript"/>
        </w:rPr>
      </w:pPr>
      <w:r>
        <w:rPr>
          <w:rFonts w:ascii="Arial" w:cs="Arial" w:eastAsia="Arial" w:hAnsi="Arial"/>
          <w:sz w:val="13"/>
          <w:szCs w:val="13"/>
          <w:color w:val="auto"/>
        </w:rPr>
        <w:t>Cash receipts from notes receivable: reimbursement of network upgrades</w:t>
      </w:r>
    </w:p>
    <w:p>
      <w:pPr>
        <w:ind w:left="120" w:hanging="112"/>
        <w:spacing w:after="0" w:line="192" w:lineRule="auto"/>
        <w:tabs>
          <w:tab w:leader="none" w:pos="120" w:val="left"/>
        </w:tabs>
        <w:numPr>
          <w:ilvl w:val="0"/>
          <w:numId w:val="10"/>
        </w:numPr>
        <w:rPr>
          <w:rFonts w:ascii="Times New Roman" w:cs="Times New Roman" w:eastAsia="Times New Roman" w:hAnsi="Times New Roman"/>
          <w:sz w:val="25"/>
          <w:szCs w:val="25"/>
          <w:color w:val="auto"/>
          <w:vertAlign w:val="superscript"/>
        </w:rPr>
      </w:pPr>
      <w:r>
        <w:rPr>
          <w:rFonts w:ascii="Arial" w:cs="Arial" w:eastAsia="Arial" w:hAnsi="Arial"/>
          <w:sz w:val="13"/>
          <w:szCs w:val="13"/>
          <w:color w:val="auto"/>
        </w:rPr>
        <w:t>Adjustments to reflect drop down assets prior to ownership by Clearway Energy</w:t>
      </w: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420"/>
          </w:cols>
          <w:pgMar w:left="240" w:top="612" w:right="239" w:bottom="1440" w:gutter="0" w:footer="0" w:header="0"/>
        </w:sectPr>
      </w:pPr>
    </w:p>
    <w:bookmarkStart w:id="16" w:name="page17"/>
    <w:bookmarkEnd w:id="16"/>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Appendix Table A-6: </w:t>
      </w:r>
      <w:r>
        <w:rPr>
          <w:rFonts w:ascii="Times New Roman" w:cs="Times New Roman" w:eastAsia="Times New Roman" w:hAnsi="Times New Roman"/>
          <w:sz w:val="18"/>
          <w:szCs w:val="18"/>
          <w:b w:val="1"/>
          <w:bCs w:val="1"/>
          <w:color w:val="auto"/>
        </w:rPr>
        <w:t>Twelve Months Ended December 31, 2018</w:t>
      </w:r>
      <w:r>
        <w:rPr>
          <w:rFonts w:ascii="Times New Roman" w:cs="Times New Roman" w:eastAsia="Times New Roman" w:hAnsi="Times New Roman"/>
          <w:sz w:val="20"/>
          <w:szCs w:val="20"/>
          <w:b w:val="1"/>
          <w:bCs w:val="1"/>
          <w:color w:val="auto"/>
        </w:rPr>
        <w:t xml:space="preserve">, Sources and Uses of Liquidity </w:t>
      </w:r>
      <w:r>
        <w:rPr>
          <w:rFonts w:ascii="Times New Roman" w:cs="Times New Roman" w:eastAsia="Times New Roman" w:hAnsi="Times New Roman"/>
          <w:sz w:val="20"/>
          <w:szCs w:val="20"/>
          <w:color w:val="auto"/>
        </w:rPr>
        <w:t>The following table summarizes the sources and uses of liquidity in 2018:</w:t>
      </w:r>
    </w:p>
    <w:p>
      <w:pPr>
        <w:spacing w:after="0" w:line="200" w:lineRule="exact"/>
        <w:rPr>
          <w:sz w:val="20"/>
          <w:szCs w:val="20"/>
          <w:color w:val="auto"/>
        </w:rPr>
      </w:pPr>
    </w:p>
    <w:p>
      <w:pPr>
        <w:spacing w:after="0" w:line="39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35560</wp:posOffset>
            </wp:positionV>
            <wp:extent cx="497395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3955" cy="180340"/>
                    </a:xfrm>
                    <a:prstGeom prst="rect">
                      <a:avLst/>
                    </a:prstGeom>
                    <a:noFill/>
                  </pic:spPr>
                </pic:pic>
              </a:graphicData>
            </a:graphic>
          </wp:anchor>
        </w:drawing>
      </w:r>
    </w:p>
    <w:p>
      <w:pPr>
        <w:spacing w:after="0" w:line="7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Sources:</w:t>
      </w:r>
    </w:p>
    <w:p>
      <w:pPr>
        <w:spacing w:after="0" w:line="8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Proceeds from the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37465</wp:posOffset>
            </wp:positionV>
            <wp:extent cx="497395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Net cash provided by operating activities</w:t>
      </w:r>
    </w:p>
    <w:p>
      <w:pPr>
        <w:spacing w:after="0" w:line="8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Proceeds from the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37465</wp:posOffset>
            </wp:positionV>
            <wp:extent cx="497395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Net contributions from noncontrolling interests</w:t>
      </w:r>
    </w:p>
    <w:p>
      <w:pPr>
        <w:spacing w:after="0" w:line="8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37465</wp:posOffset>
            </wp:positionV>
            <wp:extent cx="497395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Proceeds from the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217805</wp:posOffset>
            </wp:positionV>
            <wp:extent cx="497395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73955" cy="188595"/>
                    </a:xfrm>
                    <a:prstGeom prst="rect">
                      <a:avLst/>
                    </a:prstGeom>
                    <a:noFill/>
                  </pic:spPr>
                </pic:pic>
              </a:graphicData>
            </a:graphic>
          </wp:anchor>
        </w:drawing>
      </w:r>
    </w:p>
    <w:p>
      <w:pPr>
        <w:spacing w:after="0" w:line="37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Uses:</w:t>
      </w:r>
    </w:p>
    <w:p>
      <w:pPr>
        <w:spacing w:after="0" w:line="8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Payments for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37465</wp:posOffset>
            </wp:positionV>
            <wp:extent cx="497395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Payment of dividends and distributions</w:t>
      </w:r>
    </w:p>
    <w:p>
      <w:pPr>
        <w:spacing w:after="0" w:line="13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color w:val="auto"/>
        </w:rPr>
        <w:t>Payments for the Drop Down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23495</wp:posOffset>
            </wp:positionV>
            <wp:extent cx="497395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Payments for the revolving credit facility</w:t>
      </w:r>
    </w:p>
    <w:p>
      <w:pPr>
        <w:spacing w:after="0" w:line="8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37465</wp:posOffset>
            </wp:positionV>
            <wp:extent cx="497395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73955" cy="171450"/>
                    </a:xfrm>
                    <a:prstGeom prst="rect">
                      <a:avLst/>
                    </a:prstGeom>
                    <a:noFill/>
                  </pic:spPr>
                </pic:pic>
              </a:graphicData>
            </a:graphic>
          </wp:anchor>
        </w:drawing>
      </w:r>
    </w:p>
    <w:p>
      <w:pPr>
        <w:spacing w:after="0" w:line="6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Investments in unconsolidated affiliates</w:t>
      </w:r>
    </w:p>
    <w:p>
      <w:pPr>
        <w:spacing w:after="0" w:line="7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color w:val="auto"/>
        </w:rPr>
        <w:t>Other net cash outflows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175260</wp:posOffset>
            </wp:positionV>
            <wp:extent cx="497395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73955" cy="20574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Change in total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38735</wp:posOffset>
            </wp:positionV>
            <wp:extent cx="398780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878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12"/>
        <w:spacing w:after="0"/>
        <w:rPr>
          <w:sz w:val="20"/>
          <w:szCs w:val="20"/>
          <w:color w:val="auto"/>
        </w:rPr>
      </w:pPr>
      <w:r>
        <w:rPr>
          <w:rFonts w:ascii="Times New Roman" w:cs="Times New Roman" w:eastAsia="Times New Roman" w:hAnsi="Times New Roman"/>
          <w:sz w:val="18"/>
          <w:szCs w:val="18"/>
          <w:b w:val="1"/>
          <w:bCs w:val="1"/>
          <w:color w:val="auto"/>
        </w:rPr>
        <w:t>Twelve Months</w:t>
      </w:r>
    </w:p>
    <w:p>
      <w:pPr>
        <w:spacing w:after="0" w:line="31" w:lineRule="exact"/>
        <w:rPr>
          <w:sz w:val="20"/>
          <w:szCs w:val="20"/>
          <w:color w:val="auto"/>
        </w:rPr>
      </w:pPr>
    </w:p>
    <w:p>
      <w:pPr>
        <w:jc w:val="center"/>
        <w:ind w:right="1812"/>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41" w:lineRule="exact"/>
        <w:rPr>
          <w:sz w:val="20"/>
          <w:szCs w:val="20"/>
          <w:color w:val="auto"/>
        </w:rPr>
      </w:pPr>
    </w:p>
    <w:p>
      <w:pPr>
        <w:ind w:left="368"/>
        <w:spacing w:after="0"/>
        <w:rPr>
          <w:sz w:val="20"/>
          <w:szCs w:val="20"/>
          <w:color w:val="auto"/>
        </w:rPr>
      </w:pPr>
      <w:r>
        <w:rPr>
          <w:rFonts w:ascii="Times New Roman" w:cs="Times New Roman" w:eastAsia="Times New Roman" w:hAnsi="Times New Roman"/>
          <w:sz w:val="18"/>
          <w:szCs w:val="18"/>
          <w:b w:val="1"/>
          <w:bCs w:val="1"/>
          <w:color w:val="auto"/>
        </w:rPr>
        <w:t>12/31/18</w:t>
      </w:r>
    </w:p>
    <w:p>
      <w:pPr>
        <w:spacing w:after="0" w:line="369"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6"/>
          <w:szCs w:val="16"/>
          <w:color w:val="auto"/>
        </w:rPr>
        <w:t>827</w:t>
      </w:r>
    </w:p>
    <w:p>
      <w:pPr>
        <w:spacing w:after="0" w:line="86"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6"/>
          <w:szCs w:val="16"/>
          <w:color w:val="auto"/>
        </w:rPr>
        <w:t>498</w:t>
      </w:r>
    </w:p>
    <w:p>
      <w:pPr>
        <w:spacing w:after="0" w:line="86"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6"/>
          <w:szCs w:val="16"/>
          <w:color w:val="auto"/>
        </w:rPr>
        <w:t>153</w:t>
      </w:r>
    </w:p>
    <w:p>
      <w:pPr>
        <w:spacing w:after="0" w:line="86"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6"/>
          <w:szCs w:val="16"/>
          <w:color w:val="auto"/>
        </w:rPr>
        <w:t>91</w:t>
      </w:r>
    </w:p>
    <w:p>
      <w:pPr>
        <w:spacing w:after="0" w:line="86"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6"/>
          <w:szCs w:val="16"/>
          <w:color w:val="auto"/>
        </w:rPr>
        <w:t>45</w:t>
      </w:r>
    </w:p>
    <w:p>
      <w:pPr>
        <w:spacing w:after="0" w:line="86"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6"/>
          <w:szCs w:val="16"/>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6"/>
          <w:szCs w:val="16"/>
          <w:color w:val="auto"/>
        </w:rPr>
        <w:t>(810)</w:t>
      </w:r>
    </w:p>
    <w:p>
      <w:pPr>
        <w:spacing w:after="0" w:line="86"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6"/>
          <w:szCs w:val="16"/>
          <w:color w:val="auto"/>
        </w:rPr>
        <w:t>(238)</w:t>
      </w:r>
    </w:p>
    <w:p>
      <w:pPr>
        <w:spacing w:after="0" w:line="86"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6"/>
          <w:szCs w:val="16"/>
          <w:color w:val="auto"/>
        </w:rPr>
        <w:t>(126)</w:t>
      </w:r>
    </w:p>
    <w:p>
      <w:pPr>
        <w:spacing w:after="0" w:line="86"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6"/>
          <w:szCs w:val="16"/>
          <w:color w:val="auto"/>
        </w:rPr>
        <w:t>(90)</w:t>
      </w:r>
    </w:p>
    <w:p>
      <w:pPr>
        <w:spacing w:after="0" w:line="86"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6"/>
          <w:szCs w:val="16"/>
          <w:color w:val="auto"/>
        </w:rPr>
        <w:t>(83)</w:t>
      </w:r>
    </w:p>
    <w:p>
      <w:pPr>
        <w:spacing w:after="0" w:line="86"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6"/>
          <w:szCs w:val="16"/>
          <w:color w:val="auto"/>
        </w:rPr>
        <w:t>(34)</w:t>
      </w:r>
    </w:p>
    <w:p>
      <w:pPr>
        <w:spacing w:after="0" w:line="271" w:lineRule="exact"/>
        <w:rPr>
          <w:sz w:val="20"/>
          <w:szCs w:val="20"/>
          <w:color w:val="auto"/>
        </w:rPr>
      </w:pPr>
    </w:p>
    <w:p>
      <w:pPr>
        <w:jc w:val="center"/>
        <w:ind w:right="652"/>
        <w:spacing w:after="0"/>
        <w:rPr>
          <w:sz w:val="20"/>
          <w:szCs w:val="20"/>
          <w:color w:val="auto"/>
        </w:rPr>
      </w:pPr>
      <w:r>
        <w:rPr>
          <w:rFonts w:ascii="Times New Roman" w:cs="Times New Roman" w:eastAsia="Times New Roman" w:hAnsi="Times New Roman"/>
          <w:sz w:val="18"/>
          <w:szCs w:val="18"/>
          <w:color w:val="auto"/>
        </w:rPr>
        <w:t>(1)</w:t>
      </w:r>
    </w:p>
    <w:p>
      <w:pPr>
        <w:spacing w:after="0" w:line="390" w:lineRule="exact"/>
        <w:rPr>
          <w:sz w:val="20"/>
          <w:szCs w:val="20"/>
          <w:color w:val="auto"/>
        </w:rPr>
      </w:pPr>
    </w:p>
    <w:p>
      <w:pPr>
        <w:ind w:left="1088" w:hanging="1088"/>
        <w:spacing w:after="0"/>
        <w:tabs>
          <w:tab w:leader="none" w:pos="1088"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9175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1757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60" w:space="552"/>
            <w:col w:w="3208"/>
          </w:cols>
          <w:pgMar w:left="240" w:top="585" w:right="239" w:bottom="1440" w:gutter="0" w:footer="0" w:header="0"/>
        </w:sectPr>
      </w:pPr>
    </w:p>
    <w:p>
      <w:pPr>
        <w:spacing w:after="0" w:line="374" w:lineRule="exact"/>
        <w:rPr>
          <w:sz w:val="20"/>
          <w:szCs w:val="20"/>
          <w:color w:val="auto"/>
        </w:rPr>
      </w:pPr>
    </w:p>
    <w:p>
      <w:pPr>
        <w:ind w:left="1126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420"/>
          </w:cols>
          <w:pgMar w:left="240" w:top="585" w:right="2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Appendix Table A-7: Adjusted EBITDA and Cash Available for Distribution Guidance</w:t>
      </w:r>
    </w:p>
    <w:p>
      <w:pPr>
        <w:spacing w:after="0" w:line="38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35560</wp:posOffset>
            </wp:positionV>
            <wp:extent cx="489648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96485" cy="180340"/>
                    </a:xfrm>
                    <a:prstGeom prst="rect">
                      <a:avLst/>
                    </a:prstGeom>
                    <a:noFill/>
                  </pic:spPr>
                </pic:pic>
              </a:graphicData>
            </a:graphic>
          </wp:anchor>
        </w:drawing>
      </w:r>
    </w:p>
    <w:p>
      <w:pPr>
        <w:spacing w:after="0" w:line="5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36830</wp:posOffset>
            </wp:positionV>
            <wp:extent cx="40303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line="6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34290</wp:posOffset>
            </wp:positionV>
            <wp:extent cx="489648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4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6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Depreciation, Amortization, and ARO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34290</wp:posOffset>
            </wp:positionV>
            <wp:extent cx="489648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4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Acquisition related transaction and integration costs</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Adjustment to reflect CWEN share of Adjusted EBITDA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34290</wp:posOffset>
            </wp:positionV>
            <wp:extent cx="489648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96485" cy="180340"/>
                    </a:xfrm>
                    <a:prstGeom prst="rect">
                      <a:avLst/>
                    </a:prstGeom>
                    <a:noFill/>
                  </pic:spPr>
                </pic:pic>
              </a:graphicData>
            </a:graphic>
          </wp:anchor>
        </w:drawing>
      </w:r>
    </w:p>
    <w:p>
      <w:pPr>
        <w:spacing w:after="0" w:line="5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36830</wp:posOffset>
            </wp:positionV>
            <wp:extent cx="40303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line="6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Cash 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34290</wp:posOffset>
            </wp:positionV>
            <wp:extent cx="489648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4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p>
      <w:pPr>
        <w:spacing w:after="0" w:line="6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Adjustment to reflect Walnut Creek investment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34290</wp:posOffset>
            </wp:positionV>
            <wp:extent cx="489648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4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p>
      <w:pPr>
        <w:spacing w:after="0" w:line="6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Cash distributions from unconsolidated affiliates</w:t>
      </w:r>
      <w:r>
        <w:rPr>
          <w:rFonts w:ascii="Times New Roman" w:cs="Times New Roman" w:eastAsia="Times New Roman" w:hAnsi="Times New Roman"/>
          <w:sz w:val="25"/>
          <w:szCs w:val="25"/>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-15875</wp:posOffset>
            </wp:positionV>
            <wp:extent cx="489648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96485" cy="18034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21590</wp:posOffset>
            </wp:positionV>
            <wp:extent cx="40303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pacing w:after="0" w:line="3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34290</wp:posOffset>
            </wp:positionV>
            <wp:extent cx="489648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4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Net contributions from non-controlling interest</w:t>
      </w:r>
    </w:p>
    <w:p>
      <w:pPr>
        <w:spacing w:after="0" w:line="6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Maintenance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34290</wp:posOffset>
            </wp:positionV>
            <wp:extent cx="489648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96485" cy="171450"/>
                    </a:xfrm>
                    <a:prstGeom prst="rect">
                      <a:avLst/>
                    </a:prstGeom>
                    <a:noFill/>
                  </pic:spPr>
                </pic:pic>
              </a:graphicData>
            </a:graphic>
          </wp:anchor>
        </w:drawing>
      </w:r>
    </w:p>
    <w:p>
      <w:pPr>
        <w:spacing w:after="0" w:line="4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Principal amortization of indebtedness</w:t>
      </w:r>
    </w:p>
    <w:p>
      <w:pPr>
        <w:spacing w:after="0" w:line="6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Cash receipts from notes receivable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2019 Full Year</w:t>
      </w:r>
    </w:p>
    <w:p>
      <w:pPr>
        <w:spacing w:after="0" w:line="31" w:lineRule="exact"/>
        <w:rPr>
          <w:sz w:val="20"/>
          <w:szCs w:val="20"/>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Guidance</w:t>
      </w:r>
    </w:p>
    <w:p>
      <w:pPr>
        <w:spacing w:after="0" w:line="74" w:lineRule="exact"/>
        <w:rPr>
          <w:sz w:val="20"/>
          <w:szCs w:val="20"/>
          <w:color w:val="auto"/>
        </w:rPr>
      </w:pPr>
    </w:p>
    <w:p>
      <w:pPr>
        <w:ind w:left="900" w:hanging="899"/>
        <w:spacing w:after="0"/>
        <w:tabs>
          <w:tab w:leader="none" w:pos="90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165</w:t>
      </w:r>
    </w:p>
    <w:p>
      <w:pPr>
        <w:spacing w:after="0" w:line="101" w:lineRule="exact"/>
        <w:rPr>
          <w:rFonts w:ascii="Times New Roman" w:cs="Times New Roman" w:eastAsia="Times New Roman" w:hAnsi="Times New Roman"/>
          <w:sz w:val="16"/>
          <w:szCs w:val="16"/>
          <w:b w:val="1"/>
          <w:bCs w:val="1"/>
          <w:color w:val="auto"/>
        </w:rPr>
      </w:pPr>
    </w:p>
    <w:p>
      <w:pPr>
        <w:ind w:left="98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-141605</wp:posOffset>
            </wp:positionV>
            <wp:extent cx="7975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66"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6"/>
          <w:szCs w:val="16"/>
          <w:color w:val="auto"/>
        </w:rPr>
        <w:t>315</w:t>
      </w:r>
    </w:p>
    <w:p>
      <w:pPr>
        <w:spacing w:after="0" w:line="86"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6"/>
          <w:szCs w:val="16"/>
          <w:color w:val="auto"/>
        </w:rPr>
        <w:t>395</w:t>
      </w:r>
    </w:p>
    <w:p>
      <w:pPr>
        <w:spacing w:after="0" w:line="86"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6"/>
          <w:szCs w:val="16"/>
          <w:color w:val="auto"/>
        </w:rPr>
        <w:t>5</w:t>
      </w:r>
    </w:p>
    <w:p>
      <w:pPr>
        <w:spacing w:after="0" w:line="86"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6"/>
          <w:szCs w:val="16"/>
          <w:color w:val="auto"/>
        </w:rPr>
        <w:t>85</w:t>
      </w:r>
    </w:p>
    <w:p>
      <w:pPr>
        <w:spacing w:after="0" w:line="98"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6"/>
          <w:szCs w:val="16"/>
          <w:b w:val="1"/>
          <w:bCs w:val="1"/>
          <w:color w:val="auto"/>
        </w:rPr>
        <w:t>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38735</wp:posOffset>
            </wp:positionV>
            <wp:extent cx="7975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82"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6"/>
          <w:szCs w:val="16"/>
          <w:color w:val="auto"/>
        </w:rPr>
        <w:t>(300)</w:t>
      </w:r>
    </w:p>
    <w:p>
      <w:pPr>
        <w:spacing w:after="0" w:line="86"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6"/>
          <w:szCs w:val="16"/>
          <w:color w:val="auto"/>
        </w:rPr>
        <w:t>4</w:t>
      </w:r>
    </w:p>
    <w:p>
      <w:pPr>
        <w:spacing w:after="0" w:line="86"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6"/>
          <w:szCs w:val="16"/>
          <w:color w:val="auto"/>
        </w:rPr>
        <w:t>(1)</w:t>
      </w:r>
    </w:p>
    <w:p>
      <w:pPr>
        <w:spacing w:after="0" w:line="86"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6"/>
          <w:szCs w:val="16"/>
          <w:color w:val="auto"/>
        </w:rPr>
        <w:t>(215)</w:t>
      </w:r>
    </w:p>
    <w:p>
      <w:pPr>
        <w:spacing w:after="0" w:line="86"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6"/>
          <w:szCs w:val="16"/>
          <w:color w:val="auto"/>
        </w:rPr>
        <w:t>130</w:t>
      </w:r>
    </w:p>
    <w:p>
      <w:pPr>
        <w:spacing w:after="0" w:line="98"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6"/>
          <w:szCs w:val="16"/>
          <w:b w:val="1"/>
          <w:bCs w:val="1"/>
          <w:color w:val="auto"/>
        </w:rPr>
        <w:t>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38735</wp:posOffset>
            </wp:positionV>
            <wp:extent cx="7975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82"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6"/>
          <w:szCs w:val="16"/>
          <w:color w:val="auto"/>
        </w:rPr>
        <w:t>4</w:t>
      </w:r>
    </w:p>
    <w:p>
      <w:pPr>
        <w:spacing w:after="0" w:line="86"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6"/>
          <w:szCs w:val="16"/>
          <w:color w:val="auto"/>
        </w:rPr>
        <w:t>(4)</w:t>
      </w:r>
    </w:p>
    <w:p>
      <w:pPr>
        <w:spacing w:after="0" w:line="86"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6"/>
          <w:szCs w:val="16"/>
          <w:color w:val="auto"/>
        </w:rPr>
        <w:t>(30)</w:t>
      </w:r>
    </w:p>
    <w:p>
      <w:pPr>
        <w:spacing w:after="0" w:line="86"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6"/>
          <w:szCs w:val="16"/>
          <w:color w:val="auto"/>
        </w:rPr>
        <w:t>(313)</w:t>
      </w:r>
    </w:p>
    <w:p>
      <w:pPr>
        <w:spacing w:after="0" w:line="86"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6"/>
          <w:szCs w:val="16"/>
          <w:color w:val="auto"/>
        </w:rPr>
        <w:t>—</w:t>
      </w:r>
    </w:p>
    <w:p>
      <w:pPr>
        <w:spacing w:after="0" w:line="38" w:lineRule="exact"/>
        <w:rPr>
          <w:sz w:val="20"/>
          <w:szCs w:val="20"/>
          <w:color w:val="auto"/>
        </w:rPr>
      </w:pPr>
    </w:p>
    <w:p>
      <w:pPr>
        <w:sectPr>
          <w:pgSz w:w="11900" w:h="16838" w:orient="portrait"/>
          <w:cols w:equalWidth="0" w:num="2">
            <w:col w:w="8140" w:space="200"/>
            <w:col w:w="3080"/>
          </w:cols>
          <w:pgMar w:left="240" w:top="356" w:right="239" w:bottom="1440" w:gutter="0" w:footer="0" w:header="0"/>
        </w:sectPr>
      </w:pPr>
    </w:p>
    <w:tbl>
      <w:tblPr>
        <w:tblLayout w:type="fixed"/>
        <w:tblInd w:w="1860" w:type="dxa"/>
        <w:tblCellMar>
          <w:top w:w="0" w:type="dxa"/>
          <w:left w:w="0" w:type="dxa"/>
          <w:bottom w:w="0" w:type="dxa"/>
          <w:right w:w="0" w:type="dxa"/>
        </w:tblCellMar>
      </w:tblPr>
      <w:tr>
        <w:trPr>
          <w:trHeight w:val="284"/>
        </w:trPr>
        <w:tc>
          <w:tcPr>
            <w:tcW w:w="6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CCEEFF"/>
            </w:tcBorders>
            <w:shd w:val="clear" w:color="auto" w:fill="CCEEFF"/>
          </w:tcPr>
          <w:p>
            <w:pPr>
              <w:spacing w:after="0"/>
              <w:rPr>
                <w:sz w:val="24"/>
                <w:szCs w:val="24"/>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270</w:t>
            </w:r>
          </w:p>
        </w:tc>
      </w:tr>
      <w:tr>
        <w:trPr>
          <w:trHeight w:val="237"/>
        </w:trPr>
        <w:tc>
          <w:tcPr>
            <w:tcW w:w="63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Add Back: Principal amortization of indebtedness</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7"/>
        </w:trPr>
        <w:tc>
          <w:tcPr>
            <w:tcW w:w="6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Cash from Operations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583</w:t>
            </w:r>
          </w:p>
        </w:tc>
      </w:tr>
      <w:tr>
        <w:trPr>
          <w:trHeight w:val="20"/>
        </w:trPr>
        <w:tc>
          <w:tcPr>
            <w:tcW w:w="6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Table A-8: PG&amp;E Related CAFD</w:t>
      </w:r>
    </w:p>
    <w:p>
      <w:pPr>
        <w:spacing w:after="0" w:line="166"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rPr>
              <w:t>2019E CAFD</w:t>
            </w:r>
          </w:p>
        </w:tc>
      </w:tr>
      <w:tr>
        <w:trPr>
          <w:trHeight w:val="216"/>
        </w:trPr>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Potential</w:t>
            </w:r>
          </w:p>
        </w:tc>
      </w:tr>
      <w:tr>
        <w:trPr>
          <w:trHeight w:val="238"/>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00" w:type="dxa"/>
            <w:vAlign w:val="bottom"/>
          </w:tcPr>
          <w:p>
            <w:pPr>
              <w:spacing w:after="0"/>
              <w:rPr>
                <w:sz w:val="20"/>
                <w:szCs w:val="20"/>
                <w:color w:val="auto"/>
              </w:rPr>
            </w:pPr>
          </w:p>
        </w:tc>
        <w:tc>
          <w:tcPr>
            <w:tcW w:w="114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8"/>
              </w:rPr>
              <w:t>Exposure</w:t>
            </w:r>
          </w:p>
        </w:tc>
      </w:tr>
      <w:tr>
        <w:trPr>
          <w:trHeight w:val="27"/>
        </w:trPr>
        <w:tc>
          <w:tcPr>
            <w:tcW w:w="6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w:t>
            </w:r>
          </w:p>
        </w:tc>
      </w:tr>
      <w:tr>
        <w:trPr>
          <w:trHeight w:val="237"/>
        </w:trPr>
        <w:tc>
          <w:tcPr>
            <w:tcW w:w="63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Amortization, and ARO Expense</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43"/>
        </w:trPr>
        <w:tc>
          <w:tcPr>
            <w:tcW w:w="6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 to reflect CWEN share of Adjusted EBITDA in unconsolidated affiliates</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7"/>
        </w:trPr>
        <w:tc>
          <w:tcPr>
            <w:tcW w:w="6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w:t>
            </w:r>
          </w:p>
        </w:tc>
      </w:tr>
      <w:tr>
        <w:trPr>
          <w:trHeight w:val="237"/>
        </w:trPr>
        <w:tc>
          <w:tcPr>
            <w:tcW w:w="63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Cash interest paid</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4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37"/>
        </w:trPr>
        <w:tc>
          <w:tcPr>
            <w:tcW w:w="63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Cash distributions from unconsolidated affiliates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7"/>
        </w:trPr>
        <w:tc>
          <w:tcPr>
            <w:tcW w:w="6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w:t>
            </w:r>
          </w:p>
        </w:tc>
      </w:tr>
      <w:tr>
        <w:trPr>
          <w:trHeight w:val="237"/>
        </w:trPr>
        <w:tc>
          <w:tcPr>
            <w:tcW w:w="63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Principal amortization of indebtedness</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7"/>
        </w:trPr>
        <w:tc>
          <w:tcPr>
            <w:tcW w:w="6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Cash Available for Distribution</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r>
      <w:tr>
        <w:trPr>
          <w:trHeight w:val="20"/>
        </w:trPr>
        <w:tc>
          <w:tcPr>
            <w:tcW w:w="6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16465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3"/>
          <w:szCs w:val="13"/>
          <w:color w:val="auto"/>
        </w:rPr>
        <w:t xml:space="preserve"> Distribution from unconsolidated affiliates can be classified as Return of Investment on Unconsolidated Affiliates when actuals are reported. This is below cash from operating activities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420"/>
          </w:cols>
          <w:pgMar w:left="240" w:top="356" w:right="239" w:bottom="1440" w:gutter="0" w:footer="0" w:header="0"/>
          <w:type w:val="continuous"/>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Clearway Energy’s future results will be unaffected by unusual or non-recurring items.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3"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cash expenditures, or future requirements for capital expenditures, or contractual commitments;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working capital needs;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this industry may calculate EBITDA differently than Clearway Energy does, limiting its usefulness as a comparative measure.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2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Available for Distribution (CAFD) is Adjusted EBITDA plus cash distributions/return of investment from unconsolidated affiliates,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CAFD is a relevant supplemental measure of the Company’s ability to earn and distribute cash returns to investors.</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420"/>
          </w:cols>
          <w:pgMar w:left="240" w:top="1026" w:right="2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 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17</w:t>
      </w:r>
    </w:p>
    <w:sectPr>
      <w:pgSz w:w="11900" w:h="16838" w:orient="portrait"/>
      <w:cols w:equalWidth="0" w:num="1">
        <w:col w:w="11420"/>
      </w:cols>
      <w:pgMar w:left="240" w:top="6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6"/>
      <w:numFmt w:val="bullet"/>
      <w:start w:val="1"/>
    </w:lvl>
  </w:abstractNum>
  <w:abstractNum w:abstractNumId="8">
    <w:nsid w:val="1F16E9E8"/>
    <w:multiLevelType w:val="hybridMultilevel"/>
    <w:lvl w:ilvl="0">
      <w:lvlJc w:val="left"/>
      <w:lvlText w:val="7"/>
      <w:numFmt w:val="bullet"/>
      <w:start w:val="1"/>
    </w:lvl>
  </w:abstractNum>
  <w:abstractNum w:abstractNumId="9">
    <w:nsid w:val="1190CDE7"/>
    <w:multiLevelType w:val="hybridMultilevel"/>
    <w:lvl w:ilvl="0">
      <w:lvlJc w:val="left"/>
      <w:lvlText w:val="8"/>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2019-12-28T15:47:41Z</dcterms:created>
  <dcterms:modified xsi:type="dcterms:W3CDTF">2019-12-28T15:47:41Z</dcterms:modified>
</cp:coreProperties>
</file>