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Murphy Michael Taft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CARNEGIE CENTER</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Clearway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CWEN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12/01/2022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385"/>
        <w:spacing w:after="0"/>
        <w:rPr>
          <w:sz w:val="20"/>
          <w:szCs w:val="20"/>
          <w:color w:val="auto"/>
        </w:rPr>
      </w:pPr>
      <w:r>
        <w:rPr>
          <w:rFonts w:ascii="Arial" w:cs="Arial" w:eastAsia="Arial" w:hAnsi="Arial"/>
          <w:sz w:val="17"/>
          <w:szCs w:val="17"/>
          <w:color w:val="0000FF"/>
        </w:rPr>
        <w:t>CHIEF INVESTMENT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8"/>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restart"/>
          </w:tcPr>
          <w:p>
            <w:pPr>
              <w:spacing w:after="0"/>
              <w:rPr>
                <w:sz w:val="20"/>
                <w:szCs w:val="20"/>
                <w:color w:val="auto"/>
              </w:rPr>
            </w:pPr>
            <w:r>
              <w:rPr>
                <w:rFonts w:ascii="Arial" w:cs="Arial" w:eastAsia="Arial" w:hAnsi="Arial"/>
                <w:sz w:val="17"/>
                <w:szCs w:val="17"/>
                <w:color w:val="0000FF"/>
              </w:rPr>
              <w:t>PRINCETON   NJ</w:t>
            </w:r>
          </w:p>
        </w:tc>
        <w:tc>
          <w:tcPr>
            <w:tcW w:w="860" w:type="dxa"/>
            <w:vAlign w:val="bottom"/>
          </w:tcPr>
          <w:p>
            <w:pPr>
              <w:spacing w:after="0"/>
              <w:rPr>
                <w:sz w:val="11"/>
                <w:szCs w:val="11"/>
                <w:color w:val="auto"/>
              </w:rPr>
            </w:pPr>
          </w:p>
        </w:tc>
        <w:tc>
          <w:tcPr>
            <w:tcW w:w="700" w:type="dxa"/>
            <w:vAlign w:val="bottom"/>
            <w:vMerge w:val="restart"/>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440" w:type="dxa"/>
            <w:vAlign w:val="bottom"/>
            <w:tcBorders>
              <w:bottom w:val="single" w:sz="8" w:color="2C2C2C"/>
            </w:tcBorders>
            <w:gridSpan w:val="6"/>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8"/>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3"/>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5"/>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5"/>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3"/>
            <w:vMerge w:val="restart"/>
          </w:tcPr>
          <w:p>
            <w:pPr>
              <w:jc w:val="right"/>
              <w:ind w:right="78"/>
              <w:spacing w:after="0"/>
              <w:rPr>
                <w:sz w:val="20"/>
                <w:szCs w:val="20"/>
                <w:color w:val="auto"/>
              </w:rPr>
            </w:pPr>
            <w:r>
              <w:rPr>
                <w:rFonts w:ascii="Arial" w:cs="Arial" w:eastAsia="Arial" w:hAnsi="Arial"/>
                <w:sz w:val="17"/>
                <w:szCs w:val="17"/>
                <w:color w:val="0000FF"/>
              </w:rPr>
              <w:t>11/23/2022</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vMerge w:val="restart"/>
          </w:tcPr>
          <w:p>
            <w:pPr>
              <w:jc w:val="center"/>
              <w:spacing w:after="0"/>
              <w:rPr>
                <w:sz w:val="20"/>
                <w:szCs w:val="20"/>
                <w:color w:val="auto"/>
              </w:rPr>
            </w:pPr>
            <w:r>
              <w:rPr>
                <w:rFonts w:ascii="Arial" w:cs="Arial" w:eastAsia="Arial" w:hAnsi="Arial"/>
                <w:sz w:val="26"/>
                <w:szCs w:val="26"/>
                <w:color w:val="0000FF"/>
                <w:w w:val="81"/>
                <w:vertAlign w:val="subscript"/>
              </w:rPr>
              <w:t>G</w:t>
            </w:r>
            <w:r>
              <w:rPr>
                <w:rFonts w:ascii="Arial" w:cs="Arial" w:eastAsia="Arial" w:hAnsi="Arial"/>
                <w:sz w:val="11"/>
                <w:szCs w:val="11"/>
                <w:color w:val="008000"/>
                <w:w w:val="81"/>
              </w:rPr>
              <w:t>(1)</w:t>
            </w:r>
          </w:p>
        </w:tc>
        <w:tc>
          <w:tcPr>
            <w:tcW w:w="320" w:type="dxa"/>
            <w:vAlign w:val="bottom"/>
            <w:vMerge w:val="restart"/>
          </w:tcPr>
          <w:p>
            <w:pPr>
              <w:ind w:left="140"/>
              <w:spacing w:after="0"/>
              <w:rPr>
                <w:sz w:val="20"/>
                <w:szCs w:val="20"/>
                <w:color w:val="auto"/>
              </w:rPr>
            </w:pPr>
            <w:r>
              <w:rPr>
                <w:rFonts w:ascii="Arial" w:cs="Arial" w:eastAsia="Arial" w:hAnsi="Arial"/>
                <w:sz w:val="13"/>
                <w:szCs w:val="13"/>
                <w:color w:val="0000FF"/>
              </w:rPr>
              <w:t>V</w:t>
            </w:r>
          </w:p>
        </w:tc>
        <w:tc>
          <w:tcPr>
            <w:tcW w:w="700" w:type="dxa"/>
            <w:vAlign w:val="bottom"/>
            <w:vMerge w:val="restart"/>
          </w:tcPr>
          <w:p>
            <w:pPr>
              <w:jc w:val="right"/>
              <w:spacing w:after="0"/>
              <w:rPr>
                <w:sz w:val="20"/>
                <w:szCs w:val="20"/>
                <w:color w:val="auto"/>
              </w:rPr>
            </w:pPr>
            <w:r>
              <w:rPr>
                <w:rFonts w:ascii="Arial" w:cs="Arial" w:eastAsia="Arial" w:hAnsi="Arial"/>
                <w:sz w:val="17"/>
                <w:szCs w:val="17"/>
                <w:color w:val="0000FF"/>
              </w:rPr>
              <w:t>1,000</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36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gridSpan w:val="3"/>
            <w:vMerge w:val="restart"/>
          </w:tcPr>
          <w:p>
            <w:pPr>
              <w:jc w:val="right"/>
              <w:ind w:right="320"/>
              <w:spacing w:after="0"/>
              <w:rPr>
                <w:sz w:val="20"/>
                <w:szCs w:val="20"/>
                <w:color w:val="auto"/>
              </w:rPr>
            </w:pPr>
            <w:r>
              <w:rPr>
                <w:rFonts w:ascii="Arial" w:cs="Arial" w:eastAsia="Arial" w:hAnsi="Arial"/>
                <w:sz w:val="17"/>
                <w:szCs w:val="17"/>
                <w:color w:val="0000FF"/>
              </w:rPr>
              <w:t>26,992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40" w:type="dxa"/>
            <w:vAlign w:val="bottom"/>
            <w:gridSpan w:val="3"/>
            <w:vMerge w:val="continue"/>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gridSpan w:val="2"/>
            <w:vMerge w:val="continue"/>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Borders>
              <w:bottom w:val="single" w:sz="8" w:color="2C2C2C"/>
            </w:tcBorders>
            <w:gridSpan w:val="5"/>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5"/>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3"/>
            <w:vMerge w:val="restart"/>
          </w:tcPr>
          <w:p>
            <w:pPr>
              <w:jc w:val="right"/>
              <w:ind w:right="58"/>
              <w:spacing w:after="0"/>
              <w:rPr>
                <w:sz w:val="20"/>
                <w:szCs w:val="20"/>
                <w:color w:val="auto"/>
              </w:rPr>
            </w:pPr>
            <w:r>
              <w:rPr>
                <w:rFonts w:ascii="Arial" w:cs="Arial" w:eastAsia="Arial" w:hAnsi="Arial"/>
                <w:sz w:val="17"/>
                <w:szCs w:val="17"/>
                <w:color w:val="0000FF"/>
              </w:rPr>
              <w:t>12/01/2022</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vMerge w:val="restart"/>
          </w:tcPr>
          <w:p>
            <w:pPr>
              <w:jc w:val="center"/>
              <w:spacing w:after="0"/>
              <w:rPr>
                <w:sz w:val="20"/>
                <w:szCs w:val="20"/>
                <w:color w:val="auto"/>
              </w:rPr>
            </w:pPr>
            <w:r>
              <w:rPr>
                <w:rFonts w:ascii="Arial" w:cs="Arial" w:eastAsia="Arial" w:hAnsi="Arial"/>
                <w:sz w:val="13"/>
                <w:szCs w:val="13"/>
                <w:color w:val="0000FF"/>
              </w:rPr>
              <w:t>A</w:t>
            </w:r>
          </w:p>
        </w:tc>
        <w:tc>
          <w:tcPr>
            <w:tcW w:w="320" w:type="dxa"/>
            <w:vAlign w:val="bottom"/>
          </w:tcPr>
          <w:p>
            <w:pPr>
              <w:spacing w:after="0"/>
              <w:rPr>
                <w:sz w:val="22"/>
                <w:szCs w:val="22"/>
                <w:color w:val="auto"/>
              </w:rPr>
            </w:pPr>
          </w:p>
        </w:tc>
        <w:tc>
          <w:tcPr>
            <w:tcW w:w="700" w:type="dxa"/>
            <w:vAlign w:val="bottom"/>
            <w:vMerge w:val="restart"/>
          </w:tcPr>
          <w:p>
            <w:pPr>
              <w:jc w:val="right"/>
              <w:ind w:right="73"/>
              <w:spacing w:after="0"/>
              <w:rPr>
                <w:sz w:val="20"/>
                <w:szCs w:val="20"/>
                <w:color w:val="auto"/>
              </w:rPr>
            </w:pPr>
            <w:r>
              <w:rPr>
                <w:rFonts w:ascii="Arial" w:cs="Arial" w:eastAsia="Arial" w:hAnsi="Arial"/>
                <w:sz w:val="17"/>
                <w:szCs w:val="17"/>
                <w:color w:val="0000FF"/>
              </w:rPr>
              <w:t>221</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1"/>
                <w:szCs w:val="11"/>
                <w:color w:val="008000"/>
              </w:rPr>
              <w:t>(2)</w:t>
            </w:r>
          </w:p>
        </w:tc>
        <w:tc>
          <w:tcPr>
            <w:tcW w:w="1380" w:type="dxa"/>
            <w:vAlign w:val="bottom"/>
            <w:gridSpan w:val="3"/>
            <w:vMerge w:val="restart"/>
          </w:tcPr>
          <w:p>
            <w:pPr>
              <w:jc w:val="center"/>
              <w:ind w:right="240"/>
              <w:spacing w:after="0"/>
              <w:rPr>
                <w:sz w:val="20"/>
                <w:szCs w:val="20"/>
                <w:color w:val="auto"/>
              </w:rPr>
            </w:pPr>
            <w:r>
              <w:rPr>
                <w:rFonts w:ascii="Arial" w:cs="Arial" w:eastAsia="Arial" w:hAnsi="Arial"/>
                <w:sz w:val="17"/>
                <w:szCs w:val="17"/>
                <w:color w:val="0000FF"/>
              </w:rPr>
              <w:t>27,215</w:t>
            </w:r>
            <w:r>
              <w:rPr>
                <w:rFonts w:ascii="Arial" w:cs="Arial" w:eastAsia="Arial" w:hAnsi="Arial"/>
                <w:sz w:val="22"/>
                <w:szCs w:val="22"/>
                <w:color w:val="008000"/>
                <w:vertAlign w:val="superscript"/>
              </w:rPr>
              <w:t>(3)</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4"/>
          </w:tcPr>
          <w:p>
            <w:pPr>
              <w:spacing w:after="0"/>
              <w:rPr>
                <w:sz w:val="8"/>
                <w:szCs w:val="8"/>
                <w:color w:val="auto"/>
              </w:rPr>
            </w:pPr>
          </w:p>
        </w:tc>
        <w:tc>
          <w:tcPr>
            <w:tcW w:w="2440" w:type="dxa"/>
            <w:vAlign w:val="bottom"/>
            <w:tcBorders>
              <w:bottom w:val="single" w:sz="8" w:color="2C2C2C"/>
            </w:tcBorders>
            <w:gridSpan w:val="6"/>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3"/>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that the Reporting Person donated as a charitable gift.</w:t>
      </w:r>
    </w:p>
    <w:p>
      <w:pPr>
        <w:spacing w:after="0" w:line="50" w:lineRule="exact"/>
        <w:rPr>
          <w:rFonts w:ascii="Arial" w:cs="Arial" w:eastAsia="Arial" w:hAnsi="Arial"/>
          <w:sz w:val="13"/>
          <w:szCs w:val="13"/>
          <w:color w:val="008000"/>
        </w:rPr>
      </w:pPr>
    </w:p>
    <w:p>
      <w:pPr>
        <w:ind w:left="40" w:right="24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ind w:left="40" w:right="1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1,175 dividend equivalent rights that may only be settled in Class C Common Stock. There has been a de minimus adjustment of 2 shares to the number of dividend equivalent rights as a result of rounding fractional shares.</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12/05/2022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2383"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2022-12-05T15:33:16Z</dcterms:created>
  <dcterms:modified xsi:type="dcterms:W3CDTF">2022-12-05T15:33:16Z</dcterms:modified>
</cp:coreProperties>
</file>