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10,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4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4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None</w:t>
            </w:r>
          </w:p>
        </w:tc>
        <w:tc>
          <w:tcPr>
            <w:tcW w:w="40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10, 2024, the Audit Committee (the “Audit Committee”) of the Board of Directors of Clearway Energy, Inc. (“Clearway, Inc.”),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company of Clearway Energy LLC (the “Company”), dismissed Ernst &amp; Young LLP (“EY”) as the independent registered public accounting firm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Inc. and the Company, due to the fact that EY will no longer be considered independent with respect to Clearway, Inc. and the Company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of the Securities and Exchange Commission (the “SEC”) after the closing of the announced definitive agreement pursuant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Inc. has agreed to acquire all of the business and assets of Global Infrastructure Partners (the “Transaction”). The dismissal is effective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earlier of the closing of the Transaction or the filing of the Company’s Quarterly Report on Form 10-Q for the quarter ended June 30, 2024.</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audit reports of EY on the Company’s consolidated financial statements as of and for the fiscal years ended December 31, 2022 and 2023 did not contain an adverse opinion or a disclaimer of opinion, nor were such reports qualified or modified as to uncertainty, audit scope or accounting principles.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2022 and 2023, and the subsequent interim period through the date of this Current Report on Form 8-K (this “Current Report”), there were no (i) disagreements (within the meaning of Item 304(a)(1)(iv) of Regulation S-K and the related instructions under the Securities Exchange Act of 1934, as amended (the “Exchange Act”)) between the Company and EY on any matter of accounting principles or practices, financial statement disclosure or auditing scope or procedure, which, if not resolved to the satisfaction of EY, would have caused EY to make reference to the subject matter of the disagreement in connection with its report on the consolidated financial statements of the Company for the applicable year, or (ii) reportable events (within the meaning of Item 304(a)(1)(v) of Regulation S-K and the related instructions under the Exchange Act).</w:t>
      </w:r>
    </w:p>
    <w:p>
      <w:pPr>
        <w:spacing w:after="0" w:line="18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EY with a copy of the disclosures in this Current Report and has requested that EY provide to the Company a letter addressed to the SEC stating whether EY agrees with the statements made by the Company herein. A copy of EY’s letter, dated May 10, 2024, is filed as Exhibit 16.1 to this Current Report.</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May 10, 2024, the Audit Committee engaged PricewaterhouseCoopers LLP (“PwC”) as the independent registered public accounting firm for Clearway, Inc. and the Company for the fiscal year ending December 31, 2024, effective with EY’s dismissal, upon the earlier of the closing of the Transaction or the filing of the Company’s Quarterly Report on Form 10-Q for the quarter ended June 30, 2024. During the fiscal years ended December 31, 2022 and 2023, and the subsequent interim period through the date of this Current Report, neither the Company, nor anyone on the Company’s behalf, consulted with PwC regarding either (1) the application of accounting principles to a specified transaction, either completed or proposed, or the type of audit opinion that might be rendered on the Company’s consolidated financial statements, and no written report or oral advice was provided by PwC to the Company that PwC concluded was an important factor considered by the Company in reaching a decision as to the accounting, auditing or financial reporting issue; or (2)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66"/>
        </w:trPr>
        <w:tc>
          <w:tcPr>
            <w:tcW w:w="11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ind w:left="45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8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Letter to the Securities and Exchange Commission from Ernst &amp; Young LLP, dated May 10, 2024.</w:t>
            </w:r>
          </w:p>
        </w:tc>
      </w:tr>
      <w:tr>
        <w:trPr>
          <w:trHeight w:val="237"/>
        </w:trPr>
        <w:tc>
          <w:tcPr>
            <w:tcW w:w="420" w:type="dxa"/>
            <w:vAlign w:val="bottom"/>
            <w:gridSpan w:val="2"/>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00" w:type="dxa"/>
            <w:vAlign w:val="bottom"/>
          </w:tcPr>
          <w:p>
            <w:pPr>
              <w:spacing w:after="0"/>
              <w:rPr>
                <w:sz w:val="20"/>
                <w:szCs w:val="20"/>
                <w:color w:val="auto"/>
              </w:rPr>
            </w:pPr>
          </w:p>
        </w:tc>
      </w:tr>
      <w:tr>
        <w:trPr>
          <w:trHeight w:val="675"/>
        </w:trPr>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9405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055" cy="80581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One Commerce Square</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2005 Market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+1 215 448 5000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+1 215 448 5500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ey.com</w:t>
      </w:r>
    </w:p>
    <w:p>
      <w:pPr>
        <w:spacing w:after="0" w:line="620" w:lineRule="exact"/>
        <w:rPr>
          <w:sz w:val="20"/>
          <w:szCs w:val="20"/>
          <w:color w:val="auto"/>
        </w:rPr>
      </w:pPr>
    </w:p>
    <w:p>
      <w:pPr>
        <w:sectPr>
          <w:pgSz w:w="11900" w:h="16838" w:orient="portrait"/>
          <w:cols w:equalWidth="0" w:num="2">
            <w:col w:w="3820" w:space="720"/>
            <w:col w:w="6700"/>
          </w:cols>
          <w:pgMar w:left="320" w:top="108"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ectPr>
          <w:pgSz w:w="11900" w:h="16838" w:orient="portrait"/>
          <w:cols w:equalWidth="0" w:num="1">
            <w:col w:w="11240"/>
          </w:cols>
          <w:pgMar w:left="320" w:top="108" w:right="339" w:bottom="1440" w:gutter="0" w:footer="0" w:header="0"/>
          <w:type w:val="continuous"/>
        </w:sectPr>
      </w:pP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read Item 4.01 of Form 8-K dated May 10, 2024, of Clearway Energy LLC and are in agreement with the statements contained in the first, second and third paragraphs therein. We have no basis to agree or disagree with other statements of the registrant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Ernst &amp; Young Global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2024-05-10T15:34:20Z</dcterms:created>
  <dcterms:modified xsi:type="dcterms:W3CDTF">2024-05-10T15:34:20Z</dcterms:modified>
</cp:coreProperties>
</file>