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3"/>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123"/>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23" w:lineRule="exact"/>
        <w:rPr>
          <w:sz w:val="24"/>
          <w:szCs w:val="24"/>
          <w:color w:val="auto"/>
        </w:rPr>
      </w:pPr>
    </w:p>
    <w:p>
      <w:pPr>
        <w:jc w:val="center"/>
        <w:ind w:right="-123"/>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43" w:lineRule="exact"/>
        <w:rPr>
          <w:sz w:val="24"/>
          <w:szCs w:val="24"/>
          <w:color w:val="auto"/>
        </w:rPr>
      </w:pPr>
    </w:p>
    <w:p>
      <w:pPr>
        <w:ind w:left="4344"/>
        <w:spacing w:after="0"/>
        <w:rPr>
          <w:sz w:val="20"/>
          <w:szCs w:val="20"/>
          <w:color w:val="auto"/>
        </w:rPr>
      </w:pPr>
      <w:r>
        <w:rPr>
          <w:rFonts w:ascii="Times New Roman" w:cs="Times New Roman" w:eastAsia="Times New Roman" w:hAnsi="Times New Roman"/>
          <w:sz w:val="18"/>
          <w:szCs w:val="18"/>
          <w:b w:val="1"/>
          <w:bCs w:val="1"/>
          <w:color w:val="auto"/>
        </w:rPr>
        <w:t>SCHEDULE 13D</w:t>
      </w:r>
    </w:p>
    <w:p>
      <w:pPr>
        <w:spacing w:after="0" w:line="31" w:lineRule="exact"/>
        <w:rPr>
          <w:sz w:val="24"/>
          <w:szCs w:val="24"/>
          <w:color w:val="auto"/>
        </w:rPr>
      </w:pPr>
    </w:p>
    <w:p>
      <w:pPr>
        <w:ind w:left="3324"/>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23"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(Amendment No. 1)*</w:t>
      </w:r>
    </w:p>
    <w:p>
      <w:pPr>
        <w:spacing w:after="0" w:line="178"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32"/>
          <w:szCs w:val="32"/>
          <w:b w:val="1"/>
          <w:bCs w:val="1"/>
          <w:color w:val="auto"/>
        </w:rPr>
        <w:t>CLEARWAY ENERGY, INC.</w:t>
      </w:r>
    </w:p>
    <w:p>
      <w:pPr>
        <w:spacing w:after="0" w:line="282"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(Name of Issuer)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1" w:lineRule="exact"/>
        <w:rPr>
          <w:sz w:val="24"/>
          <w:szCs w:val="24"/>
          <w:color w:val="auto"/>
        </w:rPr>
      </w:pPr>
    </w:p>
    <w:p>
      <w:pPr>
        <w:ind w:left="4104"/>
        <w:spacing w:after="0"/>
        <w:rPr>
          <w:sz w:val="20"/>
          <w:szCs w:val="20"/>
          <w:color w:val="auto"/>
        </w:rPr>
      </w:pPr>
      <w:r>
        <w:rPr>
          <w:rFonts w:ascii="Times New Roman" w:cs="Times New Roman" w:eastAsia="Times New Roman" w:hAnsi="Times New Roman"/>
          <w:sz w:val="18"/>
          <w:szCs w:val="18"/>
          <w:b w:val="1"/>
          <w:bCs w:val="1"/>
          <w:color w:val="auto"/>
        </w:rPr>
        <w:t>Class A common stock</w:t>
      </w:r>
    </w:p>
    <w:p>
      <w:pPr>
        <w:spacing w:after="0" w:line="31" w:lineRule="exact"/>
        <w:rPr>
          <w:sz w:val="24"/>
          <w:szCs w:val="24"/>
          <w:color w:val="auto"/>
        </w:rPr>
      </w:pPr>
    </w:p>
    <w:p>
      <w:pPr>
        <w:ind w:left="4104"/>
        <w:spacing w:after="0"/>
        <w:rPr>
          <w:sz w:val="20"/>
          <w:szCs w:val="20"/>
          <w:color w:val="auto"/>
        </w:rPr>
      </w:pPr>
      <w:r>
        <w:rPr>
          <w:rFonts w:ascii="Times New Roman" w:cs="Times New Roman" w:eastAsia="Times New Roman" w:hAnsi="Times New Roman"/>
          <w:sz w:val="18"/>
          <w:szCs w:val="18"/>
          <w:b w:val="1"/>
          <w:bCs w:val="1"/>
          <w:color w:val="auto"/>
        </w:rPr>
        <w:t>Class C common stock</w:t>
      </w:r>
    </w:p>
    <w:p>
      <w:pPr>
        <w:spacing w:after="0" w:line="220"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1" w:lineRule="exact"/>
        <w:rPr>
          <w:sz w:val="24"/>
          <w:szCs w:val="24"/>
          <w:color w:val="auto"/>
        </w:rPr>
      </w:pPr>
    </w:p>
    <w:p>
      <w:pPr>
        <w:ind w:left="3544"/>
        <w:spacing w:after="0"/>
        <w:rPr>
          <w:sz w:val="20"/>
          <w:szCs w:val="20"/>
          <w:color w:val="auto"/>
        </w:rPr>
      </w:pPr>
      <w:r>
        <w:rPr>
          <w:rFonts w:ascii="Times New Roman" w:cs="Times New Roman" w:eastAsia="Times New Roman" w:hAnsi="Times New Roman"/>
          <w:sz w:val="18"/>
          <w:szCs w:val="18"/>
          <w:b w:val="1"/>
          <w:bCs w:val="1"/>
          <w:color w:val="auto"/>
        </w:rPr>
        <w:t>18539 C 105 (Class A common stock)</w:t>
      </w:r>
    </w:p>
    <w:p>
      <w:pPr>
        <w:spacing w:after="0" w:line="31" w:lineRule="exact"/>
        <w:rPr>
          <w:sz w:val="24"/>
          <w:szCs w:val="24"/>
          <w:color w:val="auto"/>
        </w:rPr>
      </w:pPr>
    </w:p>
    <w:p>
      <w:pPr>
        <w:ind w:left="3544"/>
        <w:spacing w:after="0"/>
        <w:rPr>
          <w:sz w:val="20"/>
          <w:szCs w:val="20"/>
          <w:color w:val="auto"/>
        </w:rPr>
      </w:pPr>
      <w:r>
        <w:rPr>
          <w:rFonts w:ascii="Times New Roman" w:cs="Times New Roman" w:eastAsia="Times New Roman" w:hAnsi="Times New Roman"/>
          <w:sz w:val="18"/>
          <w:szCs w:val="18"/>
          <w:b w:val="1"/>
          <w:bCs w:val="1"/>
          <w:color w:val="auto"/>
        </w:rPr>
        <w:t>18539 C 204 (Class C common stock)</w:t>
      </w:r>
    </w:p>
    <w:p>
      <w:pPr>
        <w:spacing w:after="0" w:line="220"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1"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Global Infrastructure Management, LLC</w:t>
      </w:r>
    </w:p>
    <w:p>
      <w:pPr>
        <w:spacing w:after="0" w:line="31"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Attention: Julie Ashworth</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1345 Avenue of the Americas, 30th Floor,</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New York, New York 10105</w:t>
      </w:r>
    </w:p>
    <w:p>
      <w:pPr>
        <w:spacing w:after="0" w:line="9"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(212) 315-8100</w:t>
      </w:r>
    </w:p>
    <w:p>
      <w:pPr>
        <w:spacing w:after="0" w:line="234"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(Name, Address and Telephone Number of Person Authorized to Receive Notices and Communications)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1"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b w:val="1"/>
          <w:bCs w:val="1"/>
          <w:color w:val="auto"/>
        </w:rPr>
        <w:t>May 24, 2022</w:t>
      </w:r>
    </w:p>
    <w:p>
      <w:pPr>
        <w:spacing w:after="0" w:line="256" w:lineRule="exact"/>
        <w:rPr>
          <w:sz w:val="24"/>
          <w:szCs w:val="24"/>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-127635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5" w:lineRule="exact"/>
        <w:rPr>
          <w:sz w:val="24"/>
          <w:szCs w:val="24"/>
          <w:color w:val="auto"/>
        </w:rPr>
      </w:pPr>
    </w:p>
    <w:p>
      <w:pPr>
        <w:ind w:left="4"/>
        <w:spacing w:after="0" w:line="282" w:lineRule="auto"/>
        <w:rPr>
          <w:sz w:val="20"/>
          <w:szCs w:val="20"/>
          <w:color w:val="auto"/>
        </w:rPr>
      </w:pPr>
      <w:r>
        <w:rPr>
          <w:rFonts w:ascii="Times New Roman" w:cs="Times New Roman" w:eastAsia="Times New Roman" w:hAnsi="Times New Roman"/>
          <w:sz w:val="18"/>
          <w:szCs w:val="18"/>
          <w:color w:val="auto"/>
        </w:rPr>
        <w:t>If the filing person has previously filed a statement on Schedule 13G to report the acquisition that is the subject of this Schedule 13D, and is filing this schedule because of Rule 13d-1(e), Rule 13d-1(f) or Rule 13d-1(g), check the following box. o</w:t>
      </w:r>
    </w:p>
    <w:p>
      <w:pPr>
        <w:spacing w:after="0" w:line="158" w:lineRule="exact"/>
        <w:rPr>
          <w:sz w:val="24"/>
          <w:szCs w:val="24"/>
          <w:color w:val="auto"/>
        </w:rPr>
      </w:pPr>
    </w:p>
    <w:p>
      <w:pPr>
        <w:ind w:left="4" w:right="20"/>
        <w:spacing w:after="0" w:line="286" w:lineRule="auto"/>
        <w:rPr>
          <w:sz w:val="20"/>
          <w:szCs w:val="20"/>
          <w:color w:val="auto"/>
        </w:rPr>
      </w:pPr>
      <w:r>
        <w:rPr>
          <w:rFonts w:ascii="Times New Roman" w:cs="Times New Roman" w:eastAsia="Times New Roman" w:hAnsi="Times New Roman"/>
          <w:sz w:val="18"/>
          <w:szCs w:val="18"/>
          <w:b w:val="1"/>
          <w:bCs w:val="1"/>
          <w:color w:val="auto"/>
        </w:rPr>
        <w:t>Note</w:t>
      </w:r>
      <w:r>
        <w:rPr>
          <w:rFonts w:ascii="Times New Roman" w:cs="Times New Roman" w:eastAsia="Times New Roman" w:hAnsi="Times New Roman"/>
          <w:sz w:val="18"/>
          <w:szCs w:val="18"/>
          <w:color w:val="auto"/>
        </w:rPr>
        <w:t>: Schedules filed in paper format shall include a signed original and five copies of the schedule, including all exhibits. See Rule 13d-7(b) for other parties to whom copies are to be sent.</w:t>
      </w:r>
    </w:p>
    <w:p>
      <w:pPr>
        <w:spacing w:after="0" w:line="159" w:lineRule="exact"/>
        <w:rPr>
          <w:sz w:val="24"/>
          <w:szCs w:val="24"/>
          <w:color w:val="auto"/>
        </w:rPr>
      </w:pPr>
    </w:p>
    <w:p>
      <w:pPr>
        <w:ind w:left="4" w:right="60" w:hanging="4"/>
        <w:spacing w:after="0" w:line="282" w:lineRule="auto"/>
        <w:tabs>
          <w:tab w:leader="none" w:pos="139"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ind w:left="4" w:right="240"/>
        <w:spacing w:after="0" w:line="266" w:lineRule="auto"/>
        <w:rPr>
          <w:sz w:val="20"/>
          <w:szCs w:val="20"/>
          <w:color w:val="auto"/>
        </w:rPr>
      </w:pPr>
      <w:r>
        <w:rPr>
          <w:rFonts w:ascii="Times New Roman" w:cs="Times New Roman" w:eastAsia="Times New Roman" w:hAnsi="Times New Roman"/>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-410845</wp:posOffset>
            </wp:positionH>
            <wp:positionV relativeFrom="paragraph">
              <wp:posOffset>123190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-410845</wp:posOffset>
            </wp:positionH>
            <wp:positionV relativeFrom="paragraph">
              <wp:posOffset>149225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-410845</wp:posOffset>
            </wp:positionH>
            <wp:positionV relativeFrom="paragraph">
              <wp:posOffset>603250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924"/>
          </w:cols>
          <w:pgMar w:left="976" w:top="779" w:right="9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hanging="463"/>
        <w:spacing w:after="0"/>
        <w:tabs>
          <w:tab w:leader="none" w:pos="7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Global Infrastructure Investors III,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197600" cy="8890"/>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42,398,785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34.1%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485775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right="8160" w:hanging="463"/>
        <w:spacing w:after="0" w:line="312" w:lineRule="auto"/>
        <w:tabs>
          <w:tab w:leader="none" w:pos="70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Names of Reporting Persons Global Infrastructure GP III,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6350</wp:posOffset>
            </wp:positionV>
            <wp:extent cx="669480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63" w:lineRule="exact"/>
        <w:rPr>
          <w:sz w:val="20"/>
          <w:szCs w:val="20"/>
          <w:color w:val="auto"/>
        </w:rPr>
      </w:pPr>
    </w:p>
    <w:p>
      <w:pPr>
        <w:ind w:left="700" w:hanging="463"/>
        <w:spacing w:after="0"/>
        <w:tabs>
          <w:tab w:leader="none" w:pos="7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Cayman Islands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42,398,785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34.1%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485775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hanging="463"/>
        <w:spacing w:after="0"/>
        <w:tabs>
          <w:tab w:leader="none" w:pos="7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GIP III Zephyr Acquisition Partners,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197600" cy="8890"/>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42,398,785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34.1%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485775</wp:posOffset>
            </wp:positionV>
            <wp:extent cx="713232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8"/>
        </w:trPr>
        <w:tc>
          <w:tcPr>
            <w:tcW w:w="39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CUSIP: 18539C105, 18539C204</w:t>
            </w:r>
          </w:p>
        </w:tc>
        <w:tc>
          <w:tcPr>
            <w:tcW w:w="7280" w:type="dxa"/>
            <w:vAlign w:val="bottom"/>
          </w:tcPr>
          <w:p>
            <w:pPr>
              <w:ind w:left="1520"/>
              <w:spacing w:after="0"/>
              <w:rPr>
                <w:sz w:val="20"/>
                <w:szCs w:val="20"/>
                <w:color w:val="auto"/>
              </w:rPr>
            </w:pPr>
            <w:r>
              <w:rPr>
                <w:rFonts w:ascii="Times New Roman" w:cs="Times New Roman" w:eastAsia="Times New Roman" w:hAnsi="Times New Roman"/>
                <w:sz w:val="18"/>
                <w:szCs w:val="18"/>
                <w:b w:val="1"/>
                <w:bCs w:val="1"/>
                <w:color w:val="auto"/>
              </w:rPr>
              <w:t>13D</w:t>
            </w:r>
          </w:p>
        </w:tc>
      </w:tr>
      <w:tr>
        <w:trPr>
          <w:trHeight w:val="68"/>
        </w:trPr>
        <w:tc>
          <w:tcPr>
            <w:tcW w:w="3960" w:type="dxa"/>
            <w:vAlign w:val="bottom"/>
            <w:tcBorders>
              <w:bottom w:val="single" w:sz="8" w:color="auto"/>
            </w:tcBorders>
          </w:tcPr>
          <w:p>
            <w:pPr>
              <w:spacing w:after="0"/>
              <w:rPr>
                <w:sz w:val="5"/>
                <w:szCs w:val="5"/>
                <w:color w:val="auto"/>
              </w:rPr>
            </w:pPr>
          </w:p>
        </w:tc>
        <w:tc>
          <w:tcPr>
            <w:tcW w:w="7280" w:type="dxa"/>
            <w:vAlign w:val="bottom"/>
            <w:tcBorders>
              <w:bottom w:val="single" w:sz="8" w:color="auto"/>
            </w:tcBorders>
          </w:tcPr>
          <w:p>
            <w:pPr>
              <w:spacing w:after="0"/>
              <w:rPr>
                <w:sz w:val="5"/>
                <w:szCs w:val="5"/>
                <w:color w:val="auto"/>
              </w:rPr>
            </w:pPr>
          </w:p>
        </w:tc>
      </w:tr>
    </w:tbl>
    <w:p>
      <w:pPr>
        <w:spacing w:after="0" w:line="373" w:lineRule="exact"/>
        <w:rPr>
          <w:sz w:val="20"/>
          <w:szCs w:val="20"/>
          <w:color w:val="auto"/>
        </w:rPr>
      </w:pPr>
    </w:p>
    <w:p>
      <w:pPr>
        <w:ind w:left="700" w:right="8400" w:hanging="463"/>
        <w:spacing w:after="0" w:line="312" w:lineRule="auto"/>
        <w:tabs>
          <w:tab w:leader="none" w:pos="700"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Names of Reporting Persons Clearway Energy Group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6350</wp:posOffset>
            </wp:positionV>
            <wp:extent cx="669480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63" w:lineRule="exact"/>
        <w:rPr>
          <w:sz w:val="20"/>
          <w:szCs w:val="20"/>
          <w:color w:val="auto"/>
        </w:rPr>
      </w:pPr>
    </w:p>
    <w:p>
      <w:pPr>
        <w:ind w:left="700" w:hanging="463"/>
        <w:spacing w:after="0"/>
        <w:tabs>
          <w:tab w:leader="none" w:pos="7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the Appropriate Box if a Member of a Group</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144" w:lineRule="exact"/>
        <w:rPr>
          <w:rFonts w:ascii="Times New Roman" w:cs="Times New Roman" w:eastAsia="Times New Roman" w:hAnsi="Times New Roman"/>
          <w:sz w:val="18"/>
          <w:szCs w:val="18"/>
          <w:color w:val="auto"/>
        </w:rPr>
      </w:pPr>
    </w:p>
    <w:p>
      <w:pPr>
        <w:ind w:left="1540" w:hanging="785"/>
        <w:spacing w:after="0"/>
        <w:tabs>
          <w:tab w:leader="none" w:pos="154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51435</wp:posOffset>
            </wp:positionV>
            <wp:extent cx="619760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197600" cy="8255"/>
                    </a:xfrm>
                    <a:prstGeom prst="rect">
                      <a:avLst/>
                    </a:prstGeom>
                    <a:noFill/>
                  </pic:spPr>
                </pic:pic>
              </a:graphicData>
            </a:graphic>
          </wp:anchor>
        </w:drawing>
        <w:drawing>
          <wp:anchor simplePos="0" relativeHeight="251657728" behindDoc="1" locked="0" layoutInCell="0" allowOverlap="1">
            <wp:simplePos x="0" y="0"/>
            <wp:positionH relativeFrom="column">
              <wp:posOffset>939165</wp:posOffset>
            </wp:positionH>
            <wp:positionV relativeFrom="paragraph">
              <wp:posOffset>-170815</wp:posOffset>
            </wp:positionV>
            <wp:extent cx="619760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19760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700" w:hanging="463"/>
        <w:spacing w:after="0"/>
        <w:tabs>
          <w:tab w:leader="none" w:pos="7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hanging="463"/>
        <w:spacing w:after="0"/>
        <w:tabs>
          <w:tab w:leader="none" w:pos="7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Source of Funds (See Instructions)</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ind w:left="700" w:hanging="463"/>
        <w:spacing w:after="0"/>
        <w:tabs>
          <w:tab w:leader="none" w:pos="7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Disclosure of Legal Proceedings Is Required Pursuant to Items 2(d) or 2(e)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60325</wp:posOffset>
            </wp:positionV>
            <wp:extent cx="669480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694805" cy="8255"/>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700" w:right="7920" w:hanging="463"/>
        <w:spacing w:after="0" w:line="282" w:lineRule="auto"/>
        <w:tabs>
          <w:tab w:leader="none" w:pos="7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19685</wp:posOffset>
            </wp:positionV>
            <wp:extent cx="669480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694805" cy="8890"/>
                    </a:xfrm>
                    <a:prstGeom prst="rect">
                      <a:avLst/>
                    </a:prstGeom>
                    <a:noFill/>
                  </pic:spPr>
                </pic:pic>
              </a:graphicData>
            </a:graphic>
          </wp:anchor>
        </w:drawing>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18"/>
                <w:szCs w:val="18"/>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7</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7"/>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Number of</w:t>
            </w: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5"/>
        </w:trPr>
        <w:tc>
          <w:tcPr>
            <w:tcW w:w="960" w:type="dxa"/>
            <w:vAlign w:val="bottom"/>
            <w:vMerge w:val="continue"/>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8</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95"/>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Shares</w:t>
            </w:r>
          </w:p>
        </w:tc>
        <w:tc>
          <w:tcPr>
            <w:tcW w:w="420" w:type="dxa"/>
            <w:vAlign w:val="bottom"/>
            <w:vMerge w:val="continue"/>
          </w:tcPr>
          <w:p>
            <w:pPr>
              <w:spacing w:after="0"/>
              <w:rPr>
                <w:sz w:val="8"/>
                <w:szCs w:val="8"/>
                <w:color w:val="auto"/>
              </w:rPr>
            </w:pPr>
          </w:p>
        </w:tc>
        <w:tc>
          <w:tcPr>
            <w:tcW w:w="9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9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113"/>
        </w:trPr>
        <w:tc>
          <w:tcPr>
            <w:tcW w:w="960" w:type="dxa"/>
            <w:vAlign w:val="bottom"/>
            <w:vMerge w:val="restart"/>
          </w:tcPr>
          <w:p>
            <w:pPr>
              <w:spacing w:after="0" w:line="160" w:lineRule="exact"/>
              <w:rPr>
                <w:sz w:val="20"/>
                <w:szCs w:val="20"/>
                <w:color w:val="auto"/>
              </w:rPr>
            </w:pPr>
            <w:r>
              <w:rPr>
                <w:rFonts w:ascii="Times New Roman" w:cs="Times New Roman" w:eastAsia="Times New Roman" w:hAnsi="Times New Roman"/>
                <w:sz w:val="18"/>
                <w:szCs w:val="18"/>
                <w:color w:val="auto"/>
              </w:rPr>
              <w:t>Beneficially</w:t>
            </w:r>
          </w:p>
        </w:tc>
        <w:tc>
          <w:tcPr>
            <w:tcW w:w="420" w:type="dxa"/>
            <w:vAlign w:val="bottom"/>
          </w:tcPr>
          <w:p>
            <w:pPr>
              <w:spacing w:after="0"/>
              <w:rPr>
                <w:sz w:val="9"/>
                <w:szCs w:val="9"/>
                <w:color w:val="auto"/>
              </w:rPr>
            </w:pPr>
          </w:p>
        </w:tc>
        <w:tc>
          <w:tcPr>
            <w:tcW w:w="9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Owned by</w:t>
            </w: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8"/>
                <w:szCs w:val="18"/>
                <w:color w:val="auto"/>
              </w:rPr>
              <w:t>Each</w:t>
            </w: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9</w:t>
            </w: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21"/>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Reporting</w:t>
            </w:r>
          </w:p>
        </w:tc>
        <w:tc>
          <w:tcPr>
            <w:tcW w:w="420" w:type="dxa"/>
            <w:vAlign w:val="bottom"/>
            <w:vMerge w:val="continue"/>
          </w:tcPr>
          <w:p>
            <w:pPr>
              <w:spacing w:after="0"/>
              <w:rPr>
                <w:sz w:val="10"/>
                <w:szCs w:val="10"/>
                <w:color w:val="auto"/>
              </w:rPr>
            </w:pPr>
          </w:p>
        </w:tc>
        <w:tc>
          <w:tcPr>
            <w:tcW w:w="98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9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98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40"/>
        </w:trPr>
        <w:tc>
          <w:tcPr>
            <w:tcW w:w="96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Person With</w:t>
            </w:r>
          </w:p>
        </w:tc>
        <w:tc>
          <w:tcPr>
            <w:tcW w:w="420" w:type="dxa"/>
            <w:vAlign w:val="bottom"/>
          </w:tcPr>
          <w:p>
            <w:pPr>
              <w:spacing w:after="0"/>
              <w:rPr>
                <w:sz w:val="12"/>
                <w:szCs w:val="12"/>
                <w:color w:val="auto"/>
              </w:rPr>
            </w:pPr>
          </w:p>
        </w:tc>
        <w:tc>
          <w:tcPr>
            <w:tcW w:w="98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96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69"/>
        </w:trPr>
        <w:tc>
          <w:tcPr>
            <w:tcW w:w="960" w:type="dxa"/>
            <w:vAlign w:val="bottom"/>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w:t>
            </w: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234"/>
        </w:trPr>
        <w:tc>
          <w:tcPr>
            <w:tcW w:w="9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42,760,591 shares of Class A common stock; 42,398,785 shares of Class C common stock</w:t>
            </w:r>
          </w:p>
        </w:tc>
        <w:tc>
          <w:tcPr>
            <w:tcW w:w="0" w:type="dxa"/>
            <w:vAlign w:val="bottom"/>
          </w:tcPr>
          <w:p>
            <w:pPr>
              <w:spacing w:after="0"/>
              <w:rPr>
                <w:sz w:val="1"/>
                <w:szCs w:val="1"/>
                <w:color w:val="auto"/>
              </w:rPr>
            </w:pPr>
          </w:p>
        </w:tc>
      </w:tr>
      <w:tr>
        <w:trPr>
          <w:trHeight w:val="67"/>
        </w:trPr>
        <w:tc>
          <w:tcPr>
            <w:tcW w:w="960" w:type="dxa"/>
            <w:vAlign w:val="bottom"/>
          </w:tcPr>
          <w:p>
            <w:pPr>
              <w:spacing w:after="0"/>
              <w:rPr>
                <w:sz w:val="5"/>
                <w:szCs w:val="5"/>
                <w:color w:val="auto"/>
              </w:rPr>
            </w:pPr>
          </w:p>
        </w:tc>
        <w:tc>
          <w:tcPr>
            <w:tcW w:w="420" w:type="dxa"/>
            <w:vAlign w:val="bottom"/>
          </w:tcPr>
          <w:p>
            <w:pPr>
              <w:spacing w:after="0"/>
              <w:rPr>
                <w:sz w:val="5"/>
                <w:szCs w:val="5"/>
                <w:color w:val="auto"/>
              </w:rPr>
            </w:pPr>
          </w:p>
        </w:tc>
        <w:tc>
          <w:tcPr>
            <w:tcW w:w="9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60" w:lineRule="exact"/>
        <w:rPr>
          <w:sz w:val="20"/>
          <w:szCs w:val="20"/>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Aggregate Amount Beneficially Owned by Each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42,760,591 shares of Class A common stock; 42,398,785 shares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Check if the Aggregate Amount in Row (11) Excludes Certain Shares o</w:t>
      </w:r>
    </w:p>
    <w:p>
      <w:pPr>
        <w:spacing w:after="0" w:line="200" w:lineRule="exact"/>
        <w:rPr>
          <w:rFonts w:ascii="Times New Roman" w:cs="Times New Roman" w:eastAsia="Times New Roman" w:hAnsi="Times New Roman"/>
          <w:sz w:val="18"/>
          <w:szCs w:val="18"/>
          <w:color w:val="auto"/>
        </w:rPr>
      </w:pPr>
    </w:p>
    <w:p>
      <w:pPr>
        <w:spacing w:after="0" w:line="268"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Represented by Amount in Row (11)</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55.3% of Class A common stock; 34.1% of Class C common stock</w:t>
      </w:r>
    </w:p>
    <w:p>
      <w:pPr>
        <w:spacing w:after="0" w:line="200" w:lineRule="exact"/>
        <w:rPr>
          <w:rFonts w:ascii="Times New Roman" w:cs="Times New Roman" w:eastAsia="Times New Roman" w:hAnsi="Times New Roman"/>
          <w:sz w:val="18"/>
          <w:szCs w:val="18"/>
          <w:color w:val="auto"/>
        </w:rPr>
      </w:pPr>
    </w:p>
    <w:p>
      <w:pPr>
        <w:spacing w:after="0" w:line="249" w:lineRule="exact"/>
        <w:rPr>
          <w:rFonts w:ascii="Times New Roman" w:cs="Times New Roman" w:eastAsia="Times New Roman" w:hAnsi="Times New Roman"/>
          <w:sz w:val="18"/>
          <w:szCs w:val="18"/>
          <w:color w:val="auto"/>
        </w:rPr>
      </w:pPr>
    </w:p>
    <w:p>
      <w:pPr>
        <w:ind w:left="700" w:hanging="463"/>
        <w:spacing w:after="0"/>
        <w:tabs>
          <w:tab w:leader="none" w:pos="7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Type of Reporting Person</w:t>
      </w:r>
    </w:p>
    <w:p>
      <w:pPr>
        <w:spacing w:after="0" w:line="27"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wp:posOffset>
            </wp:positionH>
            <wp:positionV relativeFrom="paragraph">
              <wp:posOffset>48895</wp:posOffset>
            </wp:positionV>
            <wp:extent cx="669480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-516255</wp:posOffset>
            </wp:positionV>
            <wp:extent cx="669480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-1082040</wp:posOffset>
            </wp:positionV>
            <wp:extent cx="669480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69480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wp:posOffset>
            </wp:positionH>
            <wp:positionV relativeFrom="paragraph">
              <wp:posOffset>-1510665</wp:posOffset>
            </wp:positionV>
            <wp:extent cx="669480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69480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485775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bookmarkStart w:id="5" w:name="page6"/>
    <w:bookmarkEnd w:id="5"/>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This Amendment No. 1 (the “</w:t>
      </w: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to Schedule 13D amends and supplements the statement on Schedule 13D originally filed with the United States Securities and Exchange Commission on September 10, 2018 (the “</w:t>
      </w:r>
      <w:r>
        <w:rPr>
          <w:rFonts w:ascii="Times New Roman" w:cs="Times New Roman" w:eastAsia="Times New Roman" w:hAnsi="Times New Roman"/>
          <w:sz w:val="18"/>
          <w:szCs w:val="18"/>
          <w:u w:val="single" w:color="auto"/>
          <w:color w:val="auto"/>
        </w:rPr>
        <w:t>Original Schedule 13D</w:t>
      </w:r>
      <w:r>
        <w:rPr>
          <w:rFonts w:ascii="Times New Roman" w:cs="Times New Roman" w:eastAsia="Times New Roman" w:hAnsi="Times New Roman"/>
          <w:sz w:val="18"/>
          <w:szCs w:val="18"/>
          <w:color w:val="auto"/>
        </w:rPr>
        <w:t>”, and as amended, the “</w:t>
      </w:r>
      <w:r>
        <w:rPr>
          <w:rFonts w:ascii="Times New Roman" w:cs="Times New Roman" w:eastAsia="Times New Roman" w:hAnsi="Times New Roman"/>
          <w:sz w:val="18"/>
          <w:szCs w:val="18"/>
          <w:u w:val="single" w:color="auto"/>
          <w:color w:val="auto"/>
        </w:rPr>
        <w:t>Schedule 13D</w:t>
      </w:r>
      <w:r>
        <w:rPr>
          <w:rFonts w:ascii="Times New Roman" w:cs="Times New Roman" w:eastAsia="Times New Roman" w:hAnsi="Times New Roman"/>
          <w:sz w:val="18"/>
          <w:szCs w:val="18"/>
          <w:color w:val="auto"/>
        </w:rPr>
        <w:t>”) related to the Class A common stock (“</w:t>
      </w:r>
      <w:r>
        <w:rPr>
          <w:rFonts w:ascii="Times New Roman" w:cs="Times New Roman" w:eastAsia="Times New Roman" w:hAnsi="Times New Roman"/>
          <w:sz w:val="18"/>
          <w:szCs w:val="18"/>
          <w:u w:val="single" w:color="auto"/>
          <w:color w:val="auto"/>
        </w:rPr>
        <w:t>Class A Common Stock</w:t>
      </w:r>
      <w:r>
        <w:rPr>
          <w:rFonts w:ascii="Times New Roman" w:cs="Times New Roman" w:eastAsia="Times New Roman" w:hAnsi="Times New Roman"/>
          <w:sz w:val="18"/>
          <w:szCs w:val="18"/>
          <w:color w:val="auto"/>
        </w:rPr>
        <w:t>”) and Class C common stock (“</w:t>
      </w:r>
      <w:r>
        <w:rPr>
          <w:rFonts w:ascii="Times New Roman" w:cs="Times New Roman" w:eastAsia="Times New Roman" w:hAnsi="Times New Roman"/>
          <w:sz w:val="18"/>
          <w:szCs w:val="18"/>
          <w:u w:val="single" w:color="auto"/>
          <w:color w:val="auto"/>
        </w:rPr>
        <w:t>Class C Common Stock</w:t>
      </w:r>
      <w:r>
        <w:rPr>
          <w:rFonts w:ascii="Times New Roman" w:cs="Times New Roman" w:eastAsia="Times New Roman" w:hAnsi="Times New Roman"/>
          <w:sz w:val="18"/>
          <w:szCs w:val="18"/>
          <w:color w:val="auto"/>
        </w:rPr>
        <w:t>”) of Clearway Energy, Inc., a Delaware corporation (the “</w:t>
      </w:r>
      <w:r>
        <w:rPr>
          <w:rFonts w:ascii="Times New Roman" w:cs="Times New Roman" w:eastAsia="Times New Roman" w:hAnsi="Times New Roman"/>
          <w:sz w:val="18"/>
          <w:szCs w:val="18"/>
          <w:u w:val="single" w:color="auto"/>
          <w:color w:val="auto"/>
        </w:rPr>
        <w:t>Issuer</w:t>
      </w:r>
      <w:r>
        <w:rPr>
          <w:rFonts w:ascii="Times New Roman" w:cs="Times New Roman" w:eastAsia="Times New Roman" w:hAnsi="Times New Roman"/>
          <w:sz w:val="18"/>
          <w:szCs w:val="18"/>
          <w:color w:val="auto"/>
        </w:rPr>
        <w:t>”) whose principal executive offices are located at 300 Carnegie Center, Princeton, New Jersey 08540.</w:t>
      </w:r>
    </w:p>
    <w:p>
      <w:pPr>
        <w:spacing w:after="0" w:line="180" w:lineRule="exact"/>
        <w:rPr>
          <w:sz w:val="20"/>
          <w:szCs w:val="20"/>
          <w:color w:val="auto"/>
        </w:rPr>
      </w:pPr>
    </w:p>
    <w:p>
      <w:pPr>
        <w:jc w:val="both"/>
        <w:ind w:right="80" w:firstLine="648"/>
        <w:spacing w:after="0" w:line="266" w:lineRule="auto"/>
        <w:rPr>
          <w:sz w:val="20"/>
          <w:szCs w:val="20"/>
          <w:color w:val="auto"/>
        </w:rPr>
      </w:pPr>
      <w:r>
        <w:rPr>
          <w:rFonts w:ascii="Times New Roman" w:cs="Times New Roman" w:eastAsia="Times New Roman" w:hAnsi="Times New Roman"/>
          <w:sz w:val="18"/>
          <w:szCs w:val="18"/>
          <w:color w:val="auto"/>
        </w:rPr>
        <w:t>The Items below amend the information disclosed under the corresponding Items of the Schedule 13D as described below. Except as specifically provided herein, this Amendment does not modify any of the information previously reported in the Schedule 13D. Capitalized terms used but not defined herein shall have the meanings attributed to them in the Schedule 13D.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Identity and Background.</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2 of the Original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in amended and restated Annex A hereto is incorporated by reference in this amended Item 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Purpose of Transaction.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4 of the Original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or incorporated by reference in Item 6 of this Schedule 13D is incorporated by reference in its entirety into this Item 4.</w:t>
      </w:r>
    </w:p>
    <w:p>
      <w:pPr>
        <w:spacing w:after="0" w:line="22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On May 24, 2022, GIP III Zephyr Acquisition Holdings, L.P. agreed to sell fifty percent (50%) of the equity interests in GIP III Zephyr Holdings, LLC, which in turn owns all of the equity interests in GIP III Zephyr Acquisition Partners, L.P. and Clearway Energy Group (each of which indirectly or directly beneficially owns shares of Class A Common Stock and Class C Common Stock of the Issuer), to TotalEnergies Renewables USA, LLC, an indirect subsidiary of TotalEnergies SE, (the “Transaction”). The closing of the Transaction is subject to customary but material contingencies, including without limitation receipt of certain regulatory approvals. Following the closing of the Transaction, GIP III Zephyr Acquisition Holdings, L.P. and TotalEnergies Renewables USA, LLC are each expected to indirectly own 50.00% of the equity interests in Clearway Energy Group. No shares of Class A Common Stock and Class C Common Stock are being directly transferred pursuant to the Transaction.</w:t>
      </w:r>
    </w:p>
    <w:p>
      <w:pPr>
        <w:spacing w:after="0" w:line="189" w:lineRule="exact"/>
        <w:rPr>
          <w:sz w:val="20"/>
          <w:szCs w:val="20"/>
          <w:color w:val="auto"/>
        </w:rPr>
      </w:pPr>
    </w:p>
    <w:p>
      <w:pPr>
        <w:ind w:right="220" w:firstLine="648"/>
        <w:spacing w:after="0" w:line="254" w:lineRule="auto"/>
        <w:rPr>
          <w:sz w:val="20"/>
          <w:szCs w:val="20"/>
          <w:color w:val="auto"/>
        </w:rPr>
      </w:pPr>
      <w:r>
        <w:rPr>
          <w:rFonts w:ascii="Times New Roman" w:cs="Times New Roman" w:eastAsia="Times New Roman" w:hAnsi="Times New Roman"/>
          <w:sz w:val="18"/>
          <w:szCs w:val="18"/>
          <w:color w:val="auto"/>
        </w:rPr>
        <w:t>Following the closing of the Transaction, by virtue of GIP III Zephyr Acquisition Holdings, L.P.’s and TotalEnergies Renewables USA, LLC’s respective governance rights over GIP III Zephyr Holdings, LLC, GIP III Zephyr Acquisition Holdings, L.P. and TotalEnergies Renewables USA, LLC may be deemed to share beneficial ownership of all of the equity interests in shares of Class A Common Stock and Class C Common Stock that are now beneficially owned by Clearway Energy Group LLC. Following the closing of the Transaction, GIP III Zephyr Acquisition Holdings, L.P. and TotalEnergies Renewables USA, LLC are also each contemplated to have certain other governance rights related to Clearway Energy Group and its subsidiaries, including without limitation with respect to the exercise of director nomination rights held by Clearway Energy Group with respect to the board of the directors of the Issuer. The Transaction is expected to close by year end 2022, subject to customary conditions but material contingencies, including without limitation, the receipt of certain regulatory and other approvals. However, there can be no assurance that the Transaction closing will actually occur, or occur by any particular date or on the currently anticipated terms.</w:t>
      </w:r>
    </w:p>
    <w:p>
      <w:pPr>
        <w:spacing w:after="0" w:line="188"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As of the date hereof, Nathaniel Anschuetz, a Principal at GIP and member of the Board of Directors of Clearway Energy Group, serves on the Board of Directors of the Issuer. Jonathan Bram, a Founding Partner of GIP and member of the Board of Directors of Clearway Energy Group, serves as the Chairman of the Board of Directors of the Issuer. Bruce MacLennan, a Partner at GIP and member of the Board of Directors of Clearway Energy Group, serves on the Board of Directors of the Issuer.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0" w:right="37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t>Item 5. Interest in Securities of the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5 of the Original Schedule 13D is hereby amended and restated as follows: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 (b)</w:t>
      </w:r>
    </w:p>
    <w:p>
      <w:pPr>
        <w:spacing w:after="0" w:line="22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aggregate number and percentage of shares of Class A Common Stock and Class C Common Stock beneficially owned by each Reporting Person and, for each Reporting Person, the number of shares as to which there is sole power to vote or to direct the vote, shared power to vote or to direct the vote, sole power to dispose or to direct the disposition, or shared power to dispose or to direct the disposition are set forth on rows 7 through 11 and row 13 of the cover pages of the Schedule 13D and are incorporated herein by reference.</w:t>
      </w:r>
    </w:p>
    <w:p>
      <w:pPr>
        <w:spacing w:after="0" w:line="247"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Calculations of the percentage of shares of stock beneficially owned are based on 34,599,645 shares of Class A Common Stock and 81,944,239 shares of Class C Common Stock, respectively, outstanding as of April 29, 2022, as reported in the Issuer’s Quarterly Report on Form 10-Q filed with the Securities and Exchange Commission on May 5, 2022, and take into account the number of Class B Units and Class D Units beneficially owned by the Reporting Persons and convertible into shares of Class A Common Stock and Class C Common Stock, respectively, as applicable.</w:t>
      </w:r>
    </w:p>
    <w:p>
      <w:pPr>
        <w:spacing w:after="0" w:line="180"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Clearway Energy Group is the record holder of 21,841 shares of Class A Common Stock, 42,738,750 Class B Units, 62,035 shares of Class C Common Stock and 42,336,750 Class D Units. Pursuant to the terms of the Exchange Agreement, each Class B Unit is exchangeable at any time for shares of Class A Common Stock, and each Class D Unit is exchangeable at any time for shares of Class C Common Stock, in each case, on a one-for-one basis, subject to equitable adjustments for stock splits, stock dividends and reclassifications.</w:t>
      </w:r>
    </w:p>
    <w:p>
      <w:pPr>
        <w:spacing w:after="0" w:line="180" w:lineRule="exact"/>
        <w:rPr>
          <w:sz w:val="20"/>
          <w:szCs w:val="20"/>
          <w:color w:val="auto"/>
        </w:rPr>
      </w:pPr>
    </w:p>
    <w:p>
      <w:pPr>
        <w:ind w:right="140" w:firstLine="648"/>
        <w:spacing w:after="0" w:line="255" w:lineRule="auto"/>
        <w:rPr>
          <w:sz w:val="20"/>
          <w:szCs w:val="20"/>
          <w:color w:val="auto"/>
        </w:rPr>
      </w:pPr>
      <w:r>
        <w:rPr>
          <w:rFonts w:ascii="Times New Roman" w:cs="Times New Roman" w:eastAsia="Times New Roman" w:hAnsi="Times New Roman"/>
          <w:sz w:val="18"/>
          <w:szCs w:val="18"/>
          <w:color w:val="auto"/>
        </w:rPr>
        <w:t>Global Infrastructure Investors III, LLC is the sole general partner of Global Infrastructure GP III, L.P., which is the general partner of GIP III Zephyr Acquisition Partners, L.P., which is the sole member of Clearway Energy Group. As a result, each of Global Infrastructure Investors III, LLC, Global Infrastructure GP III, L.P. and GIP III Zephyr Acquisition Partners, L.P. may be deemed to share beneficial ownership of the Class A Common Stock and Class C Common Stock beneficially owned by Clearway Energy Group. Adebayo Ogunlesi, Jonathan Bram, William Brilliant, Tufan Erginbilgic, Matthew Harris, Michael McGhee, Rajaram Rao, Salim Samaha and Robert O’Brien, as the voting members of the Investment Committee of Global Infrastructure Investors III, LLC, may be deemed to share beneficial ownership of the Class A Common Stock and Class C Common Stock beneficially owned by Global Infrastructure Investors III, LLC. Such individuals expressly disclaim any such beneficial ownership.</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 of the Related Persons beneficially owns any shares of Class A Common Stock or Class C Common Stock.</w:t>
      </w:r>
    </w:p>
    <w:p>
      <w:pPr>
        <w:spacing w:after="0" w:line="225" w:lineRule="exact"/>
        <w:rPr>
          <w:sz w:val="20"/>
          <w:szCs w:val="20"/>
          <w:color w:val="auto"/>
        </w:rPr>
      </w:pPr>
    </w:p>
    <w:p>
      <w:pPr>
        <w:ind w:left="260" w:right="40" w:hanging="252"/>
        <w:spacing w:after="0" w:line="282" w:lineRule="auto"/>
        <w:tabs>
          <w:tab w:leader="none" w:pos="262"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described herein, including the transactions listed on Annex A attached hereto, none of the Reporting Persons or Related Persons has effected any transactions in Class A Common Stock or Class C Common Stock in the past 60 days.</w:t>
      </w:r>
    </w:p>
    <w:p>
      <w:pPr>
        <w:spacing w:after="0" w:line="161"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Contracts, Arrangements, Understandings or Relationships with Respect to Securities of the Issuer.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6 of the Original Schedule 13D is hereby amended and supplemented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information set forth or incorporated by reference in Items 4 and 5 of this Schedule 13D is incorporated by reference in its entirety into this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Item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7" w:name="page8"/>
    <w:bookmarkEnd w:id="7"/>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correct.</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May 25, 2022</w:t>
      </w:r>
    </w:p>
    <w:p>
      <w:pPr>
        <w:spacing w:after="0" w:line="22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INVESTORS III,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tab/>
        <w:t>Partner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GLOBAL INFRASTRUCTURE GP III, L.P.</w:t>
      </w:r>
    </w:p>
    <w:p>
      <w:pPr>
        <w:spacing w:after="0" w:line="3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07"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tab/>
        <w:t>Partner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GIP III ZEPHYR ACQUISITION PARTNERS, L.P.</w:t>
      </w:r>
    </w:p>
    <w:p>
      <w:pPr>
        <w:spacing w:after="0" w:line="3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GP III, L.P., its general partner</w:t>
      </w:r>
    </w:p>
    <w:p>
      <w:pPr>
        <w:spacing w:after="0" w:line="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Global Infrastructure Investors III, LLC, its general partner</w:t>
      </w:r>
    </w:p>
    <w:p>
      <w:pPr>
        <w:spacing w:after="0" w:line="207"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Jonathan Bram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Jonathan Bram</w:t>
      </w:r>
    </w:p>
    <w:p>
      <w:pPr>
        <w:spacing w:after="0" w:line="23"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Title:</w:t>
        <w:tab/>
        <w:t>Partner</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CLEARWAY ENERGY GROUP LLC</w:t>
      </w:r>
    </w:p>
    <w:p>
      <w:pPr>
        <w:spacing w:after="0" w:line="229"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Craig Cornelius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Name: Craig Cornelius</w:t>
      </w:r>
    </w:p>
    <w:p>
      <w:pPr>
        <w:spacing w:after="0" w:line="2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900" w:right="45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color w:val="auto"/>
        </w:rPr>
        <w:t>Annex A</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Transactions in Class A Common Stock and Class C Common Stock in the previous 60 days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060" w:type="dxa"/>
            <w:vAlign w:val="bottom"/>
            <w:gridSpan w:val="2"/>
          </w:tcPr>
          <w:p>
            <w:pPr>
              <w:ind w:left="1240"/>
              <w:spacing w:after="0"/>
              <w:rPr>
                <w:sz w:val="20"/>
                <w:szCs w:val="20"/>
                <w:color w:val="auto"/>
              </w:rPr>
            </w:pPr>
            <w:r>
              <w:rPr>
                <w:rFonts w:ascii="Times New Roman" w:cs="Times New Roman" w:eastAsia="Times New Roman" w:hAnsi="Times New Roman"/>
                <w:sz w:val="18"/>
                <w:szCs w:val="18"/>
                <w:color w:val="auto"/>
              </w:rPr>
              <w:t>Date</w:t>
            </w:r>
          </w:p>
        </w:tc>
        <w:tc>
          <w:tcPr>
            <w:tcW w:w="2480" w:type="dxa"/>
            <w:vAlign w:val="bottom"/>
            <w:gridSpan w:val="2"/>
          </w:tcPr>
          <w:p>
            <w:pPr>
              <w:ind w:left="820"/>
              <w:spacing w:after="0"/>
              <w:rPr>
                <w:sz w:val="20"/>
                <w:szCs w:val="20"/>
                <w:color w:val="auto"/>
              </w:rPr>
            </w:pPr>
            <w:r>
              <w:rPr>
                <w:rFonts w:ascii="Times New Roman" w:cs="Times New Roman" w:eastAsia="Times New Roman" w:hAnsi="Times New Roman"/>
                <w:sz w:val="18"/>
                <w:szCs w:val="18"/>
                <w:color w:val="auto"/>
              </w:rPr>
              <w:t>Security</w:t>
            </w:r>
          </w:p>
        </w:tc>
        <w:tc>
          <w:tcPr>
            <w:tcW w:w="236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Number of Shares</w:t>
            </w:r>
          </w:p>
        </w:tc>
        <w:tc>
          <w:tcPr>
            <w:tcW w:w="2340" w:type="dxa"/>
            <w:vAlign w:val="bottom"/>
            <w:gridSpan w:val="2"/>
          </w:tcPr>
          <w:p>
            <w:pPr>
              <w:ind w:left="640"/>
              <w:spacing w:after="0"/>
              <w:rPr>
                <w:sz w:val="20"/>
                <w:szCs w:val="20"/>
                <w:color w:val="auto"/>
              </w:rPr>
            </w:pPr>
            <w:r>
              <w:rPr>
                <w:rFonts w:ascii="Times New Roman" w:cs="Times New Roman" w:eastAsia="Times New Roman" w:hAnsi="Times New Roman"/>
                <w:sz w:val="18"/>
                <w:szCs w:val="18"/>
                <w:color w:val="auto"/>
              </w:rPr>
              <w:t>Transaction</w:t>
            </w:r>
          </w:p>
        </w:tc>
        <w:tc>
          <w:tcPr>
            <w:tcW w:w="100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Price</w:t>
            </w:r>
          </w:p>
        </w:tc>
      </w:tr>
      <w:tr>
        <w:trPr>
          <w:trHeight w:val="223"/>
        </w:trPr>
        <w:tc>
          <w:tcPr>
            <w:tcW w:w="2820" w:type="dxa"/>
            <w:vAlign w:val="bottom"/>
            <w:tcBorders>
              <w:top w:val="single" w:sz="8" w:color="auto"/>
            </w:tcBorders>
            <w:shd w:val="clear" w:color="auto" w:fill="CCEEFF"/>
          </w:tcPr>
          <w:p>
            <w:pPr>
              <w:jc w:val="center"/>
              <w:ind w:left="30"/>
              <w:spacing w:after="0"/>
              <w:rPr>
                <w:sz w:val="20"/>
                <w:szCs w:val="20"/>
                <w:color w:val="auto"/>
              </w:rPr>
            </w:pPr>
            <w:r>
              <w:rPr>
                <w:rFonts w:ascii="Times New Roman" w:cs="Times New Roman" w:eastAsia="Times New Roman" w:hAnsi="Times New Roman"/>
                <w:sz w:val="18"/>
                <w:szCs w:val="18"/>
                <w:color w:val="auto"/>
              </w:rPr>
              <w:t>5/15/2022</w:t>
            </w:r>
          </w:p>
        </w:tc>
        <w:tc>
          <w:tcPr>
            <w:tcW w:w="240" w:type="dxa"/>
            <w:vAlign w:val="bottom"/>
            <w:tcBorders>
              <w:top w:val="single" w:sz="8" w:color="CCEEFF"/>
            </w:tcBorders>
            <w:shd w:val="clear" w:color="auto" w:fill="CCEEFF"/>
          </w:tcPr>
          <w:p>
            <w:pPr>
              <w:spacing w:after="0"/>
              <w:rPr>
                <w:sz w:val="19"/>
                <w:szCs w:val="19"/>
                <w:color w:val="auto"/>
              </w:rPr>
            </w:pPr>
          </w:p>
        </w:tc>
        <w:tc>
          <w:tcPr>
            <w:tcW w:w="2260" w:type="dxa"/>
            <w:vAlign w:val="bottom"/>
            <w:tcBorders>
              <w:top w:val="single" w:sz="8" w:color="auto"/>
            </w:tcBorders>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20" w:type="dxa"/>
            <w:vAlign w:val="bottom"/>
            <w:tcBorders>
              <w:top w:val="single" w:sz="8" w:color="CCEEFF"/>
            </w:tcBorders>
            <w:shd w:val="clear" w:color="auto" w:fill="CCEEFF"/>
          </w:tcPr>
          <w:p>
            <w:pPr>
              <w:spacing w:after="0"/>
              <w:rPr>
                <w:sz w:val="19"/>
                <w:szCs w:val="19"/>
                <w:color w:val="auto"/>
              </w:rPr>
            </w:pPr>
          </w:p>
        </w:tc>
        <w:tc>
          <w:tcPr>
            <w:tcW w:w="2140" w:type="dxa"/>
            <w:vAlign w:val="bottom"/>
            <w:tcBorders>
              <w:top w:val="single" w:sz="8" w:color="auto"/>
            </w:tcBorders>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rPr>
              <w:t>236,624</w:t>
            </w:r>
          </w:p>
        </w:tc>
        <w:tc>
          <w:tcPr>
            <w:tcW w:w="220" w:type="dxa"/>
            <w:vAlign w:val="bottom"/>
            <w:tcBorders>
              <w:top w:val="single" w:sz="8" w:color="CCEEFF"/>
            </w:tcBorders>
            <w:shd w:val="clear" w:color="auto" w:fill="CCEEFF"/>
          </w:tcPr>
          <w:p>
            <w:pPr>
              <w:spacing w:after="0"/>
              <w:rPr>
                <w:sz w:val="19"/>
                <w:szCs w:val="19"/>
                <w:color w:val="auto"/>
              </w:rPr>
            </w:pPr>
          </w:p>
        </w:tc>
        <w:tc>
          <w:tcPr>
            <w:tcW w:w="2120" w:type="dxa"/>
            <w:vAlign w:val="bottom"/>
            <w:tcBorders>
              <w:top w:val="single" w:sz="8" w:color="auto"/>
            </w:tcBorders>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(3)</w:t>
            </w:r>
          </w:p>
        </w:tc>
        <w:tc>
          <w:tcPr>
            <w:tcW w:w="220" w:type="dxa"/>
            <w:vAlign w:val="bottom"/>
            <w:tcBorders>
              <w:top w:val="single" w:sz="8" w:color="CCEEFF"/>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$31.33(3)</w:t>
            </w:r>
          </w:p>
        </w:tc>
        <w:tc>
          <w:tcPr>
            <w:tcW w:w="220" w:type="dxa"/>
            <w:vAlign w:val="bottom"/>
            <w:tcBorders>
              <w:top w:val="single" w:sz="8" w:color="CCEEFF"/>
            </w:tcBorders>
            <w:shd w:val="clear" w:color="auto" w:fill="CCEEFF"/>
          </w:tcPr>
          <w:p>
            <w:pPr>
              <w:spacing w:after="0"/>
              <w:rPr>
                <w:sz w:val="19"/>
                <w:szCs w:val="19"/>
                <w:color w:val="auto"/>
              </w:rPr>
            </w:pPr>
          </w:p>
        </w:tc>
      </w:tr>
      <w:tr>
        <w:trPr>
          <w:trHeight w:val="229"/>
        </w:trPr>
        <w:tc>
          <w:tcPr>
            <w:tcW w:w="282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5/13/2022</w:t>
            </w:r>
          </w:p>
        </w:tc>
        <w:tc>
          <w:tcPr>
            <w:tcW w:w="240" w:type="dxa"/>
            <w:vAlign w:val="bottom"/>
          </w:tcPr>
          <w:p>
            <w:pPr>
              <w:spacing w:after="0"/>
              <w:rPr>
                <w:sz w:val="19"/>
                <w:szCs w:val="19"/>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w w:val="98"/>
              </w:rPr>
              <w:t>3,192</w:t>
            </w:r>
          </w:p>
        </w:tc>
        <w:tc>
          <w:tcPr>
            <w:tcW w:w="220" w:type="dxa"/>
            <w:vAlign w:val="bottom"/>
          </w:tcPr>
          <w:p>
            <w:pPr>
              <w:spacing w:after="0"/>
              <w:rPr>
                <w:sz w:val="19"/>
                <w:szCs w:val="19"/>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(3)</w:t>
            </w:r>
          </w:p>
        </w:tc>
        <w:tc>
          <w:tcPr>
            <w:tcW w:w="22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$31.33(3)</w:t>
            </w:r>
          </w:p>
        </w:tc>
        <w:tc>
          <w:tcPr>
            <w:tcW w:w="220" w:type="dxa"/>
            <w:vAlign w:val="bottom"/>
          </w:tcPr>
          <w:p>
            <w:pPr>
              <w:spacing w:after="0"/>
              <w:rPr>
                <w:sz w:val="19"/>
                <w:szCs w:val="19"/>
                <w:color w:val="auto"/>
              </w:rPr>
            </w:pPr>
          </w:p>
        </w:tc>
      </w:tr>
      <w:tr>
        <w:trPr>
          <w:trHeight w:val="230"/>
        </w:trPr>
        <w:tc>
          <w:tcPr>
            <w:tcW w:w="282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9"/>
              </w:rPr>
              <w:t>5/4/2022</w:t>
            </w:r>
          </w:p>
        </w:tc>
        <w:tc>
          <w:tcPr>
            <w:tcW w:w="24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rPr>
              <w:t>250,000</w:t>
            </w:r>
          </w:p>
        </w:tc>
        <w:tc>
          <w:tcPr>
            <w:tcW w:w="220" w:type="dxa"/>
            <w:vAlign w:val="bottom"/>
            <w:shd w:val="clear" w:color="auto" w:fill="CCEEFF"/>
          </w:tcPr>
          <w:p>
            <w:pPr>
              <w:spacing w:after="0"/>
              <w:rPr>
                <w:sz w:val="19"/>
                <w:szCs w:val="19"/>
                <w:color w:val="auto"/>
              </w:rPr>
            </w:pPr>
          </w:p>
        </w:tc>
        <w:tc>
          <w:tcPr>
            <w:tcW w:w="212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shd w:val="clear" w:color="auto" w:fill="CCEEFF"/>
          </w:tcPr>
          <w:p>
            <w:pPr>
              <w:spacing w:after="0"/>
              <w:rPr>
                <w:sz w:val="19"/>
                <w:szCs w:val="19"/>
                <w:color w:val="auto"/>
              </w:rPr>
            </w:pPr>
          </w:p>
        </w:tc>
      </w:tr>
      <w:tr>
        <w:trPr>
          <w:trHeight w:val="229"/>
        </w:trPr>
        <w:tc>
          <w:tcPr>
            <w:tcW w:w="282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w w:val="99"/>
              </w:rPr>
              <w:t>04/29/2022</w:t>
            </w:r>
          </w:p>
        </w:tc>
        <w:tc>
          <w:tcPr>
            <w:tcW w:w="240" w:type="dxa"/>
            <w:vAlign w:val="bottom"/>
          </w:tcPr>
          <w:p>
            <w:pPr>
              <w:spacing w:after="0"/>
              <w:rPr>
                <w:sz w:val="19"/>
                <w:szCs w:val="19"/>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w w:val="98"/>
              </w:rPr>
              <w:t>2,366</w:t>
            </w:r>
          </w:p>
        </w:tc>
        <w:tc>
          <w:tcPr>
            <w:tcW w:w="220" w:type="dxa"/>
            <w:vAlign w:val="bottom"/>
          </w:tcPr>
          <w:p>
            <w:pPr>
              <w:spacing w:after="0"/>
              <w:rPr>
                <w:sz w:val="19"/>
                <w:szCs w:val="19"/>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r>
      <w:tr>
        <w:trPr>
          <w:trHeight w:val="229"/>
        </w:trPr>
        <w:tc>
          <w:tcPr>
            <w:tcW w:w="2820" w:type="dxa"/>
            <w:vAlign w:val="bottom"/>
            <w:shd w:val="clear" w:color="auto" w:fill="CCEEFF"/>
          </w:tcPr>
          <w:p>
            <w:pPr>
              <w:jc w:val="center"/>
              <w:ind w:left="30"/>
              <w:spacing w:after="0"/>
              <w:rPr>
                <w:sz w:val="20"/>
                <w:szCs w:val="20"/>
                <w:color w:val="auto"/>
              </w:rPr>
            </w:pPr>
            <w:r>
              <w:rPr>
                <w:rFonts w:ascii="Times New Roman" w:cs="Times New Roman" w:eastAsia="Times New Roman" w:hAnsi="Times New Roman"/>
                <w:sz w:val="18"/>
                <w:szCs w:val="18"/>
                <w:color w:val="auto"/>
                <w:w w:val="99"/>
              </w:rPr>
              <w:t>04/22/2022</w:t>
            </w:r>
          </w:p>
        </w:tc>
        <w:tc>
          <w:tcPr>
            <w:tcW w:w="24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8"/>
              </w:rPr>
              <w:t>5,479</w:t>
            </w:r>
          </w:p>
        </w:tc>
        <w:tc>
          <w:tcPr>
            <w:tcW w:w="220" w:type="dxa"/>
            <w:vAlign w:val="bottom"/>
            <w:shd w:val="clear" w:color="auto" w:fill="CCEEFF"/>
          </w:tcPr>
          <w:p>
            <w:pPr>
              <w:spacing w:after="0"/>
              <w:rPr>
                <w:sz w:val="19"/>
                <w:szCs w:val="19"/>
                <w:color w:val="auto"/>
              </w:rPr>
            </w:pPr>
          </w:p>
        </w:tc>
        <w:tc>
          <w:tcPr>
            <w:tcW w:w="212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shd w:val="clear" w:color="auto" w:fill="CCEEFF"/>
          </w:tcPr>
          <w:p>
            <w:pPr>
              <w:spacing w:after="0"/>
              <w:rPr>
                <w:sz w:val="19"/>
                <w:szCs w:val="19"/>
                <w:color w:val="auto"/>
              </w:rPr>
            </w:pPr>
          </w:p>
        </w:tc>
      </w:tr>
      <w:tr>
        <w:trPr>
          <w:trHeight w:val="230"/>
        </w:trPr>
        <w:tc>
          <w:tcPr>
            <w:tcW w:w="282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w w:val="99"/>
              </w:rPr>
              <w:t>04/15/2022</w:t>
            </w:r>
          </w:p>
        </w:tc>
        <w:tc>
          <w:tcPr>
            <w:tcW w:w="240" w:type="dxa"/>
            <w:vAlign w:val="bottom"/>
          </w:tcPr>
          <w:p>
            <w:pPr>
              <w:spacing w:after="0"/>
              <w:rPr>
                <w:sz w:val="19"/>
                <w:szCs w:val="19"/>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rPr>
              <w:t>877</w:t>
            </w:r>
          </w:p>
        </w:tc>
        <w:tc>
          <w:tcPr>
            <w:tcW w:w="220" w:type="dxa"/>
            <w:vAlign w:val="bottom"/>
          </w:tcPr>
          <w:p>
            <w:pPr>
              <w:spacing w:after="0"/>
              <w:rPr>
                <w:sz w:val="19"/>
                <w:szCs w:val="19"/>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(3)</w:t>
            </w:r>
          </w:p>
        </w:tc>
        <w:tc>
          <w:tcPr>
            <w:tcW w:w="22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$34.24(3)</w:t>
            </w:r>
          </w:p>
        </w:tc>
        <w:tc>
          <w:tcPr>
            <w:tcW w:w="220" w:type="dxa"/>
            <w:vAlign w:val="bottom"/>
          </w:tcPr>
          <w:p>
            <w:pPr>
              <w:spacing w:after="0"/>
              <w:rPr>
                <w:sz w:val="19"/>
                <w:szCs w:val="19"/>
                <w:color w:val="auto"/>
              </w:rPr>
            </w:pPr>
          </w:p>
        </w:tc>
      </w:tr>
      <w:tr>
        <w:trPr>
          <w:trHeight w:val="229"/>
        </w:trPr>
        <w:tc>
          <w:tcPr>
            <w:tcW w:w="2820" w:type="dxa"/>
            <w:vAlign w:val="bottom"/>
            <w:shd w:val="clear" w:color="auto" w:fill="CCEEFF"/>
          </w:tcPr>
          <w:p>
            <w:pPr>
              <w:jc w:val="center"/>
              <w:ind w:left="30"/>
              <w:spacing w:after="0"/>
              <w:rPr>
                <w:sz w:val="20"/>
                <w:szCs w:val="20"/>
                <w:color w:val="auto"/>
              </w:rPr>
            </w:pPr>
            <w:r>
              <w:rPr>
                <w:rFonts w:ascii="Times New Roman" w:cs="Times New Roman" w:eastAsia="Times New Roman" w:hAnsi="Times New Roman"/>
                <w:sz w:val="18"/>
                <w:szCs w:val="18"/>
                <w:color w:val="auto"/>
              </w:rPr>
              <w:t>04/8/2022</w:t>
            </w:r>
          </w:p>
        </w:tc>
        <w:tc>
          <w:tcPr>
            <w:tcW w:w="24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8"/>
              </w:rPr>
              <w:t>1,152</w:t>
            </w:r>
          </w:p>
        </w:tc>
        <w:tc>
          <w:tcPr>
            <w:tcW w:w="220" w:type="dxa"/>
            <w:vAlign w:val="bottom"/>
            <w:shd w:val="clear" w:color="auto" w:fill="CCEEFF"/>
          </w:tcPr>
          <w:p>
            <w:pPr>
              <w:spacing w:after="0"/>
              <w:rPr>
                <w:sz w:val="19"/>
                <w:szCs w:val="19"/>
                <w:color w:val="auto"/>
              </w:rPr>
            </w:pPr>
          </w:p>
        </w:tc>
        <w:tc>
          <w:tcPr>
            <w:tcW w:w="212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(4)</w:t>
            </w: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$35.09(4)</w:t>
            </w:r>
          </w:p>
        </w:tc>
        <w:tc>
          <w:tcPr>
            <w:tcW w:w="220" w:type="dxa"/>
            <w:vAlign w:val="bottom"/>
            <w:shd w:val="clear" w:color="auto" w:fill="CCEEFF"/>
          </w:tcPr>
          <w:p>
            <w:pPr>
              <w:spacing w:after="0"/>
              <w:rPr>
                <w:sz w:val="19"/>
                <w:szCs w:val="19"/>
                <w:color w:val="auto"/>
              </w:rPr>
            </w:pPr>
          </w:p>
        </w:tc>
      </w:tr>
      <w:tr>
        <w:trPr>
          <w:trHeight w:val="229"/>
        </w:trPr>
        <w:tc>
          <w:tcPr>
            <w:tcW w:w="282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04/8/2022</w:t>
            </w:r>
          </w:p>
        </w:tc>
        <w:tc>
          <w:tcPr>
            <w:tcW w:w="240" w:type="dxa"/>
            <w:vAlign w:val="bottom"/>
          </w:tcPr>
          <w:p>
            <w:pPr>
              <w:spacing w:after="0"/>
              <w:rPr>
                <w:sz w:val="19"/>
                <w:szCs w:val="19"/>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rPr>
              <w:t>520</w:t>
            </w:r>
          </w:p>
        </w:tc>
        <w:tc>
          <w:tcPr>
            <w:tcW w:w="220" w:type="dxa"/>
            <w:vAlign w:val="bottom"/>
          </w:tcPr>
          <w:p>
            <w:pPr>
              <w:spacing w:after="0"/>
              <w:rPr>
                <w:sz w:val="19"/>
                <w:szCs w:val="19"/>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r>
      <w:tr>
        <w:trPr>
          <w:trHeight w:val="230"/>
        </w:trPr>
        <w:tc>
          <w:tcPr>
            <w:tcW w:w="282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9"/>
              </w:rPr>
              <w:t>4/1/2022</w:t>
            </w:r>
          </w:p>
        </w:tc>
        <w:tc>
          <w:tcPr>
            <w:tcW w:w="24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6"/>
              </w:rPr>
              <w:t>47,949</w:t>
            </w:r>
          </w:p>
        </w:tc>
        <w:tc>
          <w:tcPr>
            <w:tcW w:w="220" w:type="dxa"/>
            <w:vAlign w:val="bottom"/>
            <w:shd w:val="clear" w:color="auto" w:fill="CCEEFF"/>
          </w:tcPr>
          <w:p>
            <w:pPr>
              <w:spacing w:after="0"/>
              <w:rPr>
                <w:sz w:val="19"/>
                <w:szCs w:val="19"/>
                <w:color w:val="auto"/>
              </w:rPr>
            </w:pPr>
          </w:p>
        </w:tc>
        <w:tc>
          <w:tcPr>
            <w:tcW w:w="212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(4)</w:t>
            </w: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$36.46(4)</w:t>
            </w:r>
          </w:p>
        </w:tc>
        <w:tc>
          <w:tcPr>
            <w:tcW w:w="220" w:type="dxa"/>
            <w:vAlign w:val="bottom"/>
            <w:shd w:val="clear" w:color="auto" w:fill="CCEEFF"/>
          </w:tcPr>
          <w:p>
            <w:pPr>
              <w:spacing w:after="0"/>
              <w:rPr>
                <w:sz w:val="19"/>
                <w:szCs w:val="19"/>
                <w:color w:val="auto"/>
              </w:rPr>
            </w:pPr>
          </w:p>
        </w:tc>
      </w:tr>
      <w:tr>
        <w:trPr>
          <w:trHeight w:val="229"/>
        </w:trPr>
        <w:tc>
          <w:tcPr>
            <w:tcW w:w="282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w w:val="99"/>
              </w:rPr>
              <w:t>4/1/2022</w:t>
            </w:r>
          </w:p>
        </w:tc>
        <w:tc>
          <w:tcPr>
            <w:tcW w:w="240" w:type="dxa"/>
            <w:vAlign w:val="bottom"/>
          </w:tcPr>
          <w:p>
            <w:pPr>
              <w:spacing w:after="0"/>
              <w:rPr>
                <w:sz w:val="19"/>
                <w:szCs w:val="19"/>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rPr>
              <w:t>535</w:t>
            </w:r>
          </w:p>
        </w:tc>
        <w:tc>
          <w:tcPr>
            <w:tcW w:w="220" w:type="dxa"/>
            <w:vAlign w:val="bottom"/>
          </w:tcPr>
          <w:p>
            <w:pPr>
              <w:spacing w:after="0"/>
              <w:rPr>
                <w:sz w:val="19"/>
                <w:szCs w:val="19"/>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220" w:type="dxa"/>
            <w:vAlign w:val="bottom"/>
          </w:tcPr>
          <w:p>
            <w:pPr>
              <w:spacing w:after="0"/>
              <w:rPr>
                <w:sz w:val="19"/>
                <w:szCs w:val="19"/>
                <w:color w:val="auto"/>
              </w:rPr>
            </w:pPr>
          </w:p>
        </w:tc>
      </w:tr>
      <w:tr>
        <w:trPr>
          <w:trHeight w:val="230"/>
        </w:trPr>
        <w:tc>
          <w:tcPr>
            <w:tcW w:w="282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9"/>
              </w:rPr>
              <w:t>4/1/2022</w:t>
            </w:r>
          </w:p>
        </w:tc>
        <w:tc>
          <w:tcPr>
            <w:tcW w:w="24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6"/>
              </w:rPr>
              <w:t>97,481</w:t>
            </w:r>
          </w:p>
        </w:tc>
        <w:tc>
          <w:tcPr>
            <w:tcW w:w="220" w:type="dxa"/>
            <w:vAlign w:val="bottom"/>
            <w:shd w:val="clear" w:color="auto" w:fill="CCEEFF"/>
          </w:tcPr>
          <w:p>
            <w:pPr>
              <w:spacing w:after="0"/>
              <w:rPr>
                <w:sz w:val="19"/>
                <w:szCs w:val="19"/>
                <w:color w:val="auto"/>
              </w:rPr>
            </w:pPr>
          </w:p>
        </w:tc>
        <w:tc>
          <w:tcPr>
            <w:tcW w:w="2120" w:type="dxa"/>
            <w:vAlign w:val="bottom"/>
            <w:shd w:val="clear" w:color="auto" w:fill="CCEEFF"/>
          </w:tcPr>
          <w:p>
            <w:pPr>
              <w:jc w:val="right"/>
              <w:ind w:right="810"/>
              <w:spacing w:after="0"/>
              <w:rPr>
                <w:sz w:val="20"/>
                <w:szCs w:val="20"/>
                <w:color w:val="auto"/>
              </w:rPr>
            </w:pPr>
            <w:r>
              <w:rPr>
                <w:rFonts w:ascii="Times New Roman" w:cs="Times New Roman" w:eastAsia="Times New Roman" w:hAnsi="Times New Roman"/>
                <w:sz w:val="18"/>
                <w:szCs w:val="18"/>
                <w:color w:val="auto"/>
              </w:rPr>
              <w:t>(3)</w:t>
            </w: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$36.46(3)</w:t>
            </w:r>
          </w:p>
        </w:tc>
        <w:tc>
          <w:tcPr>
            <w:tcW w:w="220" w:type="dxa"/>
            <w:vAlign w:val="bottom"/>
            <w:shd w:val="clear" w:color="auto" w:fill="CCEEFF"/>
          </w:tcPr>
          <w:p>
            <w:pPr>
              <w:spacing w:after="0"/>
              <w:rPr>
                <w:sz w:val="19"/>
                <w:szCs w:val="19"/>
                <w:color w:val="auto"/>
              </w:rPr>
            </w:pPr>
          </w:p>
        </w:tc>
      </w:tr>
      <w:tr>
        <w:trPr>
          <w:trHeight w:val="234"/>
        </w:trPr>
        <w:tc>
          <w:tcPr>
            <w:tcW w:w="2820" w:type="dxa"/>
            <w:vAlign w:val="bottom"/>
          </w:tcPr>
          <w:p>
            <w:pPr>
              <w:jc w:val="center"/>
              <w:ind w:left="30"/>
              <w:spacing w:after="0"/>
              <w:rPr>
                <w:sz w:val="20"/>
                <w:szCs w:val="20"/>
                <w:color w:val="auto"/>
              </w:rPr>
            </w:pPr>
            <w:r>
              <w:rPr>
                <w:rFonts w:ascii="Times New Roman" w:cs="Times New Roman" w:eastAsia="Times New Roman" w:hAnsi="Times New Roman"/>
                <w:sz w:val="18"/>
                <w:szCs w:val="18"/>
                <w:color w:val="auto"/>
              </w:rPr>
              <w:t>3/25/2022</w:t>
            </w:r>
          </w:p>
        </w:tc>
        <w:tc>
          <w:tcPr>
            <w:tcW w:w="240" w:type="dxa"/>
            <w:vAlign w:val="bottom"/>
          </w:tcPr>
          <w:p>
            <w:pPr>
              <w:spacing w:after="0"/>
              <w:rPr>
                <w:sz w:val="20"/>
                <w:szCs w:val="20"/>
                <w:color w:val="auto"/>
              </w:rPr>
            </w:pPr>
          </w:p>
        </w:tc>
        <w:tc>
          <w:tcPr>
            <w:tcW w:w="24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Class C Common Stock</w:t>
            </w:r>
          </w:p>
        </w:tc>
        <w:tc>
          <w:tcPr>
            <w:tcW w:w="2140" w:type="dxa"/>
            <w:vAlign w:val="bottom"/>
          </w:tcPr>
          <w:p>
            <w:pPr>
              <w:jc w:val="center"/>
              <w:ind w:left="10"/>
              <w:spacing w:after="0"/>
              <w:rPr>
                <w:sz w:val="20"/>
                <w:szCs w:val="20"/>
                <w:color w:val="auto"/>
              </w:rPr>
            </w:pPr>
            <w:r>
              <w:rPr>
                <w:rFonts w:ascii="Times New Roman" w:cs="Times New Roman" w:eastAsia="Times New Roman" w:hAnsi="Times New Roman"/>
                <w:sz w:val="18"/>
                <w:szCs w:val="18"/>
                <w:color w:val="auto"/>
                <w:w w:val="96"/>
              </w:rPr>
              <w:t>47,000</w:t>
            </w:r>
          </w:p>
        </w:tc>
        <w:tc>
          <w:tcPr>
            <w:tcW w:w="220" w:type="dxa"/>
            <w:vAlign w:val="bottom"/>
          </w:tcPr>
          <w:p>
            <w:pPr>
              <w:spacing w:after="0"/>
              <w:rPr>
                <w:sz w:val="20"/>
                <w:szCs w:val="20"/>
                <w:color w:val="auto"/>
              </w:rPr>
            </w:pPr>
          </w:p>
        </w:tc>
        <w:tc>
          <w:tcPr>
            <w:tcW w:w="2120" w:type="dxa"/>
            <w:vAlign w:val="bottom"/>
          </w:tcPr>
          <w:p>
            <w:pPr>
              <w:jc w:val="right"/>
              <w:ind w:right="810"/>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tcPr>
          <w:p>
            <w:pPr>
              <w:spacing w:after="0"/>
              <w:rPr>
                <w:sz w:val="20"/>
                <w:szCs w:val="20"/>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tcPr>
          <w:p>
            <w:pPr>
              <w:spacing w:after="0"/>
              <w:rPr>
                <w:sz w:val="20"/>
                <w:szCs w:val="20"/>
                <w:color w:val="auto"/>
              </w:rPr>
            </w:pPr>
          </w:p>
        </w:tc>
      </w:tr>
    </w:tbl>
    <w:p>
      <w:pPr>
        <w:spacing w:after="0" w:line="193" w:lineRule="exact"/>
        <w:rPr>
          <w:sz w:val="20"/>
          <w:szCs w:val="20"/>
          <w:color w:val="auto"/>
        </w:rPr>
      </w:pPr>
    </w:p>
    <w:p>
      <w:pPr>
        <w:ind w:right="20" w:firstLine="8"/>
        <w:spacing w:after="0" w:line="261" w:lineRule="auto"/>
        <w:tabs>
          <w:tab w:leader="none" w:pos="2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the Exchange Agreement, the Class D Units of Clearway LLC were exchanged for shares of Class C Common Stock on a one-for-one basis. An equivalent number of shares of Class D Common Stock were automatically be canceled.</w:t>
      </w:r>
    </w:p>
    <w:p>
      <w:pPr>
        <w:ind w:firstLine="8"/>
        <w:spacing w:after="0" w:line="250" w:lineRule="auto"/>
        <w:tabs>
          <w:tab w:leader="none" w:pos="2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restricted stock of the Issuer previously granted by Clearway Energy Group under its Long Term Equity Incentive Program forfeited by one of its employees due to termination of service.</w:t>
      </w:r>
    </w:p>
    <w:p>
      <w:pPr>
        <w:ind w:right="680" w:firstLine="8"/>
        <w:spacing w:after="0" w:line="250" w:lineRule="auto"/>
        <w:tabs>
          <w:tab w:leader="none" w:pos="2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restricted stock of the Issuer granted by Clearway Energy Group under its Long Term Equity Incentive Program to one or more of its employees.</w:t>
      </w:r>
    </w:p>
    <w:p>
      <w:pPr>
        <w:ind w:right="260" w:firstLine="8"/>
        <w:spacing w:after="0" w:line="260" w:lineRule="auto"/>
        <w:tabs>
          <w:tab w:leader="none" w:pos="255"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withheld to satisfy tax withholding obligations in connection with the vesting of restricted stock of the Issuer previously granted by Clearway Energy Group under its Long Term Equity Incentive Program to certain of its employees.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418465</wp:posOffset>
            </wp:positionV>
            <wp:extent cx="713232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0"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b w:val="1"/>
          <w:bCs w:val="1"/>
          <w:color w:val="auto"/>
        </w:rPr>
        <w:t>SCHEDULE A</w:t>
      </w:r>
    </w:p>
    <w:p>
      <w:pPr>
        <w:spacing w:after="0" w:line="229" w:lineRule="exact"/>
        <w:rPr>
          <w:sz w:val="20"/>
          <w:szCs w:val="20"/>
          <w:color w:val="auto"/>
        </w:rPr>
      </w:pPr>
    </w:p>
    <w:p>
      <w:pPr>
        <w:ind w:right="240" w:firstLine="648"/>
        <w:spacing w:after="0" w:line="261" w:lineRule="auto"/>
        <w:rPr>
          <w:sz w:val="20"/>
          <w:szCs w:val="20"/>
          <w:color w:val="auto"/>
        </w:rPr>
      </w:pPr>
      <w:r>
        <w:rPr>
          <w:rFonts w:ascii="Times New Roman" w:cs="Times New Roman" w:eastAsia="Times New Roman" w:hAnsi="Times New Roman"/>
          <w:sz w:val="18"/>
          <w:szCs w:val="18"/>
          <w:color w:val="auto"/>
        </w:rPr>
        <w:t>The name, present principal occupation or employment and citizenship of each of the executive officers and directors of Global Infrastructure Investors III, LLC and Clearway Energy Group LLC are set forth below. Unless otherwise noted, the business address of each individual affiliated with Global Infrastructure Investors III, LLC is c/o Global Infrastructure Management, LLC, 1345 Avenue of the Americas, 30th Floor, New York, New York 10105.</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3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9"/>
              </w:rPr>
              <w:t>Global Infrastructure Investors III, LLC</w:t>
            </w:r>
          </w:p>
        </w:tc>
        <w:tc>
          <w:tcPr>
            <w:tcW w:w="1800" w:type="dxa"/>
            <w:vAlign w:val="bottom"/>
            <w:gridSpan w:val="2"/>
          </w:tcPr>
          <w:p>
            <w:pPr>
              <w:spacing w:after="0"/>
              <w:rPr>
                <w:sz w:val="17"/>
                <w:szCs w:val="17"/>
                <w:color w:val="auto"/>
              </w:rPr>
            </w:pPr>
          </w:p>
        </w:tc>
        <w:tc>
          <w:tcPr>
            <w:tcW w:w="2240" w:type="dxa"/>
            <w:vAlign w:val="bottom"/>
          </w:tcPr>
          <w:p>
            <w:pPr>
              <w:spacing w:after="0"/>
              <w:rPr>
                <w:sz w:val="17"/>
                <w:szCs w:val="17"/>
                <w:color w:val="auto"/>
              </w:rPr>
            </w:pPr>
          </w:p>
        </w:tc>
      </w:tr>
      <w:tr>
        <w:trPr>
          <w:trHeight w:val="344"/>
        </w:trPr>
        <w:tc>
          <w:tcPr>
            <w:tcW w:w="23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4"/>
                <w:szCs w:val="24"/>
                <w:color w:val="auto"/>
              </w:rPr>
            </w:pPr>
          </w:p>
        </w:tc>
        <w:tc>
          <w:tcPr>
            <w:tcW w:w="6400" w:type="dxa"/>
            <w:vAlign w:val="bottom"/>
            <w:tcBorders>
              <w:bottom w:val="single" w:sz="8" w:color="auto"/>
            </w:tcBorders>
            <w:gridSpan w:val="3"/>
          </w:tcPr>
          <w:p>
            <w:pPr>
              <w:ind w:left="1440"/>
              <w:spacing w:after="0"/>
              <w:rPr>
                <w:sz w:val="20"/>
                <w:szCs w:val="20"/>
                <w:color w:val="auto"/>
              </w:rPr>
            </w:pPr>
            <w:r>
              <w:rPr>
                <w:rFonts w:ascii="Times New Roman" w:cs="Times New Roman" w:eastAsia="Times New Roman" w:hAnsi="Times New Roman"/>
                <w:sz w:val="18"/>
                <w:szCs w:val="18"/>
                <w:b w:val="1"/>
                <w:bCs w:val="1"/>
                <w:color w:val="auto"/>
              </w:rPr>
              <w:t>Present Principal Occupation or Employment</w:t>
            </w:r>
          </w:p>
        </w:tc>
        <w:tc>
          <w:tcPr>
            <w:tcW w:w="100" w:type="dxa"/>
            <w:vAlign w:val="bottom"/>
          </w:tcPr>
          <w:p>
            <w:pPr>
              <w:spacing w:after="0"/>
              <w:rPr>
                <w:sz w:val="24"/>
                <w:szCs w:val="24"/>
                <w:color w:val="auto"/>
              </w:rPr>
            </w:pPr>
          </w:p>
        </w:tc>
        <w:tc>
          <w:tcPr>
            <w:tcW w:w="2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Citizenship</w:t>
            </w:r>
          </w:p>
        </w:tc>
      </w:tr>
      <w:tr>
        <w:trPr>
          <w:trHeight w:val="318"/>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Adebayo Ogunlesi</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Managing Partner / Founding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Deepak Agrawal</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Julie Ashworth</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General Counsel and Chief Compliance Officer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Jonathan Bram</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William Brilliant</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Callahan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Lucy Chadwick</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Tufan Erginbilgic</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Matthew Harris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Tom Horton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Philip Iley</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Michael McGhee</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and Deputy Chairman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Bruce MacLennan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Canada</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Michael O’Sullivan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Andrew Paulson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Rajaram Rao</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President, Chief Operating Officer and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Salim Samaha</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Stewart</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Australia</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Scott Telesz</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William Woodburn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Gregg Myers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Managing Director of Finance and Accounting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O’Brien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Risk Officer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675"/>
        </w:trPr>
        <w:tc>
          <w:tcPr>
            <w:tcW w:w="2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960" w:type="dxa"/>
            <w:vAlign w:val="bottom"/>
          </w:tcPr>
          <w:p>
            <w:pPr>
              <w:spacing w:after="0"/>
              <w:rPr>
                <w:sz w:val="17"/>
                <w:szCs w:val="17"/>
                <w:color w:val="auto"/>
              </w:rPr>
            </w:pPr>
          </w:p>
        </w:tc>
        <w:tc>
          <w:tcPr>
            <w:tcW w:w="2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9"/>
              </w:rPr>
              <w:t>Clearway Energy Group LLC</w:t>
            </w:r>
          </w:p>
        </w:tc>
        <w:tc>
          <w:tcPr>
            <w:tcW w:w="2220" w:type="dxa"/>
            <w:vAlign w:val="bottom"/>
            <w:gridSpan w:val="2"/>
          </w:tcPr>
          <w:p>
            <w:pPr>
              <w:spacing w:after="0"/>
              <w:rPr>
                <w:sz w:val="17"/>
                <w:szCs w:val="17"/>
                <w:color w:val="auto"/>
              </w:rPr>
            </w:pPr>
          </w:p>
        </w:tc>
        <w:tc>
          <w:tcPr>
            <w:tcW w:w="2240" w:type="dxa"/>
            <w:vAlign w:val="bottom"/>
          </w:tcPr>
          <w:p>
            <w:pPr>
              <w:spacing w:after="0"/>
              <w:rPr>
                <w:sz w:val="17"/>
                <w:szCs w:val="17"/>
                <w:color w:val="auto"/>
              </w:rPr>
            </w:pPr>
          </w:p>
        </w:tc>
      </w:tr>
      <w:tr>
        <w:trPr>
          <w:trHeight w:val="345"/>
        </w:trPr>
        <w:tc>
          <w:tcPr>
            <w:tcW w:w="23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4"/>
                <w:szCs w:val="24"/>
                <w:color w:val="auto"/>
              </w:rPr>
            </w:pPr>
          </w:p>
        </w:tc>
        <w:tc>
          <w:tcPr>
            <w:tcW w:w="6400" w:type="dxa"/>
            <w:vAlign w:val="bottom"/>
            <w:tcBorders>
              <w:bottom w:val="single" w:sz="8" w:color="auto"/>
            </w:tcBorders>
            <w:gridSpan w:val="3"/>
          </w:tcPr>
          <w:p>
            <w:pPr>
              <w:ind w:left="1440"/>
              <w:spacing w:after="0"/>
              <w:rPr>
                <w:sz w:val="20"/>
                <w:szCs w:val="20"/>
                <w:color w:val="auto"/>
              </w:rPr>
            </w:pPr>
            <w:r>
              <w:rPr>
                <w:rFonts w:ascii="Times New Roman" w:cs="Times New Roman" w:eastAsia="Times New Roman" w:hAnsi="Times New Roman"/>
                <w:sz w:val="18"/>
                <w:szCs w:val="18"/>
                <w:b w:val="1"/>
                <w:bCs w:val="1"/>
                <w:color w:val="auto"/>
              </w:rPr>
              <w:t>Present Principal Occupation or Employment</w:t>
            </w:r>
          </w:p>
        </w:tc>
        <w:tc>
          <w:tcPr>
            <w:tcW w:w="100" w:type="dxa"/>
            <w:vAlign w:val="bottom"/>
          </w:tcPr>
          <w:p>
            <w:pPr>
              <w:spacing w:after="0"/>
              <w:rPr>
                <w:sz w:val="24"/>
                <w:szCs w:val="24"/>
                <w:color w:val="auto"/>
              </w:rPr>
            </w:pPr>
          </w:p>
        </w:tc>
        <w:tc>
          <w:tcPr>
            <w:tcW w:w="2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Citizenship</w:t>
            </w:r>
          </w:p>
        </w:tc>
      </w:tr>
      <w:tr>
        <w:trPr>
          <w:trHeight w:val="318"/>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Nathaniel Anschuetz</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Vice Principal at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Jonathan Bram</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Founding 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Robert Callahan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Bruce MacLennan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Canada</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Tufan Erginbilgic</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Partner of Global Infrastructure Partners</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United Kingdom</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Craig Cornelius</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Executive Officer of Clearway Energy Group</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Jennifer Hein</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General Counsel of Clearway Energy Group</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324"/>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Steve Ryder</w:t>
            </w:r>
          </w:p>
        </w:tc>
        <w:tc>
          <w:tcPr>
            <w:tcW w:w="65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Chief Financial Officer of Clearway Energy Group</w:t>
            </w:r>
          </w:p>
        </w:tc>
        <w:tc>
          <w:tcPr>
            <w:tcW w:w="2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United States</w:t>
            </w:r>
          </w:p>
        </w:tc>
      </w:tr>
      <w:tr>
        <w:trPr>
          <w:trHeight w:val="675"/>
        </w:trPr>
        <w:tc>
          <w:tcPr>
            <w:tcW w:w="2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B68079A"/>
    <w:multiLevelType w:val="hybridMultilevel"/>
    <w:lvl w:ilvl="0">
      <w:lvlJc w:val="left"/>
      <w:lvlText w:val="*"/>
      <w:numFmt w:val="bullet"/>
      <w:start w:val="1"/>
    </w:lvl>
  </w:abstractNum>
  <w:abstractNum w:abstractNumId="1">
    <w:nsid w:val="4E6AFB66"/>
    <w:multiLevelType w:val="hybridMultilevel"/>
    <w:lvl w:ilvl="0">
      <w:lvlJc w:val="left"/>
      <w:lvlText w:val="1"/>
      <w:numFmt w:val="bullet"/>
      <w:start w:val="1"/>
    </w:lvl>
  </w:abstractNum>
  <w:abstractNum w:abstractNumId="2">
    <w:nsid w:val="25E45D32"/>
    <w:multiLevelType w:val="hybridMultilevel"/>
    <w:lvl w:ilvl="0">
      <w:lvlJc w:val="left"/>
      <w:lvlText w:val="2"/>
      <w:numFmt w:val="bullet"/>
      <w:start w:val="1"/>
    </w:lvl>
    <w:lvl w:ilvl="1">
      <w:lvlJc w:val="left"/>
      <w:lvlText w:val="(%2)"/>
      <w:numFmt w:val="lowerLetter"/>
      <w:start w:val="1"/>
    </w:lvl>
  </w:abstractNum>
  <w:abstractNum w:abstractNumId="3">
    <w:nsid w:val="519B500D"/>
    <w:multiLevelType w:val="hybridMultilevel"/>
    <w:lvl w:ilvl="0">
      <w:lvlJc w:val="left"/>
      <w:lvlText w:val="3"/>
      <w:numFmt w:val="bullet"/>
      <w:start w:val="1"/>
    </w:lvl>
  </w:abstractNum>
  <w:abstractNum w:abstractNumId="4">
    <w:nsid w:val="431BD7B7"/>
    <w:multiLevelType w:val="hybridMultilevel"/>
    <w:lvl w:ilvl="0">
      <w:lvlJc w:val="left"/>
      <w:lvlText w:val="4"/>
      <w:numFmt w:val="bullet"/>
      <w:start w:val="1"/>
    </w:lvl>
  </w:abstractNum>
  <w:abstractNum w:abstractNumId="5">
    <w:nsid w:val="3F2DBA31"/>
    <w:multiLevelType w:val="hybridMultilevel"/>
    <w:lvl w:ilvl="0">
      <w:lvlJc w:val="left"/>
      <w:lvlText w:val="5"/>
      <w:numFmt w:val="bullet"/>
      <w:start w:val="1"/>
    </w:lvl>
  </w:abstractNum>
  <w:abstractNum w:abstractNumId="6">
    <w:nsid w:val="7C83E458"/>
    <w:multiLevelType w:val="hybridMultilevel"/>
    <w:lvl w:ilvl="0">
      <w:lvlJc w:val="left"/>
      <w:lvlText w:val="6"/>
      <w:numFmt w:val="bullet"/>
      <w:start w:val="1"/>
    </w:lvl>
  </w:abstractNum>
  <w:abstractNum w:abstractNumId="7">
    <w:nsid w:val="257130A3"/>
    <w:multiLevelType w:val="hybridMultilevel"/>
    <w:lvl w:ilvl="0">
      <w:lvlJc w:val="left"/>
      <w:lvlText w:val="%1"/>
      <w:numFmt w:val="decimal"/>
      <w:start w:val="11"/>
    </w:lvl>
  </w:abstractNum>
  <w:abstractNum w:abstractNumId="8">
    <w:nsid w:val="62BBD95A"/>
    <w:multiLevelType w:val="hybridMultilevel"/>
    <w:lvl w:ilvl="0">
      <w:lvlJc w:val="left"/>
      <w:lvlText w:val="1"/>
      <w:numFmt w:val="bullet"/>
      <w:start w:val="1"/>
    </w:lvl>
  </w:abstractNum>
  <w:abstractNum w:abstractNumId="9">
    <w:nsid w:val="436C6125"/>
    <w:multiLevelType w:val="hybridMultilevel"/>
    <w:lvl w:ilvl="0">
      <w:lvlJc w:val="left"/>
      <w:lvlText w:val="2"/>
      <w:numFmt w:val="bullet"/>
      <w:start w:val="1"/>
    </w:lvl>
    <w:lvl w:ilvl="1">
      <w:lvlJc w:val="left"/>
      <w:lvlText w:val="(%2)"/>
      <w:numFmt w:val="lowerLetter"/>
      <w:start w:val="1"/>
    </w:lvl>
  </w:abstractNum>
  <w:abstractNum w:abstractNumId="10">
    <w:nsid w:val="628C895D"/>
    <w:multiLevelType w:val="hybridMultilevel"/>
    <w:lvl w:ilvl="0">
      <w:lvlJc w:val="left"/>
      <w:lvlText w:val="3"/>
      <w:numFmt w:val="bullet"/>
      <w:start w:val="1"/>
    </w:lvl>
  </w:abstractNum>
  <w:abstractNum w:abstractNumId="11">
    <w:nsid w:val="333AB105"/>
    <w:multiLevelType w:val="hybridMultilevel"/>
    <w:lvl w:ilvl="0">
      <w:lvlJc w:val="left"/>
      <w:lvlText w:val="4"/>
      <w:numFmt w:val="bullet"/>
      <w:start w:val="1"/>
    </w:lvl>
  </w:abstractNum>
  <w:abstractNum w:abstractNumId="12">
    <w:nsid w:val="721DA317"/>
    <w:multiLevelType w:val="hybridMultilevel"/>
    <w:lvl w:ilvl="0">
      <w:lvlJc w:val="left"/>
      <w:lvlText w:val="5"/>
      <w:numFmt w:val="bullet"/>
      <w:start w:val="1"/>
    </w:lvl>
  </w:abstractNum>
  <w:abstractNum w:abstractNumId="13">
    <w:nsid w:val="2443A858"/>
    <w:multiLevelType w:val="hybridMultilevel"/>
    <w:lvl w:ilvl="0">
      <w:lvlJc w:val="left"/>
      <w:lvlText w:val="6"/>
      <w:numFmt w:val="bullet"/>
      <w:start w:val="1"/>
    </w:lvl>
  </w:abstractNum>
  <w:abstractNum w:abstractNumId="14">
    <w:nsid w:val="2D1D5AE9"/>
    <w:multiLevelType w:val="hybridMultilevel"/>
    <w:lvl w:ilvl="0">
      <w:lvlJc w:val="left"/>
      <w:lvlText w:val="%1"/>
      <w:numFmt w:val="decimal"/>
      <w:start w:val="11"/>
    </w:lvl>
  </w:abstractNum>
  <w:abstractNum w:abstractNumId="15">
    <w:nsid w:val="6763845E"/>
    <w:multiLevelType w:val="hybridMultilevel"/>
    <w:lvl w:ilvl="0">
      <w:lvlJc w:val="left"/>
      <w:lvlText w:val="1"/>
      <w:numFmt w:val="bullet"/>
      <w:start w:val="1"/>
    </w:lvl>
  </w:abstractNum>
  <w:abstractNum w:abstractNumId="16">
    <w:nsid w:val="75A2A8D4"/>
    <w:multiLevelType w:val="hybridMultilevel"/>
    <w:lvl w:ilvl="0">
      <w:lvlJc w:val="left"/>
      <w:lvlText w:val="2"/>
      <w:numFmt w:val="bullet"/>
      <w:start w:val="1"/>
    </w:lvl>
    <w:lvl w:ilvl="1">
      <w:lvlJc w:val="left"/>
      <w:lvlText w:val="(%2)"/>
      <w:numFmt w:val="lowerLetter"/>
      <w:start w:val="1"/>
    </w:lvl>
  </w:abstractNum>
  <w:abstractNum w:abstractNumId="17">
    <w:nsid w:val="8EDBDAB"/>
    <w:multiLevelType w:val="hybridMultilevel"/>
    <w:lvl w:ilvl="0">
      <w:lvlJc w:val="left"/>
      <w:lvlText w:val="3"/>
      <w:numFmt w:val="bullet"/>
      <w:start w:val="1"/>
    </w:lvl>
  </w:abstractNum>
  <w:abstractNum w:abstractNumId="18">
    <w:nsid w:val="79838CB2"/>
    <w:multiLevelType w:val="hybridMultilevel"/>
    <w:lvl w:ilvl="0">
      <w:lvlJc w:val="left"/>
      <w:lvlText w:val="4"/>
      <w:numFmt w:val="bullet"/>
      <w:start w:val="1"/>
    </w:lvl>
  </w:abstractNum>
  <w:abstractNum w:abstractNumId="19">
    <w:nsid w:val="4353D0CD"/>
    <w:multiLevelType w:val="hybridMultilevel"/>
    <w:lvl w:ilvl="0">
      <w:lvlJc w:val="left"/>
      <w:lvlText w:val="5"/>
      <w:numFmt w:val="bullet"/>
      <w:start w:val="1"/>
    </w:lvl>
  </w:abstractNum>
  <w:abstractNum w:abstractNumId="20">
    <w:nsid w:val="B03E0C6"/>
    <w:multiLevelType w:val="hybridMultilevel"/>
    <w:lvl w:ilvl="0">
      <w:lvlJc w:val="left"/>
      <w:lvlText w:val="6"/>
      <w:numFmt w:val="bullet"/>
      <w:start w:val="1"/>
    </w:lvl>
  </w:abstractNum>
  <w:abstractNum w:abstractNumId="21">
    <w:nsid w:val="189A769B"/>
    <w:multiLevelType w:val="hybridMultilevel"/>
    <w:lvl w:ilvl="0">
      <w:lvlJc w:val="left"/>
      <w:lvlText w:val="%1"/>
      <w:numFmt w:val="decimal"/>
      <w:start w:val="11"/>
    </w:lvl>
  </w:abstractNum>
  <w:abstractNum w:abstractNumId="22">
    <w:nsid w:val="54E49EB4"/>
    <w:multiLevelType w:val="hybridMultilevel"/>
    <w:lvl w:ilvl="0">
      <w:lvlJc w:val="left"/>
      <w:lvlText w:val="1"/>
      <w:numFmt w:val="bullet"/>
      <w:start w:val="1"/>
    </w:lvl>
  </w:abstractNum>
  <w:abstractNum w:abstractNumId="23">
    <w:nsid w:val="71F32454"/>
    <w:multiLevelType w:val="hybridMultilevel"/>
    <w:lvl w:ilvl="0">
      <w:lvlJc w:val="left"/>
      <w:lvlText w:val="2"/>
      <w:numFmt w:val="bullet"/>
      <w:start w:val="1"/>
    </w:lvl>
    <w:lvl w:ilvl="1">
      <w:lvlJc w:val="left"/>
      <w:lvlText w:val="(%2)"/>
      <w:numFmt w:val="lowerLetter"/>
      <w:start w:val="1"/>
    </w:lvl>
  </w:abstractNum>
  <w:abstractNum w:abstractNumId="24">
    <w:nsid w:val="2CA88611"/>
    <w:multiLevelType w:val="hybridMultilevel"/>
    <w:lvl w:ilvl="0">
      <w:lvlJc w:val="left"/>
      <w:lvlText w:val="3"/>
      <w:numFmt w:val="bullet"/>
      <w:start w:val="1"/>
    </w:lvl>
  </w:abstractNum>
  <w:abstractNum w:abstractNumId="25">
    <w:nsid w:val="836C40E"/>
    <w:multiLevelType w:val="hybridMultilevel"/>
    <w:lvl w:ilvl="0">
      <w:lvlJc w:val="left"/>
      <w:lvlText w:val="4"/>
      <w:numFmt w:val="bullet"/>
      <w:start w:val="1"/>
    </w:lvl>
  </w:abstractNum>
  <w:abstractNum w:abstractNumId="26">
    <w:nsid w:val="2901D82"/>
    <w:multiLevelType w:val="hybridMultilevel"/>
    <w:lvl w:ilvl="0">
      <w:lvlJc w:val="left"/>
      <w:lvlText w:val="5"/>
      <w:numFmt w:val="bullet"/>
      <w:start w:val="1"/>
    </w:lvl>
  </w:abstractNum>
  <w:abstractNum w:abstractNumId="27">
    <w:nsid w:val="3A95F874"/>
    <w:multiLevelType w:val="hybridMultilevel"/>
    <w:lvl w:ilvl="0">
      <w:lvlJc w:val="left"/>
      <w:lvlText w:val="6"/>
      <w:numFmt w:val="bullet"/>
      <w:start w:val="1"/>
    </w:lvl>
  </w:abstractNum>
  <w:abstractNum w:abstractNumId="28">
    <w:nsid w:val="8138641"/>
    <w:multiLevelType w:val="hybridMultilevel"/>
    <w:lvl w:ilvl="0">
      <w:lvlJc w:val="left"/>
      <w:lvlText w:val="%1"/>
      <w:numFmt w:val="decimal"/>
      <w:start w:val="11"/>
    </w:lvl>
  </w:abstractNum>
  <w:abstractNum w:abstractNumId="29">
    <w:nsid w:val="1E7FF521"/>
    <w:multiLevelType w:val="hybridMultilevel"/>
    <w:lvl w:ilvl="0">
      <w:lvlJc w:val="left"/>
      <w:lvlText w:val="(%1)"/>
      <w:numFmt w:val="lowerLetter"/>
      <w:start w:val="3"/>
    </w:lvl>
  </w:abstractNum>
  <w:abstractNum w:abstractNumId="30">
    <w:nsid w:val="7C3DBD3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2022-05-25T07:16:50Z</dcterms:created>
  <dcterms:modified xsi:type="dcterms:W3CDTF">2022-05-25T07:16:50Z</dcterms:modified>
</cp:coreProperties>
</file>