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3" w:lineRule="exact"/>
        <w:rPr>
          <w:sz w:val="24"/>
          <w:szCs w:val="24"/>
          <w:color w:val="auto"/>
        </w:rPr>
      </w:pPr>
    </w:p>
    <w:p>
      <w:pPr>
        <w:ind w:left="4344"/>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ind w:left="3324"/>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28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4104"/>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ind w:left="4104"/>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22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18"/>
          <w:szCs w:val="18"/>
          <w:b w:val="1"/>
          <w:bCs w:val="1"/>
          <w:color w:val="auto"/>
        </w:rPr>
        <w:t>18539 C 105 (Class A common stock)</w:t>
      </w:r>
    </w:p>
    <w:p>
      <w:pPr>
        <w:spacing w:after="0" w:line="31"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18"/>
          <w:szCs w:val="18"/>
          <w:b w:val="1"/>
          <w:bCs w:val="1"/>
          <w:color w:val="auto"/>
        </w:rPr>
        <w:t>18539 C 204 (Class C common stock)</w:t>
      </w:r>
    </w:p>
    <w:p>
      <w:pPr>
        <w:spacing w:after="0" w:line="22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Global Infrastructure Management, LLC</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Attention: Julie Ashworth</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1345 Avenue of the Americas, 30th Floor,</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(212) 315-8100</w:t>
      </w:r>
    </w:p>
    <w:p>
      <w:pPr>
        <w:spacing w:after="0" w:line="234"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May 24, 2022</w:t>
      </w:r>
    </w:p>
    <w:p>
      <w:pPr>
        <w:spacing w:after="0" w:line="25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o</w:t>
      </w:r>
    </w:p>
    <w:p>
      <w:pPr>
        <w:spacing w:after="0" w:line="158" w:lineRule="exact"/>
        <w:rPr>
          <w:sz w:val="24"/>
          <w:szCs w:val="24"/>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13d-7(b) for other parties to whom copies are to be sent.</w:t>
      </w:r>
    </w:p>
    <w:p>
      <w:pPr>
        <w:spacing w:after="0" w:line="159" w:lineRule="exact"/>
        <w:rPr>
          <w:sz w:val="24"/>
          <w:szCs w:val="24"/>
          <w:color w:val="auto"/>
        </w:rPr>
      </w:pPr>
    </w:p>
    <w:p>
      <w:pPr>
        <w:ind w:left="4" w:right="60" w:hanging="4"/>
        <w:spacing w:after="0" w:line="282" w:lineRule="auto"/>
        <w:tabs>
          <w:tab w:leader="none" w:pos="1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603250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24"/>
          </w:cols>
          <w:pgMar w:left="976" w:top="779"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hanging="463"/>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Infrastructure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42,398,785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34.1%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right="8160" w:hanging="463"/>
        <w:spacing w:after="0" w:line="312"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Global Infrastructure GP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66948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63" w:lineRule="exact"/>
        <w:rPr>
          <w:sz w:val="20"/>
          <w:szCs w:val="20"/>
          <w:color w:val="auto"/>
        </w:rPr>
      </w:pPr>
    </w:p>
    <w:p>
      <w:pPr>
        <w:ind w:left="700" w:hanging="463"/>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42,398,785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34.1%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hanging="463"/>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III Zephyr Acquisition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42,398,785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34.1%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18539C105, 18539C204</w:t>
            </w:r>
          </w:p>
        </w:tc>
        <w:tc>
          <w:tcPr>
            <w:tcW w:w="72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13D</w:t>
            </w:r>
          </w:p>
        </w:tc>
      </w:tr>
      <w:tr>
        <w:trPr>
          <w:trHeight w:val="68"/>
        </w:trPr>
        <w:tc>
          <w:tcPr>
            <w:tcW w:w="396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r>
    </w:tbl>
    <w:p>
      <w:pPr>
        <w:spacing w:after="0" w:line="373" w:lineRule="exact"/>
        <w:rPr>
          <w:sz w:val="20"/>
          <w:szCs w:val="20"/>
          <w:color w:val="auto"/>
        </w:rPr>
      </w:pPr>
    </w:p>
    <w:p>
      <w:pPr>
        <w:ind w:left="700" w:right="8400" w:hanging="463"/>
        <w:spacing w:after="0" w:line="312" w:lineRule="auto"/>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66948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63" w:lineRule="exact"/>
        <w:rPr>
          <w:sz w:val="20"/>
          <w:szCs w:val="20"/>
          <w:color w:val="auto"/>
        </w:rPr>
      </w:pPr>
    </w:p>
    <w:p>
      <w:pPr>
        <w:ind w:left="700" w:hanging="463"/>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44" w:lineRule="exact"/>
        <w:rPr>
          <w:rFonts w:ascii="Times New Roman" w:cs="Times New Roman" w:eastAsia="Times New Roman" w:hAnsi="Times New Roman"/>
          <w:sz w:val="18"/>
          <w:szCs w:val="18"/>
          <w:color w:val="auto"/>
        </w:rPr>
      </w:pPr>
    </w:p>
    <w:p>
      <w:pPr>
        <w:ind w:left="1540" w:hanging="785"/>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51435</wp:posOffset>
            </wp:positionV>
            <wp:extent cx="61976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-170815</wp:posOffset>
            </wp:positionV>
            <wp:extent cx="61976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00" w:hanging="463"/>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hanging="463"/>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700" w:hanging="463"/>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60325</wp:posOffset>
            </wp:positionV>
            <wp:extent cx="66948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920" w:hanging="463"/>
        <w:spacing w:after="0" w:line="282"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19685</wp:posOffset>
            </wp:positionV>
            <wp:extent cx="66948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5"/>
        </w:trPr>
        <w:tc>
          <w:tcPr>
            <w:tcW w:w="960" w:type="dxa"/>
            <w:vAlign w:val="bottom"/>
            <w:vMerge w:val="continue"/>
          </w:tcPr>
          <w:p>
            <w:pPr>
              <w:spacing w:after="0"/>
              <w:rPr>
                <w:sz w:val="24"/>
                <w:szCs w:val="24"/>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vMerge w:val="continue"/>
          </w:tcPr>
          <w:p>
            <w:pPr>
              <w:spacing w:after="0"/>
              <w:rPr>
                <w:sz w:val="8"/>
                <w:szCs w:val="8"/>
                <w:color w:val="auto"/>
              </w:rPr>
            </w:pPr>
          </w:p>
        </w:tc>
        <w:tc>
          <w:tcPr>
            <w:tcW w:w="9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113"/>
        </w:trPr>
        <w:tc>
          <w:tcPr>
            <w:tcW w:w="96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Beneficially</w:t>
            </w:r>
          </w:p>
        </w:tc>
        <w:tc>
          <w:tcPr>
            <w:tcW w:w="420" w:type="dxa"/>
            <w:vAlign w:val="bottom"/>
          </w:tcPr>
          <w:p>
            <w:pPr>
              <w:spacing w:after="0"/>
              <w:rPr>
                <w:sz w:val="9"/>
                <w:szCs w:val="9"/>
                <w:color w:val="auto"/>
              </w:rPr>
            </w:pPr>
          </w:p>
        </w:tc>
        <w:tc>
          <w:tcPr>
            <w:tcW w:w="9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9</w:t>
            </w: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20" w:type="dxa"/>
            <w:vAlign w:val="bottom"/>
            <w:vMerge w:val="continue"/>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20" w:type="dxa"/>
            <w:vAlign w:val="bottom"/>
          </w:tcPr>
          <w:p>
            <w:pPr>
              <w:spacing w:after="0"/>
              <w:rPr>
                <w:sz w:val="12"/>
                <w:szCs w:val="12"/>
                <w:color w:val="auto"/>
              </w:rPr>
            </w:pPr>
          </w:p>
        </w:tc>
        <w:tc>
          <w:tcPr>
            <w:tcW w:w="9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9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9"/>
        </w:trPr>
        <w:tc>
          <w:tcPr>
            <w:tcW w:w="9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42,760,591 shares of Class A common stock; 42,398,785 shares of Class C common stock</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42,760,591 shares of Class A common stock; 42,398,785 shares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o</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55.3% of Class A common stock; 34.1% of Class C common stock</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700" w:hanging="46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48895</wp:posOffset>
            </wp:positionV>
            <wp:extent cx="66948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-516255</wp:posOffset>
            </wp:positionV>
            <wp:extent cx="66948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-1082040</wp:posOffset>
            </wp:positionV>
            <wp:extent cx="66948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-1510665</wp:posOffset>
            </wp:positionV>
            <wp:extent cx="66948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amends and supplements the statement on Schedule 13D originally filed with the United States Securities and Exchange Commission on September 10, 2018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and as amended,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related to the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Class C common stock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of Clearway Energy,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whose principal executive offices are located at 300 Carnegie Center, Princeton, New Jersey 08540.</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Items below amend the information disclosed under the corresponding Items of the Schedule 13D as described below. Except as specifically provided herein, this Amendment does not modify any of the information previously reported in the Schedule 13D. Capitalized terms used but not defined herein shall have the meanings attributed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the Original Schedule 13D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amended and restated Annex A hereto is incorporated by reference in this amended Item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Original Schedule 13D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 6 of this Schedule 13D is incorporated by reference in its entirety into this Item 4.</w:t>
      </w:r>
    </w:p>
    <w:p>
      <w:pPr>
        <w:spacing w:after="0" w:line="22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May 24, 2022, GIP III Zephyr Acquisition Holdings, L.P. agreed to sell fifty percent (50%) of the equity interests in GIP III Zephyr Holdings, LLC, which in turn owns all of the equity interests in GIP III Zephyr Acquisition Partners, L.P. and Clearway Energy Group (each of which indirectly or directly beneficially owns shares of Class A Common Stock and Class C Common Stock of the Issuer), to TotalEnergies Renewables USA, LLC, an indirect subsidiary of TotalEnergies SE, (the “Transaction”). The closing of the Transaction is subject to customary but material contingencies, including without limitation receipt of certain regulatory approvals. Following the closing of the Transaction, GIP III Zephyr Acquisition Holdings, L.P. and TotalEnergies Renewables USA, LLC are each expected to indirectly own 50.00% of the equity interests in Clearway Energy Group. No shares of Class A Common Stock and Class C Common Stock are being directly transferred pursuant to the Transaction.</w:t>
      </w:r>
    </w:p>
    <w:p>
      <w:pPr>
        <w:spacing w:after="0" w:line="18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Following the closing of the Transaction, by virtue of GIP III Zephyr Acquisition Holdings, L.P.’s and TotalEnergies Renewables USA, LLC’s respective governance rights over GIP III Zephyr Holdings, LLC, GIP III Zephyr Acquisition Holdings, L.P. and TotalEnergies Renewables USA, LLC may be deemed to share beneficial ownership of all of the equity interests in shares of Class A Common Stock and Class C Common Stock that are now beneficially owned by Clearway Energy Group LLC. Following the closing of the Transaction, GIP III Zephyr Acquisition Holdings, L.P. and TotalEnergies Renewables USA, LLC are also each contemplated to have certain other governance rights related to Clearway Energy Group and its subsidiaries, including without limitation with respect to the exercise of director nomination rights held by Clearway Energy Group with respect to the board of the directors of the Issuer. The Transaction is expected to close by year end 2022, subject to customary conditions but material contingencies, including without limitation, the receipt of certain regulatory and other approvals. However, there can be no assurance that the Transaction closing will actually occur, or occur by any particular date or on the currently anticipated terms.</w:t>
      </w:r>
    </w:p>
    <w:p>
      <w:pPr>
        <w:spacing w:after="0" w:line="1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of the date hereof, Nathaniel Anschuetz, a Principal at GIP and member of the Board of Directors of Clearway Energy Group, serves on the Board of Directors of the Issuer. Jonathan Bram, a Founding Partner of GIP and member of the Board of Directors of Clearway Energy Group, serves as the Chairman of the Board of Directors of the Issuer. Bruce MacLennan, a Partner at GIP and member of the Board of Directors of Clearway Energy Group, serves on the Board of Directors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(b)</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number and percentage of shares of Class A Common Stock and Class C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the Schedule 13D and are incorporated herein by reference.</w:t>
      </w:r>
    </w:p>
    <w:p>
      <w:pPr>
        <w:spacing w:after="0" w:line="24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Calculations of the percentage of shares of stock beneficially owned are based on 34,599,645 shares of Class A Common Stock and 81,944,239 shares of Class C Common Stock, respectively, outstanding as of April 29, 2022, as reported in the Issuer’s Quarterly Report on Form 10-Q filed with the Securities and Exchange Commission on May 5, 2022, and take into account the number of Class B Units and Class D Units beneficially owned by the Reporting Persons and convertible into shares of Class A Common Stock and Class C Common Stock, respectively, as applicable.</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Clearway Energy Group is the record holder of 21,841 shares of Class A Common Stock, 42,738,750 Class B Units, 62,035 shares of Class C Common Stock and 42,336,750 Class D Units. Pursuant to the terms of the Exchange Agreement, each Class B Unit is exchangeable at any time for shares of Class A Common Stock, and each Class D Unit is exchangeable at any time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Global Infrastructure Investors III, LLC is the sole general partner of Global Infrastructure GP III, L.P., which is the general partner of GIP III Zephyr Acquisition Partners, L.P., which is the sole member of Clearway Energy Group. As a result, each of Global Infrastructure Investors III, LLC, Global Infrastructure GP III, L.P. and GIP III Zephyr Acquisition Partners, L.P. may be deemed to share beneficial ownership of the Class A Common Stock and Class C Common Stock beneficially owned by Clearway Energy Group. Adebayo Ogunlesi, Jonathan Bram, William Brilliant, Tufan Erginbilgic, Matthew Harris, Michael McGhee, Rajaram Rao, Salim Samaha and Robert O’Brien, as the voting members of the Investment Committee of Global Infrastructure Investors III, LLC, may be deemed to share beneficial ownership of the Class A Common Stock and Class C Common Stock beneficially owned by Global Infrastructure Investors III, LLC. Such individuals expressly disclaim any such beneficial ownership.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Related Persons beneficially owns any shares of Class A Common Stock or Class C Common Stock.</w:t>
      </w:r>
    </w:p>
    <w:p>
      <w:pPr>
        <w:spacing w:after="0" w:line="225" w:lineRule="exact"/>
        <w:rPr>
          <w:sz w:val="20"/>
          <w:szCs w:val="20"/>
          <w:color w:val="auto"/>
        </w:rPr>
      </w:pPr>
    </w:p>
    <w:p>
      <w:pPr>
        <w:ind w:left="260" w:right="40" w:hanging="252"/>
        <w:spacing w:after="0" w:line="282" w:lineRule="auto"/>
        <w:tabs>
          <w:tab w:leader="none" w:pos="2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including the transactions listed on Annex A attached hereto, none of the Reporting Persons or Related Persons has effected any transactions in Class A Common Stock or Class C Common Stock in the past 60 days.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Original Schedule 13D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May 25,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INVESTORS III,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GLOBAL INFRASTRUCTURE GP III,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GIP III ZEPHYR ACQUISITION PARTNERS, L.P.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GP III, L.P.,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GROUP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Annex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Transactions in Class A Common Stock and Class C Common Stock in the previous 60 days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Date</w:t>
            </w:r>
          </w:p>
        </w:tc>
        <w:tc>
          <w:tcPr>
            <w:tcW w:w="24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Security</w:t>
            </w:r>
          </w:p>
        </w:tc>
        <w:tc>
          <w:tcPr>
            <w:tcW w:w="2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Number of Shares</w:t>
            </w:r>
          </w:p>
        </w:tc>
        <w:tc>
          <w:tcPr>
            <w:tcW w:w="2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Transaction</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Price</w:t>
            </w:r>
          </w:p>
        </w:tc>
      </w:tr>
      <w:tr>
        <w:trPr>
          <w:trHeight w:val="223"/>
        </w:trPr>
        <w:tc>
          <w:tcPr>
            <w:tcW w:w="28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5/15/2022</w:t>
            </w:r>
          </w:p>
        </w:tc>
        <w:tc>
          <w:tcPr>
            <w:tcW w:w="24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236,624</w:t>
            </w:r>
          </w:p>
        </w:tc>
        <w:tc>
          <w:tcPr>
            <w:tcW w:w="2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$31.33(3)</w:t>
            </w:r>
          </w:p>
        </w:tc>
        <w:tc>
          <w:tcPr>
            <w:tcW w:w="220" w:type="dxa"/>
            <w:vAlign w:val="bottom"/>
            <w:tcBorders>
              <w:top w:val="single" w:sz="8" w:color="CCEEFF"/>
            </w:tcBorders>
            <w:shd w:val="clear" w:color="auto" w:fill="CCEEFF"/>
          </w:tcPr>
          <w:p>
            <w:pPr>
              <w:spacing w:after="0"/>
              <w:rPr>
                <w:sz w:val="19"/>
                <w:szCs w:val="19"/>
                <w:color w:val="auto"/>
              </w:rPr>
            </w:pPr>
          </w:p>
        </w:tc>
      </w:tr>
      <w:tr>
        <w:trPr>
          <w:trHeight w:val="229"/>
        </w:trPr>
        <w:tc>
          <w:tcPr>
            <w:tcW w:w="2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5/13/2022</w:t>
            </w:r>
          </w:p>
        </w:tc>
        <w:tc>
          <w:tcPr>
            <w:tcW w:w="240" w:type="dxa"/>
            <w:vAlign w:val="bottom"/>
          </w:tcPr>
          <w:p>
            <w:pPr>
              <w:spacing w:after="0"/>
              <w:rPr>
                <w:sz w:val="19"/>
                <w:szCs w:val="19"/>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3,192</w:t>
            </w:r>
          </w:p>
        </w:tc>
        <w:tc>
          <w:tcPr>
            <w:tcW w:w="220" w:type="dxa"/>
            <w:vAlign w:val="bottom"/>
          </w:tcPr>
          <w:p>
            <w:pPr>
              <w:spacing w:after="0"/>
              <w:rPr>
                <w:sz w:val="19"/>
                <w:szCs w:val="19"/>
                <w:color w:val="auto"/>
              </w:rPr>
            </w:pP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$31.33(3)</w:t>
            </w:r>
          </w:p>
        </w:tc>
        <w:tc>
          <w:tcPr>
            <w:tcW w:w="220" w:type="dxa"/>
            <w:vAlign w:val="bottom"/>
          </w:tcPr>
          <w:p>
            <w:pPr>
              <w:spacing w:after="0"/>
              <w:rPr>
                <w:sz w:val="19"/>
                <w:szCs w:val="19"/>
                <w:color w:val="auto"/>
              </w:rPr>
            </w:pPr>
          </w:p>
        </w:tc>
      </w:tr>
      <w:tr>
        <w:trPr>
          <w:trHeight w:val="230"/>
        </w:trPr>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5/4/2022</w:t>
            </w:r>
          </w:p>
        </w:tc>
        <w:tc>
          <w:tcPr>
            <w:tcW w:w="2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r>
      <w:tr>
        <w:trPr>
          <w:trHeight w:val="229"/>
        </w:trPr>
        <w:tc>
          <w:tcPr>
            <w:tcW w:w="2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04/29/2022</w:t>
            </w:r>
          </w:p>
        </w:tc>
        <w:tc>
          <w:tcPr>
            <w:tcW w:w="240" w:type="dxa"/>
            <w:vAlign w:val="bottom"/>
          </w:tcPr>
          <w:p>
            <w:pPr>
              <w:spacing w:after="0"/>
              <w:rPr>
                <w:sz w:val="19"/>
                <w:szCs w:val="19"/>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2,366</w:t>
            </w:r>
          </w:p>
        </w:tc>
        <w:tc>
          <w:tcPr>
            <w:tcW w:w="220" w:type="dxa"/>
            <w:vAlign w:val="bottom"/>
          </w:tcPr>
          <w:p>
            <w:pPr>
              <w:spacing w:after="0"/>
              <w:rPr>
                <w:sz w:val="19"/>
                <w:szCs w:val="19"/>
                <w:color w:val="auto"/>
              </w:rPr>
            </w:pP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r>
      <w:tr>
        <w:trPr>
          <w:trHeight w:val="229"/>
        </w:trPr>
        <w:tc>
          <w:tcPr>
            <w:tcW w:w="2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04/22/2022</w:t>
            </w:r>
          </w:p>
        </w:tc>
        <w:tc>
          <w:tcPr>
            <w:tcW w:w="2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5,479</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r>
      <w:tr>
        <w:trPr>
          <w:trHeight w:val="230"/>
        </w:trPr>
        <w:tc>
          <w:tcPr>
            <w:tcW w:w="2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04/15/2022</w:t>
            </w:r>
          </w:p>
        </w:tc>
        <w:tc>
          <w:tcPr>
            <w:tcW w:w="240" w:type="dxa"/>
            <w:vAlign w:val="bottom"/>
          </w:tcPr>
          <w:p>
            <w:pPr>
              <w:spacing w:after="0"/>
              <w:rPr>
                <w:sz w:val="19"/>
                <w:szCs w:val="19"/>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19"/>
                <w:szCs w:val="19"/>
                <w:color w:val="auto"/>
              </w:rPr>
            </w:pP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$34.24(3)</w:t>
            </w:r>
          </w:p>
        </w:tc>
        <w:tc>
          <w:tcPr>
            <w:tcW w:w="220" w:type="dxa"/>
            <w:vAlign w:val="bottom"/>
          </w:tcPr>
          <w:p>
            <w:pPr>
              <w:spacing w:after="0"/>
              <w:rPr>
                <w:sz w:val="19"/>
                <w:szCs w:val="19"/>
                <w:color w:val="auto"/>
              </w:rPr>
            </w:pPr>
          </w:p>
        </w:tc>
      </w:tr>
      <w:tr>
        <w:trPr>
          <w:trHeight w:val="229"/>
        </w:trPr>
        <w:tc>
          <w:tcPr>
            <w:tcW w:w="2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04/8/2022</w:t>
            </w:r>
          </w:p>
        </w:tc>
        <w:tc>
          <w:tcPr>
            <w:tcW w:w="2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1,152</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$35.09(4)</w:t>
            </w:r>
          </w:p>
        </w:tc>
        <w:tc>
          <w:tcPr>
            <w:tcW w:w="220" w:type="dxa"/>
            <w:vAlign w:val="bottom"/>
            <w:shd w:val="clear" w:color="auto" w:fill="CCEEFF"/>
          </w:tcPr>
          <w:p>
            <w:pPr>
              <w:spacing w:after="0"/>
              <w:rPr>
                <w:sz w:val="19"/>
                <w:szCs w:val="19"/>
                <w:color w:val="auto"/>
              </w:rPr>
            </w:pPr>
          </w:p>
        </w:tc>
      </w:tr>
      <w:tr>
        <w:trPr>
          <w:trHeight w:val="229"/>
        </w:trPr>
        <w:tc>
          <w:tcPr>
            <w:tcW w:w="2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04/8/2022</w:t>
            </w:r>
          </w:p>
        </w:tc>
        <w:tc>
          <w:tcPr>
            <w:tcW w:w="240" w:type="dxa"/>
            <w:vAlign w:val="bottom"/>
          </w:tcPr>
          <w:p>
            <w:pPr>
              <w:spacing w:after="0"/>
              <w:rPr>
                <w:sz w:val="19"/>
                <w:szCs w:val="19"/>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r>
      <w:tr>
        <w:trPr>
          <w:trHeight w:val="230"/>
        </w:trPr>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4/1/2022</w:t>
            </w:r>
          </w:p>
        </w:tc>
        <w:tc>
          <w:tcPr>
            <w:tcW w:w="2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47,949</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$36.46(4)</w:t>
            </w:r>
          </w:p>
        </w:tc>
        <w:tc>
          <w:tcPr>
            <w:tcW w:w="220" w:type="dxa"/>
            <w:vAlign w:val="bottom"/>
            <w:shd w:val="clear" w:color="auto" w:fill="CCEEFF"/>
          </w:tcPr>
          <w:p>
            <w:pPr>
              <w:spacing w:after="0"/>
              <w:rPr>
                <w:sz w:val="19"/>
                <w:szCs w:val="19"/>
                <w:color w:val="auto"/>
              </w:rPr>
            </w:pPr>
          </w:p>
        </w:tc>
      </w:tr>
      <w:tr>
        <w:trPr>
          <w:trHeight w:val="229"/>
        </w:trPr>
        <w:tc>
          <w:tcPr>
            <w:tcW w:w="2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4/1/2022</w:t>
            </w:r>
          </w:p>
        </w:tc>
        <w:tc>
          <w:tcPr>
            <w:tcW w:w="240" w:type="dxa"/>
            <w:vAlign w:val="bottom"/>
          </w:tcPr>
          <w:p>
            <w:pPr>
              <w:spacing w:after="0"/>
              <w:rPr>
                <w:sz w:val="19"/>
                <w:szCs w:val="19"/>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9"/>
                <w:szCs w:val="19"/>
                <w:color w:val="auto"/>
              </w:rPr>
            </w:pP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r>
      <w:tr>
        <w:trPr>
          <w:trHeight w:val="230"/>
        </w:trPr>
        <w:tc>
          <w:tcPr>
            <w:tcW w:w="28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4/1/2022</w:t>
            </w:r>
          </w:p>
        </w:tc>
        <w:tc>
          <w:tcPr>
            <w:tcW w:w="2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97,481</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$36.46(3)</w:t>
            </w:r>
          </w:p>
        </w:tc>
        <w:tc>
          <w:tcPr>
            <w:tcW w:w="220" w:type="dxa"/>
            <w:vAlign w:val="bottom"/>
            <w:shd w:val="clear" w:color="auto" w:fill="CCEEFF"/>
          </w:tcPr>
          <w:p>
            <w:pPr>
              <w:spacing w:after="0"/>
              <w:rPr>
                <w:sz w:val="19"/>
                <w:szCs w:val="19"/>
                <w:color w:val="auto"/>
              </w:rPr>
            </w:pPr>
          </w:p>
        </w:tc>
      </w:tr>
      <w:tr>
        <w:trPr>
          <w:trHeight w:val="234"/>
        </w:trPr>
        <w:tc>
          <w:tcPr>
            <w:tcW w:w="2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3/25/2022</w:t>
            </w:r>
          </w:p>
        </w:tc>
        <w:tc>
          <w:tcPr>
            <w:tcW w:w="240" w:type="dxa"/>
            <w:vAlign w:val="bottom"/>
          </w:tcPr>
          <w:p>
            <w:pPr>
              <w:spacing w:after="0"/>
              <w:rPr>
                <w:sz w:val="20"/>
                <w:szCs w:val="20"/>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Class C Common Stock</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47,000</w:t>
            </w:r>
          </w:p>
        </w:tc>
        <w:tc>
          <w:tcPr>
            <w:tcW w:w="220" w:type="dxa"/>
            <w:vAlign w:val="bottom"/>
          </w:tcPr>
          <w:p>
            <w:pPr>
              <w:spacing w:after="0"/>
              <w:rPr>
                <w:sz w:val="20"/>
                <w:szCs w:val="20"/>
                <w:color w:val="auto"/>
              </w:rPr>
            </w:pP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r>
    </w:tbl>
    <w:p>
      <w:pPr>
        <w:spacing w:after="0" w:line="193" w:lineRule="exact"/>
        <w:rPr>
          <w:sz w:val="20"/>
          <w:szCs w:val="20"/>
          <w:color w:val="auto"/>
        </w:rPr>
      </w:pPr>
    </w:p>
    <w:p>
      <w:pPr>
        <w:ind w:right="20" w:firstLine="8"/>
        <w:spacing w:after="0" w:line="261"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Exchange Agreement, the Class D Units of Clearway LLC were exchanged for shares of Class C Common Stock on a one-for-one basis. An equivalent number of shares of Class D Common Stock were automatically be canceled.</w:t>
      </w:r>
    </w:p>
    <w:p>
      <w:pPr>
        <w:ind w:firstLine="8"/>
        <w:spacing w:after="0" w:line="25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previously granted by Clearway Energy Group under its Long Term Equity Incentive Program forfeited by one of its employees due to termination of service.</w:t>
      </w:r>
    </w:p>
    <w:p>
      <w:pPr>
        <w:ind w:right="680" w:firstLine="8"/>
        <w:spacing w:after="0" w:line="25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of the Issuer granted by Clearway Energy Group under its Long Term Equity Incentive Program to one or more of its employees.</w:t>
      </w:r>
    </w:p>
    <w:p>
      <w:pPr>
        <w:ind w:right="260" w:firstLine="8"/>
        <w:spacing w:after="0" w:line="26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to satisfy tax withholding obligations in connection with the vesting of restricted stock of the Issuer previously granted by Clearway Energy Group under its Long Term Equity Incentive Program to certain of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name, present principal occupation or employment and citizenship of each of the executive officers and directors of Global Infrastructure Investors III, LLC and Clearway Energy Group LLC are set forth below. Unless otherwise noted, the business address of each individual affiliated with Global Infrastructure Investors III, LLC is c/o Global Infrastructure Management, LLC, 1345 Avenue of the Americas, 30th Floor, New York, New York 10105.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Global Infrastructure Investors III, LLC</w:t>
            </w:r>
          </w:p>
        </w:tc>
        <w:tc>
          <w:tcPr>
            <w:tcW w:w="180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r>
      <w:tr>
        <w:trPr>
          <w:trHeight w:val="344"/>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64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31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Adebayo Ogunlesi</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Partner / Founding 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Deepak Agrawal</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Ashworth</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Counsel and Chief Compliance Officer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Bram</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Brilliant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Callahan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Lucy Chadwick</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Tufan Erginbilgic</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Harris</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Tom Horton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Iley</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McGhee</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and Deputy Chairman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MacLennan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O’Sullivan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Paulson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Rajaram Rao</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President, Chief Operating Officer and 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Salim Samaha</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Stewart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Telesz</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Woodburn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Gregg Myers</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Managing Director of Finance and Accounting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O’Brien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Risk Officer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675"/>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Clearway Energy Group LLC</w:t>
            </w:r>
          </w:p>
        </w:tc>
        <w:tc>
          <w:tcPr>
            <w:tcW w:w="222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r>
      <w:tr>
        <w:trPr>
          <w:trHeight w:val="345"/>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64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c>
          <w:tcPr>
            <w:tcW w:w="1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31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Nathaniel Anschuetz</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 Principal at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Bram</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Founding 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Callahan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Bruce MacLennan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Tufan Erginbilgic</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Partner of Global Infrastructure Partners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Cornelius</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 of Clearway Energy Group</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Hein</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Counsel of Clearway Energy Group</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32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 Ryder</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Financial Officer of Clearway Energy Group</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675"/>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2"/>
      <w:numFmt w:val="bullet"/>
      <w:start w:val="1"/>
    </w:lvl>
    <w:lvl w:ilvl="1">
      <w:lvlJc w:val="left"/>
      <w:lvlText w:val="(%2)"/>
      <w:numFmt w:val="lowerLetter"/>
      <w:start w:val="1"/>
    </w:lvl>
  </w:abstractNum>
  <w:abstractNum w:abstractNumId="3">
    <w:nsid w:val="519B500D"/>
    <w:multiLevelType w:val="hybridMultilevel"/>
    <w:lvl w:ilvl="0">
      <w:lvlJc w:val="left"/>
      <w:lvlText w:val="3"/>
      <w:numFmt w:val="bullet"/>
      <w:start w:val="1"/>
    </w:lvl>
  </w:abstractNum>
  <w:abstractNum w:abstractNumId="4">
    <w:nsid w:val="431BD7B7"/>
    <w:multiLevelType w:val="hybridMultilevel"/>
    <w:lvl w:ilvl="0">
      <w:lvlJc w:val="left"/>
      <w:lvlText w:val="4"/>
      <w:numFmt w:val="bullet"/>
      <w:start w:val="1"/>
    </w:lvl>
  </w:abstractNum>
  <w:abstractNum w:abstractNumId="5">
    <w:nsid w:val="3F2DBA31"/>
    <w:multiLevelType w:val="hybridMultilevel"/>
    <w:lvl w:ilvl="0">
      <w:lvlJc w:val="left"/>
      <w:lvlText w:val="5"/>
      <w:numFmt w:val="bullet"/>
      <w:start w:val="1"/>
    </w:lvl>
  </w:abstractNum>
  <w:abstractNum w:abstractNumId="6">
    <w:nsid w:val="7C83E458"/>
    <w:multiLevelType w:val="hybridMultilevel"/>
    <w:lvl w:ilvl="0">
      <w:lvlJc w:val="left"/>
      <w:lvlText w:val="6"/>
      <w:numFmt w:val="bullet"/>
      <w:start w:val="1"/>
    </w:lvl>
  </w:abstractNum>
  <w:abstractNum w:abstractNumId="7">
    <w:nsid w:val="257130A3"/>
    <w:multiLevelType w:val="hybridMultilevel"/>
    <w:lvl w:ilvl="0">
      <w:lvlJc w:val="left"/>
      <w:lvlText w:val="%1"/>
      <w:numFmt w:val="decimal"/>
      <w:start w:val="11"/>
    </w:lvl>
  </w:abstractNum>
  <w:abstractNum w:abstractNumId="8">
    <w:nsid w:val="62BBD95A"/>
    <w:multiLevelType w:val="hybridMultilevel"/>
    <w:lvl w:ilvl="0">
      <w:lvlJc w:val="left"/>
      <w:lvlText w:val="1"/>
      <w:numFmt w:val="bullet"/>
      <w:start w:val="1"/>
    </w:lvl>
  </w:abstractNum>
  <w:abstractNum w:abstractNumId="9">
    <w:nsid w:val="436C6125"/>
    <w:multiLevelType w:val="hybridMultilevel"/>
    <w:lvl w:ilvl="0">
      <w:lvlJc w:val="left"/>
      <w:lvlText w:val="2"/>
      <w:numFmt w:val="bullet"/>
      <w:start w:val="1"/>
    </w:lvl>
    <w:lvl w:ilvl="1">
      <w:lvlJc w:val="left"/>
      <w:lvlText w:val="(%2)"/>
      <w:numFmt w:val="lowerLetter"/>
      <w:start w:val="1"/>
    </w:lvl>
  </w:abstractNum>
  <w:abstractNum w:abstractNumId="10">
    <w:nsid w:val="628C895D"/>
    <w:multiLevelType w:val="hybridMultilevel"/>
    <w:lvl w:ilvl="0">
      <w:lvlJc w:val="left"/>
      <w:lvlText w:val="3"/>
      <w:numFmt w:val="bullet"/>
      <w:start w:val="1"/>
    </w:lvl>
  </w:abstractNum>
  <w:abstractNum w:abstractNumId="11">
    <w:nsid w:val="333AB105"/>
    <w:multiLevelType w:val="hybridMultilevel"/>
    <w:lvl w:ilvl="0">
      <w:lvlJc w:val="left"/>
      <w:lvlText w:val="4"/>
      <w:numFmt w:val="bullet"/>
      <w:start w:val="1"/>
    </w:lvl>
  </w:abstractNum>
  <w:abstractNum w:abstractNumId="12">
    <w:nsid w:val="721DA317"/>
    <w:multiLevelType w:val="hybridMultilevel"/>
    <w:lvl w:ilvl="0">
      <w:lvlJc w:val="left"/>
      <w:lvlText w:val="5"/>
      <w:numFmt w:val="bullet"/>
      <w:start w:val="1"/>
    </w:lvl>
  </w:abstractNum>
  <w:abstractNum w:abstractNumId="13">
    <w:nsid w:val="2443A858"/>
    <w:multiLevelType w:val="hybridMultilevel"/>
    <w:lvl w:ilvl="0">
      <w:lvlJc w:val="left"/>
      <w:lvlText w:val="6"/>
      <w:numFmt w:val="bullet"/>
      <w:start w:val="1"/>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1"/>
      <w:numFmt w:val="bullet"/>
      <w:start w:val="1"/>
    </w:lvl>
  </w:abstractNum>
  <w:abstractNum w:abstractNumId="16">
    <w:nsid w:val="75A2A8D4"/>
    <w:multiLevelType w:val="hybridMultilevel"/>
    <w:lvl w:ilvl="0">
      <w:lvlJc w:val="left"/>
      <w:lvlText w:val="2"/>
      <w:numFmt w:val="bullet"/>
      <w:start w:val="1"/>
    </w:lvl>
    <w:lvl w:ilvl="1">
      <w:lvlJc w:val="left"/>
      <w:lvlText w:val="(%2)"/>
      <w:numFmt w:val="lowerLetter"/>
      <w:start w:val="1"/>
    </w:lvl>
  </w:abstractNum>
  <w:abstractNum w:abstractNumId="17">
    <w:nsid w:val="8EDBDAB"/>
    <w:multiLevelType w:val="hybridMultilevel"/>
    <w:lvl w:ilvl="0">
      <w:lvlJc w:val="left"/>
      <w:lvlText w:val="3"/>
      <w:numFmt w:val="bullet"/>
      <w:start w:val="1"/>
    </w:lvl>
  </w:abstractNum>
  <w:abstractNum w:abstractNumId="18">
    <w:nsid w:val="79838CB2"/>
    <w:multiLevelType w:val="hybridMultilevel"/>
    <w:lvl w:ilvl="0">
      <w:lvlJc w:val="left"/>
      <w:lvlText w:val="4"/>
      <w:numFmt w:val="bullet"/>
      <w:start w:val="1"/>
    </w:lvl>
  </w:abstractNum>
  <w:abstractNum w:abstractNumId="19">
    <w:nsid w:val="4353D0CD"/>
    <w:multiLevelType w:val="hybridMultilevel"/>
    <w:lvl w:ilvl="0">
      <w:lvlJc w:val="left"/>
      <w:lvlText w:val="5"/>
      <w:numFmt w:val="bullet"/>
      <w:start w:val="1"/>
    </w:lvl>
  </w:abstractNum>
  <w:abstractNum w:abstractNumId="20">
    <w:nsid w:val="B03E0C6"/>
    <w:multiLevelType w:val="hybridMultilevel"/>
    <w:lvl w:ilvl="0">
      <w:lvlJc w:val="left"/>
      <w:lvlText w:val="6"/>
      <w:numFmt w:val="bullet"/>
      <w:start w:val="1"/>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2"/>
      <w:numFmt w:val="bullet"/>
      <w:start w:val="1"/>
    </w:lvl>
    <w:lvl w:ilvl="1">
      <w:lvlJc w:val="left"/>
      <w:lvlText w:val="(%2)"/>
      <w:numFmt w:val="lowerLetter"/>
      <w:start w:val="1"/>
    </w:lvl>
  </w:abstractNum>
  <w:abstractNum w:abstractNumId="24">
    <w:nsid w:val="2CA88611"/>
    <w:multiLevelType w:val="hybridMultilevel"/>
    <w:lvl w:ilvl="0">
      <w:lvlJc w:val="left"/>
      <w:lvlText w:val="3"/>
      <w:numFmt w:val="bullet"/>
      <w:start w:val="1"/>
    </w:lvl>
  </w:abstractNum>
  <w:abstractNum w:abstractNumId="25">
    <w:nsid w:val="836C40E"/>
    <w:multiLevelType w:val="hybridMultilevel"/>
    <w:lvl w:ilvl="0">
      <w:lvlJc w:val="left"/>
      <w:lvlText w:val="4"/>
      <w:numFmt w:val="bullet"/>
      <w:start w:val="1"/>
    </w:lvl>
  </w:abstractNum>
  <w:abstractNum w:abstractNumId="26">
    <w:nsid w:val="2901D82"/>
    <w:multiLevelType w:val="hybridMultilevel"/>
    <w:lvl w:ilvl="0">
      <w:lvlJc w:val="left"/>
      <w:lvlText w:val="5"/>
      <w:numFmt w:val="bullet"/>
      <w:start w:val="1"/>
    </w:lvl>
  </w:abstractNum>
  <w:abstractNum w:abstractNumId="27">
    <w:nsid w:val="3A95F874"/>
    <w:multiLevelType w:val="hybridMultilevel"/>
    <w:lvl w:ilvl="0">
      <w:lvlJc w:val="left"/>
      <w:lvlText w:val="6"/>
      <w:numFmt w:val="bullet"/>
      <w:start w:val="1"/>
    </w:lvl>
  </w:abstractNum>
  <w:abstractNum w:abstractNumId="28">
    <w:nsid w:val="8138641"/>
    <w:multiLevelType w:val="hybridMultilevel"/>
    <w:lvl w:ilvl="0">
      <w:lvlJc w:val="left"/>
      <w:lvlText w:val="%1"/>
      <w:numFmt w:val="decimal"/>
      <w:start w:val="1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2022-05-25T07:16:50Z</dcterms:created>
  <dcterms:modified xsi:type="dcterms:W3CDTF">2022-05-25T07:16:50Z</dcterms:modified>
</cp:coreProperties>
</file>