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2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040"/>
        <w:spacing w:after="0"/>
        <w:tabs>
          <w:tab w:leader="none" w:pos="113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320" w:firstLine="648"/>
        <w:spacing w:after="0" w:line="257" w:lineRule="auto"/>
        <w:rPr>
          <w:sz w:val="20"/>
          <w:szCs w:val="20"/>
          <w:color w:val="auto"/>
        </w:rPr>
      </w:pPr>
      <w:r>
        <w:rPr>
          <w:rFonts w:ascii="Arial" w:cs="Arial" w:eastAsia="Arial" w:hAnsi="Arial"/>
          <w:sz w:val="18"/>
          <w:szCs w:val="18"/>
          <w:color w:val="auto"/>
        </w:rPr>
        <w:t>On September 24, 2018, Clearway Energy LLC (the “Company”) and Clearway Energy, Inc. (“Clearway Inc.”) entered into an underwriting agreement (the “Underwriting Agreement”) with UBS Securities LLC, as underwriter (the “Underwriter”), providing for the issuance and sale in an underwritten public offering by Clearway Inc. of 3,916,449 shares (the “Shares”) of its Class C common stock, $0.01 par value per share (the “Class C Common Stock”). The Underwriter purchased the Shares from Clearway Inc. pursuant to the Underwriting Agreement at a price of $19.15 per share (the “Offering”). The Offering closed on September 27, 2018.</w:t>
      </w:r>
    </w:p>
    <w:p>
      <w:pPr>
        <w:spacing w:after="0" w:line="188"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The offer and sale of the Shares was registered under the Securities Act of 1933, as amended (the “Securities Act”), pursuant to a shelf registration statement on Form S-3 (File No. 333-224684) of Clearway Inc. filed with the Securities and Exchange Commission (the “SEC”), which registration statement became effective upon filing with the SEC on May 4, 2018.</w:t>
      </w:r>
    </w:p>
    <w:p>
      <w:pPr>
        <w:spacing w:after="0" w:line="181" w:lineRule="exact"/>
        <w:rPr>
          <w:sz w:val="24"/>
          <w:szCs w:val="24"/>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Underwriting Agreement contains customary representations, warranties, and covenants by the Company. In addition, pursuant to the terms of the Underwriting Agreement, the Company and Clearway Inc. agreed to indemnify the Underwriter against certain liabilities, including liabilities under the Securities Act, and to contribute to payments the Underwriter may be required to make because of any of those liabilities.</w:t>
      </w:r>
    </w:p>
    <w:p>
      <w:pPr>
        <w:spacing w:after="0" w:line="166" w:lineRule="exact"/>
        <w:rPr>
          <w:sz w:val="24"/>
          <w:szCs w:val="24"/>
          <w:color w:val="auto"/>
        </w:rPr>
      </w:pPr>
    </w:p>
    <w:p>
      <w:pPr>
        <w:ind w:right="540" w:firstLine="648"/>
        <w:spacing w:after="0" w:line="264"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Underwriting Agreement, which is attached as Exhibit 1.1 to this Current Report on Form 8-K (this “Current Report”) and is incorporated by reference herein.</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connection with the Offering, the Company is filing the opinion of Baker Botts L.L.P. as part of this Current Report that is to be incorporated by reference into the Registration Statement. The opinion of Baker Botts L.L.P. is filed as Exhibit 5.1 to this Current Report and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5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gridSpan w:val="2"/>
          </w:tcPr>
          <w:p>
            <w:pPr>
              <w:ind w:left="660"/>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8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56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Underwriting Agreement by and among Clearway Energy, Inc., Clearway Energy LLC and UBS Securities LLC, dated</w:t>
              </w:r>
            </w:hyperlink>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September 24, 2018.</w:t>
              </w:r>
            </w:hyperlink>
          </w:p>
        </w:tc>
        <w:tc>
          <w:tcPr>
            <w:tcW w:w="808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9580" w:type="dxa"/>
            <w:vAlign w:val="bottom"/>
            <w:gridSpan w:val="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Opinion of Baker Botts L.L.P.</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9580" w:type="dxa"/>
            <w:vAlign w:val="bottom"/>
            <w:gridSpan w:val="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Consent of Baker Botts L.L.P. (included in Exhibit 5.1).</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0" w:type="dxa"/>
            <w:vAlign w:val="bottom"/>
            <w:gridSpan w:val="3"/>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560" w:type="dxa"/>
            <w:vAlign w:val="bottom"/>
            <w:gridSpan w:val="4"/>
          </w:tcPr>
          <w:p>
            <w:pPr>
              <w:jc w:val="right"/>
              <w:ind w:right="4428"/>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7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Kevin P. Malcarney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CLEARWAY ENERGY,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3,916,449 Shares of Class C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3,916,449 Shares of Class C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5"/>
          <w:szCs w:val="15"/>
          <w:color w:val="auto"/>
        </w:rPr>
        <w:t>September 24,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Clearway Energy, Inc., a Delaware corporation (the “Company”), confirms its agreement with UBS Securities LLC (the “Underwriters”), with respect to (i) the sale by the Company and the purchase by the Underwriters of 3,916,449 shares of Class C Common Stock, par value $0.01 per share, of the Company (“Common Stock”) (the aforesaid 3,916,449 shares of Common Stock to be purchased by the Underwriters are herein called the “Securities”). The Company is the sole managing member of Clearway Energy LLC, a Delaware limited liability company (“Clearway LLC”).</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Underwriters deem advisable after this Agreement has been executed and delivered.</w:t>
      </w:r>
    </w:p>
    <w:p>
      <w:pPr>
        <w:spacing w:after="0" w:line="17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Company has prepared and filed with the Securities and Exchange Commission (the “Commission”) an automatic shelf registration statement on Form S-3 (File No. 333-224684) covering the public offering and sale of certain securities, including the Securities, under the Securities Act of 1933, as amended (the “1933 Act”), and the rules and regulations promulgated thereunder (the “1933 Act Regulations”), which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system)(“EDGAR”).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660" w:right="320" w:firstLine="648"/>
        <w:spacing w:after="0" w:line="277" w:lineRule="auto"/>
        <w:rPr>
          <w:sz w:val="20"/>
          <w:szCs w:val="20"/>
          <w:color w:val="auto"/>
        </w:rPr>
      </w:pPr>
      <w:r>
        <w:rPr>
          <w:rFonts w:ascii="Arial" w:cs="Arial" w:eastAsia="Arial" w:hAnsi="Arial"/>
          <w:sz w:val="18"/>
          <w:szCs w:val="18"/>
          <w:color w:val="auto"/>
        </w:rPr>
        <w:t>“Applicable Time” means 4:15 P.M., New York City time, on September 24, 2018 or such other time as agreed by the Company and the Underwriters.</w:t>
      </w:r>
    </w:p>
    <w:p>
      <w:pPr>
        <w:spacing w:after="0" w:line="170" w:lineRule="exact"/>
        <w:rPr>
          <w:sz w:val="20"/>
          <w:szCs w:val="20"/>
          <w:color w:val="auto"/>
        </w:rPr>
      </w:pPr>
    </w:p>
    <w:p>
      <w:pPr>
        <w:ind w:left="660" w:right="100" w:firstLine="648"/>
        <w:spacing w:after="0" w:line="264" w:lineRule="auto"/>
        <w:rPr>
          <w:sz w:val="20"/>
          <w:szCs w:val="20"/>
          <w:color w:val="auto"/>
        </w:rPr>
      </w:pPr>
      <w:r>
        <w:rPr>
          <w:rFonts w:ascii="Arial" w:cs="Arial" w:eastAsia="Arial" w:hAnsi="Arial"/>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all considered together.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“Issuer Free Writing Prospectus” means any “issuer free writing prospectus,” as defined in Rule 433 of the 1933 Act Regulations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 433”), including without limitation any “free writing prospectus” (as defined in Rule 405 of the 1933 Act Regulations (“Rule 405”)) relating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Securities that is (i) required to be filed with the Commission by the Company, (ii) a “road show that is a written communication” within the</w:t>
      </w:r>
    </w:p>
    <w:p>
      <w:pPr>
        <w:sectPr>
          <w:pgSz w:w="11900" w:h="16865" w:orient="portrait"/>
          <w:cols w:equalWidth="0" w:num="1">
            <w:col w:w="11420"/>
          </w:cols>
          <w:pgMar w:left="240" w:top="121" w:right="239" w:bottom="0" w:gutter="0" w:footer="0" w:header="0"/>
        </w:sectPr>
      </w:pPr>
    </w:p>
    <w:bookmarkStart w:id="3" w:name="page4"/>
    <w:bookmarkEnd w:id="3"/>
    <w:p>
      <w:pPr>
        <w:spacing w:after="0" w:line="114"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7" w:lineRule="exact"/>
        <w:rPr>
          <w:sz w:val="20"/>
          <w:szCs w:val="20"/>
          <w:color w:val="auto"/>
        </w:rPr>
      </w:pPr>
    </w:p>
    <w:p>
      <w:pPr>
        <w:ind w:left="660" w:right="440" w:firstLine="648"/>
        <w:spacing w:after="0" w:line="264"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as evidenced by its being specified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w:t>
      </w:r>
    </w:p>
    <w:p>
      <w:pPr>
        <w:spacing w:after="0" w:line="181" w:lineRule="exact"/>
        <w:rPr>
          <w:sz w:val="20"/>
          <w:szCs w:val="20"/>
          <w:color w:val="auto"/>
        </w:rPr>
      </w:pPr>
    </w:p>
    <w:p>
      <w:pPr>
        <w:ind w:left="660" w:right="36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means each direct and indirect subsidiary of the Company.</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64" w:lineRule="auto"/>
        <w:tabs>
          <w:tab w:leader="none" w:pos="129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 and Clearway LLC</w:t>
      </w:r>
      <w:r>
        <w:rPr>
          <w:rFonts w:ascii="Arial" w:cs="Arial" w:eastAsia="Arial" w:hAnsi="Arial"/>
          <w:sz w:val="18"/>
          <w:szCs w:val="18"/>
          <w:color w:val="auto"/>
        </w:rPr>
        <w:t>. The Company and Clearway LLC, jointly and severally,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and warrant to the Underwriters as of the date hereof, the Applicable Time, the Closing Time (as defined below) and any Date of Delivery (as defined below), and agree with the Underwriters, as follows:</w:t>
      </w:r>
    </w:p>
    <w:p>
      <w:pPr>
        <w:spacing w:after="0" w:line="181" w:lineRule="exact"/>
        <w:rPr>
          <w:sz w:val="20"/>
          <w:szCs w:val="20"/>
          <w:color w:val="auto"/>
        </w:rPr>
      </w:pPr>
    </w:p>
    <w:p>
      <w:pPr>
        <w:ind w:right="40" w:firstLine="656"/>
        <w:spacing w:after="0" w:line="272" w:lineRule="auto"/>
        <w:tabs>
          <w:tab w:leader="none" w:pos="1318"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of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complied in all material respects with the requirements of </w:t>
      </w:r>
      <w:r>
        <w:rPr>
          <w:rFonts w:ascii="Arial" w:cs="Arial" w:eastAsia="Arial" w:hAnsi="Arial"/>
          <w:sz w:val="15"/>
          <w:szCs w:val="15"/>
          <w:color w:val="auto"/>
        </w:rPr>
        <w:t>the Securities Exchange Act of 1934 Act, as amended (the “1934 Act”), and</w:t>
      </w:r>
      <w:r>
        <w:rPr>
          <w:rFonts w:ascii="Arial" w:cs="Arial" w:eastAsia="Arial" w:hAnsi="Arial"/>
          <w:sz w:val="16"/>
          <w:szCs w:val="16"/>
          <w:color w:val="auto"/>
        </w:rPr>
        <w:t xml:space="preserve"> the rules and regulations of the Commission under the 1934 Act.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67" w:lineRule="exact"/>
        <w:rPr>
          <w:sz w:val="20"/>
          <w:szCs w:val="20"/>
          <w:color w:val="auto"/>
        </w:rPr>
      </w:pPr>
    </w:p>
    <w:p>
      <w:pPr>
        <w:ind w:firstLine="656"/>
        <w:spacing w:after="0" w:line="286" w:lineRule="auto"/>
        <w:tabs>
          <w:tab w:leader="none" w:pos="132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neither (A) the General Disclosure Package nor (B) any individual Issuer Limited Use Free Writing Prospectus, when considered together with the General Disclosure Package, included an untrue statement of a material fact or omitted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7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the Underwriters expressly for use therein. For purposes of this Agreement, the only information so furnished shall be the information in the first paragraph under the subheading “Commissions and Discounts” and in the first and second paragraphs under the subheading “Short Positions” under the heading “Underwriting” in the Prospectus (collectively, the “Underwriter Information”).</w:t>
      </w:r>
    </w:p>
    <w:p>
      <w:pPr>
        <w:spacing w:after="0" w:line="173" w:lineRule="exact"/>
        <w:rPr>
          <w:sz w:val="20"/>
          <w:szCs w:val="20"/>
          <w:color w:val="auto"/>
        </w:rPr>
      </w:pPr>
    </w:p>
    <w:p>
      <w:pPr>
        <w:ind w:firstLine="656"/>
        <w:spacing w:after="0" w:line="276" w:lineRule="auto"/>
        <w:tabs>
          <w:tab w:leader="none" w:pos="1337"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Issuer Free Writing Prospectuses</w:t>
      </w:r>
      <w:r>
        <w:rPr>
          <w:rFonts w:ascii="Arial" w:cs="Arial" w:eastAsia="Arial" w:hAnsi="Arial"/>
          <w:sz w:val="17"/>
          <w:szCs w:val="17"/>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under the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Act Regulations (“Rule 163”) and otherwise complied with the requirements of Rule 163, including without limitation the legending requirement, to qualify such offer for the exemption from Section 5(c) of the 1933 Act provided by Rule 163.</w:t>
      </w:r>
    </w:p>
    <w:p>
      <w:pPr>
        <w:spacing w:after="0" w:line="170" w:lineRule="exact"/>
        <w:rPr>
          <w:sz w:val="20"/>
          <w:szCs w:val="20"/>
          <w:color w:val="auto"/>
        </w:rPr>
      </w:pPr>
    </w:p>
    <w:p>
      <w:pPr>
        <w:ind w:right="100" w:firstLine="656"/>
        <w:spacing w:after="0" w:line="312" w:lineRule="auto"/>
        <w:tabs>
          <w:tab w:leader="none" w:pos="131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(A) At the original effectiveness of the Registration Statement, (B) if applicable,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w:t>
      </w:r>
    </w:p>
    <w:p>
      <w:pPr>
        <w:sectPr>
          <w:pgSz w:w="11900" w:h="16952" w:orient="portrait"/>
          <w:cols w:equalWidth="0" w:num="1">
            <w:col w:w="11400"/>
          </w:cols>
          <w:pgMar w:left="240" w:top="125" w:right="259" w:bottom="0" w:gutter="0" w:footer="0" w:header="0"/>
        </w:sectPr>
      </w:pPr>
    </w:p>
    <w:bookmarkStart w:id="4" w:name="page5"/>
    <w:bookmarkEnd w:id="4"/>
    <w:p>
      <w:pPr>
        <w:ind w:right="160"/>
        <w:spacing w:after="0" w:line="342" w:lineRule="auto"/>
        <w:rPr>
          <w:sz w:val="20"/>
          <w:szCs w:val="20"/>
          <w:color w:val="auto"/>
        </w:rPr>
      </w:pPr>
      <w:r>
        <w:rPr>
          <w:rFonts w:ascii="Arial" w:cs="Arial" w:eastAsia="Arial" w:hAnsi="Arial"/>
          <w:sz w:val="16"/>
          <w:szCs w:val="16"/>
          <w:color w:val="auto"/>
        </w:rPr>
        <w:t>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w:t>
      </w:r>
    </w:p>
    <w:p>
      <w:pPr>
        <w:spacing w:after="0" w:line="124" w:lineRule="exact"/>
        <w:rPr>
          <w:sz w:val="20"/>
          <w:szCs w:val="20"/>
          <w:color w:val="auto"/>
        </w:rPr>
      </w:pPr>
    </w:p>
    <w:p>
      <w:pPr>
        <w:ind w:firstLine="656"/>
        <w:spacing w:after="0" w:line="279"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Company Not Ineligible Issuer</w:t>
      </w:r>
      <w:r>
        <w:rPr>
          <w:rFonts w:ascii="Arial" w:cs="Arial" w:eastAsia="Arial" w:hAnsi="Arial"/>
          <w:sz w:val="17"/>
          <w:szCs w:val="17"/>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71" w:lineRule="exact"/>
        <w:rPr>
          <w:rFonts w:ascii="Arial" w:cs="Arial" w:eastAsia="Arial" w:hAnsi="Arial"/>
          <w:sz w:val="17"/>
          <w:szCs w:val="17"/>
          <w:color w:val="auto"/>
        </w:rPr>
      </w:pPr>
    </w:p>
    <w:p>
      <w:pPr>
        <w:ind w:right="60" w:firstLine="656"/>
        <w:spacing w:after="0" w:line="264"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the 1934 Act, the 1934 Act Regulations and the Public Accounting Oversight Board.</w:t>
      </w:r>
    </w:p>
    <w:p>
      <w:pPr>
        <w:spacing w:after="0" w:line="181" w:lineRule="exact"/>
        <w:rPr>
          <w:rFonts w:ascii="Arial" w:cs="Arial" w:eastAsia="Arial" w:hAnsi="Arial"/>
          <w:sz w:val="18"/>
          <w:szCs w:val="18"/>
          <w:color w:val="auto"/>
        </w:rPr>
      </w:pPr>
    </w:p>
    <w:p>
      <w:pPr>
        <w:ind w:right="20" w:firstLine="656"/>
        <w:spacing w:after="0" w:line="286" w:lineRule="auto"/>
        <w:tabs>
          <w:tab w:leader="none" w:pos="132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except as may be expressly stated in the related notes thereto.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or incorporated by reference therein, no historical or pro forma financial statements or supporting schedules are required to be included or incorporated by reference in the Registration Statement, the General Disclosure Package or the Prospectus under the 1933 Act or the 1933 Act Regulations. All disclosures contained in the Registration Statement, the General Disclosure Package or the Prospectus, or incorporated by reference therein, regarding “non-GAAP financial measures” (as such term is defined by the rules and regulations of the Commission) comply with Regulation G of the 1934 Act and Item 10 of Regulation S-K of the 1933 Act, to the extent applicable. The interactive data in eXtensible Business Reporting Language included or incorporated by reference in the Registration Statement has been prepared in accordance with the Commission’s rules and guidelines applicable thereto.</w:t>
      </w:r>
    </w:p>
    <w:p>
      <w:pPr>
        <w:spacing w:after="0" w:line="174" w:lineRule="exact"/>
        <w:rPr>
          <w:rFonts w:ascii="Arial" w:cs="Arial" w:eastAsia="Arial" w:hAnsi="Arial"/>
          <w:sz w:val="16"/>
          <w:szCs w:val="16"/>
          <w:color w:val="auto"/>
        </w:rPr>
      </w:pPr>
    </w:p>
    <w:p>
      <w:pPr>
        <w:ind w:right="20" w:firstLine="656"/>
        <w:spacing w:after="0" w:line="302" w:lineRule="auto"/>
        <w:tabs>
          <w:tab w:leader="none" w:pos="13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and the Prospectus, (A) there has been no material adverse change in the condition, financial or otherwise, or in the earnings, business, operations or prospects as described in or contemplated by the Registration Statement, the General Disclosure Package and the Prospectus, whether or not arising from transactions in the ordinary course of business, of the Company and its subsidiaries, considered as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entity (a “Material Adverse Effect”), (B)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(C) there has been no dividend or distribution of any kind declared, paid or made by the Company or any of its subsidiaries on any class of their capital stock or other equity securities.</w:t>
      </w:r>
    </w:p>
    <w:p>
      <w:pPr>
        <w:spacing w:after="0" w:line="187" w:lineRule="exact"/>
        <w:rPr>
          <w:sz w:val="20"/>
          <w:szCs w:val="20"/>
          <w:color w:val="auto"/>
        </w:rPr>
      </w:pPr>
    </w:p>
    <w:p>
      <w:pPr>
        <w:ind w:right="80" w:firstLine="656"/>
        <w:spacing w:after="0" w:line="273" w:lineRule="auto"/>
        <w:tabs>
          <w:tab w:leader="none" w:pos="1313"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ind w:right="20" w:firstLine="656"/>
        <w:spacing w:after="0" w:line="270" w:lineRule="auto"/>
        <w:tabs>
          <w:tab w:leader="none" w:pos="130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Good Standing of Subsidiaries</w:t>
      </w:r>
      <w:r>
        <w:rPr>
          <w:rFonts w:ascii="Arial" w:cs="Arial" w:eastAsia="Arial" w:hAnsi="Arial"/>
          <w:sz w:val="17"/>
          <w:szCs w:val="17"/>
          <w:color w:val="auto"/>
        </w:rPr>
        <w:t>. Each “significant subsidiary” of the Company (as such term is defined in Rule 1-02 of Regulation S-X)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Except as otherwise disclosed in the Registration Statement, the General Disclosure Package and the Prospectus or as would not, individually or in the aggregate, reasonably be expected to have a Material Adverse Effect, all of the issued and outstanding capital stock or other ownership interests of each subsidiary has been duly authorized and validly issued, is fully paid and non-assessable and is owned by the Company, directly or through subsidiaries, free and clear of any security interest, mortgage, pledge, lien, encumbrance or claim.</w:t>
      </w:r>
    </w:p>
    <w:p>
      <w:pPr>
        <w:spacing w:after="0" w:line="177" w:lineRule="exact"/>
        <w:rPr>
          <w:rFonts w:ascii="Arial" w:cs="Arial" w:eastAsia="Arial" w:hAnsi="Arial"/>
          <w:sz w:val="17"/>
          <w:szCs w:val="17"/>
          <w:color w:val="auto"/>
        </w:rPr>
      </w:pPr>
    </w:p>
    <w:p>
      <w:pPr>
        <w:ind w:right="20" w:firstLine="656"/>
        <w:spacing w:after="0" w:line="290" w:lineRule="auto"/>
        <w:tabs>
          <w:tab w:leader="none" w:pos="131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are as set forth in the Registration Statement, the General Disclosure Package and the Prospectus in the column entitled “Actual” under the caption “Capitalization” and, upon consummation of the offering of the Common Stock, will be as set forth in the column entitled “Pro Forma (as adjusted for the Recapitalization and this offering)”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All outstanding shares of capital stock of the Company have been duly authorized and validly issued and are fully paid and non-assessable. None of the outstanding shares of capital stock of or ownership interest in the Company or any subsidiary were issued in violation of the preemptive or other similar rights of any securityholder of the Company or such subsidiary.</w:t>
      </w:r>
    </w:p>
    <w:p>
      <w:pPr>
        <w:spacing w:after="0" w:line="166" w:lineRule="exact"/>
        <w:rPr>
          <w:rFonts w:ascii="Arial" w:cs="Arial" w:eastAsia="Arial" w:hAnsi="Arial"/>
          <w:sz w:val="16"/>
          <w:szCs w:val="16"/>
          <w:color w:val="auto"/>
        </w:rPr>
      </w:pPr>
    </w:p>
    <w:p>
      <w:pPr>
        <w:ind w:left="1340" w:hanging="684"/>
        <w:spacing w:after="0"/>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w:t>
      </w:r>
      <w:r>
        <w:rPr>
          <w:rFonts w:ascii="Arial" w:cs="Arial" w:eastAsia="Arial" w:hAnsi="Arial"/>
          <w:sz w:val="16"/>
          <w:szCs w:val="16"/>
          <w:color w:val="auto"/>
        </w:rPr>
        <w:t>. This Agreement has been duly authorized, executed and delivered by the Company and its subsidiaries,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10" w:lineRule="exact"/>
        <w:rPr>
          <w:rFonts w:ascii="Arial" w:cs="Arial" w:eastAsia="Arial" w:hAnsi="Arial"/>
          <w:sz w:val="16"/>
          <w:szCs w:val="16"/>
          <w:color w:val="auto"/>
        </w:rPr>
      </w:pPr>
    </w:p>
    <w:p>
      <w:pPr>
        <w:ind w:right="140" w:firstLine="656"/>
        <w:spacing w:after="0" w:line="264" w:lineRule="auto"/>
        <w:tabs>
          <w:tab w:leader="none" w:pos="13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88" w:gutter="0" w:footer="0" w:header="0"/>
        </w:sectPr>
      </w:pPr>
    </w:p>
    <w:bookmarkStart w:id="5" w:name="page6"/>
    <w:bookmarkEnd w:id="5"/>
    <w:p>
      <w:pPr>
        <w:ind w:right="80"/>
        <w:spacing w:after="0" w:line="279" w:lineRule="auto"/>
        <w:rPr>
          <w:sz w:val="20"/>
          <w:szCs w:val="20"/>
          <w:color w:val="auto"/>
        </w:rPr>
      </w:pPr>
      <w:r>
        <w:rPr>
          <w:rFonts w:ascii="Arial" w:cs="Arial" w:eastAsia="Arial" w:hAnsi="Arial"/>
          <w:sz w:val="17"/>
          <w:szCs w:val="17"/>
          <w:color w:val="auto"/>
        </w:rPr>
        <w:t>non-assessable; and the issuance of the Securities is not subject to the preemptive or other similar rights of any securityholder of the Company. The common stock, Clearway LLC’s Class A units, Class B units, Class C units and Class D units (collectively, the “LLC Units”) conform to all statements relating thereto contained in the Registration Statement, the General Disclosure Package and the Prospectus and such description conforms to the rights set forth in the instruments defining the same. No holder of Securities will be subject to personal liability by reason of being such a holder.</w:t>
      </w:r>
    </w:p>
    <w:p>
      <w:pPr>
        <w:spacing w:after="0" w:line="171" w:lineRule="exact"/>
        <w:rPr>
          <w:sz w:val="20"/>
          <w:szCs w:val="20"/>
          <w:color w:val="auto"/>
        </w:rPr>
      </w:pPr>
    </w:p>
    <w:p>
      <w:pPr>
        <w:jc w:val="both"/>
        <w:ind w:right="140" w:firstLine="656"/>
        <w:spacing w:after="0" w:line="286" w:lineRule="auto"/>
        <w:tabs>
          <w:tab w:leader="none" w:pos="1309"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65" w:lineRule="exact"/>
        <w:rPr>
          <w:rFonts w:ascii="Arial" w:cs="Arial" w:eastAsia="Arial" w:hAnsi="Arial"/>
          <w:sz w:val="17"/>
          <w:szCs w:val="17"/>
          <w:color w:val="auto"/>
        </w:rPr>
      </w:pPr>
    </w:p>
    <w:p>
      <w:pPr>
        <w:ind w:right="40" w:firstLine="656"/>
        <w:spacing w:after="0" w:line="282" w:lineRule="auto"/>
        <w:tabs>
          <w:tab w:leader="none" w:pos="129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Absence of Violations, Defaults and Conflicts</w:t>
      </w:r>
      <w:r>
        <w:rPr>
          <w:rFonts w:ascii="Arial" w:cs="Arial" w:eastAsia="Arial" w:hAnsi="Arial"/>
          <w:sz w:val="16"/>
          <w:szCs w:val="16"/>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individually or in the aggregate, reasonably be expected to have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w:t>
      </w:r>
    </w:p>
    <w:p>
      <w:pPr>
        <w:spacing w:after="0" w:line="12" w:lineRule="exact"/>
        <w:rPr>
          <w:rFonts w:ascii="Arial" w:cs="Arial" w:eastAsia="Arial" w:hAnsi="Arial"/>
          <w:sz w:val="16"/>
          <w:szCs w:val="16"/>
          <w:color w:val="auto"/>
        </w:rPr>
      </w:pPr>
    </w:p>
    <w:p>
      <w:pPr>
        <w:jc w:val="both"/>
        <w:ind w:right="120" w:firstLine="8"/>
        <w:spacing w:after="0" w:line="273" w:lineRule="auto"/>
        <w:tabs>
          <w:tab w:leader="none" w:pos="3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result in any violation of any law, statute, rule, regulation, judgment, order, writ or decree of any Governmental Entity, except for such violations as would not, individually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2" w:lineRule="exact"/>
        <w:rPr>
          <w:rFonts w:ascii="Arial" w:cs="Arial" w:eastAsia="Arial" w:hAnsi="Arial"/>
          <w:sz w:val="17"/>
          <w:szCs w:val="17"/>
          <w:color w:val="auto"/>
        </w:rPr>
      </w:pPr>
    </w:p>
    <w:p>
      <w:pPr>
        <w:ind w:right="100" w:firstLine="656"/>
        <w:spacing w:after="0" w:line="277" w:lineRule="auto"/>
        <w:tabs>
          <w:tab w:leader="none" w:pos="130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Clearway LLC or any of its subsidiaries engaged in the business of the Company exists or, to the knowledge of the Company, is imminent, which, in any case, would have a Material Adverse Effect.</w:t>
      </w:r>
    </w:p>
    <w:p>
      <w:pPr>
        <w:spacing w:after="0" w:line="170" w:lineRule="exact"/>
        <w:rPr>
          <w:rFonts w:ascii="Arial" w:cs="Arial" w:eastAsia="Arial" w:hAnsi="Arial"/>
          <w:sz w:val="18"/>
          <w:szCs w:val="18"/>
          <w:color w:val="auto"/>
        </w:rPr>
      </w:pPr>
    </w:p>
    <w:p>
      <w:pPr>
        <w:ind w:right="60" w:firstLine="656"/>
        <w:spacing w:after="0" w:line="276" w:lineRule="auto"/>
        <w:tabs>
          <w:tab w:leader="none" w:pos="1318"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spacing w:after="0" w:line="172" w:lineRule="exact"/>
        <w:rPr>
          <w:rFonts w:ascii="Arial" w:cs="Arial" w:eastAsia="Arial" w:hAnsi="Arial"/>
          <w:sz w:val="17"/>
          <w:szCs w:val="17"/>
          <w:color w:val="auto"/>
        </w:rPr>
      </w:pPr>
    </w:p>
    <w:p>
      <w:pPr>
        <w:ind w:left="1340" w:hanging="684"/>
        <w:spacing w:after="0"/>
        <w:tabs>
          <w:tab w:leader="none" w:pos="1340"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Accuracy of Descriptions</w:t>
      </w:r>
      <w:r>
        <w:rPr>
          <w:rFonts w:ascii="Arial" w:cs="Arial" w:eastAsia="Arial" w:hAnsi="Arial"/>
          <w:sz w:val="17"/>
          <w:szCs w:val="17"/>
          <w:color w:val="auto"/>
        </w:rPr>
        <w:t>. The statements under the heading “Business—Regulatory Matters” in the Company’s Annual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-1737360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Form 10-K for the year ended December 31, 2017 filed with the Commission on March 1, 2018 and under the heading “Certain Relationships and Related Person Transactions” in the Company’s Definitive Proxy Statement on Schedule 14A filed with the Commission on March 15, 2018, as supplemented and modified by the statements under Item 1.01 of the Company’s Current Report on Form 8-K filed with the Commission on September 5, 2018,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the General Disclosure Package and the Prospectus, including the documents incorporated by reference therein pursuant to Item 12 of Form S-3 under the 1933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the General Disclosure Package and the Prospectus, neither the Company nor Clearway LLC have sent or received any notice indicating the termination of or intention to terminate any of the contracts or agreements referred to or described in the Registration Statement, the General Disclosure Package and the Prospectus or filed as an exhibit to the Registration Statement.</w:t>
      </w:r>
    </w:p>
    <w:p>
      <w:pPr>
        <w:spacing w:after="0" w:line="168" w:lineRule="exact"/>
        <w:rPr>
          <w:sz w:val="20"/>
          <w:szCs w:val="20"/>
          <w:color w:val="auto"/>
        </w:rPr>
      </w:pPr>
    </w:p>
    <w:p>
      <w:pPr>
        <w:ind w:right="20" w:firstLine="656"/>
        <w:spacing w:after="0" w:line="264" w:lineRule="auto"/>
        <w:tabs>
          <w:tab w:leader="none" w:pos="130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by the 1933 Act or the 1933 Act Regulations to be described in the Registration Statement, the General Disclosure Package or the Prospectus or to be filed as exhibits to the Registration Statement which have not been so described and filed as required.</w:t>
      </w:r>
    </w:p>
    <w:p>
      <w:pPr>
        <w:spacing w:after="0" w:line="181" w:lineRule="exact"/>
        <w:rPr>
          <w:rFonts w:ascii="Arial" w:cs="Arial" w:eastAsia="Arial" w:hAnsi="Arial"/>
          <w:sz w:val="18"/>
          <w:szCs w:val="18"/>
          <w:color w:val="auto"/>
        </w:rPr>
      </w:pPr>
    </w:p>
    <w:p>
      <w:pPr>
        <w:ind w:right="20" w:firstLine="656"/>
        <w:spacing w:after="0" w:line="257" w:lineRule="auto"/>
        <w:tabs>
          <w:tab w:leader="none" w:pos="129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Governmental Entity is necessary or required for the performance by the Company or Clearway LLC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New York Stock Exchange, state securities laws or the rules of the Financial Industry Regulatory Authority, Inc. (“FINRA”).</w:t>
      </w:r>
    </w:p>
    <w:p>
      <w:pPr>
        <w:spacing w:after="0" w:line="188" w:lineRule="exact"/>
        <w:rPr>
          <w:rFonts w:ascii="Arial" w:cs="Arial" w:eastAsia="Arial" w:hAnsi="Arial"/>
          <w:sz w:val="18"/>
          <w:szCs w:val="18"/>
          <w:color w:val="auto"/>
        </w:rPr>
      </w:pPr>
    </w:p>
    <w:p>
      <w:pPr>
        <w:jc w:val="both"/>
        <w:ind w:right="140" w:firstLine="656"/>
        <w:spacing w:after="0" w:line="264" w:lineRule="auto"/>
        <w:tabs>
          <w:tab w:leader="none" w:pos="130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Possession of Licenses and Permits</w:t>
      </w:r>
      <w:r>
        <w:rPr>
          <w:rFonts w:ascii="Arial" w:cs="Arial" w:eastAsia="Arial" w:hAnsi="Arial"/>
          <w:sz w:val="18"/>
          <w:szCs w:val="18"/>
          <w:color w:val="auto"/>
        </w:rPr>
        <w:t>. The Company and its subsidiaries have filed or caused to be filed with the appropriate Governmental Entities all forms, statements, reports, and documents (including all exhibits, amendments, and supplements thereto) (each a “Filing”) required to be filed by it</w:t>
      </w:r>
    </w:p>
    <w:p>
      <w:pPr>
        <w:sectPr>
          <w:pgSz w:w="11900" w:h="16838" w:orient="portrait"/>
          <w:cols w:equalWidth="0" w:num="1">
            <w:col w:w="11420"/>
          </w:cols>
          <w:pgMar w:left="240" w:top="125" w:right="239" w:bottom="0" w:gutter="0" w:footer="0" w:header="0"/>
        </w:sectPr>
      </w:pPr>
    </w:p>
    <w:bookmarkStart w:id="6" w:name="page7"/>
    <w:bookmarkEnd w:id="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“Governmental License”),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spacing w:after="0" w:line="180" w:lineRule="exact"/>
        <w:rPr>
          <w:sz w:val="20"/>
          <w:szCs w:val="20"/>
          <w:color w:val="auto"/>
        </w:rPr>
      </w:pPr>
    </w:p>
    <w:p>
      <w:pPr>
        <w:ind w:right="40" w:firstLine="656"/>
        <w:spacing w:after="0" w:line="269" w:lineRule="auto"/>
        <w:tabs>
          <w:tab w:leader="none" w:pos="131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the General Disclosure Package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82" w:lineRule="exact"/>
        <w:rPr>
          <w:rFonts w:ascii="Arial" w:cs="Arial" w:eastAsia="Arial" w:hAnsi="Arial"/>
          <w:sz w:val="17"/>
          <w:szCs w:val="17"/>
          <w:color w:val="auto"/>
        </w:rPr>
      </w:pPr>
    </w:p>
    <w:p>
      <w:pPr>
        <w:ind w:right="20" w:firstLine="656"/>
        <w:spacing w:after="0" w:line="272" w:lineRule="auto"/>
        <w:tabs>
          <w:tab w:leader="none" w:pos="132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spacing w:after="0" w:line="177" w:lineRule="exact"/>
        <w:rPr>
          <w:rFonts w:ascii="Arial" w:cs="Arial" w:eastAsia="Arial" w:hAnsi="Arial"/>
          <w:sz w:val="17"/>
          <w:szCs w:val="17"/>
          <w:color w:val="auto"/>
        </w:rPr>
      </w:pPr>
    </w:p>
    <w:p>
      <w:pPr>
        <w:ind w:right="40" w:firstLine="656"/>
        <w:spacing w:after="0" w:line="302" w:lineRule="auto"/>
        <w:tabs>
          <w:tab w:leader="none" w:pos="130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individually or in the aggregate, reasonably be expected to have a Material Adverse Effect, the Company and its subsidiaries (A) are conducting and have conducted their businesses, operations and facilities in compliance with Environmental Laws (as defined below); (B) have duly obtained, possess, maintain in full force and effect and have fulfilled and performed all of their obligations under any and all permits, licenses or registrations required under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Law (“Environmental Permits”); (C) have not received any notice from a governmental authority or any other third party alleging any violation of Environmental Law or liability thereunder; (D) are not subject to any pending or, to the best knowledge of the Company or any of its subsidiaries, threatened claim in writing or other legal proceeding under any Environmental Laws against the Company or any of its subsidiaries; (E)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(F) do not have knowledge of any facts or circumstances that reasonably would be expected to result in the Company or any of its subsidiaries being subjected to a material liability arising under Environmental Laws. As used in this paragraph, “Environmental Laws”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 (ii) 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“Hazardous Substances” means pollutants, contaminants, hazardous substances, materials or wastes, petroleum, petroleum products and their breakdown constituents or any other chemical substance regulated under Environmental Laws.</w:t>
      </w:r>
    </w:p>
    <w:p>
      <w:pPr>
        <w:spacing w:after="0" w:line="172" w:lineRule="exact"/>
        <w:rPr>
          <w:sz w:val="20"/>
          <w:szCs w:val="20"/>
          <w:color w:val="auto"/>
        </w:rPr>
      </w:pPr>
    </w:p>
    <w:p>
      <w:pPr>
        <w:ind w:right="20" w:firstLine="656"/>
        <w:spacing w:after="0" w:line="269"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Accounting Controls and Disclosure Controls</w:t>
      </w:r>
      <w:r>
        <w:rPr>
          <w:rFonts w:ascii="Arial" w:cs="Arial" w:eastAsia="Arial" w:hAnsi="Arial"/>
          <w:sz w:val="17"/>
          <w:szCs w:val="17"/>
          <w:color w:val="auto"/>
        </w:rPr>
        <w:t>. The Company and each of its subsidiaries maintain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is prepared in accordance with the Commission’s rules and guidelines applicable thereto. Except as described in the Registration Statement, the General Disclosure Package and the Prospectus, since the Company’s inception, there has been (1) no material weakness in the Company’s internal control over financial reporting that could adversely affect the Company’s ability to record, process, summarize and report financial data and (2) no change in the Company’s internal control over financial reporting that has materially affected, or is reasonably likely to materially affect, the Company’s internal control over financial reporting.</w:t>
      </w:r>
    </w:p>
    <w:p>
      <w:pPr>
        <w:spacing w:after="0" w:line="182" w:lineRule="exact"/>
        <w:rPr>
          <w:rFonts w:ascii="Arial" w:cs="Arial" w:eastAsia="Arial" w:hAnsi="Arial"/>
          <w:sz w:val="17"/>
          <w:szCs w:val="17"/>
          <w:color w:val="auto"/>
        </w:rPr>
      </w:pPr>
    </w:p>
    <w:p>
      <w:pPr>
        <w:ind w:firstLine="656"/>
        <w:spacing w:after="0" w:line="259" w:lineRule="auto"/>
        <w:tabs>
          <w:tab w:leader="none" w:pos="130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The Company is in compliance in all material respects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To the Company’s knowledge, such internal controls over financial reporting are effective at a reasonable assurance level.</w:t>
      </w:r>
    </w:p>
    <w:p>
      <w:pPr>
        <w:sectPr>
          <w:pgSz w:w="11900" w:h="16838" w:orient="portrait"/>
          <w:cols w:equalWidth="0" w:num="1">
            <w:col w:w="11420"/>
          </w:cols>
          <w:pgMar w:left="240" w:top="733" w:right="239" w:bottom="0" w:gutter="0" w:footer="0" w:header="0"/>
        </w:sectPr>
      </w:pPr>
    </w:p>
    <w:bookmarkStart w:id="7" w:name="page8"/>
    <w:bookmarkEnd w:id="7"/>
    <w:p>
      <w:pPr>
        <w:spacing w:after="0" w:line="94" w:lineRule="exact"/>
        <w:rPr>
          <w:sz w:val="20"/>
          <w:szCs w:val="20"/>
          <w:color w:val="auto"/>
        </w:rPr>
      </w:pPr>
    </w:p>
    <w:p>
      <w:pPr>
        <w:ind w:right="20" w:firstLine="656"/>
        <w:spacing w:after="0" w:line="259" w:lineRule="auto"/>
        <w:tabs>
          <w:tab w:leader="none" w:pos="131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All federal, state and other material tax returns required to be filed, and all federal, state and other material taxes required to be paid, by the Company, Clearway LLC and their subsidiaries pursuant to applicable law have been filed and paid, except for taxes required to be paid pursuant to assessments against which appeals have been or will be promptly taken and as to which adequate reserves have been provided in accordance with GAAP. The Company has made adequate charges,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reserves in accordance with GAAP in the applicable financial statements referred to in Section 1(a)(ix)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spacing w:after="0" w:line="181" w:lineRule="exact"/>
        <w:rPr>
          <w:sz w:val="20"/>
          <w:szCs w:val="20"/>
          <w:color w:val="auto"/>
        </w:rPr>
      </w:pPr>
    </w:p>
    <w:p>
      <w:pPr>
        <w:ind w:right="20" w:firstLine="656"/>
        <w:spacing w:after="0" w:line="293" w:lineRule="auto"/>
        <w:tabs>
          <w:tab w:leader="none" w:pos="132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its subsidiaries carry, or are entitled to the benefits of insurance, with financially sound 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have a Material Adverse Effect.</w:t>
      </w:r>
    </w:p>
    <w:p>
      <w:pPr>
        <w:spacing w:after="0" w:line="164" w:lineRule="exact"/>
        <w:rPr>
          <w:rFonts w:ascii="Arial" w:cs="Arial" w:eastAsia="Arial" w:hAnsi="Arial"/>
          <w:sz w:val="16"/>
          <w:szCs w:val="16"/>
          <w:color w:val="auto"/>
        </w:rPr>
      </w:pPr>
    </w:p>
    <w:p>
      <w:pPr>
        <w:ind w:right="80" w:firstLine="656"/>
        <w:spacing w:after="0" w:line="286" w:lineRule="auto"/>
        <w:tabs>
          <w:tab w:leader="none" w:pos="130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165" w:lineRule="exact"/>
        <w:rPr>
          <w:rFonts w:ascii="Arial" w:cs="Arial" w:eastAsia="Arial" w:hAnsi="Arial"/>
          <w:sz w:val="17"/>
          <w:szCs w:val="17"/>
          <w:color w:val="auto"/>
        </w:rPr>
      </w:pPr>
    </w:p>
    <w:p>
      <w:pPr>
        <w:ind w:right="200" w:firstLine="656"/>
        <w:spacing w:after="0" w:line="312" w:lineRule="auto"/>
        <w:tabs>
          <w:tab w:leader="none" w:pos="129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Absence of Manipulation</w:t>
      </w:r>
      <w:r>
        <w:rPr>
          <w:rFonts w:ascii="Arial" w:cs="Arial" w:eastAsia="Arial" w:hAnsi="Arial"/>
          <w:sz w:val="16"/>
          <w:szCs w:val="16"/>
          <w:color w:val="auto"/>
        </w:rPr>
        <w:t>. Neither the Company nor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46" w:lineRule="exact"/>
        <w:rPr>
          <w:rFonts w:ascii="Arial" w:cs="Arial" w:eastAsia="Arial" w:hAnsi="Arial"/>
          <w:sz w:val="16"/>
          <w:szCs w:val="16"/>
          <w:color w:val="auto"/>
        </w:rPr>
      </w:pPr>
    </w:p>
    <w:p>
      <w:pPr>
        <w:ind w:right="60" w:firstLine="656"/>
        <w:spacing w:after="0" w:line="267" w:lineRule="auto"/>
        <w:tabs>
          <w:tab w:leader="none" w:pos="130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None of the following events has occurred or exists: (i) a failure to fulfill the obligations, if any, under the minimum funding standards of Section 302 of the United States Employee Retirement Income Security Act of 1974, as amended (“ERISA”),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Clearway LLC and their subsidiaries that could have a Material Adverse Effect; (iii) any breach of any contractual obligation, or any violation of law or applicable qualification standards, with respect to the employment or compensation of employees by any of the Company, Clearway LLC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Clearway LLC and their subsidiaries compared to the amount of such contributions made in the most recently completed fiscal year of any of the Company, Clearway LLC and their subsidiaries that could reasonably be expected to result in a Material Adverse Effect; (x) a material increase in the “accumulated post-retirement benefit obligations” (within the meaning of Statement of Financial Accounting Standards 106) of any of the Company, Clearway LLC and their subsidiaries compared to the amount of such obligations in the most recently completed fiscal year of any of the Company, Clearway LLC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Clearway LLC and their subsidiaries related to their employment that could have a Material Adverse Effect. For purposes of this paragraph, the term “Plan” means a plan (within the meaning of Section 3(3)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subject to Title IV of ERISA with respect to which any of the Company, Clearway LLC and their subsidiaries may have any liability.</w:t>
      </w:r>
    </w:p>
    <w:p>
      <w:pPr>
        <w:spacing w:after="0" w:line="225" w:lineRule="exact"/>
        <w:rPr>
          <w:sz w:val="20"/>
          <w:szCs w:val="20"/>
          <w:color w:val="auto"/>
        </w:rPr>
      </w:pPr>
    </w:p>
    <w:p>
      <w:pPr>
        <w:ind w:right="60" w:firstLine="656"/>
        <w:spacing w:after="0" w:line="287" w:lineRule="auto"/>
        <w:tabs>
          <w:tab w:leader="none" w:pos="131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 Unlawful Payments</w:t>
      </w:r>
      <w:r>
        <w:rPr>
          <w:rFonts w:ascii="Arial" w:cs="Arial" w:eastAsia="Arial" w:hAnsi="Arial"/>
          <w:sz w:val="16"/>
          <w:szCs w:val="16"/>
          <w:color w:val="auto"/>
        </w:rPr>
        <w:t>.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“FCPA”)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spacing w:after="0" w:line="172" w:lineRule="exact"/>
        <w:rPr>
          <w:rFonts w:ascii="Arial" w:cs="Arial" w:eastAsia="Arial" w:hAnsi="Arial"/>
          <w:sz w:val="16"/>
          <w:szCs w:val="16"/>
          <w:color w:val="auto"/>
        </w:rPr>
      </w:pPr>
    </w:p>
    <w:p>
      <w:pPr>
        <w:ind w:firstLine="656"/>
        <w:spacing w:after="0" w:line="255" w:lineRule="auto"/>
        <w:tabs>
          <w:tab w:leader="none" w:pos="148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w:t>
      </w:r>
    </w:p>
    <w:p>
      <w:pPr>
        <w:spacing w:after="0" w:line="193" w:lineRule="exact"/>
        <w:rPr>
          <w:rFonts w:ascii="Arial" w:cs="Arial" w:eastAsia="Arial" w:hAnsi="Arial"/>
          <w:sz w:val="18"/>
          <w:szCs w:val="18"/>
          <w:color w:val="auto"/>
        </w:rPr>
      </w:pPr>
    </w:p>
    <w:p>
      <w:pPr>
        <w:ind w:firstLine="656"/>
        <w:spacing w:after="0" w:line="291" w:lineRule="auto"/>
        <w:tabs>
          <w:tab w:leader="none" w:pos="146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officer, agent, employee,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w:t>
      </w:r>
    </w:p>
    <w:p>
      <w:pPr>
        <w:sectPr>
          <w:pgSz w:w="11900" w:h="16932" w:orient="portrait"/>
          <w:cols w:equalWidth="0" w:num="1">
            <w:col w:w="11400"/>
          </w:cols>
          <w:pgMar w:left="240" w:top="125" w:right="259" w:bottom="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t>funding, is the subject of Sanctions or in any other manner that will result in a violation by any Person (including any Person participating in the transaction, whether as underwriter, advisor, investor or otherwise) of Sanctions.</w:t>
      </w:r>
    </w:p>
    <w:p>
      <w:pPr>
        <w:spacing w:after="0" w:line="170" w:lineRule="exact"/>
        <w:rPr>
          <w:sz w:val="20"/>
          <w:szCs w:val="20"/>
          <w:color w:val="auto"/>
        </w:rPr>
      </w:pPr>
    </w:p>
    <w:p>
      <w:pPr>
        <w:ind w:firstLine="656"/>
        <w:spacing w:after="0" w:line="276" w:lineRule="auto"/>
        <w:tabs>
          <w:tab w:leader="none" w:pos="145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(A)(i) Except as would not, individually or in the aggregate, reasonably be expected to have a Material Adverse 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(collectively, “IT Systems and Data”)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166" w:lineRule="exact"/>
        <w:rPr>
          <w:sz w:val="20"/>
          <w:szCs w:val="20"/>
          <w:color w:val="auto"/>
        </w:rPr>
      </w:pPr>
    </w:p>
    <w:p>
      <w:pPr>
        <w:ind w:right="120" w:firstLine="656"/>
        <w:spacing w:after="0" w:line="302" w:lineRule="auto"/>
        <w:tabs>
          <w:tab w:leader="none" w:pos="146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Restrictions on Distributions</w:t>
      </w:r>
      <w:r>
        <w:rPr>
          <w:rFonts w:ascii="Arial" w:cs="Arial" w:eastAsia="Arial" w:hAnsi="Arial"/>
          <w:sz w:val="16"/>
          <w:szCs w:val="16"/>
          <w:color w:val="auto"/>
        </w:rPr>
        <w:t>. Except as described in the Registration Statement, the General Disclosure Package and the Prospectus, no subsidiary of the Company is currently prohibited in any material respect, directly or indirectly, from (A) paying any distributions to the Company or Clearway LLC or (B) (i) making any other distribution on such subsidiary’s equity interests, (ii) repaying to the Company any loans or advances to such subsidiary from the Company or (iii) transferring any of such subsidiary’s property or assets to the Company or any other subsidiary of the Company.</w:t>
      </w:r>
    </w:p>
    <w:p>
      <w:pPr>
        <w:spacing w:after="0" w:line="154" w:lineRule="exact"/>
        <w:rPr>
          <w:rFonts w:ascii="Arial" w:cs="Arial" w:eastAsia="Arial" w:hAnsi="Arial"/>
          <w:sz w:val="16"/>
          <w:szCs w:val="16"/>
          <w:color w:val="auto"/>
        </w:rPr>
      </w:pPr>
    </w:p>
    <w:p>
      <w:pPr>
        <w:ind w:right="60" w:firstLine="656"/>
        <w:spacing w:after="0" w:line="257" w:lineRule="auto"/>
        <w:tabs>
          <w:tab w:leader="none" w:pos="147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Equity Awards</w:t>
      </w:r>
      <w:r>
        <w:rPr>
          <w:rFonts w:ascii="Arial" w:cs="Arial" w:eastAsia="Arial" w:hAnsi="Arial"/>
          <w:sz w:val="18"/>
          <w:szCs w:val="18"/>
          <w:color w:val="auto"/>
        </w:rPr>
        <w:t>. Except for grants disclosed in the Registration Statement, the General Disclosure Package and the Prospectus or the Section 16 filings related to the Company pursuant to the 1934 Act or otherwise granted pursuant to any employee benefit plans, qualified stock option plans, director compensation arrangements or the employee compensation plans of the Company and its subsidiaries, the Company has not granted to any person or entity, a stock option or other equity-based award to purchase or receive equity securities of the Company or Clearway LLC pursuant to an equity-based compensation plan or otherwise.</w:t>
      </w:r>
    </w:p>
    <w:p>
      <w:pPr>
        <w:spacing w:after="0" w:line="188" w:lineRule="exact"/>
        <w:rPr>
          <w:rFonts w:ascii="Arial" w:cs="Arial" w:eastAsia="Arial" w:hAnsi="Arial"/>
          <w:sz w:val="18"/>
          <w:szCs w:val="18"/>
          <w:color w:val="auto"/>
        </w:rPr>
      </w:pPr>
    </w:p>
    <w:p>
      <w:pPr>
        <w:ind w:right="100" w:firstLine="656"/>
        <w:spacing w:after="0" w:line="312" w:lineRule="auto"/>
        <w:tabs>
          <w:tab w:leader="none" w:pos="140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 Finder’s Fee</w:t>
      </w:r>
      <w:r>
        <w:rPr>
          <w:rFonts w:ascii="Arial" w:cs="Arial" w:eastAsia="Arial" w:hAnsi="Arial"/>
          <w:sz w:val="16"/>
          <w:szCs w:val="16"/>
          <w:color w:val="auto"/>
        </w:rPr>
        <w:t>. Except for the Underwriters’ discounts and commissions payable by the Company to the Underwriters in connection with the offering of the Securities contemplated herein or as otherwise disclosed in the General Disclosure Package and the Prospectus, the Company has not incurred any liability for any brokerage commission, finder’s fees or similar payments in connection with the offering of the Securities contemplated hereby.</w:t>
      </w:r>
    </w:p>
    <w:p>
      <w:pPr>
        <w:spacing w:after="0" w:line="146" w:lineRule="exact"/>
        <w:rPr>
          <w:rFonts w:ascii="Arial" w:cs="Arial" w:eastAsia="Arial" w:hAnsi="Arial"/>
          <w:sz w:val="16"/>
          <w:szCs w:val="16"/>
          <w:color w:val="auto"/>
        </w:rPr>
      </w:pPr>
    </w:p>
    <w:p>
      <w:pPr>
        <w:ind w:right="20" w:firstLine="656"/>
        <w:spacing w:after="0" w:line="273"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Absence of Certain Relationships</w:t>
      </w:r>
      <w:r>
        <w:rPr>
          <w:rFonts w:ascii="Arial" w:cs="Arial" w:eastAsia="Arial" w:hAnsi="Arial"/>
          <w:sz w:val="17"/>
          <w:szCs w:val="17"/>
          <w:color w:val="auto"/>
        </w:rPr>
        <w:t>. No relationship, direct or indirect, exists between or among the Company or its subsidiaries, on the one hand, and the directors, officers or stockholders of the Company, on the other hand, which is required under the 1933 Act to be described in the Registration Statement, the General Disclosure Package or the Prospectus which is not so described. Except as disclosed in the Registration Statement, the General Disclosure Package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660"/>
              <w:spacing w:after="0"/>
              <w:rPr>
                <w:sz w:val="20"/>
                <w:szCs w:val="20"/>
                <w:color w:val="auto"/>
              </w:rPr>
            </w:pPr>
            <w:r>
              <w:rPr>
                <w:rFonts w:ascii="Arial" w:cs="Arial" w:eastAsia="Arial" w:hAnsi="Arial"/>
                <w:sz w:val="18"/>
                <w:szCs w:val="18"/>
                <w:color w:val="auto"/>
              </w:rPr>
              <w:t>(xl)</w:t>
            </w:r>
          </w:p>
        </w:tc>
        <w:tc>
          <w:tcPr>
            <w:tcW w:w="10060" w:type="dxa"/>
            <w:vAlign w:val="bottom"/>
            <w:gridSpan w:val="3"/>
          </w:tcPr>
          <w:p>
            <w:pPr>
              <w:spacing w:after="0"/>
              <w:rPr>
                <w:sz w:val="20"/>
                <w:szCs w:val="20"/>
                <w:color w:val="auto"/>
              </w:rPr>
            </w:pPr>
            <w:r>
              <w:rPr>
                <w:rFonts w:ascii="Arial" w:cs="Arial" w:eastAsia="Arial" w:hAnsi="Arial"/>
                <w:sz w:val="18"/>
                <w:szCs w:val="18"/>
                <w:color w:val="auto"/>
                <w:w w:val="95"/>
              </w:rPr>
              <w:t>No Integration. Neither the Company nor Clearway LLC has sold or issued any securities that would be integrated with the offering of</w:t>
            </w: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37"/>
        </w:trPr>
        <w:tc>
          <w:tcPr>
            <w:tcW w:w="11400" w:type="dxa"/>
            <w:vAlign w:val="bottom"/>
            <w:gridSpan w:val="4"/>
          </w:tcPr>
          <w:p>
            <w:pPr>
              <w:spacing w:after="0"/>
              <w:rPr>
                <w:sz w:val="20"/>
                <w:szCs w:val="20"/>
                <w:color w:val="auto"/>
              </w:rPr>
            </w:pPr>
            <w:r>
              <w:rPr>
                <w:rFonts w:ascii="Arial" w:cs="Arial" w:eastAsia="Arial" w:hAnsi="Arial"/>
                <w:sz w:val="18"/>
                <w:szCs w:val="18"/>
                <w:color w:val="auto"/>
              </w:rPr>
              <w:t>Securities pursuant to the 1933 Act and the 1933 Act Regulations or the interpretations thereof by the Commission.</w:t>
            </w:r>
          </w:p>
        </w:tc>
      </w:tr>
      <w:tr>
        <w:trPr>
          <w:trHeight w:val="392"/>
        </w:trPr>
        <w:tc>
          <w:tcPr>
            <w:tcW w:w="1340" w:type="dxa"/>
            <w:vAlign w:val="bottom"/>
          </w:tcPr>
          <w:p>
            <w:pPr>
              <w:ind w:left="660"/>
              <w:spacing w:after="0"/>
              <w:rPr>
                <w:sz w:val="20"/>
                <w:szCs w:val="20"/>
                <w:color w:val="auto"/>
              </w:rPr>
            </w:pPr>
            <w:r>
              <w:rPr>
                <w:rFonts w:ascii="Arial" w:cs="Arial" w:eastAsia="Arial" w:hAnsi="Arial"/>
                <w:sz w:val="18"/>
                <w:szCs w:val="18"/>
                <w:color w:val="auto"/>
              </w:rPr>
              <w:t>(xli)</w:t>
            </w:r>
          </w:p>
        </w:tc>
        <w:tc>
          <w:tcPr>
            <w:tcW w:w="10060" w:type="dxa"/>
            <w:vAlign w:val="bottom"/>
            <w:gridSpan w:val="3"/>
          </w:tcPr>
          <w:p>
            <w:pPr>
              <w:spacing w:after="0"/>
              <w:rPr>
                <w:sz w:val="20"/>
                <w:szCs w:val="20"/>
                <w:color w:val="auto"/>
              </w:rPr>
            </w:pPr>
            <w:r>
              <w:rPr>
                <w:rFonts w:ascii="Arial" w:cs="Arial" w:eastAsia="Arial" w:hAnsi="Arial"/>
                <w:sz w:val="18"/>
                <w:szCs w:val="18"/>
                <w:color w:val="auto"/>
                <w:w w:val="89"/>
              </w:rPr>
              <w:t>Lending Relationship</w:t>
            </w:r>
            <w:r>
              <w:rPr>
                <w:rFonts w:ascii="Arial" w:cs="Arial" w:eastAsia="Arial" w:hAnsi="Arial"/>
                <w:sz w:val="18"/>
                <w:szCs w:val="18"/>
                <w:i w:val="1"/>
                <w:iCs w:val="1"/>
                <w:color w:val="auto"/>
                <w:w w:val="89"/>
              </w:rPr>
              <w:t>.</w:t>
            </w:r>
            <w:r>
              <w:rPr>
                <w:rFonts w:ascii="Arial" w:cs="Arial" w:eastAsia="Arial" w:hAnsi="Arial"/>
                <w:sz w:val="18"/>
                <w:szCs w:val="18"/>
                <w:color w:val="auto"/>
                <w:w w:val="89"/>
              </w:rPr>
              <w:t xml:space="preserve"> Except as disclosed in the Registration Statement, the General Disclosure Package and the Prospectus, the Company</w:t>
            </w:r>
          </w:p>
        </w:tc>
      </w:tr>
      <w:tr>
        <w:trPr>
          <w:trHeight w:val="20"/>
        </w:trPr>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 does not have any material lending or other relationship with any bank or lending affiliate of the Underwriters and (ii) does not intend to use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the Securities to repay any outstanding debt owed to any affiliate of any Underwriter.</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or the Underwriters have obtained consent to the use of such data from such sources.</w:t>
      </w:r>
    </w:p>
    <w:p>
      <w:pPr>
        <w:spacing w:after="0" w:line="166" w:lineRule="exact"/>
        <w:rPr>
          <w:sz w:val="20"/>
          <w:szCs w:val="20"/>
          <w:color w:val="auto"/>
        </w:rPr>
      </w:pPr>
    </w:p>
    <w:p>
      <w:pPr>
        <w:ind w:right="200" w:firstLine="656"/>
        <w:spacing w:after="0" w:line="264"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any of its subsidiaries (including any entity that controls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delivered to the Underwriters or to counsel for the Underwriters shall be deemed a representation and warranty by the Company or such other entity, as applicable, to the Underwriters as to the matters covered thereby.</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64"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On the basis of the representations and warranties herein contained and subject to the terms and conditions herein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agrees to sell to the Underwriters, and the Underwriters agree to purchase from the Company, at the price per share of $19.15, that number of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the Underwriters.</w:t>
      </w:r>
    </w:p>
    <w:p>
      <w:pPr>
        <w:spacing w:after="0" w:line="181" w:lineRule="exact"/>
        <w:rPr>
          <w:rFonts w:ascii="Arial" w:cs="Arial" w:eastAsia="Arial" w:hAnsi="Arial"/>
          <w:sz w:val="18"/>
          <w:szCs w:val="18"/>
          <w:color w:val="auto"/>
        </w:rPr>
      </w:pPr>
    </w:p>
    <w:p>
      <w:pPr>
        <w:ind w:right="600" w:firstLine="656"/>
        <w:spacing w:after="0" w:line="291" w:lineRule="auto"/>
        <w:tabs>
          <w:tab w:leader="none" w:pos="1304"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Payment of the purchase price for, and delivery of certificates for, the Securities shall be made at the offices of Latham &amp;</w:t>
      </w:r>
      <w:r>
        <w:rPr>
          <w:rFonts w:ascii="Arial" w:cs="Arial" w:eastAsia="Arial" w:hAnsi="Arial"/>
          <w:sz w:val="16"/>
          <w:szCs w:val="16"/>
          <w:i w:val="1"/>
          <w:iCs w:val="1"/>
          <w:color w:val="auto"/>
        </w:rPr>
        <w:t xml:space="preserve"> </w:t>
      </w:r>
      <w:r>
        <w:rPr>
          <w:rFonts w:ascii="Arial" w:cs="Arial" w:eastAsia="Arial" w:hAnsi="Arial"/>
          <w:sz w:val="16"/>
          <w:szCs w:val="16"/>
          <w:color w:val="auto"/>
        </w:rPr>
        <w:t>Watkins LLP, 885 Third Avenue, New York, New York, or at such other place as shall be agreed upon by the Underwriters and the Company, at</w:t>
      </w:r>
    </w:p>
    <w:p>
      <w:pPr>
        <w:ind w:right="160"/>
        <w:spacing w:after="0" w:line="290" w:lineRule="auto"/>
        <w:rPr>
          <w:rFonts w:ascii="Arial" w:cs="Arial" w:eastAsia="Arial" w:hAnsi="Arial"/>
          <w:sz w:val="16"/>
          <w:szCs w:val="16"/>
          <w:color w:val="auto"/>
        </w:rPr>
      </w:pPr>
      <w:r>
        <w:rPr>
          <w:rFonts w:ascii="Arial" w:cs="Arial" w:eastAsia="Arial" w:hAnsi="Arial"/>
          <w:sz w:val="17"/>
          <w:szCs w:val="17"/>
          <w:color w:val="auto"/>
        </w:rPr>
        <w:t>9:00 A.M. (New York City time) on the third business day after the date hereof, or such other time not later than ten business days after such date as shall be agreed upon by the Underwriters and the Company (such time and date of payment and delivery being herein called “Closing Time”).</w:t>
      </w:r>
    </w:p>
    <w:p>
      <w:pPr>
        <w:spacing w:after="0" w:line="16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Payment shall be made to the Company by wire transfer of immediately available funds to a bank account designated by the Company against delivery to the Underwriters of certificates for the Securities to be purchased by them.</w:t>
      </w:r>
    </w:p>
    <w:p>
      <w:pPr>
        <w:sectPr>
          <w:pgSz w:w="11900" w:h="16838" w:orient="portrait"/>
          <w:cols w:equalWidth="0" w:num="1">
            <w:col w:w="11420"/>
          </w:cols>
          <w:pgMar w:left="240" w:top="125" w:right="239" w:bottom="0" w:gutter="0" w:footer="0" w:header="0"/>
        </w:sectPr>
      </w:pPr>
    </w:p>
    <w:bookmarkStart w:id="9" w:name="page10"/>
    <w:bookmarkEnd w:id="9"/>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and Clearway LLC, jointly and severally, covenant with the Underwriters as follows:</w:t>
      </w:r>
    </w:p>
    <w:p>
      <w:pPr>
        <w:spacing w:after="0" w:line="225" w:lineRule="exact"/>
        <w:rPr>
          <w:sz w:val="20"/>
          <w:szCs w:val="20"/>
          <w:color w:val="auto"/>
        </w:rPr>
      </w:pPr>
    </w:p>
    <w:p>
      <w:pPr>
        <w:ind w:right="20" w:firstLine="656"/>
        <w:spacing w:after="0" w:line="287" w:lineRule="auto"/>
        <w:tabs>
          <w:tab w:leader="none" w:pos="129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430B, and will notify the Underwriters promptly after receiving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promptly file such prospectus. The Company will use reasonable best efforts to prevent the issuance of any stop order, prevention or suspension and, if any such order is issued, to obtain the lifting thereof as soon as practicable.</w:t>
      </w:r>
    </w:p>
    <w:p>
      <w:pPr>
        <w:spacing w:after="0" w:line="170" w:lineRule="exact"/>
        <w:rPr>
          <w:sz w:val="20"/>
          <w:szCs w:val="20"/>
          <w:color w:val="auto"/>
        </w:rPr>
      </w:pPr>
    </w:p>
    <w:p>
      <w:pPr>
        <w:ind w:right="20" w:firstLine="656"/>
        <w:spacing w:after="0" w:line="285" w:lineRule="auto"/>
        <w:tabs>
          <w:tab w:leader="none" w:pos="1304"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w:t>
      </w:r>
    </w:p>
    <w:p>
      <w:pPr>
        <w:spacing w:after="0" w:line="2" w:lineRule="exact"/>
        <w:rPr>
          <w:rFonts w:ascii="Arial" w:cs="Arial" w:eastAsia="Arial" w:hAnsi="Arial"/>
          <w:sz w:val="16"/>
          <w:szCs w:val="16"/>
          <w:color w:val="auto"/>
        </w:rPr>
      </w:pPr>
    </w:p>
    <w:p>
      <w:pPr>
        <w:jc w:val="both"/>
        <w:ind w:right="20" w:firstLine="8"/>
        <w:spacing w:after="0" w:line="281"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Underwriters notice of such event,</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Underwriters with copies of any such amendment or supplement and (C) file with the Commission any such amendment or supplement; provided that the Company shall not file or use any such amendment or supplement to which the Underwriters or counsel for the Underwriters shall reasonably object. The Company will furnish to the Underwriters such number of copies of such amendment or supplement as the Underwriters may reasonably request. The Company has given the Underwriters notice of any filings made pursuant to the 1934 Act or 1934 Act Regulations within 48 hours prior to the Applicable Time; the Company will give the Underwriters notice of its intention to make any such filing from the Applicable Time to the Closing Time and will furnish the Underwriters with copies of any such documents a reasonable amount of time prior to such proposed filing, as the case may be, and will not file or use any such document to which the Underwriters or counsel for the Underwriters shall reasonably object.</w:t>
      </w:r>
    </w:p>
    <w:p>
      <w:pPr>
        <w:spacing w:after="0" w:line="182" w:lineRule="exact"/>
        <w:rPr>
          <w:rFonts w:ascii="Arial" w:cs="Arial" w:eastAsia="Arial" w:hAnsi="Arial"/>
          <w:sz w:val="16"/>
          <w:szCs w:val="16"/>
          <w:color w:val="auto"/>
        </w:rPr>
      </w:pPr>
    </w:p>
    <w:p>
      <w:pPr>
        <w:ind w:right="60" w:firstLine="656"/>
        <w:spacing w:after="0" w:line="255" w:lineRule="auto"/>
        <w:tabs>
          <w:tab w:leader="none" w:pos="1307"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Underwriters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9" w:lineRule="exact"/>
        <w:rPr>
          <w:rFonts w:ascii="Arial" w:cs="Arial" w:eastAsia="Arial" w:hAnsi="Arial"/>
          <w:sz w:val="18"/>
          <w:szCs w:val="18"/>
          <w:color w:val="auto"/>
        </w:rPr>
      </w:pPr>
    </w:p>
    <w:p>
      <w:pPr>
        <w:jc w:val="both"/>
        <w:ind w:right="40" w:firstLine="656"/>
        <w:spacing w:after="0" w:line="288" w:lineRule="auto"/>
        <w:tabs>
          <w:tab w:leader="none" w:pos="1304"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the Underwriters, without charge, as many copies of each preliminary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Underwriters reasonably requested, and the Company hereby consents to the use of such copies for purposes permitted by the 1933 Act. The Company will furnish to the Underwriters, without charge, during the period when a prospectus relating to the Securities is (or, but for the exception afforded by</w:t>
      </w: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Rule 172, would be) required to be delivered under the 1933 Act, such number of copies of the Prospectus (as amended or supplemented) as the Underwriters may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0" w:lineRule="exact"/>
        <w:rPr>
          <w:sz w:val="20"/>
          <w:szCs w:val="20"/>
          <w:color w:val="auto"/>
        </w:rPr>
      </w:pPr>
    </w:p>
    <w:p>
      <w:pPr>
        <w:ind w:right="80" w:firstLine="656"/>
        <w:spacing w:after="0" w:line="297" w:lineRule="auto"/>
        <w:tabs>
          <w:tab w:leader="none" w:pos="130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its best efforts, in cooperation with the Underwriters, to qualify the Securities for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under the applicable securities laws of such states and other jurisdictions (domestic or foreign) as the Underwriters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8" w:lineRule="exact"/>
        <w:rPr>
          <w:rFonts w:ascii="Arial" w:cs="Arial" w:eastAsia="Arial" w:hAnsi="Arial"/>
          <w:sz w:val="16"/>
          <w:szCs w:val="16"/>
          <w:color w:val="auto"/>
        </w:rPr>
      </w:pPr>
    </w:p>
    <w:p>
      <w:pPr>
        <w:ind w:right="200" w:firstLine="656"/>
        <w:spacing w:after="0" w:line="264" w:lineRule="auto"/>
        <w:tabs>
          <w:tab w:leader="none" w:pos="130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81" w:lineRule="exact"/>
        <w:rPr>
          <w:rFonts w:ascii="Arial" w:cs="Arial" w:eastAsia="Arial" w:hAnsi="Arial"/>
          <w:sz w:val="18"/>
          <w:szCs w:val="18"/>
          <w:color w:val="auto"/>
        </w:rPr>
      </w:pPr>
    </w:p>
    <w:p>
      <w:pPr>
        <w:ind w:right="580" w:firstLine="656"/>
        <w:spacing w:after="0" w:line="308" w:lineRule="auto"/>
        <w:tabs>
          <w:tab w:leader="none" w:pos="1317"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and Clearway LLC will use the net proceeds received by them from the sale of the Securities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manner specified in the Registration Statement, the General Disclosure Package and the Prospectus under “Use of Proceeds.”</w:t>
      </w:r>
    </w:p>
    <w:p>
      <w:pPr>
        <w:sectPr>
          <w:pgSz w:w="11900" w:h="16838" w:orient="portrait"/>
          <w:cols w:equalWidth="0" w:num="1">
            <w:col w:w="11420"/>
          </w:cols>
          <w:pgMar w:left="240" w:top="125" w:right="239" w:bottom="0" w:gutter="0" w:footer="0" w:header="0"/>
        </w:sectPr>
      </w:pPr>
    </w:p>
    <w:bookmarkStart w:id="10" w:name="page11"/>
    <w:bookmarkEnd w:id="10"/>
    <w:p>
      <w:pPr>
        <w:ind w:right="80" w:firstLine="656"/>
        <w:spacing w:after="0" w:line="277" w:lineRule="auto"/>
        <w:tabs>
          <w:tab w:leader="none" w:pos="130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reasonable best efforts to effect and maintain the listing of the Common Stock (including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New York Stock Exchange.</w:t>
      </w:r>
    </w:p>
    <w:p>
      <w:pPr>
        <w:spacing w:after="0" w:line="170" w:lineRule="exact"/>
        <w:rPr>
          <w:rFonts w:ascii="Arial" w:cs="Arial" w:eastAsia="Arial" w:hAnsi="Arial"/>
          <w:sz w:val="18"/>
          <w:szCs w:val="18"/>
          <w:color w:val="auto"/>
        </w:rPr>
      </w:pPr>
    </w:p>
    <w:p>
      <w:pPr>
        <w:ind w:firstLine="656"/>
        <w:spacing w:after="0" w:line="283" w:lineRule="auto"/>
        <w:tabs>
          <w:tab w:leader="none" w:pos="1318"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30 days from the date of the Prospectus, the Company and Clearway LLC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the prior written consent of the Underwriters,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including without limitation LLC Units,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Registration Statement or the Securities to be sold hereunder, (B) any shares of common stock issued by the Company upon the exercise of an option or warrant or the conversion of a security outstanding on the date hereof and referred to in the Registration Statement, the General Disclosure Package and the Prospectus,</w:t>
      </w:r>
    </w:p>
    <w:p>
      <w:pPr>
        <w:spacing w:after="0" w:line="6" w:lineRule="exact"/>
        <w:rPr>
          <w:rFonts w:ascii="Arial" w:cs="Arial" w:eastAsia="Arial" w:hAnsi="Arial"/>
          <w:sz w:val="16"/>
          <w:szCs w:val="16"/>
          <w:color w:val="auto"/>
        </w:rPr>
      </w:pPr>
    </w:p>
    <w:p>
      <w:pPr>
        <w:ind w:right="220" w:firstLine="8"/>
        <w:spacing w:after="0" w:line="254" w:lineRule="auto"/>
        <w:tabs>
          <w:tab w:leader="none" w:pos="2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shares of common stock issued or options to purchase common stock granted pursuant to employee benefit plans of the Company referred to in the Registration Statement, the General Disclosure Package and the Prospectus (including the filing of a registration statement on Form S-8 relating to such employee benefit plans of the Company referred to in the General Disclosure Package and the Prospectus) and (D) any units (including any LLC Units) issued by Clearway LLC.</w:t>
      </w:r>
    </w:p>
    <w:p>
      <w:pPr>
        <w:spacing w:after="0" w:line="189" w:lineRule="exact"/>
        <w:rPr>
          <w:rFonts w:ascii="Arial" w:cs="Arial" w:eastAsia="Arial" w:hAnsi="Arial"/>
          <w:sz w:val="18"/>
          <w:szCs w:val="18"/>
          <w:color w:val="auto"/>
        </w:rPr>
      </w:pPr>
    </w:p>
    <w:p>
      <w:pPr>
        <w:ind w:right="20" w:firstLine="656"/>
        <w:spacing w:after="0" w:line="259" w:lineRule="auto"/>
        <w:tabs>
          <w:tab w:leader="none" w:pos="1304"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w:t>
      </w:r>
      <w:r>
        <w:rPr>
          <w:rFonts w:ascii="Arial" w:cs="Arial" w:eastAsia="Arial" w:hAnsi="Arial"/>
          <w:sz w:val="18"/>
          <w:szCs w:val="18"/>
          <w:i w:val="1"/>
          <w:iCs w:val="1"/>
          <w:color w:val="auto"/>
        </w:rPr>
        <w:t xml:space="preserve"> </w:t>
      </w:r>
      <w:r>
        <w:rPr>
          <w:rFonts w:ascii="Arial" w:cs="Arial" w:eastAsia="Arial" w:hAnsi="Arial"/>
          <w:sz w:val="18"/>
          <w:szCs w:val="18"/>
          <w:color w:val="auto"/>
        </w:rPr>
        <w:t>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Shares as may be required under Rule 463 under the 1933 Act.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right="80" w:firstLine="656"/>
        <w:spacing w:after="0" w:line="268" w:lineRule="auto"/>
        <w:tabs>
          <w:tab w:leader="none" w:pos="1304"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The Company agrees that, unless it obtains the prior written consent of the Underwriters,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Underwriters agree that, unless they obtain the prior consent of the Company, it will not make any offer relating to the Securities that would constitute an Issuer Free Writing Prospectus or that would otherwise constitute a “free writing prospectus,” or a portion thereof, required to be filed by the Company with the Commission or retained by the Company or the Underwriters, as applicable, under Rule 433; provided that the Underwriters will be deemed to have consented to the Issuer Free Writing Prospectuses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and any “road show that is a written communication” within the meaning of Rule 433(d)(8)(i) that has been reviewed by the Underwriters.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185" w:lineRule="exact"/>
        <w:rPr>
          <w:rFonts w:ascii="Arial" w:cs="Arial" w:eastAsia="Arial" w:hAnsi="Arial"/>
          <w:sz w:val="17"/>
          <w:szCs w:val="17"/>
          <w:color w:val="auto"/>
        </w:rPr>
      </w:pPr>
    </w:p>
    <w:p>
      <w:pPr>
        <w:ind w:right="80" w:firstLine="656"/>
        <w:spacing w:after="0" w:line="286" w:lineRule="auto"/>
        <w:tabs>
          <w:tab w:leader="none" w:pos="1318"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Absence of Manipulation</w:t>
      </w:r>
      <w:r>
        <w:rPr>
          <w:rFonts w:ascii="Arial" w:cs="Arial" w:eastAsia="Arial" w:hAnsi="Arial"/>
          <w:sz w:val="17"/>
          <w:szCs w:val="17"/>
          <w:color w:val="auto"/>
        </w:rPr>
        <w:t>. Except as contemplated herein or in the General Disclosure Package and the Prospectus, each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Clearway LLC will not take, directly or indirectly, any action designed to or that would constitute or that might reasonably be expected to cause or result in, stabilization or manipulation of the price of any securities of the Company to facilitate the sale or resale of the Securities.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Sarbanes-Oxley</w:t>
      </w:r>
      <w:r>
        <w:rPr>
          <w:rFonts w:ascii="Arial" w:cs="Arial" w:eastAsia="Arial" w:hAnsi="Arial"/>
          <w:sz w:val="17"/>
          <w:szCs w:val="17"/>
          <w:color w:val="auto"/>
        </w:rPr>
        <w:t>. The Company will comply in all material respects with all applicable provisions of the Sarbanes-Oxley Act that are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-3263265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ind w:right="40" w:firstLine="656"/>
        <w:spacing w:after="0" w:line="283" w:lineRule="auto"/>
        <w:tabs>
          <w:tab w:leader="none" w:pos="1294"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and the initial resale and delivery thereof by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not to exceed $15,000 in connection therewith and in connection with the preparation of the Blue Sky Survey and any supplement thereto,</w:t>
      </w:r>
    </w:p>
    <w:p>
      <w:pPr>
        <w:spacing w:after="0" w:line="6" w:lineRule="exact"/>
        <w:rPr>
          <w:rFonts w:ascii="Arial" w:cs="Arial" w:eastAsia="Arial" w:hAnsi="Arial"/>
          <w:sz w:val="16"/>
          <w:szCs w:val="16"/>
          <w:color w:val="auto"/>
        </w:rPr>
      </w:pPr>
    </w:p>
    <w:p>
      <w:pPr>
        <w:ind w:right="300" w:firstLine="8"/>
        <w:spacing w:after="0" w:line="295" w:lineRule="auto"/>
        <w:tabs>
          <w:tab w:leader="none" w:pos="3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fees and expenses of any transfer agent or registrar for the Securities, (vii) the filing fees incident to, and the reasonable fees and disbursements of counsel to the Underwriters not to exceed $30,000 in connection with, the review by FINRA of the terms of the sale of the Securities, (viii) the fees and expenses incurred in connection with the listing of the Securities on the New York Stock Exchange and (ix) all other cost and expenses incident to the performance of the obligations of the Company hereunder for which provision is not otherwise made in this Section.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understood, however, that except as provided in this Section 4, the Underwriters will pay all of their costs and expenses, including fees and disbursements of their counsel and any advertising expenses connected with any offers they may make.</w:t>
      </w:r>
    </w:p>
    <w:p>
      <w:pPr>
        <w:spacing w:after="0" w:line="170" w:lineRule="exact"/>
        <w:rPr>
          <w:sz w:val="20"/>
          <w:szCs w:val="20"/>
          <w:color w:val="auto"/>
        </w:rPr>
      </w:pPr>
    </w:p>
    <w:p>
      <w:pPr>
        <w:ind w:left="1320" w:hanging="664"/>
        <w:spacing w:after="0"/>
        <w:tabs>
          <w:tab w:leader="none" w:pos="132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Underwriters in accordance with the provisions of Section 5, Section 9(a)</w:t>
      </w:r>
    </w:p>
    <w:p>
      <w:pPr>
        <w:spacing w:after="0" w:line="46" w:lineRule="exact"/>
        <w:rPr>
          <w:rFonts w:ascii="Arial" w:cs="Arial" w:eastAsia="Arial" w:hAnsi="Arial"/>
          <w:sz w:val="16"/>
          <w:szCs w:val="16"/>
          <w:color w:val="auto"/>
        </w:rPr>
      </w:pPr>
    </w:p>
    <w:p>
      <w:pPr>
        <w:ind w:right="260" w:firstLine="8"/>
        <w:spacing w:after="0" w:line="261"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 (iii) hereof, the Company shall reimburse the Underwriters for all of their reasonable and documented out-of-pocket expenses, including the fees and disbursements of counsel for the Underwriters.</w:t>
      </w:r>
    </w:p>
    <w:p>
      <w:pPr>
        <w:spacing w:after="0" w:line="18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obligations of the Underwriters hereunder are subject to the accuracy of the representations and warranties of the Company and Clearway LLC contained in Section 1 herein or in certificates of any officer of the Company or any of its</w:t>
      </w:r>
    </w:p>
    <w:p>
      <w:pPr>
        <w:sectPr>
          <w:pgSz w:w="11900" w:h="16838" w:orient="portrait"/>
          <w:cols w:equalWidth="0" w:num="1">
            <w:col w:w="11400"/>
          </w:cols>
          <w:pgMar w:left="240" w:top="125" w:right="259" w:bottom="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subsidiaries delivered pursuant to the provisions hereof, to the performance by the Company and Clearway LLC in all material respects of their respective covenants and other obligations hereunder, and to the following further conditions:</w:t>
      </w:r>
    </w:p>
    <w:p>
      <w:pPr>
        <w:spacing w:after="0" w:line="170" w:lineRule="exact"/>
        <w:rPr>
          <w:sz w:val="20"/>
          <w:szCs w:val="20"/>
          <w:color w:val="auto"/>
        </w:rPr>
      </w:pPr>
    </w:p>
    <w:p>
      <w:pPr>
        <w:ind w:right="140" w:firstLine="656"/>
        <w:spacing w:after="0" w:line="284" w:lineRule="auto"/>
        <w:tabs>
          <w:tab w:leader="none" w:pos="1294"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w:t>
      </w:r>
      <w:r>
        <w:rPr>
          <w:rFonts w:ascii="Arial" w:cs="Arial" w:eastAsia="Arial" w:hAnsi="Arial"/>
          <w:sz w:val="16"/>
          <w:szCs w:val="16"/>
          <w:color w:val="auto"/>
        </w:rPr>
        <w:t>. At the Closing Time, no stop order suspending the effectiveness of the Registration Statement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threatened by the Commission; and the Company has complied with, to the reasonable satisfaction of the counsel to the Underwriters,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 in a post-effective amendment to the Registration Statement or on the cover page of a prospectus filed pursuant to Rule 424(b).</w:t>
      </w:r>
    </w:p>
    <w:p>
      <w:pPr>
        <w:spacing w:after="0" w:line="210" w:lineRule="exact"/>
        <w:rPr>
          <w:rFonts w:ascii="Arial" w:cs="Arial" w:eastAsia="Arial" w:hAnsi="Arial"/>
          <w:sz w:val="18"/>
          <w:szCs w:val="18"/>
          <w:color w:val="auto"/>
        </w:rPr>
      </w:pPr>
    </w:p>
    <w:p>
      <w:pPr>
        <w:ind w:right="140" w:firstLine="656"/>
        <w:spacing w:after="0" w:line="342"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Opinion of Counsel for Company and Clearway LLC</w:t>
      </w:r>
      <w:r>
        <w:rPr>
          <w:rFonts w:ascii="Arial" w:cs="Arial" w:eastAsia="Arial" w:hAnsi="Arial"/>
          <w:sz w:val="16"/>
          <w:szCs w:val="16"/>
          <w:color w:val="auto"/>
        </w:rPr>
        <w:t>. At the Closing Time, the Underwriters shall have received the opinion and negative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assurance letter, dated the Closing Time, of Baker Botts L.L.P., counsel for the Company and Clearway LLC, each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220" w:firstLine="656"/>
        <w:spacing w:after="0" w:line="264" w:lineRule="auto"/>
        <w:tabs>
          <w:tab w:leader="none" w:pos="1307"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Opinion of Federal Regulatory Counsel for Company and Clearway LLC</w:t>
      </w:r>
      <w:r>
        <w:rPr>
          <w:rFonts w:ascii="Arial" w:cs="Arial" w:eastAsia="Arial" w:hAnsi="Arial"/>
          <w:sz w:val="18"/>
          <w:szCs w:val="18"/>
          <w:color w:val="auto"/>
        </w:rPr>
        <w:t>. At the Closing Time, the Underwriters shall have received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opinion, dated the Closing Time, of King &amp; Spalding LLP, federal regulatory counsel for the Company and Clearway LLC,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00" w:firstLine="656"/>
        <w:spacing w:after="0" w:line="255"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Underwriters shall have received the favorable opinion, dated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Latham &amp; Watkins LLP, counsel for the Underwriters.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Underwriters.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93" w:lineRule="exact"/>
        <w:rPr>
          <w:rFonts w:ascii="Arial" w:cs="Arial" w:eastAsia="Arial" w:hAnsi="Arial"/>
          <w:sz w:val="18"/>
          <w:szCs w:val="18"/>
          <w:color w:val="auto"/>
        </w:rPr>
      </w:pPr>
    </w:p>
    <w:p>
      <w:pPr>
        <w:ind w:right="100" w:firstLine="656"/>
        <w:spacing w:after="0" w:line="286" w:lineRule="auto"/>
        <w:tabs>
          <w:tab w:leader="none" w:pos="1307"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Certain Changes</w:t>
      </w:r>
      <w:r>
        <w:rPr>
          <w:rFonts w:ascii="Arial" w:cs="Arial" w:eastAsia="Arial" w:hAnsi="Arial"/>
          <w:sz w:val="17"/>
          <w:szCs w:val="17"/>
          <w:color w:val="auto"/>
        </w:rPr>
        <w:t>. Subsequent to the execution and delivery of this Agreement and prior to the Closing Time, there shall not have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any change, or any development involving a prospective change, in the condition, financial or otherwise, or in the earnings, business or operations of the Company and its subsidiaries, considered as one enterprise, from that set forth in the Registration Statement,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General Disclosure Package and the Prospectus that, in the judgment of the Underwriters, is material and adverse and makes it, in the judgment of the Underwriters, impracticable or inadvisable to proceed with the offer, sale and delivery of the Securities on the terms and in the manner contemplated in this Agreement and the Prospectus.</w:t>
      </w:r>
    </w:p>
    <w:p>
      <w:pPr>
        <w:spacing w:after="0" w:line="181" w:lineRule="exact"/>
        <w:rPr>
          <w:sz w:val="20"/>
          <w:szCs w:val="20"/>
          <w:color w:val="auto"/>
        </w:rPr>
      </w:pPr>
    </w:p>
    <w:p>
      <w:pPr>
        <w:ind w:firstLine="656"/>
        <w:spacing w:after="0" w:line="290" w:lineRule="auto"/>
        <w:tabs>
          <w:tab w:leader="none" w:pos="130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Underwriters shall have received a certificate of an executive officer of the Company, in the capacity of an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only, and of the chief financial or chief accounting officer of the Company, in their respective capacities as officers only, dated the Closing Time, to the effect that (i) the representations and warranties of the Company in this Agreement that are not qualified by materiality are true and correct in all material respects and that the representations and warranties of the Company contained in this Agreement that are qualified by materiality are true and correct in all respects, in each case, as of the Closing Time, (ii) the Company and Clearway LLC have complied in all material respects with all agreements and satisfied all conditions on its part to be performed or satisfied at or prior to the Closing Time and (iii)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threatened by the Commission.</w:t>
      </w:r>
    </w:p>
    <w:p>
      <w:pPr>
        <w:spacing w:after="0" w:line="166" w:lineRule="exact"/>
        <w:rPr>
          <w:rFonts w:ascii="Arial" w:cs="Arial" w:eastAsia="Arial" w:hAnsi="Arial"/>
          <w:sz w:val="16"/>
          <w:szCs w:val="16"/>
          <w:color w:val="auto"/>
        </w:rPr>
      </w:pPr>
    </w:p>
    <w:p>
      <w:pPr>
        <w:ind w:right="260" w:firstLine="656"/>
        <w:spacing w:after="0" w:line="302" w:lineRule="auto"/>
        <w:tabs>
          <w:tab w:leader="none" w:pos="1317"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Underwriters shall have received from KPMG LLP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dated such date, in form and substance satisfactory to the Underwriters,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54" w:lineRule="exact"/>
        <w:rPr>
          <w:rFonts w:ascii="Arial" w:cs="Arial" w:eastAsia="Arial" w:hAnsi="Arial"/>
          <w:sz w:val="16"/>
          <w:szCs w:val="16"/>
          <w:color w:val="auto"/>
        </w:rPr>
      </w:pPr>
    </w:p>
    <w:p>
      <w:pPr>
        <w:ind w:right="200" w:firstLine="656"/>
        <w:spacing w:after="0" w:line="264"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Underwriters shall have received from KPMG LLP a letter, dated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181" w:lineRule="exact"/>
        <w:rPr>
          <w:rFonts w:ascii="Arial" w:cs="Arial" w:eastAsia="Arial" w:hAnsi="Arial"/>
          <w:sz w:val="18"/>
          <w:szCs w:val="18"/>
          <w:color w:val="auto"/>
        </w:rPr>
      </w:pPr>
    </w:p>
    <w:p>
      <w:pPr>
        <w:ind w:right="40" w:firstLine="656"/>
        <w:spacing w:after="0" w:line="277" w:lineRule="auto"/>
        <w:tabs>
          <w:tab w:leader="none" w:pos="1237"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New York Stock Exchange, subject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official notice of issuance.</w:t>
      </w:r>
    </w:p>
    <w:p>
      <w:pPr>
        <w:spacing w:after="0" w:line="170" w:lineRule="exact"/>
        <w:rPr>
          <w:rFonts w:ascii="Arial" w:cs="Arial" w:eastAsia="Arial" w:hAnsi="Arial"/>
          <w:sz w:val="18"/>
          <w:szCs w:val="18"/>
          <w:color w:val="auto"/>
        </w:rPr>
      </w:pPr>
    </w:p>
    <w:p>
      <w:pPr>
        <w:ind w:right="120" w:firstLine="656"/>
        <w:spacing w:after="0" w:line="277" w:lineRule="auto"/>
        <w:tabs>
          <w:tab w:leader="none" w:pos="122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Lock-up Agreements</w:t>
      </w:r>
      <w:r>
        <w:rPr>
          <w:rFonts w:ascii="Arial" w:cs="Arial" w:eastAsia="Arial" w:hAnsi="Arial"/>
          <w:sz w:val="17"/>
          <w:szCs w:val="17"/>
          <w:color w:val="auto"/>
        </w:rPr>
        <w:t>. At the date of this Agreement, the Underwriters shall have received an agreement substantially in the form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signed by the persons listed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hereto.</w:t>
      </w:r>
    </w:p>
    <w:p>
      <w:pPr>
        <w:spacing w:after="0" w:line="211" w:lineRule="exact"/>
        <w:rPr>
          <w:sz w:val="20"/>
          <w:szCs w:val="20"/>
          <w:color w:val="auto"/>
        </w:rPr>
      </w:pPr>
    </w:p>
    <w:p>
      <w:pPr>
        <w:ind w:right="40" w:firstLine="656"/>
        <w:spacing w:after="0" w:line="259" w:lineRule="auto"/>
        <w:tabs>
          <w:tab w:leader="none" w:pos="131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Maintenance of Rating</w:t>
      </w:r>
      <w:r>
        <w:rPr>
          <w:rFonts w:ascii="Arial" w:cs="Arial" w:eastAsia="Arial" w:hAnsi="Arial"/>
          <w:sz w:val="18"/>
          <w:szCs w:val="18"/>
          <w:color w:val="auto"/>
        </w:rPr>
        <w:t>. Since the execution of this Agreement, there shall not have been any decrease in or withdrawal of the rating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of the Company, Clearway LLC or any of its subsidiaries by any “nationally recognized statistical rating organization” (as defined for purposes of Rule 436(g) under the 1933 Act) or any notice given of any intended or potential decrease in or withdrawal of any such rating or of a possible change in any such rating that does not indicate the direction of the possible change.</w:t>
      </w:r>
    </w:p>
    <w:p>
      <w:pPr>
        <w:spacing w:after="0" w:line="186" w:lineRule="exact"/>
        <w:rPr>
          <w:rFonts w:ascii="Arial" w:cs="Arial" w:eastAsia="Arial" w:hAnsi="Arial"/>
          <w:sz w:val="18"/>
          <w:szCs w:val="18"/>
          <w:color w:val="auto"/>
        </w:rPr>
      </w:pPr>
    </w:p>
    <w:p>
      <w:pPr>
        <w:jc w:val="both"/>
        <w:ind w:right="200" w:firstLine="656"/>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at each Date of Delivery (if any) counsel for the Underwriters shall have been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documents as they may require for the purpose of enabling them to pass upon the issuance and sale of the Securities as herein contemplated, or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88" w:gutter="0" w:footer="0" w:header="0"/>
        </w:sectPr>
      </w:pPr>
    </w:p>
    <w:bookmarkStart w:id="12" w:name="page13"/>
    <w:bookmarkEnd w:id="12"/>
    <w:p>
      <w:pPr>
        <w:ind w:right="40"/>
        <w:spacing w:after="0" w:line="264" w:lineRule="auto"/>
        <w:rPr>
          <w:sz w:val="20"/>
          <w:szCs w:val="20"/>
          <w:color w:val="auto"/>
        </w:rPr>
      </w:pPr>
      <w:r>
        <w:rPr>
          <w:rFonts w:ascii="Arial" w:cs="Arial" w:eastAsia="Arial" w:hAnsi="Arial"/>
          <w:sz w:val="18"/>
          <w:szCs w:val="18"/>
          <w:color w:val="auto"/>
        </w:rPr>
        <w:t>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Underwriters and counsel for the Underwriters.</w:t>
      </w:r>
    </w:p>
    <w:p>
      <w:pPr>
        <w:spacing w:after="0" w:line="181" w:lineRule="exact"/>
        <w:rPr>
          <w:sz w:val="20"/>
          <w:szCs w:val="20"/>
          <w:color w:val="auto"/>
        </w:rPr>
      </w:pPr>
    </w:p>
    <w:p>
      <w:pPr>
        <w:ind w:right="160" w:firstLine="656"/>
        <w:spacing w:after="0" w:line="259" w:lineRule="auto"/>
        <w:tabs>
          <w:tab w:leader="none" w:pos="130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may be terminated by the Underwriters by notice to the Company at any time at or prior to Closing Time or such Date of Delivery, as the case may be, and such termination shall be without liability of any party to any other party except as provided in Section 4 and except that Sections 1, 6, 7, 8, 14, 15 and 16 shall survive any such termination and remain in full force and effect.</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240" w:firstLine="656"/>
        <w:spacing w:after="0" w:line="286" w:lineRule="auto"/>
        <w:tabs>
          <w:tab w:leader="none" w:pos="1294"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Indemnification of Underwriters</w:t>
      </w:r>
      <w:r>
        <w:rPr>
          <w:rFonts w:ascii="Arial" w:cs="Arial" w:eastAsia="Arial" w:hAnsi="Arial"/>
          <w:sz w:val="17"/>
          <w:szCs w:val="17"/>
          <w:color w:val="auto"/>
        </w:rPr>
        <w:t>. The Company and Clearway LLC, jointly and severally, agree to indemnify and hold harmless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its affiliates (as such term is defined in Rule 501(b) under the 1933 Act (each, an “Affiliate”)), its selling agents and each person, if any, who controls the Underwriters within the meaning of Section 15 of the 1933 Act or Section 20 of the 1934 Act as follows:</w:t>
      </w:r>
    </w:p>
    <w:p>
      <w:pPr>
        <w:spacing w:after="0" w:line="165" w:lineRule="exact"/>
        <w:rPr>
          <w:rFonts w:ascii="Arial" w:cs="Arial" w:eastAsia="Arial" w:hAnsi="Arial"/>
          <w:sz w:val="17"/>
          <w:szCs w:val="17"/>
          <w:color w:val="auto"/>
        </w:rPr>
      </w:pPr>
    </w:p>
    <w:p>
      <w:pPr>
        <w:ind w:left="660" w:right="40" w:firstLine="645"/>
        <w:spacing w:after="0" w:line="288" w:lineRule="auto"/>
        <w:tabs>
          <w:tab w:leader="none" w:pos="19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Stock (“Marketing Materials”) not constituting an Issuer Free Writing Prospectus, including any “roadshow” (as defined in Rule 433 under the 1933 Act) or investor presentations made to investors by the Company (whether in person or electronically),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spacing w:after="0" w:line="169" w:lineRule="exact"/>
        <w:rPr>
          <w:rFonts w:ascii="Arial" w:cs="Arial" w:eastAsia="Arial" w:hAnsi="Arial"/>
          <w:sz w:val="16"/>
          <w:szCs w:val="16"/>
          <w:color w:val="auto"/>
        </w:rPr>
      </w:pPr>
    </w:p>
    <w:p>
      <w:pPr>
        <w:ind w:left="660" w:firstLine="645"/>
        <w:spacing w:after="0" w:line="288" w:lineRule="auto"/>
        <w:tabs>
          <w:tab w:leader="none" w:pos="198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ind w:left="660"/>
        <w:spacing w:after="0"/>
        <w:rPr>
          <w:rFonts w:ascii="Arial" w:cs="Arial" w:eastAsia="Arial" w:hAnsi="Arial"/>
          <w:sz w:val="16"/>
          <w:szCs w:val="16"/>
          <w:color w:val="auto"/>
        </w:rPr>
      </w:pPr>
      <w:r>
        <w:rPr>
          <w:rFonts w:ascii="Arial" w:cs="Arial" w:eastAsia="Arial" w:hAnsi="Arial"/>
          <w:sz w:val="18"/>
          <w:szCs w:val="18"/>
          <w:color w:val="auto"/>
        </w:rPr>
        <w:t>Section 6(d) below) any such settlement is effected with the written consent of the Company;</w:t>
      </w:r>
    </w:p>
    <w:p>
      <w:pPr>
        <w:spacing w:after="0" w:line="210" w:lineRule="exact"/>
        <w:rPr>
          <w:rFonts w:ascii="Arial" w:cs="Arial" w:eastAsia="Arial" w:hAnsi="Arial"/>
          <w:sz w:val="16"/>
          <w:szCs w:val="16"/>
          <w:color w:val="auto"/>
        </w:rPr>
      </w:pPr>
    </w:p>
    <w:p>
      <w:pPr>
        <w:jc w:val="both"/>
        <w:ind w:left="660" w:right="140" w:firstLine="645"/>
        <w:spacing w:after="0" w:line="302" w:lineRule="auto"/>
        <w:tabs>
          <w:tab w:leader="none" w:pos="19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fees and disbursements of counsel chosen by the Underwriters in accordance with paragraph (c) below),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5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made in the Registration Statement (or any amendment thereto), </w:t>
      </w:r>
      <w:r>
        <w:rPr>
          <w:rFonts w:ascii="Arial" w:cs="Arial" w:eastAsia="Arial" w:hAnsi="Arial"/>
          <w:sz w:val="17"/>
          <w:szCs w:val="17"/>
          <w:color w:val="auto"/>
        </w:rPr>
        <w:t>including any information deemed to be a part thereof pursuant to Rule 430B</w:t>
      </w:r>
      <w:r>
        <w:rPr>
          <w:rFonts w:ascii="Arial" w:cs="Arial" w:eastAsia="Arial" w:hAnsi="Arial"/>
          <w:sz w:val="18"/>
          <w:szCs w:val="18"/>
          <w:color w:val="auto"/>
        </w:rPr>
        <w:t>, the General Disclosure Package, any preliminary prospectus, any Issuer Free Writing Prospectus, the Prospectus (or any amendment or supplement thereto) or any Marketing Materials in reliance upon and in conformity with the Underwriter Information.</w:t>
      </w:r>
    </w:p>
    <w:p>
      <w:pPr>
        <w:spacing w:after="0" w:line="181" w:lineRule="exact"/>
        <w:rPr>
          <w:sz w:val="20"/>
          <w:szCs w:val="20"/>
          <w:color w:val="auto"/>
        </w:rPr>
      </w:pPr>
    </w:p>
    <w:p>
      <w:pPr>
        <w:ind w:right="80" w:firstLine="656"/>
        <w:spacing w:after="0" w:line="291" w:lineRule="auto"/>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The Underwriters agree to indemnify and hold harmless the Company and Clearway</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their directors or managers and each officer of the Company who signed the Registration Statement, and each person, if any, who controls the Company or Clearway LLC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any Issuer Free Writing Prospectus, the Prospectus (or any amendment or supplement thereto) or any Marketing Materials in reliance upon and in conformity with the Underwriter Information.</w:t>
      </w:r>
    </w:p>
    <w:p>
      <w:pPr>
        <w:spacing w:after="0" w:line="167" w:lineRule="exact"/>
        <w:rPr>
          <w:rFonts w:ascii="Arial" w:cs="Arial" w:eastAsia="Arial" w:hAnsi="Arial"/>
          <w:sz w:val="16"/>
          <w:szCs w:val="16"/>
          <w:color w:val="auto"/>
        </w:rPr>
      </w:pPr>
    </w:p>
    <w:p>
      <w:pPr>
        <w:ind w:right="60" w:firstLine="656"/>
        <w:spacing w:after="0" w:line="286" w:lineRule="auto"/>
        <w:tabs>
          <w:tab w:leader="none" w:pos="1307"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6(a) above, counsel to the indemnified parties shall be selected by the Underwriters, and, in the case of parties indemnified pursuant to</w:t>
      </w:r>
    </w:p>
    <w:p>
      <w:pPr>
        <w:spacing w:after="0" w:line="9" w:lineRule="exact"/>
        <w:rPr>
          <w:rFonts w:ascii="Arial" w:cs="Arial" w:eastAsia="Arial" w:hAnsi="Arial"/>
          <w:sz w:val="16"/>
          <w:szCs w:val="16"/>
          <w:color w:val="auto"/>
        </w:rPr>
      </w:pPr>
    </w:p>
    <w:p>
      <w:pPr>
        <w:ind w:right="80"/>
        <w:spacing w:after="0" w:line="286" w:lineRule="auto"/>
        <w:rPr>
          <w:rFonts w:ascii="Arial" w:cs="Arial" w:eastAsia="Arial" w:hAnsi="Arial"/>
          <w:sz w:val="16"/>
          <w:szCs w:val="16"/>
          <w:color w:val="auto"/>
        </w:rPr>
      </w:pPr>
      <w:r>
        <w:rPr>
          <w:rFonts w:ascii="Arial" w:cs="Arial" w:eastAsia="Arial" w:hAnsi="Arial"/>
          <w:sz w:val="16"/>
          <w:szCs w:val="16"/>
          <w:color w:val="auto"/>
        </w:rPr>
        <w:t>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Clearway LLC, on the one hand, and the Underwriters, on the other hand, from the offering of the Securities pursuant to this Agreement or (ii) if the allocation provided by clause (i) is not permitted by applicable law, in such</w:t>
      </w:r>
    </w:p>
    <w:p>
      <w:pPr>
        <w:sectPr>
          <w:pgSz w:w="11900" w:h="16838" w:orient="portrait"/>
          <w:cols w:equalWidth="0" w:num="1">
            <w:col w:w="11420"/>
          </w:cols>
          <w:pgMar w:left="240" w:top="125" w:right="239" w:bottom="0" w:gutter="0" w:footer="0" w:header="0"/>
        </w:sectPr>
      </w:pPr>
    </w:p>
    <w:bookmarkStart w:id="13" w:name="page14"/>
    <w:bookmarkEnd w:id="13"/>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proportion as is appropriate to reflect not only the relative benefits referred to in clause (i) above but also the relative fault of the Company and Clearway LLC, on the one hand, and of the Underwriters, on the other hand, in connection with the statements or omissions,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resulted in such losses, liabilities, claims, damages or expenses, as well as any other relevant equitable considerations.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relative benefits received by the Company and Clearway LLC,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Clearway LLC, on the one hand, and the total underwriting discounts and commissions received by the Underwriters, on the other hand, in each case as set forth on the cover of the Prospectus, bear to the aggregate public offering price of the Securities as set forth on the cover of the Prospectus.</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relative fault of the Company or Clearway LLC,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Clearway LLC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 Clearway LLC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Notwithstanding the provisions of this Section 7, the Underwriters shall not be required to contribute any amount in excess of the underwriting commissions received by the Underwriters in connection with the Securities underwritten by it and distributed to the public.</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For purposes of this Section 7, each person, if any, who controls the Underwriters within the meaning of Section 15 of the 1933 Act or Section 20 of the 1934 Act and the Underwriters’ Affiliates and selling agents shall have the same rights to contribution as such Underwriter, and each director of the Company, each officer of the Company who signed the Registration Statement, and each person, if any, who controls the Company or Clearway LLC within the meaning of Section 15 of the 1933 Act or Section 20 of the 1934 Act, shall have the same rights to contribution as the Company or Clearway LLC. The Underwriters’ respective obligations to contribute pursuant to this Section 7 are several in proportion to the number of Securities set forth opposite their respective names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not joint.</w:t>
      </w:r>
    </w:p>
    <w:p>
      <w:pPr>
        <w:spacing w:after="0" w:line="19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Representations, Warranties and Agreements to Survive</w:t>
      </w:r>
      <w:r>
        <w:rPr>
          <w:rFonts w:ascii="Arial" w:cs="Arial" w:eastAsia="Arial" w:hAnsi="Arial"/>
          <w:sz w:val="16"/>
          <w:szCs w:val="16"/>
          <w:color w:val="auto"/>
        </w:rPr>
        <w:t>. All representations, warranties and agreements contained in this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Agreement or in certificates of officers of the Company or any of its subsidiaries submitted pursuant hereto, shall remain operative and in full force and effect regardless of (i) any investigation made by or on behalf of the Underwriters or its Affiliates or selling agents, any person controlling any Underwriter, its officers or directors or any person controlling the Company or any person controlling Clearway LLC and (ii) delivery of and payment for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3" w:lineRule="auto"/>
        <w:tabs>
          <w:tab w:leader="none" w:pos="1294"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to the Company, at any time at or prior to the Closing Time (i) if</w:t>
      </w:r>
      <w:r>
        <w:rPr>
          <w:rFonts w:ascii="Arial" w:cs="Arial" w:eastAsia="Arial" w:hAnsi="Arial"/>
          <w:sz w:val="16"/>
          <w:szCs w:val="16"/>
          <w:i w:val="1"/>
          <w:iCs w:val="1"/>
          <w:color w:val="auto"/>
        </w:rPr>
        <w:t xml:space="preserve"> </w:t>
      </w:r>
      <w:r>
        <w:rPr>
          <w:rFonts w:ascii="Arial" w:cs="Arial" w:eastAsia="Arial" w:hAnsi="Arial"/>
          <w:sz w:val="16"/>
          <w:szCs w:val="16"/>
          <w:color w:val="auto"/>
        </w:rPr>
        <w:t>there has been, in the judgment of the Underwriters,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operations or prospects as described in or contemplated by the Registration Statement, the General Disclosure Package and the Prospectus, whether or not arising from transactions in the ordinary course of business, of the Company and its subsidiaries, considered as one entity, except as set forth in the Prospectus,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Underwriters, impracticable or inadvisable to proceed with the completion of the offering or to enforce contracts for the sale of the Securities, or (iii) if trading in any securities of the Company has been suspended or materially limited by the Commission or the New York Stock Exchange,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w:t>
      </w:r>
    </w:p>
    <w:p>
      <w:pPr>
        <w:spacing w:after="0" w:line="3"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banking moratorium has been declared by either Federal or New York authorities.</w:t>
      </w:r>
    </w:p>
    <w:p>
      <w:pPr>
        <w:spacing w:after="0" w:line="210" w:lineRule="exact"/>
        <w:rPr>
          <w:rFonts w:ascii="Arial" w:cs="Arial" w:eastAsia="Arial" w:hAnsi="Arial"/>
          <w:sz w:val="18"/>
          <w:szCs w:val="18"/>
          <w:color w:val="auto"/>
        </w:rPr>
      </w:pPr>
    </w:p>
    <w:p>
      <w:pPr>
        <w:ind w:firstLine="656"/>
        <w:spacing w:after="0" w:line="264" w:lineRule="auto"/>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except as provided in Section 4 hereof, and provided further that Sections 1, 6, 7, 8, 13, 14 and 15 shall survive such termination and remain in full force and effect.</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All notices and other communications hereunder shall be in writing and shall be deemed to have been duly given if mailed or transmitted by any standard form of telecommunication. Notices to the Underwriters shall be directed to UBS Securities LLC at 1285 Avenue of the Americas, New York, New York, 10019 and notices to the Company and Clearway LLC shall be directed to them at c/o Clearway Energy, Inc., 300 Carnegie Center, Suite 300, Princeton, New Jersey, 08540, attention of General Counsel, with a copy to Baker Botts L.L.P., 2001 Ross Avenue, Suite 900, Dallas, Texas 75201, attention to Preston Bernhisel.</w:t>
      </w:r>
    </w:p>
    <w:p>
      <w:pPr>
        <w:sectPr>
          <w:pgSz w:w="11900" w:h="16907" w:orient="portrait"/>
          <w:cols w:equalWidth="0" w:num="1">
            <w:col w:w="11420"/>
          </w:cols>
          <w:pgMar w:left="240" w:top="125" w:right="239" w:bottom="0" w:gutter="0" w:footer="0" w:header="0"/>
        </w:sectPr>
      </w:pPr>
    </w:p>
    <w:bookmarkStart w:id="14" w:name="page15"/>
    <w:bookmarkEnd w:id="14"/>
    <w:p>
      <w:pPr>
        <w:ind w:right="180" w:firstLine="648"/>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and Clearway LLC acknowledge and agree that (a) the purchase and sale of the Securities pursuant to this Agreement, including the determination of the public offering price of the Securities and any related discounts and commissions, is an arm’s-length commercial transaction between the Company and Clearway LLC, on the one hand, and the several Underwriters, on the other hand, (b) in connection with the offering of the Securities contemplated hereby and the process leading thereto, the Underwriters are and have been acting solely as a principal and is not the agent or fiduciary of the Company, any of its subsidiaries or their respective stockholders, creditors, employees or any other party, (c) the Underwriters have not assumed nor will they assume an advisory or fiduciary responsibility in favor of the Company and Clearway LLC with respect to the offering of the Securities contemplated hereby or the process leading thereto (irrespective of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Underwriters have advised or are currently advising the Company and Clearway LLC or any of their subsidiaries on other matters) and the Underwriters have no obligation to the Company and Clearway LLC with respect to the offering of the Securities contemplated hereby except the obligations expressly set forth in this Agreement, (d) the Underwriters and their respective affiliates may be engaged in a broad range of transactions that involve interests that differ from those of the Company and Clearway LLC and (e) the Underwriters have not provided any legal, accounting, regulatory or tax advice with respect to the offering of the Securities contemplated hereby and the Company and Clearway LLC have consulted their own respective legal, accounting, regulatory and tax advisors to the extent it deemed appropriate.</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the Company and Clearway LLC and their respective successors. Nothing expressed or mentioned in this Agreement is intended or shall be construed to give any person, firm or corporation, other than the Underwriters, the Company and Clearway LLC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Clearway LLC and their respective successors, and said controlling persons and officers and directors and their heirs and legal representatives, and for the benefit of no other person, firm or corporation. No purchaser of Securities from the Underwriters shall be deemed to be a successor by reason merely of such purchase.</w:t>
      </w:r>
    </w:p>
    <w:p>
      <w:pPr>
        <w:spacing w:after="0" w:line="19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and Clearway LLC (on their behalf and, to the extent permitted by applicable law, on behalf of their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1"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the Company and Clearway LLC in accordance with its terms.</w:t>
      </w:r>
    </w:p>
    <w:p>
      <w:pPr>
        <w:spacing w:after="0" w:line="1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INC.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5140" w:type="dxa"/>
            <w:vAlign w:val="bottom"/>
          </w:tcPr>
          <w:p>
            <w:pPr>
              <w:ind w:left="2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CLEARWAY ENERGY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bl>
    <w:p>
      <w:pPr>
        <w:sectPr>
          <w:pgSz w:w="11900" w:h="16838" w:orient="portrait"/>
          <w:cols w:equalWidth="0" w:num="1">
            <w:col w:w="11420"/>
          </w:cols>
          <w:pgMar w:left="240" w:top="341"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ind w:left="5780"/>
              <w:spacing w:after="0"/>
              <w:rPr>
                <w:sz w:val="20"/>
                <w:szCs w:val="20"/>
                <w:color w:val="auto"/>
              </w:rPr>
            </w:pPr>
            <w:r>
              <w:rPr>
                <w:rFonts w:ascii="Arial" w:cs="Arial" w:eastAsia="Arial" w:hAnsi="Arial"/>
                <w:sz w:val="18"/>
                <w:szCs w:val="18"/>
                <w:color w:val="auto"/>
              </w:rPr>
              <w:t>Name:</w:t>
            </w:r>
          </w:p>
        </w:tc>
        <w:tc>
          <w:tcPr>
            <w:tcW w:w="5060" w:type="dxa"/>
            <w:vAlign w:val="bottom"/>
          </w:tcPr>
          <w:p>
            <w:pPr>
              <w:ind w:left="140"/>
              <w:spacing w:after="0"/>
              <w:rPr>
                <w:sz w:val="20"/>
                <w:szCs w:val="20"/>
                <w:color w:val="auto"/>
              </w:rPr>
            </w:pPr>
            <w:r>
              <w:rPr>
                <w:rFonts w:ascii="Arial" w:cs="Arial" w:eastAsia="Arial" w:hAnsi="Arial"/>
                <w:sz w:val="18"/>
                <w:szCs w:val="18"/>
                <w:color w:val="auto"/>
              </w:rPr>
              <w:t>Chad Plotkin</w:t>
            </w:r>
          </w:p>
        </w:tc>
      </w:tr>
      <w:tr>
        <w:trPr>
          <w:trHeight w:val="230"/>
        </w:trPr>
        <w:tc>
          <w:tcPr>
            <w:tcW w:w="6400" w:type="dxa"/>
            <w:vAlign w:val="bottom"/>
          </w:tcPr>
          <w:p>
            <w:pPr>
              <w:ind w:left="5780"/>
              <w:spacing w:after="0"/>
              <w:rPr>
                <w:sz w:val="20"/>
                <w:szCs w:val="20"/>
                <w:color w:val="auto"/>
              </w:rPr>
            </w:pPr>
            <w:r>
              <w:rPr>
                <w:rFonts w:ascii="Arial" w:cs="Arial" w:eastAsia="Arial" w:hAnsi="Arial"/>
                <w:sz w:val="18"/>
                <w:szCs w:val="18"/>
                <w:color w:val="auto"/>
              </w:rPr>
              <w:t>Title:</w:t>
            </w:r>
          </w:p>
        </w:tc>
        <w:tc>
          <w:tcPr>
            <w:tcW w:w="506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348"/>
        </w:trPr>
        <w:tc>
          <w:tcPr>
            <w:tcW w:w="640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UBS Securities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Peter Hales</w:t>
      </w:r>
    </w:p>
    <w:p>
      <w:pPr>
        <w:spacing w:after="0" w:line="2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Name:</w:t>
        <w:tab/>
        <w:t>Peter Hales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848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Aaron Drucker</w:t>
      </w:r>
    </w:p>
    <w:p>
      <w:pPr>
        <w:spacing w:after="0" w:line="2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Name:</w:t>
        <w:tab/>
        <w:t>Aaron Drucker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84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tbl>
      <w:tblPr>
        <w:tblLayout w:type="fixed"/>
        <w:tblInd w:w="580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40" w:type="dxa"/>
            <w:vAlign w:val="bottom"/>
          </w:tcPr>
          <w:p>
            <w:pPr>
              <w:ind w:left="110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2001 ROSS AVENUE</w:t>
            </w:r>
          </w:p>
        </w:tc>
        <w:tc>
          <w:tcPr>
            <w:tcW w:w="1640" w:type="dxa"/>
            <w:vAlign w:val="bottom"/>
          </w:tcPr>
          <w:p>
            <w:pPr>
              <w:ind w:left="400"/>
              <w:spacing w:after="0"/>
              <w:rPr>
                <w:sz w:val="20"/>
                <w:szCs w:val="20"/>
                <w:color w:val="auto"/>
              </w:rPr>
            </w:pPr>
            <w:r>
              <w:rPr>
                <w:rFonts w:ascii="Arial" w:cs="Arial" w:eastAsia="Arial" w:hAnsi="Arial"/>
                <w:sz w:val="18"/>
                <w:szCs w:val="18"/>
                <w:color w:val="auto"/>
              </w:rPr>
              <w:t>AUSTIN</w:t>
            </w:r>
          </w:p>
        </w:tc>
        <w:tc>
          <w:tcPr>
            <w:tcW w:w="1940" w:type="dxa"/>
            <w:vAlign w:val="bottom"/>
          </w:tcPr>
          <w:p>
            <w:pPr>
              <w:ind w:left="140"/>
              <w:spacing w:after="0"/>
              <w:rPr>
                <w:sz w:val="20"/>
                <w:szCs w:val="20"/>
                <w:color w:val="auto"/>
              </w:rPr>
            </w:pPr>
            <w:r>
              <w:rPr>
                <w:rFonts w:ascii="Arial" w:cs="Arial" w:eastAsia="Arial" w:hAnsi="Arial"/>
                <w:sz w:val="18"/>
                <w:szCs w:val="18"/>
                <w:color w:val="auto"/>
              </w:rPr>
              <w:t>LONDON</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DALLAS, TEXAS</w:t>
            </w:r>
          </w:p>
        </w:tc>
        <w:tc>
          <w:tcPr>
            <w:tcW w:w="1640" w:type="dxa"/>
            <w:vAlign w:val="bottom"/>
          </w:tcPr>
          <w:p>
            <w:pPr>
              <w:ind w:left="400"/>
              <w:spacing w:after="0"/>
              <w:rPr>
                <w:sz w:val="20"/>
                <w:szCs w:val="20"/>
                <w:color w:val="auto"/>
              </w:rPr>
            </w:pPr>
            <w:r>
              <w:rPr>
                <w:rFonts w:ascii="Arial" w:cs="Arial" w:eastAsia="Arial" w:hAnsi="Arial"/>
                <w:sz w:val="18"/>
                <w:szCs w:val="18"/>
                <w:color w:val="auto"/>
              </w:rPr>
              <w:t>BEIJING</w:t>
            </w:r>
          </w:p>
        </w:tc>
        <w:tc>
          <w:tcPr>
            <w:tcW w:w="1940" w:type="dxa"/>
            <w:vAlign w:val="bottom"/>
          </w:tcPr>
          <w:p>
            <w:pPr>
              <w:ind w:left="140"/>
              <w:spacing w:after="0"/>
              <w:rPr>
                <w:sz w:val="20"/>
                <w:szCs w:val="20"/>
                <w:color w:val="auto"/>
              </w:rPr>
            </w:pPr>
            <w:r>
              <w:rPr>
                <w:rFonts w:ascii="Arial" w:cs="Arial" w:eastAsia="Arial" w:hAnsi="Arial"/>
                <w:sz w:val="18"/>
                <w:szCs w:val="18"/>
                <w:color w:val="auto"/>
              </w:rPr>
              <w:t>MOSCOW</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75201-2980</w:t>
            </w:r>
          </w:p>
        </w:tc>
        <w:tc>
          <w:tcPr>
            <w:tcW w:w="1640" w:type="dxa"/>
            <w:vAlign w:val="bottom"/>
          </w:tcPr>
          <w:p>
            <w:pPr>
              <w:ind w:left="400"/>
              <w:spacing w:after="0"/>
              <w:rPr>
                <w:sz w:val="20"/>
                <w:szCs w:val="20"/>
                <w:color w:val="auto"/>
              </w:rPr>
            </w:pPr>
            <w:r>
              <w:rPr>
                <w:rFonts w:ascii="Arial" w:cs="Arial" w:eastAsia="Arial" w:hAnsi="Arial"/>
                <w:sz w:val="18"/>
                <w:szCs w:val="18"/>
                <w:color w:val="auto"/>
              </w:rPr>
              <w:t>BRUSSELS</w:t>
            </w:r>
          </w:p>
        </w:tc>
        <w:tc>
          <w:tcPr>
            <w:tcW w:w="1940" w:type="dxa"/>
            <w:vAlign w:val="bottom"/>
          </w:tcPr>
          <w:p>
            <w:pPr>
              <w:ind w:left="140"/>
              <w:spacing w:after="0"/>
              <w:rPr>
                <w:sz w:val="20"/>
                <w:szCs w:val="20"/>
                <w:color w:val="auto"/>
              </w:rPr>
            </w:pPr>
            <w:r>
              <w:rPr>
                <w:rFonts w:ascii="Arial" w:cs="Arial" w:eastAsia="Arial" w:hAnsi="Arial"/>
                <w:sz w:val="18"/>
                <w:szCs w:val="18"/>
                <w:color w:val="auto"/>
              </w:rPr>
              <w:t>NEW YORK</w:t>
            </w:r>
          </w:p>
        </w:tc>
      </w:tr>
      <w:tr>
        <w:trPr>
          <w:trHeight w:val="216"/>
        </w:trPr>
        <w:tc>
          <w:tcPr>
            <w:tcW w:w="204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8"/>
                <w:szCs w:val="18"/>
                <w:color w:val="auto"/>
              </w:rPr>
              <w:t>DALLAS</w:t>
            </w:r>
          </w:p>
        </w:tc>
        <w:tc>
          <w:tcPr>
            <w:tcW w:w="1940" w:type="dxa"/>
            <w:vAlign w:val="bottom"/>
          </w:tcPr>
          <w:p>
            <w:pPr>
              <w:ind w:left="140"/>
              <w:spacing w:after="0"/>
              <w:rPr>
                <w:sz w:val="20"/>
                <w:szCs w:val="20"/>
                <w:color w:val="auto"/>
              </w:rPr>
            </w:pPr>
            <w:r>
              <w:rPr>
                <w:rFonts w:ascii="Arial" w:cs="Arial" w:eastAsia="Arial" w:hAnsi="Arial"/>
                <w:sz w:val="18"/>
                <w:szCs w:val="18"/>
                <w:color w:val="auto"/>
              </w:rPr>
              <w:t>PALO ALTO</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TEL +1 214.953.6500</w:t>
            </w:r>
          </w:p>
        </w:tc>
        <w:tc>
          <w:tcPr>
            <w:tcW w:w="1640" w:type="dxa"/>
            <w:vAlign w:val="bottom"/>
          </w:tcPr>
          <w:p>
            <w:pPr>
              <w:ind w:left="400"/>
              <w:spacing w:after="0"/>
              <w:rPr>
                <w:sz w:val="20"/>
                <w:szCs w:val="20"/>
                <w:color w:val="auto"/>
              </w:rPr>
            </w:pPr>
            <w:r>
              <w:rPr>
                <w:rFonts w:ascii="Arial" w:cs="Arial" w:eastAsia="Arial" w:hAnsi="Arial"/>
                <w:sz w:val="18"/>
                <w:szCs w:val="18"/>
                <w:color w:val="auto"/>
              </w:rPr>
              <w:t>DUBAI</w:t>
            </w:r>
          </w:p>
        </w:tc>
        <w:tc>
          <w:tcPr>
            <w:tcW w:w="1940" w:type="dxa"/>
            <w:vAlign w:val="bottom"/>
          </w:tcPr>
          <w:p>
            <w:pPr>
              <w:ind w:left="140"/>
              <w:spacing w:after="0"/>
              <w:rPr>
                <w:sz w:val="20"/>
                <w:szCs w:val="20"/>
                <w:color w:val="auto"/>
              </w:rPr>
            </w:pPr>
            <w:r>
              <w:rPr>
                <w:rFonts w:ascii="Arial" w:cs="Arial" w:eastAsia="Arial" w:hAnsi="Arial"/>
                <w:sz w:val="18"/>
                <w:szCs w:val="18"/>
                <w:color w:val="auto"/>
              </w:rPr>
              <w:t>RIYADH</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FAX +1 214.953.6503</w:t>
            </w:r>
          </w:p>
        </w:tc>
        <w:tc>
          <w:tcPr>
            <w:tcW w:w="1640" w:type="dxa"/>
            <w:vAlign w:val="bottom"/>
          </w:tcPr>
          <w:p>
            <w:pPr>
              <w:ind w:left="400"/>
              <w:spacing w:after="0"/>
              <w:rPr>
                <w:sz w:val="20"/>
                <w:szCs w:val="20"/>
                <w:color w:val="auto"/>
              </w:rPr>
            </w:pPr>
            <w:r>
              <w:rPr>
                <w:rFonts w:ascii="Arial" w:cs="Arial" w:eastAsia="Arial" w:hAnsi="Arial"/>
                <w:sz w:val="18"/>
                <w:szCs w:val="18"/>
                <w:color w:val="auto"/>
              </w:rPr>
              <w:t>HONG KONG</w:t>
            </w:r>
          </w:p>
        </w:tc>
        <w:tc>
          <w:tcPr>
            <w:tcW w:w="1940" w:type="dxa"/>
            <w:vAlign w:val="bottom"/>
          </w:tcPr>
          <w:p>
            <w:pPr>
              <w:ind w:left="140"/>
              <w:spacing w:after="0"/>
              <w:rPr>
                <w:sz w:val="20"/>
                <w:szCs w:val="20"/>
                <w:color w:val="auto"/>
              </w:rPr>
            </w:pPr>
            <w:r>
              <w:rPr>
                <w:rFonts w:ascii="Arial" w:cs="Arial" w:eastAsia="Arial" w:hAnsi="Arial"/>
                <w:sz w:val="18"/>
                <w:szCs w:val="18"/>
                <w:color w:val="auto"/>
              </w:rPr>
              <w:t>SAN FRANCISCO</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BakerBotts.com</w:t>
            </w:r>
          </w:p>
        </w:tc>
        <w:tc>
          <w:tcPr>
            <w:tcW w:w="1640" w:type="dxa"/>
            <w:vAlign w:val="bottom"/>
          </w:tcPr>
          <w:p>
            <w:pPr>
              <w:ind w:left="400"/>
              <w:spacing w:after="0"/>
              <w:rPr>
                <w:sz w:val="20"/>
                <w:szCs w:val="20"/>
                <w:color w:val="auto"/>
              </w:rPr>
            </w:pPr>
            <w:r>
              <w:rPr>
                <w:rFonts w:ascii="Arial" w:cs="Arial" w:eastAsia="Arial" w:hAnsi="Arial"/>
                <w:sz w:val="18"/>
                <w:szCs w:val="18"/>
                <w:color w:val="auto"/>
              </w:rPr>
              <w:t>HOUSTON</w:t>
            </w:r>
          </w:p>
        </w:tc>
        <w:tc>
          <w:tcPr>
            <w:tcW w:w="1940" w:type="dxa"/>
            <w:vAlign w:val="bottom"/>
          </w:tcPr>
          <w:p>
            <w:pPr>
              <w:ind w:left="140"/>
              <w:spacing w:after="0"/>
              <w:rPr>
                <w:sz w:val="20"/>
                <w:szCs w:val="20"/>
                <w:color w:val="auto"/>
              </w:rPr>
            </w:pPr>
            <w:r>
              <w:rPr>
                <w:rFonts w:ascii="Arial" w:cs="Arial" w:eastAsia="Arial" w:hAnsi="Arial"/>
                <w:sz w:val="18"/>
                <w:szCs w:val="18"/>
                <w:color w:val="auto"/>
              </w:rPr>
              <w:t>WASHINGTON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1646555"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46555" cy="21463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We have acted as counsel to Clearway Energy,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proposed issuance and sale in an underwritten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of an aggregate of 3,916,449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its Class C common stock, par value $.01 per share, pursuant to that certain Underwriting Agreement dated September 24, 2018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by and among the Company, Clearway Energy LLC and UBS Securities LLC, as the underwriter.</w:t>
      </w:r>
    </w:p>
    <w:p>
      <w:pPr>
        <w:spacing w:after="0" w:line="187"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We refer to the registration statement on Form S-3 (Registration Statement No. 333-224684) with respect to the Shares being sold by the Company in the Offering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Registration Statement became effective upon filing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May 4, 2018. The final prospectus supplement dated September 24, 2018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which together with the accompanying prospectus dated May 4, 2018 filed with the Registration Statement, has been filed pursuant to Rule 424(b) promulgated under the Securities Act.</w:t>
      </w:r>
    </w:p>
    <w:p>
      <w:pPr>
        <w:spacing w:after="0" w:line="173"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As the basis for the opinion hereinafter expressed, we examined the Restated Certificate of Incorporation of the Company, dated as of May 2, 2016, as amended to date, the Fourth Amended and Restated Bylaws of the Company, effective as of August 31, 2018, the Underwriting Agreement, the Delaware General Corporation Law, corporate records and documents related to the Company, certificates of the Company and public officials, and other instruments and documents as we deemed necessary or advisable for the purposes of this opinion. In making our examination, we have assumed that all signatures on documents examined by us are genuine, that all documents submitted to us as originals are authentic and that all documents submitted to us as copies conform with the original copies of such documents.</w:t>
      </w:r>
    </w:p>
    <w:p>
      <w:pPr>
        <w:spacing w:after="0" w:line="178"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Based on the foregoing and on such legal considerations as we deem relevant, we are of the opinion that the Shares, when issued and delivered in the Offering on behalf of the Company against payment therefor as described in the Underwriting Agreement, will be duly authorized, validly issued, fully paid and non-assessable.</w:t>
      </w:r>
    </w:p>
    <w:p>
      <w:pPr>
        <w:spacing w:after="0" w:line="181"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This opinion is limited in all respects to the federal laws of the United States of America and the laws of the state of Delaware, each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At your request, this opinion is being furnished to you for filing as an exhibit to the Company’s Current Report on Form 8-K filed on the date hereof. We hereby consent to the statements with respect to us under the heading “Legal Matters” in the Prospectus Supplement and to the filing of this opinion as an exhibit to the Company’s Current Report on Form 8-K filed on the date hereof. In giving this consent, we do not hereby admit that we are within the category of persons whose consent is required under Section 7 of the Securities Act, or the rules and regulations of the Commission issued thereunder.</w:t>
      </w:r>
    </w:p>
    <w:p>
      <w:pPr>
        <w:spacing w:after="0" w:line="18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Baker Botts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MPB/RPM/SKM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Roman"/>
      <w:start w:val="1"/>
    </w:lvl>
  </w:abstractNum>
  <w:abstractNum w:abstractNumId="3">
    <w:nsid w:val="333AB105"/>
    <w:multiLevelType w:val="hybridMultilevel"/>
    <w:lvl w:ilvl="0">
      <w:lvlJc w:val="left"/>
      <w:lvlText w:val="(%1)"/>
      <w:numFmt w:val="lowerRoman"/>
      <w:start w:val="2"/>
    </w:lvl>
  </w:abstractNum>
  <w:abstractNum w:abstractNumId="4">
    <w:nsid w:val="721DA317"/>
    <w:multiLevelType w:val="hybridMultilevel"/>
    <w:lvl w:ilvl="0">
      <w:lvlJc w:val="left"/>
      <w:lvlText w:val="(%1)"/>
      <w:numFmt w:val="lowerRoman"/>
      <w:start w:val="3"/>
    </w:lvl>
  </w:abstractNum>
  <w:abstractNum w:abstractNumId="5">
    <w:nsid w:val="2443A858"/>
    <w:multiLevelType w:val="hybridMultilevel"/>
    <w:lvl w:ilvl="0">
      <w:lvlJc w:val="left"/>
      <w:lvlText w:val="(%1)"/>
      <w:numFmt w:val="lowerRoman"/>
      <w:start w:val="4"/>
    </w:lvl>
  </w:abstractNum>
  <w:abstractNum w:abstractNumId="6">
    <w:nsid w:val="2D1D5AE9"/>
    <w:multiLevelType w:val="hybridMultilevel"/>
    <w:lvl w:ilvl="0">
      <w:lvlJc w:val="left"/>
      <w:lvlText w:val="(%1)"/>
      <w:numFmt w:val="lowerRoman"/>
      <w:start w:val="5"/>
    </w:lvl>
  </w:abstractNum>
  <w:abstractNum w:abstractNumId="7">
    <w:nsid w:val="6763845E"/>
    <w:multiLevelType w:val="hybridMultilevel"/>
    <w:lvl w:ilvl="0">
      <w:lvlJc w:val="left"/>
      <w:lvlText w:val="(%1)"/>
      <w:numFmt w:val="lowerRoman"/>
      <w:start w:val="9"/>
    </w:lvl>
  </w:abstractNum>
  <w:abstractNum w:abstractNumId="8">
    <w:nsid w:val="75A2A8D4"/>
    <w:multiLevelType w:val="hybridMultilevel"/>
    <w:lvl w:ilvl="0">
      <w:lvlJc w:val="left"/>
      <w:lvlText w:val="%1"/>
      <w:numFmt w:val="lowerRoman"/>
      <w:start w:val="1"/>
    </w:lvl>
    <w:lvl w:ilvl="1">
      <w:lvlJc w:val="left"/>
      <w:lvlText w:val="(%2)"/>
      <w:numFmt w:val="lowerRoman"/>
      <w:start w:val="14"/>
    </w:lvl>
  </w:abstractNum>
  <w:abstractNum w:abstractNumId="9">
    <w:nsid w:val="8EDBDAB"/>
    <w:multiLevelType w:val="hybridMultilevel"/>
    <w:lvl w:ilvl="0">
      <w:lvlJc w:val="left"/>
      <w:lvlText w:val="(%1)"/>
      <w:numFmt w:val="lowerRoman"/>
      <w:start w:val="3"/>
    </w:lvl>
    <w:lvl w:ilvl="1">
      <w:lvlJc w:val="left"/>
      <w:lvlText w:val="(%2)"/>
      <w:numFmt w:val="lowerRoman"/>
      <w:start w:val="16"/>
    </w:lvl>
  </w:abstractNum>
  <w:abstractNum w:abstractNumId="10">
    <w:nsid w:val="79838CB2"/>
    <w:multiLevelType w:val="hybridMultilevel"/>
    <w:lvl w:ilvl="0">
      <w:lvlJc w:val="left"/>
      <w:lvlText w:val="(%1)"/>
      <w:numFmt w:val="lowerRoman"/>
      <w:start w:val="19"/>
    </w:lvl>
  </w:abstractNum>
  <w:abstractNum w:abstractNumId="11">
    <w:nsid w:val="4353D0CD"/>
    <w:multiLevelType w:val="hybridMultilevel"/>
    <w:lvl w:ilvl="0">
      <w:lvlJc w:val="left"/>
      <w:lvlText w:val="(%1)"/>
      <w:numFmt w:val="lowerRoman"/>
      <w:start w:val="22"/>
    </w:lvl>
  </w:abstractNum>
  <w:abstractNum w:abstractNumId="12">
    <w:nsid w:val="B03E0C6"/>
    <w:multiLevelType w:val="hybridMultilevel"/>
    <w:lvl w:ilvl="0">
      <w:lvlJc w:val="left"/>
      <w:lvlText w:val="(%1)"/>
      <w:numFmt w:val="lowerRoman"/>
      <w:start w:val="25"/>
    </w:lvl>
  </w:abstractNum>
  <w:abstractNum w:abstractNumId="13">
    <w:nsid w:val="189A769B"/>
    <w:multiLevelType w:val="hybridMultilevel"/>
    <w:lvl w:ilvl="0">
      <w:lvlJc w:val="left"/>
      <w:lvlText w:val="(%1)"/>
      <w:numFmt w:val="lowerRoman"/>
      <w:start w:val="27"/>
    </w:lvl>
  </w:abstractNum>
  <w:abstractNum w:abstractNumId="14">
    <w:nsid w:val="54E49EB4"/>
    <w:multiLevelType w:val="hybridMultilevel"/>
    <w:lvl w:ilvl="0">
      <w:lvlJc w:val="left"/>
      <w:lvlText w:val="(%1)"/>
      <w:numFmt w:val="lowerRoman"/>
      <w:start w:val="28"/>
    </w:lvl>
  </w:abstractNum>
  <w:abstractNum w:abstractNumId="15">
    <w:nsid w:val="71F32454"/>
    <w:multiLevelType w:val="hybridMultilevel"/>
    <w:lvl w:ilvl="0">
      <w:lvlJc w:val="left"/>
      <w:lvlText w:val="(%1)"/>
      <w:numFmt w:val="lowerRoman"/>
      <w:start w:val="32"/>
    </w:lvl>
  </w:abstractNum>
  <w:abstractNum w:abstractNumId="16">
    <w:nsid w:val="2CA88611"/>
    <w:multiLevelType w:val="hybridMultilevel"/>
    <w:lvl w:ilvl="0">
      <w:lvlJc w:val="left"/>
      <w:lvlText w:val="(%1)"/>
      <w:numFmt w:val="lowerRoman"/>
      <w:start w:val="35"/>
    </w:lvl>
  </w:abstractNum>
  <w:abstractNum w:abstractNumId="17">
    <w:nsid w:val="836C40E"/>
    <w:multiLevelType w:val="hybridMultilevel"/>
    <w:lvl w:ilvl="0">
      <w:lvlJc w:val="left"/>
      <w:lvlText w:val="(%1)"/>
      <w:numFmt w:val="lowerRoman"/>
      <w:start w:val="36"/>
    </w:lvl>
  </w:abstractNum>
  <w:abstractNum w:abstractNumId="18">
    <w:nsid w:val="2901D82"/>
    <w:multiLevelType w:val="hybridMultilevel"/>
    <w:lvl w:ilvl="0">
      <w:lvlJc w:val="left"/>
      <w:lvlText w:val="(%1)"/>
      <w:numFmt w:val="lowerLetter"/>
      <w:start w:val="2"/>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lvl w:ilvl="1">
      <w:lvlJc w:val="left"/>
      <w:lvlText w:val="(%2)"/>
      <w:numFmt w:val="lowerLetter"/>
      <w:start w:val="2"/>
    </w:lvl>
  </w:abstractNum>
  <w:abstractNum w:abstractNumId="22">
    <w:nsid w:val="7C3DBD3D"/>
    <w:multiLevelType w:val="hybridMultilevel"/>
    <w:lvl w:ilvl="0">
      <w:lvlJc w:val="left"/>
      <w:lvlText w:val="(%1)"/>
      <w:numFmt w:val="lowerLetter"/>
      <w:start w:val="9"/>
    </w:lvl>
    <w:lvl w:ilvl="1">
      <w:lvlJc w:val="left"/>
      <w:lvlText w:val="(%2)"/>
      <w:numFmt w:val="lowerLetter"/>
      <w:start w:val="3"/>
    </w:lvl>
  </w:abstractNum>
  <w:abstractNum w:abstractNumId="23">
    <w:nsid w:val="737B8DDC"/>
    <w:multiLevelType w:val="hybridMultilevel"/>
    <w:lvl w:ilvl="0">
      <w:lvlJc w:val="left"/>
      <w:lvlText w:val="(%1)"/>
      <w:numFmt w:val="lowerLetter"/>
      <w:start w:val="5"/>
    </w:lvl>
  </w:abstractNum>
  <w:abstractNum w:abstractNumId="24">
    <w:nsid w:val="6CEAF087"/>
    <w:multiLevelType w:val="hybridMultilevel"/>
    <w:lvl w:ilvl="0">
      <w:lvlJc w:val="left"/>
      <w:lvlText w:val="%1"/>
      <w:numFmt w:val="upperLetter"/>
      <w:start w:val="1"/>
    </w:lvl>
    <w:lvl w:ilvl="1">
      <w:lvlJc w:val="left"/>
      <w:lvlText w:val="(%2)"/>
      <w:numFmt w:val="lowerLetter"/>
      <w:start w:val="8"/>
    </w:lvl>
  </w:abstractNum>
  <w:abstractNum w:abstractNumId="25">
    <w:nsid w:val="22221A70"/>
    <w:multiLevelType w:val="hybridMultilevel"/>
    <w:lvl w:ilvl="0">
      <w:lvlJc w:val="left"/>
      <w:lvlText w:val="(%1)"/>
      <w:numFmt w:val="upperLetter"/>
      <w:start w:val="3"/>
    </w:lvl>
    <w:lvl w:ilvl="1">
      <w:lvlJc w:val="left"/>
      <w:lvlText w:val="(%2)"/>
      <w:numFmt w:val="lowerLetter"/>
      <w:start w:val="10"/>
    </w:lvl>
  </w:abstractNum>
  <w:abstractNum w:abstractNumId="26">
    <w:nsid w:val="4516DDE9"/>
    <w:multiLevelType w:val="hybridMultilevel"/>
    <w:lvl w:ilvl="0">
      <w:lvlJc w:val="left"/>
      <w:lvlText w:val="%1"/>
      <w:numFmt w:val="lowerRoman"/>
      <w:start w:val="1"/>
    </w:lvl>
    <w:lvl w:ilvl="1">
      <w:lvlJc w:val="left"/>
      <w:lvlText w:val="(%2)"/>
      <w:numFmt w:val="lowerLetter"/>
      <w:start w:val="1"/>
    </w:lvl>
  </w:abstractNum>
  <w:abstractNum w:abstractNumId="27">
    <w:nsid w:val="3006C83E"/>
    <w:multiLevelType w:val="hybridMultilevel"/>
    <w:lvl w:ilvl="0">
      <w:lvlJc w:val="left"/>
      <w:lvlText w:val="(%1)"/>
      <w:numFmt w:val="lowerRoman"/>
      <w:start w:val="6"/>
    </w:lvl>
    <w:lvl w:ilvl="1">
      <w:lvlJc w:val="left"/>
      <w:lvlText w:val="%2"/>
      <w:numFmt w:val="lowerLetter"/>
      <w:start w:val="1"/>
    </w:lvl>
  </w:abstractNum>
  <w:abstractNum w:abstractNumId="28">
    <w:nsid w:val="614FD4A1"/>
    <w:multiLevelType w:val="hybridMultilevel"/>
    <w:lvl w:ilvl="0">
      <w:lvlJc w:val="left"/>
      <w:lvlText w:val="%1"/>
      <w:numFmt w:val="lowerLetter"/>
      <w:start w:val="1"/>
    </w:lvl>
    <w:lvl w:ilvl="1">
      <w:lvlJc w:val="left"/>
      <w:lvlText w:val="(%2)"/>
      <w:numFmt w:val="lowerLetter"/>
      <w:start w:val="2"/>
    </w:lvl>
  </w:abstractNum>
  <w:abstractNum w:abstractNumId="29">
    <w:nsid w:val="419AC241"/>
    <w:multiLevelType w:val="hybridMultilevel"/>
    <w:lvl w:ilvl="0">
      <w:lvlJc w:val="left"/>
      <w:lvlText w:val="(%1)"/>
      <w:numFmt w:val="lowerLetter"/>
      <w:start w:val="9"/>
    </w:lvl>
    <w:lvl w:ilvl="1">
      <w:lvlJc w:val="left"/>
      <w:lvlText w:val="%2"/>
      <w:numFmt w:val="lowerLetter"/>
      <w:start w:val="1"/>
    </w:lvl>
  </w:abstractNum>
  <w:abstractNum w:abstractNumId="30">
    <w:nsid w:val="5577F8E1"/>
    <w:multiLevelType w:val="hybridMultilevel"/>
    <w:lvl w:ilvl="0">
      <w:lvlJc w:val="left"/>
      <w:lvlText w:val="%1"/>
      <w:numFmt w:val="lowerLetter"/>
      <w:start w:val="1"/>
    </w:lvl>
    <w:lvl w:ilvl="1">
      <w:lvlJc w:val="left"/>
      <w:lvlText w:val="(%2)"/>
      <w:numFmt w:val="lowerLetter"/>
      <w:start w:val="1"/>
    </w:lvl>
  </w:abstractNum>
  <w:abstractNum w:abstractNumId="31">
    <w:nsid w:val="440BADFC"/>
    <w:multiLevelType w:val="hybridMultilevel"/>
    <w:lvl w:ilvl="0">
      <w:lvlJc w:val="left"/>
      <w:lvlText w:val="(%1)"/>
      <w:numFmt w:val="lowerLetter"/>
      <w:start w:val="35"/>
    </w:lvl>
    <w:lvl w:ilvl="1">
      <w:lvlJc w:val="left"/>
      <w:lvlText w:val="(%2)"/>
      <w:numFmt w:val="lowerLetter"/>
      <w:start w:val="2"/>
    </w:lvl>
  </w:abstractNum>
  <w:abstractNum w:abstractNumId="32">
    <w:nsid w:val="5072367"/>
    <w:multiLevelType w:val="hybridMultilevel"/>
    <w:lvl w:ilvl="0">
      <w:lvlJc w:val="left"/>
      <w:lvlText w:val="(%1)"/>
      <w:numFmt w:val="lowerLetter"/>
      <w:start w:val="6"/>
    </w:lvl>
  </w:abstractNum>
  <w:abstractNum w:abstractNumId="33">
    <w:nsid w:val="3804823E"/>
    <w:multiLevelType w:val="hybridMultilevel"/>
    <w:lvl w:ilvl="0">
      <w:lvlJc w:val="left"/>
      <w:lvlText w:val="(%1)"/>
      <w:numFmt w:val="lowerLetter"/>
      <w:start w:val="12"/>
    </w:lvl>
  </w:abstractNum>
  <w:abstractNum w:abstractNumId="34">
    <w:nsid w:val="77465F01"/>
    <w:multiLevelType w:val="hybridMultilevel"/>
    <w:lvl w:ilvl="0">
      <w:lvlJc w:val="left"/>
      <w:lvlText w:val="(%1)"/>
      <w:numFmt w:val="lowerLetter"/>
      <w:start w:val="14"/>
    </w:lvl>
  </w:abstractNum>
  <w:abstractNum w:abstractNumId="35">
    <w:nsid w:val="7724C67E"/>
    <w:multiLevelType w:val="hybridMultilevel"/>
    <w:lvl w:ilvl="0">
      <w:lvlJc w:val="left"/>
      <w:lvlText w:val="(%1)"/>
      <w:numFmt w:val="lowerLetter"/>
      <w:start w:val="1"/>
    </w:lvl>
    <w:lvl w:ilvl="1">
      <w:lvlJc w:val="left"/>
      <w:lvlText w:val="(%2)"/>
      <w:numFmt w:val="lowerRoman"/>
      <w:start w:val="1"/>
    </w:lvl>
  </w:abstractNum>
  <w:abstractNum w:abstractNumId="36">
    <w:nsid w:val="5C482A97"/>
    <w:multiLevelType w:val="hybridMultilevel"/>
    <w:lvl w:ilvl="0">
      <w:lvlJc w:val="left"/>
      <w:lvlText w:val="(%1)"/>
      <w:numFmt w:val="lowerLetter"/>
      <w:start w:val="2"/>
    </w:lvl>
  </w:abstractNum>
  <w:abstractNum w:abstractNumId="37">
    <w:nsid w:val="2463B9EA"/>
    <w:multiLevelType w:val="hybridMultilevel"/>
    <w:lvl w:ilvl="0">
      <w:lvlJc w:val="left"/>
      <w:lvlText w:val="%1"/>
      <w:numFmt w:val="lowerRoman"/>
      <w:start w:val="1"/>
    </w:lvl>
    <w:lvl w:ilvl="1">
      <w:lvlJc w:val="left"/>
      <w:lvlText w:val="(%2)"/>
      <w:numFmt w:val="lowerLetter"/>
      <w:start w:val="1"/>
    </w:lvl>
  </w:abstractNum>
  <w:abstractNum w:abstractNumId="38">
    <w:nsid w:val="5E884ADC"/>
    <w:multiLevelType w:val="hybridMultilevel"/>
    <w:lvl w:ilvl="0">
      <w:lvlJc w:val="left"/>
      <w:lvlText w:val="(%1)"/>
      <w:numFmt w:val="lowerRoman"/>
      <w:start w:val="6"/>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2019-12-28T19:25:07Z</dcterms:created>
  <dcterms:modified xsi:type="dcterms:W3CDTF">2019-12-28T19:25:07Z</dcterms:modified>
</cp:coreProperties>
</file>