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10"/>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10"/>
            <w:vMerge w:val="continue"/>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10"/>
            <w:vMerge w:val="continu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2"/>
                <w:szCs w:val="2"/>
                <w:color w:val="auto"/>
              </w:rPr>
            </w:pPr>
          </w:p>
        </w:tc>
        <w:tc>
          <w:tcPr>
            <w:tcW w:w="1680" w:type="dxa"/>
            <w:vAlign w:val="bottom"/>
            <w:gridSpan w:val="5"/>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10"/>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6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6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vMerge w:val="restart"/>
          </w:tcPr>
          <w:p>
            <w:pPr>
              <w:spacing w:after="0"/>
              <w:rPr>
                <w:sz w:val="20"/>
                <w:szCs w:val="20"/>
                <w:color w:val="auto"/>
              </w:rPr>
            </w:pPr>
            <w:r>
              <w:rPr>
                <w:rFonts w:ascii="Arial" w:cs="Arial" w:eastAsia="Arial" w:hAnsi="Arial"/>
                <w:sz w:val="17"/>
                <w:szCs w:val="17"/>
                <w:color w:val="0000FF"/>
              </w:rPr>
              <w:t>1345 AVENUE OF THE AMERICAS, 30TH</w:t>
            </w:r>
          </w:p>
        </w:tc>
        <w:tc>
          <w:tcPr>
            <w:tcW w:w="1360" w:type="dxa"/>
            <w:vAlign w:val="bottom"/>
            <w:gridSpan w:val="7"/>
          </w:tcPr>
          <w:p>
            <w:pPr>
              <w:ind w:left="80"/>
              <w:spacing w:after="0"/>
              <w:rPr>
                <w:sz w:val="20"/>
                <w:szCs w:val="20"/>
                <w:color w:val="auto"/>
              </w:rPr>
            </w:pPr>
            <w:r>
              <w:rPr>
                <w:rFonts w:ascii="Arial" w:cs="Arial" w:eastAsia="Arial" w:hAnsi="Arial"/>
                <w:sz w:val="17"/>
                <w:szCs w:val="17"/>
                <w:color w:val="0000FF"/>
              </w:rPr>
              <w:t>04/30/2021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10"/>
            <w:vMerge w:val="continue"/>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2" w:lineRule="exact"/>
              <w:rPr>
                <w:sz w:val="20"/>
                <w:szCs w:val="20"/>
                <w:color w:val="auto"/>
              </w:rPr>
            </w:pPr>
            <w:r>
              <w:rPr>
                <w:rFonts w:ascii="Arial" w:cs="Arial" w:eastAsia="Arial" w:hAnsi="Arial"/>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spacing w:after="0" w:line="120" w:lineRule="exact"/>
              <w:rPr>
                <w:sz w:val="20"/>
                <w:szCs w:val="20"/>
                <w:color w:val="auto"/>
              </w:rPr>
            </w:pPr>
            <w:r>
              <w:rPr>
                <w:rFonts w:ascii="Arial" w:cs="Arial" w:eastAsia="Arial" w:hAnsi="Arial"/>
                <w:sz w:val="13"/>
                <w:szCs w:val="13"/>
                <w:color w:val="auto"/>
              </w:rPr>
              <w:t>Line)</w:t>
            </w: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14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18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5"/>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5"/>
                <w:szCs w:val="15"/>
                <w:color w:val="auto"/>
              </w:rPr>
            </w:pPr>
          </w:p>
        </w:tc>
        <w:tc>
          <w:tcPr>
            <w:tcW w:w="880" w:type="dxa"/>
            <w:vAlign w:val="bottom"/>
            <w:gridSpan w:val="5"/>
          </w:tcPr>
          <w:p>
            <w:pPr>
              <w:ind w:left="8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6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720" w:type="dxa"/>
            <w:vAlign w:val="bottom"/>
            <w:gridSpan w:val="8"/>
            <w:vMerge w:val="restart"/>
          </w:tcPr>
          <w:p>
            <w:pPr>
              <w:ind w:left="720"/>
              <w:spacing w:after="0"/>
              <w:rPr>
                <w:sz w:val="20"/>
                <w:szCs w:val="20"/>
                <w:color w:val="auto"/>
              </w:rPr>
            </w:pPr>
            <w:r>
              <w:rPr>
                <w:rFonts w:ascii="Arial" w:cs="Arial" w:eastAsia="Arial" w:hAnsi="Arial"/>
                <w:sz w:val="17"/>
                <w:szCs w:val="17"/>
                <w:color w:val="0000FF"/>
              </w:rPr>
              <w:t>04/30/2021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1,050</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340" w:type="dxa"/>
            <w:vAlign w:val="bottom"/>
            <w:vMerge w:val="restart"/>
          </w:tcPr>
          <w:p>
            <w:pPr>
              <w:ind w:left="18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48,045</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720" w:type="dxa"/>
            <w:vAlign w:val="bottom"/>
            <w:gridSpan w:val="8"/>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40" w:type="dxa"/>
            <w:vAlign w:val="bottom"/>
            <w:gridSpan w:val="24"/>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60" w:type="dxa"/>
            <w:vAlign w:val="bottom"/>
            <w:gridSpan w:val="2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11"/>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12"/>
          </w:tcPr>
          <w:p>
            <w:pPr>
              <w:spacing w:after="0"/>
              <w:rPr>
                <w:sz w:val="20"/>
                <w:szCs w:val="20"/>
                <w:color w:val="auto"/>
              </w:rPr>
            </w:pPr>
            <w:r>
              <w:rPr>
                <w:rFonts w:ascii="Arial" w:cs="Arial" w:eastAsia="Arial" w:hAnsi="Arial"/>
                <w:sz w:val="17"/>
                <w:szCs w:val="17"/>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50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Global Infrastructure GP III, L.P.</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12"/>
          </w:tcPr>
          <w:p>
            <w:pPr>
              <w:spacing w:after="0"/>
              <w:rPr>
                <w:sz w:val="20"/>
                <w:szCs w:val="20"/>
                <w:color w:val="auto"/>
              </w:rPr>
            </w:pPr>
            <w:r>
              <w:rPr>
                <w:rFonts w:ascii="Arial" w:cs="Arial" w:eastAsia="Arial" w:hAnsi="Arial"/>
                <w:sz w:val="17"/>
                <w:szCs w:val="17"/>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50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GIP III Zephyr Acquisition Partners L.P.</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1345 AVENUE OF THE AMERICAS, 30TH FLOOR</w:t>
      </w:r>
    </w:p>
    <w:p>
      <w:pPr>
        <w:sectPr>
          <w:pgSz w:w="11900" w:h="16838" w:orient="portrait"/>
          <w:cols w:equalWidth="0" w:num="1">
            <w:col w:w="11080"/>
          </w:cols>
          <w:pgMar w:left="460" w:top="225" w:right="359" w:bottom="0" w:gutter="0" w:footer="0" w:header="0"/>
          <w:type w:val="continuous"/>
        </w:sectPr>
      </w:pPr>
    </w:p>
    <w:p>
      <w:pPr>
        <w:spacing w:after="0" w:line="35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0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80" w:type="dxa"/>
            <w:vAlign w:val="bottom"/>
            <w:gridSpan w:val="3"/>
          </w:tcPr>
          <w:p>
            <w:pPr>
              <w:spacing w:after="0" w:line="221" w:lineRule="exact"/>
              <w:rPr>
                <w:rFonts w:ascii="Arial" w:cs="Arial" w:eastAsia="Arial" w:hAnsi="Arial"/>
                <w:sz w:val="21"/>
                <w:szCs w:val="21"/>
                <w:color w:val="0000EE"/>
                <w:w w:val="99"/>
              </w:rPr>
            </w:pPr>
            <w:hyperlink r:id="rId17">
              <w:r>
                <w:rPr>
                  <w:rFonts w:ascii="Arial" w:cs="Arial" w:eastAsia="Arial" w:hAnsi="Arial"/>
                  <w:sz w:val="21"/>
                  <w:szCs w:val="21"/>
                  <w:color w:val="0000EE"/>
                  <w:w w:val="99"/>
                </w:rPr>
                <w:t>Clearway Energy Group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-1141730</wp:posOffset>
            </wp:positionV>
            <wp:extent cx="2809240" cy="2170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170430"/>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shares of restricted stock of the Issuer previously granted by Clearway Energy Group LLC ("Clearway Energy Group") under its Long Term Equity Incentive Program to one of its employees.</w:t>
      </w:r>
    </w:p>
    <w:p>
      <w:pPr>
        <w:spacing w:after="0" w:line="15" w:lineRule="exact"/>
        <w:rPr>
          <w:rFonts w:ascii="Arial" w:cs="Arial" w:eastAsia="Arial" w:hAnsi="Arial"/>
          <w:sz w:val="13"/>
          <w:szCs w:val="13"/>
          <w:color w:val="008000"/>
        </w:rPr>
      </w:pPr>
    </w:p>
    <w:p>
      <w:pPr>
        <w:jc w:val="both"/>
        <w:ind w:left="20" w:right="8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31" w:right="519" w:bottom="1440" w:gutter="0" w:footer="0" w:header="0"/>
        </w:sectPr>
      </w:pPr>
    </w:p>
    <w:p>
      <w:pPr>
        <w:spacing w:after="0" w:line="5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0000FF"/>
        </w:rPr>
        <w:t>05/04/2021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05/04/2021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05/04/2021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05/04/2021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140"/>
          </w:cols>
          <w:pgMar w:left="480" w:top="131"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3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7"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2021-05-04T18:54:29Z</dcterms:created>
  <dcterms:modified xsi:type="dcterms:W3CDTF">2021-05-04T18:54:29Z</dcterms:modified>
</cp:coreProperties>
</file>