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18, 2016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2"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142"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20"/>
          </w:cols>
          <w:pgMar w:left="240" w:top="544" w:right="239" w:bottom="142"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20" w:firstLine="648"/>
        <w:spacing w:after="0" w:line="291" w:lineRule="auto"/>
        <w:rPr>
          <w:sz w:val="20"/>
          <w:szCs w:val="20"/>
          <w:color w:val="auto"/>
        </w:rPr>
      </w:pPr>
      <w:r>
        <w:rPr>
          <w:rFonts w:ascii="Arial" w:cs="Arial" w:eastAsia="Arial" w:hAnsi="Arial"/>
          <w:sz w:val="16"/>
          <w:szCs w:val="16"/>
          <w:color w:val="auto"/>
        </w:rPr>
        <w:t>On August 18, 2016, NRG Yield Operating LLC (“Yield Operating”), a subsidiary of NRG Yield LLC, completed the sale of $350 million aggregate principal amount of 5.000% senior notes due 2026 (the “Senior Notes”) pursuant to the terms of the purchase agreement, dated August 15, 2016 (the “Purchase Agreement”), among Yield Operating, the guarantors named therein, and the initial purchasers set forth on Schedule A thereto (the “Initial Purchasers”). The Senior Notes were issued under an Indenture, dated August 18, 2016 (the “Indenture”), among Yield Operating, the guarantors named therein and Law Debenture Trust Company of New York, as trustee (the “Trustee”). The Indenture and the form of Senior Note, which is attached as an exhibit to the Indenture, provide, among other things, that the Senior Notes will be senior unsecured obligations of Yield Operating. Interest is payable on the Senior Notes on March 15 and September 15 of each year beginning on March 15, 2017 until their maturity date of September 15, 2026.</w:t>
      </w:r>
    </w:p>
    <w:p>
      <w:pPr>
        <w:spacing w:after="0" w:line="167" w:lineRule="exact"/>
        <w:rPr>
          <w:sz w:val="24"/>
          <w:szCs w:val="24"/>
          <w:color w:val="auto"/>
        </w:rPr>
      </w:pPr>
    </w:p>
    <w:p>
      <w:pPr>
        <w:ind w:right="580" w:firstLine="648"/>
        <w:spacing w:after="0" w:line="277" w:lineRule="auto"/>
        <w:rPr>
          <w:sz w:val="20"/>
          <w:szCs w:val="20"/>
          <w:color w:val="auto"/>
        </w:rPr>
      </w:pPr>
      <w:r>
        <w:rPr>
          <w:rFonts w:ascii="Arial" w:cs="Arial" w:eastAsia="Arial" w:hAnsi="Arial"/>
          <w:sz w:val="18"/>
          <w:szCs w:val="18"/>
          <w:color w:val="auto"/>
        </w:rPr>
        <w:t>The terms of the Indenture, among other things, limit the ability of Yield Operating and certain of its subsidiaries to create liens on assets and consolidate, merge or transfer all or substantially all of its assets and the assets of its subsidiaries.</w:t>
      </w:r>
    </w:p>
    <w:p>
      <w:pPr>
        <w:spacing w:after="0" w:line="170" w:lineRule="exact"/>
        <w:rPr>
          <w:sz w:val="24"/>
          <w:szCs w:val="24"/>
          <w:color w:val="auto"/>
        </w:rPr>
      </w:pPr>
    </w:p>
    <w:p>
      <w:pPr>
        <w:ind w:right="40" w:firstLine="648"/>
        <w:spacing w:after="0" w:line="297" w:lineRule="auto"/>
        <w:rPr>
          <w:sz w:val="20"/>
          <w:szCs w:val="20"/>
          <w:color w:val="auto"/>
        </w:rPr>
      </w:pPr>
      <w:r>
        <w:rPr>
          <w:rFonts w:ascii="Arial" w:cs="Arial" w:eastAsia="Arial" w:hAnsi="Arial"/>
          <w:sz w:val="16"/>
          <w:szCs w:val="16"/>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Yield Operating and its subsidiaries; the failure of certain guarantees to be enforceable; and certain events of bankruptcy or insolvency. Generally, if an event of default occurs and is not cured within the time periods specified, the Trustee or the holders of at least 25% in principal amount of the then outstanding series of Senior Notes may declare all the Senior Notes of such series to be due and payable immediately.</w:t>
      </w:r>
    </w:p>
    <w:p>
      <w:pPr>
        <w:spacing w:after="0" w:line="158"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The Senior Notes were sold to the Initial Purchasers for resale to qualified institutional buyers under Rule 144A and to persons outside the United States under Regulation S. Pursuant to the terms of the registration rights agreement, dated August 18, 2016 (the “Registration Rights Agreement”), among Yield Operating, the guarantors named therein, and J.P. Morgan Securities LLC, as representative of the Initial Purchasers, Yield Operating has agreed to offer to exchange substantially identical senior notes that have been registered under the Securities Act of 1933, as amended (the “Securities Act”), for the Senior Notes, or, in certain circumstances, to register resales of the Senior Notes.</w:t>
      </w:r>
    </w:p>
    <w:p>
      <w:pPr>
        <w:spacing w:after="0" w:line="188"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color w:val="auto"/>
        </w:rPr>
        <w:t>The Senior Notes were issued in a transaction exempt from registration under the Securities Act or any state securities laws. Therefore, Senior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ectPr>
          <w:pgSz w:w="11900" w:h="16838" w:orient="portrait"/>
          <w:cols w:equalWidth="0" w:num="1">
            <w:col w:w="11420"/>
          </w:cols>
          <w:pgMar w:left="240" w:top="544" w:right="239" w:bottom="142" w:gutter="0" w:footer="0" w:header="0"/>
          <w:type w:val="continuous"/>
        </w:sectPr>
      </w:pPr>
    </w:p>
    <w:bookmarkStart w:id="1" w:name="page2"/>
    <w:bookmarkEnd w:id="1"/>
    <w:p>
      <w:pPr>
        <w:ind w:right="40" w:firstLine="648"/>
        <w:spacing w:after="0" w:line="277" w:lineRule="auto"/>
        <w:rPr>
          <w:sz w:val="20"/>
          <w:szCs w:val="20"/>
          <w:color w:val="auto"/>
        </w:rPr>
      </w:pPr>
      <w:r>
        <w:rPr>
          <w:rFonts w:ascii="Arial" w:cs="Arial" w:eastAsia="Arial" w:hAnsi="Arial"/>
          <w:sz w:val="18"/>
          <w:szCs w:val="18"/>
          <w:color w:val="auto"/>
        </w:rPr>
        <w:t>The Indenture, the form of Senior Note and the Registration Rights Agreement are filed as exhibits 4.1, 4.2 and 4.3 to this Current Report on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August 18, 2016, NRG Yield, Inc. issued a press release announcing the closing of the Senior Notes. A copy of that press release is attached as Exhibit 99.1 to this Current Report on Form 8-K and is incorporated herein by reference.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8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9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360" w:type="dxa"/>
            <w:vAlign w:val="bottom"/>
          </w:tcPr>
          <w:p>
            <w:pPr>
              <w:spacing w:after="0"/>
              <w:rPr>
                <w:sz w:val="24"/>
                <w:szCs w:val="24"/>
                <w:color w:val="auto"/>
              </w:rPr>
            </w:pPr>
          </w:p>
        </w:tc>
        <w:tc>
          <w:tcPr>
            <w:tcW w:w="9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Indenture, dated August 18, 2016, among NRG Yield Operating LLC, the guarantors named therein and Law Debenture Trust Company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 New York.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6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of 5.000% Senior Note due 2026 (incorporated by reference to Exhibit 4.1 filed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6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Registration Rights Agreement, dated August 18, 2016, among NRG Yield Operating LLC, the guarantors named therein and J.P. Morgan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Securities LLC, as representative of the initial purchasers.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36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Press Release, dated August 18,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80" w:type="dxa"/>
            <w:vAlign w:val="bottom"/>
          </w:tcPr>
          <w:p>
            <w:pPr>
              <w:ind w:left="42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LLC</w:t>
      </w:r>
    </w:p>
    <w:p>
      <w:pPr>
        <w:spacing w:after="0" w:line="378"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Brian E. Curci</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18, 2016</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80" w:type="dxa"/>
            <w:vAlign w:val="bottom"/>
          </w:tcPr>
          <w:p>
            <w:pPr>
              <w:ind w:left="35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8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9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380" w:type="dxa"/>
            <w:vAlign w:val="bottom"/>
          </w:tcPr>
          <w:p>
            <w:pPr>
              <w:spacing w:after="0"/>
              <w:rPr>
                <w:sz w:val="24"/>
                <w:szCs w:val="24"/>
                <w:color w:val="auto"/>
              </w:rPr>
            </w:pPr>
          </w:p>
        </w:tc>
        <w:tc>
          <w:tcPr>
            <w:tcW w:w="9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Indenture, dated August 18, 2016, among NRG Yield Operating LLC, the guarantors named therein and Law Debenture Trust Company</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 New York.</w:t>
            </w:r>
          </w:p>
        </w:tc>
        <w:tc>
          <w:tcPr>
            <w:tcW w:w="0" w:type="dxa"/>
            <w:vAlign w:val="bottom"/>
          </w:tcPr>
          <w:p>
            <w:pPr>
              <w:spacing w:after="0"/>
              <w:rPr>
                <w:sz w:val="1"/>
                <w:szCs w:val="1"/>
                <w:color w:val="auto"/>
              </w:rPr>
            </w:pPr>
          </w:p>
        </w:tc>
      </w:tr>
      <w:tr>
        <w:trPr>
          <w:trHeight w:val="432"/>
        </w:trPr>
        <w:tc>
          <w:tcPr>
            <w:tcW w:w="10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of 5.000% Senior Note due 2026 (incorporated by reference to Exhibit 4.1 filed herewith).</w:t>
            </w:r>
          </w:p>
        </w:tc>
        <w:tc>
          <w:tcPr>
            <w:tcW w:w="0" w:type="dxa"/>
            <w:vAlign w:val="bottom"/>
          </w:tcPr>
          <w:p>
            <w:pPr>
              <w:spacing w:after="0"/>
              <w:rPr>
                <w:sz w:val="1"/>
                <w:szCs w:val="1"/>
                <w:color w:val="auto"/>
              </w:rPr>
            </w:pPr>
          </w:p>
        </w:tc>
      </w:tr>
      <w:tr>
        <w:trPr>
          <w:trHeight w:val="418"/>
        </w:trPr>
        <w:tc>
          <w:tcPr>
            <w:tcW w:w="10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Registration Rights Agreement, dated August 18, 2016, among NRG Yield Operating LLC, the guarantors named therein and J.P. Morgan</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Securities LLC, as representative of the initial purchasers.</w:t>
            </w:r>
          </w:p>
        </w:tc>
        <w:tc>
          <w:tcPr>
            <w:tcW w:w="0" w:type="dxa"/>
            <w:vAlign w:val="bottom"/>
          </w:tcPr>
          <w:p>
            <w:pPr>
              <w:spacing w:after="0"/>
              <w:rPr>
                <w:sz w:val="1"/>
                <w:szCs w:val="1"/>
                <w:color w:val="auto"/>
              </w:rPr>
            </w:pPr>
          </w:p>
        </w:tc>
      </w:tr>
      <w:tr>
        <w:trPr>
          <w:trHeight w:val="432"/>
        </w:trPr>
        <w:tc>
          <w:tcPr>
            <w:tcW w:w="10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3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Press Release, dated August 18,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5" w:right="199" w:bottom="989"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989" w:gutter="0" w:footer="0" w:header="0"/>
          <w:type w:val="continuous"/>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NRG YIELD OPERATING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EACH OF THE GUARANTORS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18,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640715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Law Debenture Trust Company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793115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8380" w:type="dxa"/>
            <w:vAlign w:val="bottom"/>
            <w:gridSpan w:val="3"/>
          </w:tcPr>
          <w:p>
            <w:pPr>
              <w:ind w:left="1500"/>
              <w:spacing w:after="0"/>
              <w:rPr>
                <w:sz w:val="20"/>
                <w:szCs w:val="20"/>
                <w:color w:val="auto"/>
              </w:rPr>
            </w:pPr>
            <w:r>
              <w:rPr>
                <w:rFonts w:ascii="Arial" w:cs="Arial" w:eastAsia="Arial" w:hAnsi="Arial"/>
                <w:sz w:val="18"/>
                <w:szCs w:val="18"/>
                <w:color w:val="auto"/>
              </w:rPr>
              <w:t>CROSS-REFERENCE TABLE*</w:t>
            </w:r>
          </w:p>
        </w:tc>
        <w:tc>
          <w:tcPr>
            <w:tcW w:w="0" w:type="dxa"/>
            <w:vAlign w:val="bottom"/>
          </w:tcPr>
          <w:p>
            <w:pPr>
              <w:spacing w:after="0"/>
              <w:rPr>
                <w:sz w:val="1"/>
                <w:szCs w:val="1"/>
                <w:color w:val="auto"/>
              </w:rPr>
            </w:pPr>
          </w:p>
        </w:tc>
      </w:tr>
      <w:tr>
        <w:trPr>
          <w:trHeight w:val="342"/>
        </w:trPr>
        <w:tc>
          <w:tcPr>
            <w:tcW w:w="3040" w:type="dxa"/>
            <w:vAlign w:val="bottom"/>
          </w:tcPr>
          <w:p>
            <w:pPr>
              <w:spacing w:after="0"/>
              <w:rPr>
                <w:sz w:val="20"/>
                <w:szCs w:val="20"/>
                <w:color w:val="auto"/>
              </w:rPr>
            </w:pPr>
            <w:r>
              <w:rPr>
                <w:rFonts w:ascii="Arial" w:cs="Arial" w:eastAsia="Arial" w:hAnsi="Arial"/>
                <w:sz w:val="14"/>
                <w:szCs w:val="14"/>
                <w:b w:val="1"/>
                <w:bCs w:val="1"/>
                <w:color w:val="auto"/>
              </w:rPr>
              <w:t>Trust Indenture</w:t>
            </w:r>
          </w:p>
        </w:tc>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Indenture Section</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Act Section</w:t>
            </w:r>
          </w:p>
        </w:tc>
        <w:tc>
          <w:tcPr>
            <w:tcW w:w="58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310(a)(1)</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(a)(2)</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(a)(3)</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(a)(4)</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(a)(5)</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7.10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311(a)</w:t>
            </w:r>
          </w:p>
        </w:tc>
        <w:tc>
          <w:tcPr>
            <w:tcW w:w="8380" w:type="dxa"/>
            <w:vAlign w:val="bottom"/>
            <w:gridSpan w:val="3"/>
          </w:tcPr>
          <w:p>
            <w:pPr>
              <w:jc w:val="center"/>
              <w:ind w:left="6030"/>
              <w:spacing w:after="0"/>
              <w:rPr>
                <w:sz w:val="20"/>
                <w:szCs w:val="20"/>
                <w:color w:val="auto"/>
              </w:rPr>
            </w:pPr>
            <w:r>
              <w:rPr>
                <w:rFonts w:ascii="Arial" w:cs="Arial" w:eastAsia="Arial" w:hAnsi="Arial"/>
                <w:sz w:val="18"/>
                <w:szCs w:val="18"/>
                <w:color w:val="auto"/>
                <w:w w:val="85"/>
              </w:rPr>
              <w:t>7.11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3"/>
            <w:shd w:val="clear" w:color="auto" w:fill="CCEEFF"/>
          </w:tcPr>
          <w:p>
            <w:pPr>
              <w:jc w:val="center"/>
              <w:ind w:left="6030"/>
              <w:spacing w:after="0"/>
              <w:rPr>
                <w:sz w:val="20"/>
                <w:szCs w:val="20"/>
                <w:color w:val="auto"/>
              </w:rPr>
            </w:pPr>
            <w:r>
              <w:rPr>
                <w:rFonts w:ascii="Arial" w:cs="Arial" w:eastAsia="Arial" w:hAnsi="Arial"/>
                <w:sz w:val="18"/>
                <w:szCs w:val="18"/>
                <w:color w:val="auto"/>
                <w:w w:val="85"/>
              </w:rPr>
              <w:t>7.11</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312(a)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2.05</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8"/>
              </w:rPr>
              <w:t>12.03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313(a)</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7.06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(b)(1)</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10.03</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(b)(2)</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9"/>
              </w:rPr>
              <w:t>7.06; 7.07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0"/>
              </w:rPr>
              <w:t>7.06; 10.03; 12.02</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(d)</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7.06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314(a)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0"/>
              </w:rPr>
              <w:t>4.03; 12.02; 12.05</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8"/>
              </w:rPr>
              <w:t>10.02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(c)(1)</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(c)(2)</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(c)(3)</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(d)</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0"/>
              </w:rPr>
              <w:t>10.03; 10.04; 10.05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88"/>
              </w:rPr>
              <w:t>12.05</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(f)</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315(a)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7.01</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30"/>
              <w:spacing w:after="0"/>
              <w:rPr>
                <w:sz w:val="20"/>
                <w:szCs w:val="20"/>
                <w:color w:val="auto"/>
              </w:rPr>
            </w:pPr>
            <w:r>
              <w:rPr>
                <w:rFonts w:ascii="Arial" w:cs="Arial" w:eastAsia="Arial" w:hAnsi="Arial"/>
                <w:sz w:val="18"/>
                <w:szCs w:val="18"/>
                <w:color w:val="auto"/>
                <w:w w:val="90"/>
              </w:rPr>
              <w:t>7.05; 12.02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7.01</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(d)</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7.01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w:t>
            </w:r>
          </w:p>
        </w:tc>
        <w:tc>
          <w:tcPr>
            <w:tcW w:w="8380" w:type="dxa"/>
            <w:vAlign w:val="bottom"/>
            <w:gridSpan w:val="3"/>
            <w:shd w:val="clear" w:color="auto" w:fill="CCEEFF"/>
          </w:tcPr>
          <w:p>
            <w:pPr>
              <w:jc w:val="center"/>
              <w:ind w:left="6030"/>
              <w:spacing w:after="0"/>
              <w:rPr>
                <w:sz w:val="20"/>
                <w:szCs w:val="20"/>
                <w:color w:val="auto"/>
              </w:rPr>
            </w:pPr>
            <w:r>
              <w:rPr>
                <w:rFonts w:ascii="Arial" w:cs="Arial" w:eastAsia="Arial" w:hAnsi="Arial"/>
                <w:sz w:val="18"/>
                <w:szCs w:val="18"/>
                <w:color w:val="auto"/>
                <w:w w:val="85"/>
              </w:rPr>
              <w:t>6.11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316(a) (last sentence)</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2.10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(a)(1)(A)</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6.05</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(a)(1)(B)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6.04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(a)(2)</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6.07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w:t>
            </w:r>
          </w:p>
        </w:tc>
        <w:tc>
          <w:tcPr>
            <w:tcW w:w="8380" w:type="dxa"/>
            <w:vAlign w:val="bottom"/>
            <w:gridSpan w:val="3"/>
            <w:shd w:val="clear" w:color="auto" w:fill="CCEEFF"/>
          </w:tcPr>
          <w:p>
            <w:pPr>
              <w:jc w:val="center"/>
              <w:ind w:left="6010"/>
              <w:spacing w:after="0"/>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317(a)(1)</w:t>
            </w:r>
          </w:p>
        </w:tc>
        <w:tc>
          <w:tcPr>
            <w:tcW w:w="8380" w:type="dxa"/>
            <w:vAlign w:val="bottom"/>
            <w:gridSpan w:val="3"/>
          </w:tcPr>
          <w:p>
            <w:pPr>
              <w:jc w:val="center"/>
              <w:ind w:left="6010"/>
              <w:spacing w:after="0"/>
              <w:rPr>
                <w:sz w:val="20"/>
                <w:szCs w:val="20"/>
                <w:color w:val="auto"/>
              </w:rPr>
            </w:pPr>
            <w:r>
              <w:rPr>
                <w:rFonts w:ascii="Arial" w:cs="Arial" w:eastAsia="Arial" w:hAnsi="Arial"/>
                <w:sz w:val="18"/>
                <w:szCs w:val="18"/>
                <w:color w:val="auto"/>
                <w:w w:val="91"/>
              </w:rPr>
              <w:t>6.08</w:t>
            </w:r>
          </w:p>
        </w:tc>
        <w:tc>
          <w:tcPr>
            <w:tcW w:w="0" w:type="dxa"/>
            <w:vAlign w:val="bottom"/>
          </w:tcPr>
          <w:p>
            <w:pPr>
              <w:spacing w:after="0"/>
              <w:rPr>
                <w:sz w:val="1"/>
                <w:szCs w:val="1"/>
                <w:color w:val="auto"/>
              </w:rPr>
            </w:pPr>
          </w:p>
        </w:tc>
      </w:tr>
      <w:tr>
        <w:trPr>
          <w:trHeight w:val="84"/>
        </w:trPr>
        <w:tc>
          <w:tcPr>
            <w:tcW w:w="3040" w:type="dxa"/>
            <w:vAlign w:val="bottom"/>
            <w:shd w:val="clear" w:color="auto" w:fill="CCEEFF"/>
          </w:tcPr>
          <w:p>
            <w:pPr>
              <w:spacing w:after="0"/>
              <w:rPr>
                <w:sz w:val="7"/>
                <w:szCs w:val="7"/>
                <w:color w:val="auto"/>
              </w:rPr>
            </w:pPr>
          </w:p>
        </w:tc>
        <w:tc>
          <w:tcPr>
            <w:tcW w:w="58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(a)(2)</w:t>
            </w:r>
          </w:p>
        </w:tc>
        <w:tc>
          <w:tcPr>
            <w:tcW w:w="6040" w:type="dxa"/>
            <w:vAlign w:val="bottom"/>
            <w:shd w:val="clear" w:color="auto" w:fill="CCEEFF"/>
          </w:tcPr>
          <w:p>
            <w:pPr>
              <w:jc w:val="center"/>
              <w:ind w:left="3670"/>
              <w:spacing w:after="0"/>
              <w:rPr>
                <w:sz w:val="20"/>
                <w:szCs w:val="20"/>
                <w:color w:val="auto"/>
              </w:rPr>
            </w:pPr>
            <w:r>
              <w:rPr>
                <w:rFonts w:ascii="Arial" w:cs="Arial" w:eastAsia="Arial" w:hAnsi="Arial"/>
                <w:sz w:val="18"/>
                <w:szCs w:val="18"/>
                <w:color w:val="auto"/>
                <w:w w:val="91"/>
              </w:rPr>
              <w:t>6.09</w:t>
            </w:r>
          </w:p>
        </w:tc>
      </w:tr>
      <w:tr>
        <w:trPr>
          <w:trHeight w:val="216"/>
        </w:trPr>
        <w:tc>
          <w:tcPr>
            <w:tcW w:w="5380" w:type="dxa"/>
            <w:vAlign w:val="bottom"/>
          </w:tcPr>
          <w:p>
            <w:pPr>
              <w:ind w:left="280"/>
              <w:spacing w:after="0"/>
              <w:rPr>
                <w:sz w:val="20"/>
                <w:szCs w:val="20"/>
                <w:color w:val="auto"/>
              </w:rPr>
            </w:pPr>
            <w:r>
              <w:rPr>
                <w:rFonts w:ascii="Arial" w:cs="Arial" w:eastAsia="Arial" w:hAnsi="Arial"/>
                <w:sz w:val="18"/>
                <w:szCs w:val="18"/>
                <w:color w:val="auto"/>
              </w:rPr>
              <w:t>(b)</w:t>
            </w:r>
          </w:p>
        </w:tc>
        <w:tc>
          <w:tcPr>
            <w:tcW w:w="6040" w:type="dxa"/>
            <w:vAlign w:val="bottom"/>
          </w:tcPr>
          <w:p>
            <w:pPr>
              <w:jc w:val="center"/>
              <w:ind w:left="3670"/>
              <w:spacing w:after="0"/>
              <w:rPr>
                <w:sz w:val="20"/>
                <w:szCs w:val="20"/>
                <w:color w:val="auto"/>
              </w:rPr>
            </w:pPr>
            <w:r>
              <w:rPr>
                <w:rFonts w:ascii="Arial" w:cs="Arial" w:eastAsia="Arial" w:hAnsi="Arial"/>
                <w:sz w:val="18"/>
                <w:szCs w:val="18"/>
                <w:color w:val="auto"/>
                <w:w w:val="91"/>
              </w:rPr>
              <w:t>2.04</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318(a)</w:t>
            </w:r>
          </w:p>
        </w:tc>
        <w:tc>
          <w:tcPr>
            <w:tcW w:w="6040" w:type="dxa"/>
            <w:vAlign w:val="bottom"/>
            <w:shd w:val="clear" w:color="auto" w:fill="CCEEFF"/>
          </w:tcPr>
          <w:p>
            <w:pPr>
              <w:jc w:val="center"/>
              <w:ind w:left="3670"/>
              <w:spacing w:after="0"/>
              <w:rPr>
                <w:sz w:val="20"/>
                <w:szCs w:val="20"/>
                <w:color w:val="auto"/>
              </w:rPr>
            </w:pPr>
            <w:r>
              <w:rPr>
                <w:rFonts w:ascii="Arial" w:cs="Arial" w:eastAsia="Arial" w:hAnsi="Arial"/>
                <w:sz w:val="18"/>
                <w:szCs w:val="18"/>
                <w:color w:val="auto"/>
                <w:w w:val="88"/>
              </w:rPr>
              <w:t>12.01</w:t>
            </w:r>
          </w:p>
        </w:tc>
      </w:tr>
      <w:tr>
        <w:trPr>
          <w:trHeight w:val="216"/>
        </w:trPr>
        <w:tc>
          <w:tcPr>
            <w:tcW w:w="5380" w:type="dxa"/>
            <w:vAlign w:val="bottom"/>
          </w:tcPr>
          <w:p>
            <w:pPr>
              <w:ind w:left="280"/>
              <w:spacing w:after="0"/>
              <w:rPr>
                <w:sz w:val="20"/>
                <w:szCs w:val="20"/>
                <w:color w:val="auto"/>
              </w:rPr>
            </w:pPr>
            <w:r>
              <w:rPr>
                <w:rFonts w:ascii="Arial" w:cs="Arial" w:eastAsia="Arial" w:hAnsi="Arial"/>
                <w:sz w:val="18"/>
                <w:szCs w:val="18"/>
                <w:color w:val="auto"/>
              </w:rPr>
              <w:t>(b)</w:t>
            </w:r>
          </w:p>
        </w:tc>
        <w:tc>
          <w:tcPr>
            <w:tcW w:w="6040" w:type="dxa"/>
            <w:vAlign w:val="bottom"/>
          </w:tcPr>
          <w:p>
            <w:pPr>
              <w:ind w:left="4740"/>
              <w:spacing w:after="0"/>
              <w:rPr>
                <w:sz w:val="20"/>
                <w:szCs w:val="20"/>
                <w:color w:val="auto"/>
              </w:rPr>
            </w:pPr>
            <w:r>
              <w:rPr>
                <w:rFonts w:ascii="Arial" w:cs="Arial" w:eastAsia="Arial" w:hAnsi="Arial"/>
                <w:sz w:val="18"/>
                <w:szCs w:val="18"/>
                <w:color w:val="auto"/>
              </w:rPr>
              <w:t>N.A.</w:t>
            </w:r>
          </w:p>
        </w:tc>
      </w:tr>
      <w:tr>
        <w:trPr>
          <w:trHeight w:val="216"/>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w:t>
            </w:r>
          </w:p>
        </w:tc>
        <w:tc>
          <w:tcPr>
            <w:tcW w:w="6040" w:type="dxa"/>
            <w:vAlign w:val="bottom"/>
            <w:shd w:val="clear" w:color="auto" w:fill="CCEEFF"/>
          </w:tcPr>
          <w:p>
            <w:pPr>
              <w:jc w:val="center"/>
              <w:ind w:left="3670"/>
              <w:spacing w:after="0"/>
              <w:rPr>
                <w:sz w:val="20"/>
                <w:szCs w:val="20"/>
                <w:color w:val="auto"/>
              </w:rPr>
            </w:pPr>
            <w:r>
              <w:rPr>
                <w:rFonts w:ascii="Arial" w:cs="Arial" w:eastAsia="Arial" w:hAnsi="Arial"/>
                <w:sz w:val="18"/>
                <w:szCs w:val="18"/>
                <w:color w:val="auto"/>
                <w:w w:val="88"/>
              </w:rPr>
              <w:t>12.01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 means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This Cross Reference Table is not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9580" w:type="dxa"/>
            <w:vAlign w:val="bottom"/>
          </w:tcPr>
          <w:p>
            <w:pPr>
              <w:jc w:val="center"/>
              <w:ind w:right="430"/>
              <w:spacing w:after="0"/>
              <w:rPr>
                <w:sz w:val="20"/>
                <w:szCs w:val="20"/>
                <w:color w:val="auto"/>
              </w:rPr>
            </w:pPr>
            <w:r>
              <w:rPr>
                <w:rFonts w:ascii="Arial" w:cs="Arial" w:eastAsia="Arial" w:hAnsi="Arial"/>
                <w:sz w:val="18"/>
                <w:szCs w:val="18"/>
                <w:color w:val="auto"/>
                <w:w w:val="95"/>
              </w:rPr>
              <w:t>TABLE OF CONTENTS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80" w:type="dxa"/>
            <w:vAlign w:val="bottom"/>
          </w:tcPr>
          <w:p>
            <w:pPr>
              <w:spacing w:after="0"/>
              <w:rPr>
                <w:sz w:val="24"/>
                <w:szCs w:val="24"/>
                <w:color w:val="auto"/>
              </w:rPr>
            </w:pPr>
          </w:p>
        </w:tc>
        <w:tc>
          <w:tcPr>
            <w:tcW w:w="95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ARTICLE 1</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9580" w:type="dxa"/>
            <w:vAlign w:val="bottom"/>
            <w:vMerge w:val="continue"/>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580" w:type="dxa"/>
            <w:vAlign w:val="bottom"/>
          </w:tcPr>
          <w:p>
            <w:pPr>
              <w:jc w:val="center"/>
              <w:ind w:right="430"/>
              <w:spacing w:after="0"/>
              <w:rPr>
                <w:sz w:val="20"/>
                <w:szCs w:val="20"/>
                <w:color w:val="auto"/>
              </w:rPr>
            </w:pPr>
            <w:r>
              <w:rPr>
                <w:rFonts w:ascii="Arial" w:cs="Arial" w:eastAsia="Arial" w:hAnsi="Arial"/>
                <w:sz w:val="18"/>
                <w:szCs w:val="18"/>
                <w:color w:val="auto"/>
                <w:w w:val="97"/>
              </w:rPr>
              <w:t>DEFINITIONS AND INCORPORATION</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580" w:type="dxa"/>
            <w:vAlign w:val="bottom"/>
          </w:tcPr>
          <w:p>
            <w:pPr>
              <w:jc w:val="center"/>
              <w:ind w:right="410"/>
              <w:spacing w:after="0"/>
              <w:rPr>
                <w:sz w:val="20"/>
                <w:szCs w:val="20"/>
                <w:color w:val="auto"/>
              </w:rPr>
            </w:pPr>
            <w:r>
              <w:rPr>
                <w:rFonts w:ascii="Arial" w:cs="Arial" w:eastAsia="Arial" w:hAnsi="Arial"/>
                <w:sz w:val="18"/>
                <w:szCs w:val="18"/>
                <w:color w:val="auto"/>
                <w:w w:val="94"/>
              </w:rPr>
              <w:t>BY REFERENCE</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1.01</w:t>
            </w:r>
          </w:p>
        </w:tc>
        <w:tc>
          <w:tcPr>
            <w:tcW w:w="958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1.02</w:t>
            </w:r>
          </w:p>
        </w:tc>
        <w:tc>
          <w:tcPr>
            <w:tcW w:w="9580" w:type="dxa"/>
            <w:vAlign w:val="bottom"/>
          </w:tcPr>
          <w:p>
            <w:pPr>
              <w:ind w:left="280"/>
              <w:spacing w:after="0"/>
              <w:rPr>
                <w:sz w:val="20"/>
                <w:szCs w:val="20"/>
                <w:color w:val="auto"/>
              </w:rPr>
            </w:pPr>
            <w:r>
              <w:rPr>
                <w:rFonts w:ascii="Arial" w:cs="Arial" w:eastAsia="Arial" w:hAnsi="Arial"/>
                <w:sz w:val="18"/>
                <w:szCs w:val="18"/>
                <w:color w:val="auto"/>
              </w:rPr>
              <w:t>Other Definitions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1.03</w:t>
            </w:r>
          </w:p>
        </w:tc>
        <w:tc>
          <w:tcPr>
            <w:tcW w:w="9580" w:type="dxa"/>
            <w:vAlign w:val="bottom"/>
          </w:tcPr>
          <w:p>
            <w:pPr>
              <w:ind w:left="280"/>
              <w:spacing w:after="0"/>
              <w:rPr>
                <w:sz w:val="20"/>
                <w:szCs w:val="20"/>
                <w:color w:val="auto"/>
              </w:rPr>
            </w:pPr>
            <w:r>
              <w:rPr>
                <w:rFonts w:ascii="Arial" w:cs="Arial" w:eastAsia="Arial" w:hAnsi="Arial"/>
                <w:sz w:val="18"/>
                <w:szCs w:val="18"/>
                <w:color w:val="auto"/>
              </w:rPr>
              <w:t>Incorporation by Reference of Trust Indenture Act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1.04</w:t>
            </w:r>
          </w:p>
        </w:tc>
        <w:tc>
          <w:tcPr>
            <w:tcW w:w="9580" w:type="dxa"/>
            <w:vAlign w:val="bottom"/>
          </w:tcPr>
          <w:p>
            <w:pPr>
              <w:ind w:left="280"/>
              <w:spacing w:after="0"/>
              <w:rPr>
                <w:sz w:val="20"/>
                <w:szCs w:val="20"/>
                <w:color w:val="auto"/>
              </w:rPr>
            </w:pPr>
            <w:r>
              <w:rPr>
                <w:rFonts w:ascii="Arial" w:cs="Arial" w:eastAsia="Arial" w:hAnsi="Arial"/>
                <w:sz w:val="18"/>
                <w:szCs w:val="18"/>
                <w:color w:val="auto"/>
              </w:rPr>
              <w:t>Rules of Construction</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9580" w:type="dxa"/>
            <w:vAlign w:val="bottom"/>
          </w:tcPr>
          <w:p>
            <w:pPr>
              <w:jc w:val="center"/>
              <w:ind w:right="410"/>
              <w:spacing w:after="0"/>
              <w:rPr>
                <w:sz w:val="20"/>
                <w:szCs w:val="20"/>
                <w:color w:val="auto"/>
              </w:rPr>
            </w:pPr>
            <w:r>
              <w:rPr>
                <w:rFonts w:ascii="Arial" w:cs="Arial" w:eastAsia="Arial" w:hAnsi="Arial"/>
                <w:sz w:val="18"/>
                <w:szCs w:val="18"/>
                <w:color w:val="auto"/>
                <w:w w:val="96"/>
              </w:rPr>
              <w:t>ARTICLE 2</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580" w:type="dxa"/>
            <w:vAlign w:val="bottom"/>
          </w:tcPr>
          <w:p>
            <w:pPr>
              <w:jc w:val="center"/>
              <w:ind w:right="410"/>
              <w:spacing w:after="0"/>
              <w:rPr>
                <w:sz w:val="20"/>
                <w:szCs w:val="20"/>
                <w:color w:val="auto"/>
              </w:rPr>
            </w:pPr>
            <w:r>
              <w:rPr>
                <w:rFonts w:ascii="Arial" w:cs="Arial" w:eastAsia="Arial" w:hAnsi="Arial"/>
                <w:sz w:val="18"/>
                <w:szCs w:val="18"/>
                <w:color w:val="auto"/>
                <w:w w:val="96"/>
              </w:rPr>
              <w:t>THE ISSUANCE OF NOTES AND ADDITIONAL SECURITIES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2.01</w:t>
            </w:r>
          </w:p>
        </w:tc>
        <w:tc>
          <w:tcPr>
            <w:tcW w:w="9580" w:type="dxa"/>
            <w:vAlign w:val="bottom"/>
          </w:tcPr>
          <w:p>
            <w:pPr>
              <w:ind w:left="280"/>
              <w:spacing w:after="0"/>
              <w:rPr>
                <w:sz w:val="20"/>
                <w:szCs w:val="20"/>
                <w:color w:val="auto"/>
              </w:rPr>
            </w:pPr>
            <w:r>
              <w:rPr>
                <w:rFonts w:ascii="Arial" w:cs="Arial" w:eastAsia="Arial" w:hAnsi="Arial"/>
                <w:sz w:val="18"/>
                <w:szCs w:val="18"/>
                <w:color w:val="auto"/>
              </w:rPr>
              <w:t>Form and Dating of Notes; Creation of Additional Securities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2.02</w:t>
            </w:r>
          </w:p>
        </w:tc>
        <w:tc>
          <w:tcPr>
            <w:tcW w:w="9580" w:type="dxa"/>
            <w:vAlign w:val="bottom"/>
          </w:tcPr>
          <w:p>
            <w:pPr>
              <w:ind w:left="280"/>
              <w:spacing w:after="0"/>
              <w:rPr>
                <w:sz w:val="20"/>
                <w:szCs w:val="20"/>
                <w:color w:val="auto"/>
              </w:rPr>
            </w:pPr>
            <w:r>
              <w:rPr>
                <w:rFonts w:ascii="Arial" w:cs="Arial" w:eastAsia="Arial" w:hAnsi="Arial"/>
                <w:sz w:val="18"/>
                <w:szCs w:val="18"/>
                <w:color w:val="auto"/>
              </w:rPr>
              <w:t>Execution and Authentication</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2.03</w:t>
            </w:r>
          </w:p>
        </w:tc>
        <w:tc>
          <w:tcPr>
            <w:tcW w:w="9580" w:type="dxa"/>
            <w:vAlign w:val="bottom"/>
          </w:tcPr>
          <w:p>
            <w:pPr>
              <w:ind w:left="280"/>
              <w:spacing w:after="0"/>
              <w:rPr>
                <w:sz w:val="20"/>
                <w:szCs w:val="20"/>
                <w:color w:val="auto"/>
              </w:rPr>
            </w:pPr>
            <w:r>
              <w:rPr>
                <w:rFonts w:ascii="Arial" w:cs="Arial" w:eastAsia="Arial" w:hAnsi="Arial"/>
                <w:sz w:val="18"/>
                <w:szCs w:val="18"/>
                <w:color w:val="auto"/>
              </w:rPr>
              <w:t>Registrar and Paying Agent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2.04</w:t>
            </w:r>
          </w:p>
        </w:tc>
        <w:tc>
          <w:tcPr>
            <w:tcW w:w="9580" w:type="dxa"/>
            <w:vAlign w:val="bottom"/>
          </w:tcPr>
          <w:p>
            <w:pPr>
              <w:ind w:left="280"/>
              <w:spacing w:after="0"/>
              <w:rPr>
                <w:sz w:val="20"/>
                <w:szCs w:val="20"/>
                <w:color w:val="auto"/>
              </w:rPr>
            </w:pPr>
            <w:r>
              <w:rPr>
                <w:rFonts w:ascii="Arial" w:cs="Arial" w:eastAsia="Arial" w:hAnsi="Arial"/>
                <w:sz w:val="18"/>
                <w:szCs w:val="18"/>
                <w:color w:val="auto"/>
              </w:rPr>
              <w:t>Paying Agent to Hold Money in Trust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2.05</w:t>
            </w:r>
          </w:p>
        </w:tc>
        <w:tc>
          <w:tcPr>
            <w:tcW w:w="9580" w:type="dxa"/>
            <w:vAlign w:val="bottom"/>
          </w:tcPr>
          <w:p>
            <w:pPr>
              <w:ind w:left="280"/>
              <w:spacing w:after="0"/>
              <w:rPr>
                <w:sz w:val="20"/>
                <w:szCs w:val="20"/>
                <w:color w:val="auto"/>
              </w:rPr>
            </w:pPr>
            <w:r>
              <w:rPr>
                <w:rFonts w:ascii="Arial" w:cs="Arial" w:eastAsia="Arial" w:hAnsi="Arial"/>
                <w:sz w:val="18"/>
                <w:szCs w:val="18"/>
                <w:color w:val="auto"/>
              </w:rPr>
              <w:t>Holder Lists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2.06</w:t>
            </w:r>
          </w:p>
        </w:tc>
        <w:tc>
          <w:tcPr>
            <w:tcW w:w="9580" w:type="dxa"/>
            <w:vAlign w:val="bottom"/>
          </w:tcPr>
          <w:p>
            <w:pPr>
              <w:ind w:left="280"/>
              <w:spacing w:after="0"/>
              <w:rPr>
                <w:sz w:val="20"/>
                <w:szCs w:val="20"/>
                <w:color w:val="auto"/>
              </w:rPr>
            </w:pPr>
            <w:r>
              <w:rPr>
                <w:rFonts w:ascii="Arial" w:cs="Arial" w:eastAsia="Arial" w:hAnsi="Arial"/>
                <w:sz w:val="18"/>
                <w:szCs w:val="18"/>
                <w:color w:val="auto"/>
              </w:rPr>
              <w:t>Transfer and Exchange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2.07</w:t>
            </w:r>
          </w:p>
        </w:tc>
        <w:tc>
          <w:tcPr>
            <w:tcW w:w="9580" w:type="dxa"/>
            <w:vAlign w:val="bottom"/>
          </w:tcPr>
          <w:p>
            <w:pPr>
              <w:ind w:left="280"/>
              <w:spacing w:after="0"/>
              <w:rPr>
                <w:sz w:val="20"/>
                <w:szCs w:val="20"/>
                <w:color w:val="auto"/>
              </w:rPr>
            </w:pPr>
            <w:r>
              <w:rPr>
                <w:rFonts w:ascii="Arial" w:cs="Arial" w:eastAsia="Arial" w:hAnsi="Arial"/>
                <w:sz w:val="18"/>
                <w:szCs w:val="18"/>
                <w:color w:val="auto"/>
              </w:rPr>
              <w:t>Issuance of Additional Notes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2.08</w:t>
            </w:r>
          </w:p>
        </w:tc>
        <w:tc>
          <w:tcPr>
            <w:tcW w:w="9580" w:type="dxa"/>
            <w:vAlign w:val="bottom"/>
          </w:tcPr>
          <w:p>
            <w:pPr>
              <w:ind w:left="280"/>
              <w:spacing w:after="0"/>
              <w:rPr>
                <w:sz w:val="20"/>
                <w:szCs w:val="20"/>
                <w:color w:val="auto"/>
              </w:rPr>
            </w:pPr>
            <w:r>
              <w:rPr>
                <w:rFonts w:ascii="Arial" w:cs="Arial" w:eastAsia="Arial" w:hAnsi="Arial"/>
                <w:sz w:val="18"/>
                <w:szCs w:val="18"/>
                <w:color w:val="auto"/>
              </w:rPr>
              <w:t>Replacement Securities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2.09</w:t>
            </w:r>
          </w:p>
        </w:tc>
        <w:tc>
          <w:tcPr>
            <w:tcW w:w="9580" w:type="dxa"/>
            <w:vAlign w:val="bottom"/>
          </w:tcPr>
          <w:p>
            <w:pPr>
              <w:ind w:left="280"/>
              <w:spacing w:after="0"/>
              <w:rPr>
                <w:sz w:val="20"/>
                <w:szCs w:val="20"/>
                <w:color w:val="auto"/>
              </w:rPr>
            </w:pPr>
            <w:r>
              <w:rPr>
                <w:rFonts w:ascii="Arial" w:cs="Arial" w:eastAsia="Arial" w:hAnsi="Arial"/>
                <w:sz w:val="18"/>
                <w:szCs w:val="18"/>
                <w:color w:val="auto"/>
              </w:rPr>
              <w:t>Outstanding Securities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2.10</w:t>
            </w:r>
          </w:p>
        </w:tc>
        <w:tc>
          <w:tcPr>
            <w:tcW w:w="9580" w:type="dxa"/>
            <w:vAlign w:val="bottom"/>
          </w:tcPr>
          <w:p>
            <w:pPr>
              <w:ind w:left="280"/>
              <w:spacing w:after="0"/>
              <w:rPr>
                <w:sz w:val="20"/>
                <w:szCs w:val="20"/>
                <w:color w:val="auto"/>
              </w:rPr>
            </w:pPr>
            <w:r>
              <w:rPr>
                <w:rFonts w:ascii="Arial" w:cs="Arial" w:eastAsia="Arial" w:hAnsi="Arial"/>
                <w:sz w:val="18"/>
                <w:szCs w:val="18"/>
                <w:color w:val="auto"/>
              </w:rPr>
              <w:t>Treasury Securities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2.11</w:t>
            </w:r>
          </w:p>
        </w:tc>
        <w:tc>
          <w:tcPr>
            <w:tcW w:w="958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2.12</w:t>
            </w:r>
          </w:p>
        </w:tc>
        <w:tc>
          <w:tcPr>
            <w:tcW w:w="9580" w:type="dxa"/>
            <w:vAlign w:val="bottom"/>
          </w:tcPr>
          <w:p>
            <w:pPr>
              <w:ind w:left="280"/>
              <w:spacing w:after="0"/>
              <w:rPr>
                <w:sz w:val="20"/>
                <w:szCs w:val="20"/>
                <w:color w:val="auto"/>
              </w:rPr>
            </w:pPr>
            <w:r>
              <w:rPr>
                <w:rFonts w:ascii="Arial" w:cs="Arial" w:eastAsia="Arial" w:hAnsi="Arial"/>
                <w:sz w:val="18"/>
                <w:szCs w:val="18"/>
                <w:color w:val="auto"/>
              </w:rPr>
              <w:t>Cancellation</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2.13</w:t>
            </w:r>
          </w:p>
        </w:tc>
        <w:tc>
          <w:tcPr>
            <w:tcW w:w="9580" w:type="dxa"/>
            <w:vAlign w:val="bottom"/>
          </w:tcPr>
          <w:p>
            <w:pPr>
              <w:ind w:left="280"/>
              <w:spacing w:after="0"/>
              <w:rPr>
                <w:sz w:val="20"/>
                <w:szCs w:val="20"/>
                <w:color w:val="auto"/>
              </w:rPr>
            </w:pPr>
            <w:r>
              <w:rPr>
                <w:rFonts w:ascii="Arial" w:cs="Arial" w:eastAsia="Arial" w:hAnsi="Arial"/>
                <w:sz w:val="18"/>
                <w:szCs w:val="18"/>
                <w:color w:val="auto"/>
              </w:rPr>
              <w:t>Defaulted Interest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9580" w:type="dxa"/>
            <w:vAlign w:val="bottom"/>
          </w:tcPr>
          <w:p>
            <w:pPr>
              <w:jc w:val="center"/>
              <w:ind w:right="410"/>
              <w:spacing w:after="0"/>
              <w:rPr>
                <w:sz w:val="20"/>
                <w:szCs w:val="20"/>
                <w:color w:val="auto"/>
              </w:rPr>
            </w:pPr>
            <w:r>
              <w:rPr>
                <w:rFonts w:ascii="Arial" w:cs="Arial" w:eastAsia="Arial" w:hAnsi="Arial"/>
                <w:sz w:val="18"/>
                <w:szCs w:val="18"/>
                <w:color w:val="auto"/>
                <w:w w:val="96"/>
              </w:rPr>
              <w:t>ARTICLE 3</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580" w:type="dxa"/>
            <w:vAlign w:val="bottom"/>
          </w:tcPr>
          <w:p>
            <w:pPr>
              <w:jc w:val="center"/>
              <w:ind w:right="410"/>
              <w:spacing w:after="0"/>
              <w:rPr>
                <w:sz w:val="20"/>
                <w:szCs w:val="20"/>
                <w:color w:val="auto"/>
              </w:rPr>
            </w:pPr>
            <w:r>
              <w:rPr>
                <w:rFonts w:ascii="Arial" w:cs="Arial" w:eastAsia="Arial" w:hAnsi="Arial"/>
                <w:sz w:val="18"/>
                <w:szCs w:val="18"/>
                <w:color w:val="auto"/>
                <w:w w:val="95"/>
              </w:rPr>
              <w:t>REDEMPTION AND PREPAYMENT</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3.01</w:t>
            </w:r>
          </w:p>
        </w:tc>
        <w:tc>
          <w:tcPr>
            <w:tcW w:w="9580" w:type="dxa"/>
            <w:vAlign w:val="bottom"/>
          </w:tcPr>
          <w:p>
            <w:pPr>
              <w:ind w:left="280"/>
              <w:spacing w:after="0"/>
              <w:rPr>
                <w:sz w:val="20"/>
                <w:szCs w:val="20"/>
                <w:color w:val="auto"/>
              </w:rPr>
            </w:pPr>
            <w:r>
              <w:rPr>
                <w:rFonts w:ascii="Arial" w:cs="Arial" w:eastAsia="Arial" w:hAnsi="Arial"/>
                <w:sz w:val="18"/>
                <w:szCs w:val="18"/>
                <w:color w:val="auto"/>
              </w:rPr>
              <w:t>Notices to Trustee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3.02</w:t>
            </w:r>
          </w:p>
        </w:tc>
        <w:tc>
          <w:tcPr>
            <w:tcW w:w="9580" w:type="dxa"/>
            <w:vAlign w:val="bottom"/>
          </w:tcPr>
          <w:p>
            <w:pPr>
              <w:ind w:left="280"/>
              <w:spacing w:after="0"/>
              <w:rPr>
                <w:sz w:val="20"/>
                <w:szCs w:val="20"/>
                <w:color w:val="auto"/>
              </w:rPr>
            </w:pPr>
            <w:r>
              <w:rPr>
                <w:rFonts w:ascii="Arial" w:cs="Arial" w:eastAsia="Arial" w:hAnsi="Arial"/>
                <w:sz w:val="18"/>
                <w:szCs w:val="18"/>
                <w:color w:val="auto"/>
              </w:rPr>
              <w:t>Selection of Notes to Be Redeemed or Purchased</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3.03</w:t>
            </w:r>
          </w:p>
        </w:tc>
        <w:tc>
          <w:tcPr>
            <w:tcW w:w="9580" w:type="dxa"/>
            <w:vAlign w:val="bottom"/>
          </w:tcPr>
          <w:p>
            <w:pPr>
              <w:ind w:left="280"/>
              <w:spacing w:after="0"/>
              <w:rPr>
                <w:sz w:val="20"/>
                <w:szCs w:val="20"/>
                <w:color w:val="auto"/>
              </w:rPr>
            </w:pPr>
            <w:r>
              <w:rPr>
                <w:rFonts w:ascii="Arial" w:cs="Arial" w:eastAsia="Arial" w:hAnsi="Arial"/>
                <w:sz w:val="18"/>
                <w:szCs w:val="18"/>
                <w:color w:val="auto"/>
              </w:rPr>
              <w:t>Notice of Redemption</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3.04</w:t>
            </w:r>
          </w:p>
        </w:tc>
        <w:tc>
          <w:tcPr>
            <w:tcW w:w="9580" w:type="dxa"/>
            <w:vAlign w:val="bottom"/>
          </w:tcPr>
          <w:p>
            <w:pPr>
              <w:ind w:left="280"/>
              <w:spacing w:after="0"/>
              <w:rPr>
                <w:sz w:val="20"/>
                <w:szCs w:val="20"/>
                <w:color w:val="auto"/>
              </w:rPr>
            </w:pPr>
            <w:r>
              <w:rPr>
                <w:rFonts w:ascii="Arial" w:cs="Arial" w:eastAsia="Arial" w:hAnsi="Arial"/>
                <w:sz w:val="18"/>
                <w:szCs w:val="18"/>
                <w:color w:val="auto"/>
              </w:rPr>
              <w:t>Effect of Notice of Redemption</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3.05</w:t>
            </w:r>
          </w:p>
        </w:tc>
        <w:tc>
          <w:tcPr>
            <w:tcW w:w="9580" w:type="dxa"/>
            <w:vAlign w:val="bottom"/>
          </w:tcPr>
          <w:p>
            <w:pPr>
              <w:ind w:left="280"/>
              <w:spacing w:after="0"/>
              <w:rPr>
                <w:sz w:val="20"/>
                <w:szCs w:val="20"/>
                <w:color w:val="auto"/>
              </w:rPr>
            </w:pPr>
            <w:r>
              <w:rPr>
                <w:rFonts w:ascii="Arial" w:cs="Arial" w:eastAsia="Arial" w:hAnsi="Arial"/>
                <w:sz w:val="18"/>
                <w:szCs w:val="18"/>
                <w:color w:val="auto"/>
              </w:rPr>
              <w:t>Deposit of Redemption or Purchase Price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3.06</w:t>
            </w:r>
          </w:p>
        </w:tc>
        <w:tc>
          <w:tcPr>
            <w:tcW w:w="9580" w:type="dxa"/>
            <w:vAlign w:val="bottom"/>
          </w:tcPr>
          <w:p>
            <w:pPr>
              <w:ind w:left="280"/>
              <w:spacing w:after="0"/>
              <w:rPr>
                <w:sz w:val="20"/>
                <w:szCs w:val="20"/>
                <w:color w:val="auto"/>
              </w:rPr>
            </w:pPr>
            <w:r>
              <w:rPr>
                <w:rFonts w:ascii="Arial" w:cs="Arial" w:eastAsia="Arial" w:hAnsi="Arial"/>
                <w:sz w:val="18"/>
                <w:szCs w:val="18"/>
                <w:color w:val="auto"/>
              </w:rPr>
              <w:t>Notes Redeemed or Purchased in Part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3.07</w:t>
            </w:r>
          </w:p>
        </w:tc>
        <w:tc>
          <w:tcPr>
            <w:tcW w:w="9580" w:type="dxa"/>
            <w:vAlign w:val="bottom"/>
          </w:tcPr>
          <w:p>
            <w:pPr>
              <w:ind w:left="280"/>
              <w:spacing w:after="0"/>
              <w:rPr>
                <w:sz w:val="20"/>
                <w:szCs w:val="20"/>
                <w:color w:val="auto"/>
              </w:rPr>
            </w:pPr>
            <w:r>
              <w:rPr>
                <w:rFonts w:ascii="Arial" w:cs="Arial" w:eastAsia="Arial" w:hAnsi="Arial"/>
                <w:sz w:val="18"/>
                <w:szCs w:val="18"/>
                <w:color w:val="auto"/>
              </w:rPr>
              <w:t>Optional Redemption</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3.08</w:t>
            </w:r>
          </w:p>
        </w:tc>
        <w:tc>
          <w:tcPr>
            <w:tcW w:w="9580" w:type="dxa"/>
            <w:vAlign w:val="bottom"/>
          </w:tcPr>
          <w:p>
            <w:pPr>
              <w:ind w:left="280"/>
              <w:spacing w:after="0"/>
              <w:rPr>
                <w:sz w:val="20"/>
                <w:szCs w:val="20"/>
                <w:color w:val="auto"/>
              </w:rPr>
            </w:pPr>
            <w:r>
              <w:rPr>
                <w:rFonts w:ascii="Arial" w:cs="Arial" w:eastAsia="Arial" w:hAnsi="Arial"/>
                <w:sz w:val="18"/>
                <w:szCs w:val="18"/>
                <w:color w:val="auto"/>
              </w:rPr>
              <w:t>Mandatory Redemption</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9580" w:type="dxa"/>
            <w:vAlign w:val="bottom"/>
          </w:tcPr>
          <w:p>
            <w:pPr>
              <w:jc w:val="center"/>
              <w:ind w:right="410"/>
              <w:spacing w:after="0"/>
              <w:rPr>
                <w:sz w:val="20"/>
                <w:szCs w:val="20"/>
                <w:color w:val="auto"/>
              </w:rPr>
            </w:pPr>
            <w:r>
              <w:rPr>
                <w:rFonts w:ascii="Arial" w:cs="Arial" w:eastAsia="Arial" w:hAnsi="Arial"/>
                <w:sz w:val="18"/>
                <w:szCs w:val="18"/>
                <w:color w:val="auto"/>
                <w:w w:val="96"/>
              </w:rPr>
              <w:t>ARTICLE 4</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580" w:type="dxa"/>
            <w:vAlign w:val="bottom"/>
          </w:tcPr>
          <w:p>
            <w:pPr>
              <w:jc w:val="center"/>
              <w:ind w:right="430"/>
              <w:spacing w:after="0"/>
              <w:rPr>
                <w:sz w:val="20"/>
                <w:szCs w:val="20"/>
                <w:color w:val="auto"/>
              </w:rPr>
            </w:pPr>
            <w:r>
              <w:rPr>
                <w:rFonts w:ascii="Arial" w:cs="Arial" w:eastAsia="Arial" w:hAnsi="Arial"/>
                <w:sz w:val="18"/>
                <w:szCs w:val="18"/>
                <w:color w:val="auto"/>
                <w:w w:val="98"/>
              </w:rPr>
              <w:t>COVENANTS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4.01</w:t>
            </w:r>
          </w:p>
        </w:tc>
        <w:tc>
          <w:tcPr>
            <w:tcW w:w="9580" w:type="dxa"/>
            <w:vAlign w:val="bottom"/>
          </w:tcPr>
          <w:p>
            <w:pPr>
              <w:ind w:left="280"/>
              <w:spacing w:after="0"/>
              <w:rPr>
                <w:sz w:val="20"/>
                <w:szCs w:val="20"/>
                <w:color w:val="auto"/>
              </w:rPr>
            </w:pPr>
            <w:r>
              <w:rPr>
                <w:rFonts w:ascii="Arial" w:cs="Arial" w:eastAsia="Arial" w:hAnsi="Arial"/>
                <w:sz w:val="18"/>
                <w:szCs w:val="18"/>
                <w:color w:val="auto"/>
              </w:rPr>
              <w:t>Payment of Notes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4.02</w:t>
            </w:r>
          </w:p>
        </w:tc>
        <w:tc>
          <w:tcPr>
            <w:tcW w:w="958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4.03</w:t>
            </w:r>
          </w:p>
        </w:tc>
        <w:tc>
          <w:tcPr>
            <w:tcW w:w="9580" w:type="dxa"/>
            <w:vAlign w:val="bottom"/>
          </w:tcPr>
          <w:p>
            <w:pPr>
              <w:ind w:left="280"/>
              <w:spacing w:after="0"/>
              <w:rPr>
                <w:sz w:val="20"/>
                <w:szCs w:val="20"/>
                <w:color w:val="auto"/>
              </w:rPr>
            </w:pPr>
            <w:r>
              <w:rPr>
                <w:rFonts w:ascii="Arial" w:cs="Arial" w:eastAsia="Arial" w:hAnsi="Arial"/>
                <w:sz w:val="18"/>
                <w:szCs w:val="18"/>
                <w:color w:val="auto"/>
              </w:rPr>
              <w:t>Reports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4.04</w:t>
            </w:r>
          </w:p>
        </w:tc>
        <w:tc>
          <w:tcPr>
            <w:tcW w:w="9580" w:type="dxa"/>
            <w:vAlign w:val="bottom"/>
          </w:tcPr>
          <w:p>
            <w:pPr>
              <w:ind w:left="280"/>
              <w:spacing w:after="0"/>
              <w:rPr>
                <w:sz w:val="20"/>
                <w:szCs w:val="20"/>
                <w:color w:val="auto"/>
              </w:rPr>
            </w:pPr>
            <w:r>
              <w:rPr>
                <w:rFonts w:ascii="Arial" w:cs="Arial" w:eastAsia="Arial" w:hAnsi="Arial"/>
                <w:sz w:val="18"/>
                <w:szCs w:val="18"/>
                <w:color w:val="auto"/>
              </w:rPr>
              <w:t>Compliance Certificate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4.05</w:t>
            </w:r>
          </w:p>
        </w:tc>
        <w:tc>
          <w:tcPr>
            <w:tcW w:w="9580" w:type="dxa"/>
            <w:vAlign w:val="bottom"/>
          </w:tcPr>
          <w:p>
            <w:pPr>
              <w:ind w:left="280"/>
              <w:spacing w:after="0"/>
              <w:rPr>
                <w:sz w:val="20"/>
                <w:szCs w:val="20"/>
                <w:color w:val="auto"/>
              </w:rPr>
            </w:pPr>
            <w:r>
              <w:rPr>
                <w:rFonts w:ascii="Arial" w:cs="Arial" w:eastAsia="Arial" w:hAnsi="Arial"/>
                <w:sz w:val="18"/>
                <w:szCs w:val="18"/>
                <w:color w:val="auto"/>
              </w:rPr>
              <w:t>Taxes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4.06</w:t>
            </w:r>
          </w:p>
        </w:tc>
        <w:tc>
          <w:tcPr>
            <w:tcW w:w="9580" w:type="dxa"/>
            <w:vAlign w:val="bottom"/>
          </w:tcPr>
          <w:p>
            <w:pPr>
              <w:ind w:left="280"/>
              <w:spacing w:after="0"/>
              <w:rPr>
                <w:sz w:val="20"/>
                <w:szCs w:val="20"/>
                <w:color w:val="auto"/>
              </w:rPr>
            </w:pPr>
            <w:r>
              <w:rPr>
                <w:rFonts w:ascii="Arial" w:cs="Arial" w:eastAsia="Arial" w:hAnsi="Arial"/>
                <w:sz w:val="18"/>
                <w:szCs w:val="18"/>
                <w:color w:val="auto"/>
              </w:rPr>
              <w:t>Stay, Extension and Usury Laws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4.07</w:t>
            </w:r>
          </w:p>
        </w:tc>
        <w:tc>
          <w:tcPr>
            <w:tcW w:w="9580" w:type="dxa"/>
            <w:vAlign w:val="bottom"/>
          </w:tcPr>
          <w:p>
            <w:pPr>
              <w:ind w:left="280"/>
              <w:spacing w:after="0"/>
              <w:rPr>
                <w:sz w:val="20"/>
                <w:szCs w:val="20"/>
                <w:color w:val="auto"/>
              </w:rPr>
            </w:pPr>
            <w:r>
              <w:rPr>
                <w:rFonts w:ascii="Arial" w:cs="Arial" w:eastAsia="Arial" w:hAnsi="Arial"/>
                <w:sz w:val="18"/>
                <w:szCs w:val="18"/>
                <w:color w:val="auto"/>
              </w:rPr>
              <w:t>Liens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4.08</w:t>
            </w:r>
          </w:p>
        </w:tc>
        <w:tc>
          <w:tcPr>
            <w:tcW w:w="9580" w:type="dxa"/>
            <w:vAlign w:val="bottom"/>
          </w:tcPr>
          <w:p>
            <w:pPr>
              <w:ind w:left="280"/>
              <w:spacing w:after="0"/>
              <w:rPr>
                <w:sz w:val="20"/>
                <w:szCs w:val="20"/>
                <w:color w:val="auto"/>
              </w:rPr>
            </w:pPr>
            <w:r>
              <w:rPr>
                <w:rFonts w:ascii="Arial" w:cs="Arial" w:eastAsia="Arial" w:hAnsi="Arial"/>
                <w:sz w:val="18"/>
                <w:szCs w:val="18"/>
                <w:color w:val="auto"/>
              </w:rPr>
              <w:t>Limited Liability Company Existence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4.09</w:t>
            </w:r>
          </w:p>
        </w:tc>
        <w:tc>
          <w:tcPr>
            <w:tcW w:w="9580" w:type="dxa"/>
            <w:vAlign w:val="bottom"/>
          </w:tcPr>
          <w:p>
            <w:pPr>
              <w:ind w:left="280"/>
              <w:spacing w:after="0"/>
              <w:rPr>
                <w:sz w:val="20"/>
                <w:szCs w:val="20"/>
                <w:color w:val="auto"/>
              </w:rPr>
            </w:pPr>
            <w:r>
              <w:rPr>
                <w:rFonts w:ascii="Arial" w:cs="Arial" w:eastAsia="Arial" w:hAnsi="Arial"/>
                <w:sz w:val="18"/>
                <w:szCs w:val="18"/>
                <w:color w:val="auto"/>
              </w:rPr>
              <w:t>Offer to Repurchase Upon Change of Control Triggering Event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4.10</w:t>
            </w:r>
          </w:p>
        </w:tc>
        <w:tc>
          <w:tcPr>
            <w:tcW w:w="9580" w:type="dxa"/>
            <w:vAlign w:val="bottom"/>
          </w:tcPr>
          <w:p>
            <w:pPr>
              <w:ind w:left="280"/>
              <w:spacing w:after="0"/>
              <w:rPr>
                <w:sz w:val="20"/>
                <w:szCs w:val="20"/>
                <w:color w:val="auto"/>
              </w:rPr>
            </w:pPr>
            <w:r>
              <w:rPr>
                <w:rFonts w:ascii="Arial" w:cs="Arial" w:eastAsia="Arial" w:hAnsi="Arial"/>
                <w:sz w:val="18"/>
                <w:szCs w:val="18"/>
                <w:color w:val="auto"/>
              </w:rPr>
              <w:t>Additional Subsidiary Guarantees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8"/>
        </w:trPr>
        <w:tc>
          <w:tcPr>
            <w:tcW w:w="118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09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6831330</wp:posOffset>
            </wp:positionH>
            <wp:positionV relativeFrom="paragraph">
              <wp:posOffset>6350</wp:posOffset>
            </wp:positionV>
            <wp:extent cx="4203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06" w:lineRule="exact"/>
        <w:rPr>
          <w:sz w:val="20"/>
          <w:szCs w:val="20"/>
          <w:color w:val="auto"/>
        </w:rPr>
      </w:pPr>
    </w:p>
    <w:p>
      <w:pPr>
        <w:spacing w:after="0"/>
        <w:tabs>
          <w:tab w:leader="none" w:pos="1440" w:val="left"/>
          <w:tab w:leader="none" w:pos="1122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8"/>
          <w:szCs w:val="18"/>
          <w:color w:val="auto"/>
        </w:rPr>
        <w:t>Holding Company Status</w:t>
      </w:r>
      <w:r>
        <w:rPr>
          <w:sz w:val="20"/>
          <w:szCs w:val="20"/>
          <w:color w:val="auto"/>
        </w:rPr>
        <w:tab/>
      </w:r>
      <w:r>
        <w:rPr>
          <w:rFonts w:ascii="Arial" w:cs="Arial" w:eastAsia="Arial" w:hAnsi="Arial"/>
          <w:sz w:val="16"/>
          <w:szCs w:val="16"/>
          <w:color w:val="auto"/>
        </w:rPr>
        <w:t>45</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5</w:t>
      </w:r>
    </w:p>
    <w:p>
      <w:pPr>
        <w:sectPr>
          <w:pgSz w:w="11900" w:h="16838" w:orient="portrait"/>
          <w:cols w:equalWidth="0" w:num="1">
            <w:col w:w="11460"/>
          </w:cols>
          <w:pgMar w:left="240" w:top="140"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9520" w:type="dxa"/>
            <w:vAlign w:val="bottom"/>
          </w:tcPr>
          <w:p>
            <w:pPr>
              <w:jc w:val="center"/>
              <w:ind w:right="490"/>
              <w:spacing w:after="0"/>
              <w:rPr>
                <w:sz w:val="20"/>
                <w:szCs w:val="20"/>
                <w:color w:val="auto"/>
              </w:rPr>
            </w:pPr>
            <w:r>
              <w:rPr>
                <w:rFonts w:ascii="Arial" w:cs="Arial" w:eastAsia="Arial" w:hAnsi="Arial"/>
                <w:sz w:val="18"/>
                <w:szCs w:val="18"/>
                <w:color w:val="auto"/>
                <w:w w:val="90"/>
              </w:rPr>
              <w:t>SUCCESSORS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5.01</w:t>
            </w:r>
          </w:p>
        </w:tc>
        <w:tc>
          <w:tcPr>
            <w:tcW w:w="9520" w:type="dxa"/>
            <w:vAlign w:val="bottom"/>
          </w:tcPr>
          <w:p>
            <w:pPr>
              <w:ind w:left="220"/>
              <w:spacing w:after="0"/>
              <w:rPr>
                <w:sz w:val="20"/>
                <w:szCs w:val="20"/>
                <w:color w:val="auto"/>
              </w:rPr>
            </w:pPr>
            <w:r>
              <w:rPr>
                <w:rFonts w:ascii="Arial" w:cs="Arial" w:eastAsia="Arial" w:hAnsi="Arial"/>
                <w:sz w:val="18"/>
                <w:szCs w:val="18"/>
                <w:color w:val="auto"/>
              </w:rPr>
              <w:t>Merger, Consolidation or Sale of Assets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5.02</w:t>
            </w:r>
          </w:p>
        </w:tc>
        <w:tc>
          <w:tcPr>
            <w:tcW w:w="9520" w:type="dxa"/>
            <w:vAlign w:val="bottom"/>
          </w:tcPr>
          <w:p>
            <w:pPr>
              <w:ind w:left="220"/>
              <w:spacing w:after="0"/>
              <w:rPr>
                <w:sz w:val="20"/>
                <w:szCs w:val="20"/>
                <w:color w:val="auto"/>
              </w:rPr>
            </w:pPr>
            <w:r>
              <w:rPr>
                <w:rFonts w:ascii="Arial" w:cs="Arial" w:eastAsia="Arial" w:hAnsi="Arial"/>
                <w:sz w:val="18"/>
                <w:szCs w:val="18"/>
                <w:color w:val="auto"/>
              </w:rPr>
              <w:t>Successor Entity Substituted</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418"/>
        </w:trPr>
        <w:tc>
          <w:tcPr>
            <w:tcW w:w="1240" w:type="dxa"/>
            <w:vAlign w:val="bottom"/>
          </w:tcPr>
          <w:p>
            <w:pPr>
              <w:spacing w:after="0"/>
              <w:rPr>
                <w:sz w:val="24"/>
                <w:szCs w:val="24"/>
                <w:color w:val="auto"/>
              </w:rPr>
            </w:pPr>
          </w:p>
        </w:tc>
        <w:tc>
          <w:tcPr>
            <w:tcW w:w="9520" w:type="dxa"/>
            <w:vAlign w:val="bottom"/>
          </w:tcPr>
          <w:p>
            <w:pPr>
              <w:jc w:val="center"/>
              <w:ind w:right="470"/>
              <w:spacing w:after="0"/>
              <w:rPr>
                <w:sz w:val="20"/>
                <w:szCs w:val="20"/>
                <w:color w:val="auto"/>
              </w:rPr>
            </w:pPr>
            <w:r>
              <w:rPr>
                <w:rFonts w:ascii="Arial" w:cs="Arial" w:eastAsia="Arial" w:hAnsi="Arial"/>
                <w:sz w:val="18"/>
                <w:szCs w:val="18"/>
                <w:color w:val="auto"/>
                <w:w w:val="96"/>
              </w:rPr>
              <w:t>ARTICLE 6</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520" w:type="dxa"/>
            <w:vAlign w:val="bottom"/>
          </w:tcPr>
          <w:p>
            <w:pPr>
              <w:jc w:val="center"/>
              <w:ind w:right="490"/>
              <w:spacing w:after="0"/>
              <w:rPr>
                <w:sz w:val="20"/>
                <w:szCs w:val="20"/>
                <w:color w:val="auto"/>
              </w:rPr>
            </w:pPr>
            <w:r>
              <w:rPr>
                <w:rFonts w:ascii="Arial" w:cs="Arial" w:eastAsia="Arial" w:hAnsi="Arial"/>
                <w:sz w:val="18"/>
                <w:szCs w:val="18"/>
                <w:color w:val="auto"/>
                <w:w w:val="95"/>
              </w:rPr>
              <w:t>DEFAULTS AND REMEDIES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6.01</w:t>
            </w:r>
          </w:p>
        </w:tc>
        <w:tc>
          <w:tcPr>
            <w:tcW w:w="952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6.02</w:t>
            </w:r>
          </w:p>
        </w:tc>
        <w:tc>
          <w:tcPr>
            <w:tcW w:w="9520" w:type="dxa"/>
            <w:vAlign w:val="bottom"/>
          </w:tcPr>
          <w:p>
            <w:pPr>
              <w:ind w:left="220"/>
              <w:spacing w:after="0"/>
              <w:rPr>
                <w:sz w:val="20"/>
                <w:szCs w:val="20"/>
                <w:color w:val="auto"/>
              </w:rPr>
            </w:pPr>
            <w:r>
              <w:rPr>
                <w:rFonts w:ascii="Arial" w:cs="Arial" w:eastAsia="Arial" w:hAnsi="Arial"/>
                <w:sz w:val="18"/>
                <w:szCs w:val="18"/>
                <w:color w:val="auto"/>
              </w:rPr>
              <w:t>Acceleration</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6.03</w:t>
            </w:r>
          </w:p>
        </w:tc>
        <w:tc>
          <w:tcPr>
            <w:tcW w:w="9520" w:type="dxa"/>
            <w:vAlign w:val="bottom"/>
          </w:tcPr>
          <w:p>
            <w:pPr>
              <w:ind w:left="220"/>
              <w:spacing w:after="0"/>
              <w:rPr>
                <w:sz w:val="20"/>
                <w:szCs w:val="20"/>
                <w:color w:val="auto"/>
              </w:rPr>
            </w:pPr>
            <w:r>
              <w:rPr>
                <w:rFonts w:ascii="Arial" w:cs="Arial" w:eastAsia="Arial" w:hAnsi="Arial"/>
                <w:sz w:val="18"/>
                <w:szCs w:val="18"/>
                <w:color w:val="auto"/>
              </w:rPr>
              <w:t>Other Remedies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6.04</w:t>
            </w:r>
          </w:p>
        </w:tc>
        <w:tc>
          <w:tcPr>
            <w:tcW w:w="952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6.05</w:t>
            </w:r>
          </w:p>
        </w:tc>
        <w:tc>
          <w:tcPr>
            <w:tcW w:w="9520" w:type="dxa"/>
            <w:vAlign w:val="bottom"/>
          </w:tcPr>
          <w:p>
            <w:pPr>
              <w:ind w:left="220"/>
              <w:spacing w:after="0"/>
              <w:rPr>
                <w:sz w:val="20"/>
                <w:szCs w:val="20"/>
                <w:color w:val="auto"/>
              </w:rPr>
            </w:pPr>
            <w:r>
              <w:rPr>
                <w:rFonts w:ascii="Arial" w:cs="Arial" w:eastAsia="Arial" w:hAnsi="Arial"/>
                <w:sz w:val="18"/>
                <w:szCs w:val="18"/>
                <w:color w:val="auto"/>
              </w:rPr>
              <w:t>Control by Majority</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6.06</w:t>
            </w:r>
          </w:p>
        </w:tc>
        <w:tc>
          <w:tcPr>
            <w:tcW w:w="952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6.07</w:t>
            </w:r>
          </w:p>
        </w:tc>
        <w:tc>
          <w:tcPr>
            <w:tcW w:w="9520" w:type="dxa"/>
            <w:vAlign w:val="bottom"/>
          </w:tcPr>
          <w:p>
            <w:pPr>
              <w:ind w:left="220"/>
              <w:spacing w:after="0"/>
              <w:rPr>
                <w:sz w:val="20"/>
                <w:szCs w:val="20"/>
                <w:color w:val="auto"/>
              </w:rPr>
            </w:pPr>
            <w:r>
              <w:rPr>
                <w:rFonts w:ascii="Arial" w:cs="Arial" w:eastAsia="Arial" w:hAnsi="Arial"/>
                <w:sz w:val="18"/>
                <w:szCs w:val="18"/>
                <w:color w:val="auto"/>
              </w:rPr>
              <w:t>Rights of Holders of Notes to Receive Payment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6.08</w:t>
            </w:r>
          </w:p>
        </w:tc>
        <w:tc>
          <w:tcPr>
            <w:tcW w:w="9520" w:type="dxa"/>
            <w:vAlign w:val="bottom"/>
          </w:tcPr>
          <w:p>
            <w:pPr>
              <w:ind w:left="220"/>
              <w:spacing w:after="0"/>
              <w:rPr>
                <w:sz w:val="20"/>
                <w:szCs w:val="20"/>
                <w:color w:val="auto"/>
              </w:rPr>
            </w:pPr>
            <w:r>
              <w:rPr>
                <w:rFonts w:ascii="Arial" w:cs="Arial" w:eastAsia="Arial" w:hAnsi="Arial"/>
                <w:sz w:val="18"/>
                <w:szCs w:val="18"/>
                <w:color w:val="auto"/>
              </w:rPr>
              <w:t>Collection Suit by Trustee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6.09</w:t>
            </w:r>
          </w:p>
        </w:tc>
        <w:tc>
          <w:tcPr>
            <w:tcW w:w="952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9520" w:type="dxa"/>
            <w:vAlign w:val="bottom"/>
          </w:tcPr>
          <w:p>
            <w:pPr>
              <w:ind w:left="220"/>
              <w:spacing w:after="0"/>
              <w:rPr>
                <w:sz w:val="20"/>
                <w:szCs w:val="20"/>
                <w:color w:val="auto"/>
              </w:rPr>
            </w:pPr>
            <w:r>
              <w:rPr>
                <w:rFonts w:ascii="Arial" w:cs="Arial" w:eastAsia="Arial" w:hAnsi="Arial"/>
                <w:sz w:val="18"/>
                <w:szCs w:val="18"/>
                <w:color w:val="auto"/>
              </w:rPr>
              <w:t>Priorities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6.11</w:t>
            </w:r>
          </w:p>
        </w:tc>
        <w:tc>
          <w:tcPr>
            <w:tcW w:w="9520" w:type="dxa"/>
            <w:vAlign w:val="bottom"/>
          </w:tcPr>
          <w:p>
            <w:pPr>
              <w:ind w:left="220"/>
              <w:spacing w:after="0"/>
              <w:rPr>
                <w:sz w:val="20"/>
                <w:szCs w:val="20"/>
                <w:color w:val="auto"/>
              </w:rPr>
            </w:pPr>
            <w:r>
              <w:rPr>
                <w:rFonts w:ascii="Arial" w:cs="Arial" w:eastAsia="Arial" w:hAnsi="Arial"/>
                <w:sz w:val="18"/>
                <w:szCs w:val="18"/>
                <w:color w:val="auto"/>
              </w:rPr>
              <w:t>Undertaking for Costs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418"/>
        </w:trPr>
        <w:tc>
          <w:tcPr>
            <w:tcW w:w="1240" w:type="dxa"/>
            <w:vAlign w:val="bottom"/>
          </w:tcPr>
          <w:p>
            <w:pPr>
              <w:spacing w:after="0"/>
              <w:rPr>
                <w:sz w:val="24"/>
                <w:szCs w:val="24"/>
                <w:color w:val="auto"/>
              </w:rPr>
            </w:pPr>
          </w:p>
        </w:tc>
        <w:tc>
          <w:tcPr>
            <w:tcW w:w="9520" w:type="dxa"/>
            <w:vAlign w:val="bottom"/>
          </w:tcPr>
          <w:p>
            <w:pPr>
              <w:jc w:val="center"/>
              <w:ind w:right="470"/>
              <w:spacing w:after="0"/>
              <w:rPr>
                <w:sz w:val="20"/>
                <w:szCs w:val="20"/>
                <w:color w:val="auto"/>
              </w:rPr>
            </w:pPr>
            <w:r>
              <w:rPr>
                <w:rFonts w:ascii="Arial" w:cs="Arial" w:eastAsia="Arial" w:hAnsi="Arial"/>
                <w:sz w:val="18"/>
                <w:szCs w:val="18"/>
                <w:color w:val="auto"/>
                <w:w w:val="96"/>
              </w:rPr>
              <w:t>ARTICLE 7</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520" w:type="dxa"/>
            <w:vAlign w:val="bottom"/>
          </w:tcPr>
          <w:p>
            <w:pPr>
              <w:jc w:val="center"/>
              <w:ind w:right="490"/>
              <w:spacing w:after="0"/>
              <w:rPr>
                <w:sz w:val="20"/>
                <w:szCs w:val="20"/>
                <w:color w:val="auto"/>
              </w:rPr>
            </w:pPr>
            <w:r>
              <w:rPr>
                <w:rFonts w:ascii="Arial" w:cs="Arial" w:eastAsia="Arial" w:hAnsi="Arial"/>
                <w:sz w:val="18"/>
                <w:szCs w:val="18"/>
                <w:color w:val="auto"/>
                <w:w w:val="92"/>
              </w:rPr>
              <w:t>TRUSTEE</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7.01</w:t>
            </w:r>
          </w:p>
        </w:tc>
        <w:tc>
          <w:tcPr>
            <w:tcW w:w="9520" w:type="dxa"/>
            <w:vAlign w:val="bottom"/>
          </w:tcPr>
          <w:p>
            <w:pPr>
              <w:ind w:left="220"/>
              <w:spacing w:after="0"/>
              <w:rPr>
                <w:sz w:val="20"/>
                <w:szCs w:val="20"/>
                <w:color w:val="auto"/>
              </w:rPr>
            </w:pPr>
            <w:r>
              <w:rPr>
                <w:rFonts w:ascii="Arial" w:cs="Arial" w:eastAsia="Arial" w:hAnsi="Arial"/>
                <w:sz w:val="18"/>
                <w:szCs w:val="18"/>
                <w:color w:val="auto"/>
              </w:rPr>
              <w:t>Duties of Trustee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7.02</w:t>
            </w:r>
          </w:p>
        </w:tc>
        <w:tc>
          <w:tcPr>
            <w:tcW w:w="9520" w:type="dxa"/>
            <w:vAlign w:val="bottom"/>
          </w:tcPr>
          <w:p>
            <w:pPr>
              <w:ind w:left="220"/>
              <w:spacing w:after="0"/>
              <w:rPr>
                <w:sz w:val="20"/>
                <w:szCs w:val="20"/>
                <w:color w:val="auto"/>
              </w:rPr>
            </w:pPr>
            <w:r>
              <w:rPr>
                <w:rFonts w:ascii="Arial" w:cs="Arial" w:eastAsia="Arial" w:hAnsi="Arial"/>
                <w:sz w:val="18"/>
                <w:szCs w:val="18"/>
                <w:color w:val="auto"/>
              </w:rPr>
              <w:t>Rights of Trustee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7.03</w:t>
            </w:r>
          </w:p>
        </w:tc>
        <w:tc>
          <w:tcPr>
            <w:tcW w:w="9520" w:type="dxa"/>
            <w:vAlign w:val="bottom"/>
          </w:tcPr>
          <w:p>
            <w:pPr>
              <w:ind w:left="220"/>
              <w:spacing w:after="0"/>
              <w:rPr>
                <w:sz w:val="20"/>
                <w:szCs w:val="20"/>
                <w:color w:val="auto"/>
              </w:rPr>
            </w:pPr>
            <w:r>
              <w:rPr>
                <w:rFonts w:ascii="Arial" w:cs="Arial" w:eastAsia="Arial" w:hAnsi="Arial"/>
                <w:sz w:val="18"/>
                <w:szCs w:val="18"/>
                <w:color w:val="auto"/>
              </w:rPr>
              <w:t>Individual Rights of Trustee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7.04</w:t>
            </w:r>
          </w:p>
        </w:tc>
        <w:tc>
          <w:tcPr>
            <w:tcW w:w="9520" w:type="dxa"/>
            <w:vAlign w:val="bottom"/>
          </w:tcPr>
          <w:p>
            <w:pPr>
              <w:ind w:left="220"/>
              <w:spacing w:after="0"/>
              <w:rPr>
                <w:sz w:val="20"/>
                <w:szCs w:val="20"/>
                <w:color w:val="auto"/>
              </w:rPr>
            </w:pPr>
            <w:r>
              <w:rPr>
                <w:rFonts w:ascii="Arial" w:cs="Arial" w:eastAsia="Arial" w:hAnsi="Arial"/>
                <w:sz w:val="18"/>
                <w:szCs w:val="18"/>
                <w:color w:val="auto"/>
              </w:rPr>
              <w:t>Trustee’s Disclaimer</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7.05</w:t>
            </w:r>
          </w:p>
        </w:tc>
        <w:tc>
          <w:tcPr>
            <w:tcW w:w="9520" w:type="dxa"/>
            <w:vAlign w:val="bottom"/>
          </w:tcPr>
          <w:p>
            <w:pPr>
              <w:ind w:left="220"/>
              <w:spacing w:after="0"/>
              <w:rPr>
                <w:sz w:val="20"/>
                <w:szCs w:val="20"/>
                <w:color w:val="auto"/>
              </w:rPr>
            </w:pPr>
            <w:r>
              <w:rPr>
                <w:rFonts w:ascii="Arial" w:cs="Arial" w:eastAsia="Arial" w:hAnsi="Arial"/>
                <w:sz w:val="18"/>
                <w:szCs w:val="18"/>
                <w:color w:val="auto"/>
              </w:rPr>
              <w:t>Notice of Defaults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7.06</w:t>
            </w:r>
          </w:p>
        </w:tc>
        <w:tc>
          <w:tcPr>
            <w:tcW w:w="9520" w:type="dxa"/>
            <w:vAlign w:val="bottom"/>
          </w:tcPr>
          <w:p>
            <w:pPr>
              <w:ind w:left="220"/>
              <w:spacing w:after="0"/>
              <w:rPr>
                <w:sz w:val="20"/>
                <w:szCs w:val="20"/>
                <w:color w:val="auto"/>
              </w:rPr>
            </w:pPr>
            <w:r>
              <w:rPr>
                <w:rFonts w:ascii="Arial" w:cs="Arial" w:eastAsia="Arial" w:hAnsi="Arial"/>
                <w:sz w:val="18"/>
                <w:szCs w:val="18"/>
                <w:color w:val="auto"/>
              </w:rPr>
              <w:t>Reports by Trustee to Holders of the Securities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7.07</w:t>
            </w:r>
          </w:p>
        </w:tc>
        <w:tc>
          <w:tcPr>
            <w:tcW w:w="9520" w:type="dxa"/>
            <w:vAlign w:val="bottom"/>
          </w:tcPr>
          <w:p>
            <w:pPr>
              <w:ind w:left="220"/>
              <w:spacing w:after="0"/>
              <w:rPr>
                <w:sz w:val="20"/>
                <w:szCs w:val="20"/>
                <w:color w:val="auto"/>
              </w:rPr>
            </w:pPr>
            <w:r>
              <w:rPr>
                <w:rFonts w:ascii="Arial" w:cs="Arial" w:eastAsia="Arial" w:hAnsi="Arial"/>
                <w:sz w:val="18"/>
                <w:szCs w:val="18"/>
                <w:color w:val="auto"/>
              </w:rPr>
              <w:t>Compensation and Indemnity</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7.08</w:t>
            </w:r>
          </w:p>
        </w:tc>
        <w:tc>
          <w:tcPr>
            <w:tcW w:w="9520" w:type="dxa"/>
            <w:vAlign w:val="bottom"/>
          </w:tcPr>
          <w:p>
            <w:pPr>
              <w:ind w:left="220"/>
              <w:spacing w:after="0"/>
              <w:rPr>
                <w:sz w:val="20"/>
                <w:szCs w:val="20"/>
                <w:color w:val="auto"/>
              </w:rPr>
            </w:pPr>
            <w:r>
              <w:rPr>
                <w:rFonts w:ascii="Arial" w:cs="Arial" w:eastAsia="Arial" w:hAnsi="Arial"/>
                <w:sz w:val="18"/>
                <w:szCs w:val="18"/>
                <w:color w:val="auto"/>
              </w:rPr>
              <w:t>Replacement of Trustee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7.09</w:t>
            </w:r>
          </w:p>
        </w:tc>
        <w:tc>
          <w:tcPr>
            <w:tcW w:w="9520" w:type="dxa"/>
            <w:vAlign w:val="bottom"/>
          </w:tcPr>
          <w:p>
            <w:pPr>
              <w:ind w:left="220"/>
              <w:spacing w:after="0"/>
              <w:rPr>
                <w:sz w:val="20"/>
                <w:szCs w:val="20"/>
                <w:color w:val="auto"/>
              </w:rPr>
            </w:pPr>
            <w:r>
              <w:rPr>
                <w:rFonts w:ascii="Arial" w:cs="Arial" w:eastAsia="Arial" w:hAnsi="Arial"/>
                <w:sz w:val="18"/>
                <w:szCs w:val="18"/>
                <w:color w:val="auto"/>
              </w:rPr>
              <w:t>Successor Trustee by Merger, etc.</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7.10</w:t>
            </w:r>
          </w:p>
        </w:tc>
        <w:tc>
          <w:tcPr>
            <w:tcW w:w="9520" w:type="dxa"/>
            <w:vAlign w:val="bottom"/>
          </w:tcPr>
          <w:p>
            <w:pPr>
              <w:ind w:left="220"/>
              <w:spacing w:after="0"/>
              <w:rPr>
                <w:sz w:val="20"/>
                <w:szCs w:val="20"/>
                <w:color w:val="auto"/>
              </w:rPr>
            </w:pPr>
            <w:r>
              <w:rPr>
                <w:rFonts w:ascii="Arial" w:cs="Arial" w:eastAsia="Arial" w:hAnsi="Arial"/>
                <w:sz w:val="18"/>
                <w:szCs w:val="18"/>
                <w:color w:val="auto"/>
              </w:rPr>
              <w:t>Eligibility; Disqualification</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7.11</w:t>
            </w:r>
          </w:p>
        </w:tc>
        <w:tc>
          <w:tcPr>
            <w:tcW w:w="9520" w:type="dxa"/>
            <w:vAlign w:val="bottom"/>
          </w:tcPr>
          <w:p>
            <w:pPr>
              <w:ind w:left="220"/>
              <w:spacing w:after="0"/>
              <w:rPr>
                <w:sz w:val="20"/>
                <w:szCs w:val="20"/>
                <w:color w:val="auto"/>
              </w:rPr>
            </w:pPr>
            <w:r>
              <w:rPr>
                <w:rFonts w:ascii="Arial" w:cs="Arial" w:eastAsia="Arial" w:hAnsi="Arial"/>
                <w:sz w:val="18"/>
                <w:szCs w:val="18"/>
                <w:color w:val="auto"/>
              </w:rPr>
              <w:t>Preferential Collection of Claims Against Company</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418"/>
        </w:trPr>
        <w:tc>
          <w:tcPr>
            <w:tcW w:w="1240" w:type="dxa"/>
            <w:vAlign w:val="bottom"/>
          </w:tcPr>
          <w:p>
            <w:pPr>
              <w:spacing w:after="0"/>
              <w:rPr>
                <w:sz w:val="24"/>
                <w:szCs w:val="24"/>
                <w:color w:val="auto"/>
              </w:rPr>
            </w:pPr>
          </w:p>
        </w:tc>
        <w:tc>
          <w:tcPr>
            <w:tcW w:w="9520" w:type="dxa"/>
            <w:vAlign w:val="bottom"/>
          </w:tcPr>
          <w:p>
            <w:pPr>
              <w:jc w:val="center"/>
              <w:ind w:right="470"/>
              <w:spacing w:after="0"/>
              <w:rPr>
                <w:sz w:val="20"/>
                <w:szCs w:val="20"/>
                <w:color w:val="auto"/>
              </w:rPr>
            </w:pPr>
            <w:r>
              <w:rPr>
                <w:rFonts w:ascii="Arial" w:cs="Arial" w:eastAsia="Arial" w:hAnsi="Arial"/>
                <w:sz w:val="18"/>
                <w:szCs w:val="18"/>
                <w:color w:val="auto"/>
                <w:w w:val="96"/>
              </w:rPr>
              <w:t>ARTICLE 8</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520" w:type="dxa"/>
            <w:vAlign w:val="bottom"/>
          </w:tcPr>
          <w:p>
            <w:pPr>
              <w:jc w:val="center"/>
              <w:ind w:right="490"/>
              <w:spacing w:after="0"/>
              <w:rPr>
                <w:sz w:val="20"/>
                <w:szCs w:val="20"/>
                <w:color w:val="auto"/>
              </w:rPr>
            </w:pPr>
            <w:r>
              <w:rPr>
                <w:rFonts w:ascii="Arial" w:cs="Arial" w:eastAsia="Arial" w:hAnsi="Arial"/>
                <w:sz w:val="18"/>
                <w:szCs w:val="18"/>
                <w:color w:val="auto"/>
                <w:w w:val="97"/>
              </w:rPr>
              <w:t>LEGAL DEFEASANCE AND COVENANT DEFEASANCE</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8.01</w:t>
            </w:r>
          </w:p>
        </w:tc>
        <w:tc>
          <w:tcPr>
            <w:tcW w:w="9520" w:type="dxa"/>
            <w:vAlign w:val="bottom"/>
          </w:tcPr>
          <w:p>
            <w:pPr>
              <w:ind w:left="220"/>
              <w:spacing w:after="0"/>
              <w:rPr>
                <w:sz w:val="20"/>
                <w:szCs w:val="20"/>
                <w:color w:val="auto"/>
              </w:rPr>
            </w:pPr>
            <w:r>
              <w:rPr>
                <w:rFonts w:ascii="Arial" w:cs="Arial" w:eastAsia="Arial" w:hAnsi="Arial"/>
                <w:sz w:val="18"/>
                <w:szCs w:val="18"/>
                <w:color w:val="auto"/>
              </w:rPr>
              <w:t>Option to Effect Legal Defeasance or Covenant Defeasance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8.02</w:t>
            </w:r>
          </w:p>
        </w:tc>
        <w:tc>
          <w:tcPr>
            <w:tcW w:w="9520" w:type="dxa"/>
            <w:vAlign w:val="bottom"/>
          </w:tcPr>
          <w:p>
            <w:pPr>
              <w:ind w:left="220"/>
              <w:spacing w:after="0"/>
              <w:rPr>
                <w:sz w:val="20"/>
                <w:szCs w:val="20"/>
                <w:color w:val="auto"/>
              </w:rPr>
            </w:pPr>
            <w:r>
              <w:rPr>
                <w:rFonts w:ascii="Arial" w:cs="Arial" w:eastAsia="Arial" w:hAnsi="Arial"/>
                <w:sz w:val="18"/>
                <w:szCs w:val="18"/>
                <w:color w:val="auto"/>
              </w:rPr>
              <w:t>Legal Defeasance and Discharge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8.03</w:t>
            </w:r>
          </w:p>
        </w:tc>
        <w:tc>
          <w:tcPr>
            <w:tcW w:w="9520" w:type="dxa"/>
            <w:vAlign w:val="bottom"/>
          </w:tcPr>
          <w:p>
            <w:pPr>
              <w:ind w:left="220"/>
              <w:spacing w:after="0"/>
              <w:rPr>
                <w:sz w:val="20"/>
                <w:szCs w:val="20"/>
                <w:color w:val="auto"/>
              </w:rPr>
            </w:pPr>
            <w:r>
              <w:rPr>
                <w:rFonts w:ascii="Arial" w:cs="Arial" w:eastAsia="Arial" w:hAnsi="Arial"/>
                <w:sz w:val="18"/>
                <w:szCs w:val="18"/>
                <w:color w:val="auto"/>
              </w:rPr>
              <w:t>Covenant Defeasance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8.04</w:t>
            </w:r>
          </w:p>
        </w:tc>
        <w:tc>
          <w:tcPr>
            <w:tcW w:w="9520" w:type="dxa"/>
            <w:vAlign w:val="bottom"/>
          </w:tcPr>
          <w:p>
            <w:pPr>
              <w:ind w:left="220"/>
              <w:spacing w:after="0"/>
              <w:rPr>
                <w:sz w:val="20"/>
                <w:szCs w:val="20"/>
                <w:color w:val="auto"/>
              </w:rPr>
            </w:pPr>
            <w:r>
              <w:rPr>
                <w:rFonts w:ascii="Arial" w:cs="Arial" w:eastAsia="Arial" w:hAnsi="Arial"/>
                <w:sz w:val="18"/>
                <w:szCs w:val="18"/>
                <w:color w:val="auto"/>
              </w:rPr>
              <w:t>Conditions to Legal or Covenant Defeasance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8.05</w:t>
            </w:r>
          </w:p>
        </w:tc>
        <w:tc>
          <w:tcPr>
            <w:tcW w:w="9520" w:type="dxa"/>
            <w:vAlign w:val="bottom"/>
          </w:tcPr>
          <w:p>
            <w:pPr>
              <w:ind w:left="22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8.06</w:t>
            </w:r>
          </w:p>
        </w:tc>
        <w:tc>
          <w:tcPr>
            <w:tcW w:w="9520" w:type="dxa"/>
            <w:vAlign w:val="bottom"/>
          </w:tcPr>
          <w:p>
            <w:pPr>
              <w:ind w:left="220"/>
              <w:spacing w:after="0"/>
              <w:rPr>
                <w:sz w:val="20"/>
                <w:szCs w:val="20"/>
                <w:color w:val="auto"/>
              </w:rPr>
            </w:pPr>
            <w:r>
              <w:rPr>
                <w:rFonts w:ascii="Arial" w:cs="Arial" w:eastAsia="Arial" w:hAnsi="Arial"/>
                <w:sz w:val="18"/>
                <w:szCs w:val="18"/>
                <w:color w:val="auto"/>
              </w:rPr>
              <w:t>Repayment to Company</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8.07</w:t>
            </w:r>
          </w:p>
        </w:tc>
        <w:tc>
          <w:tcPr>
            <w:tcW w:w="952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418"/>
        </w:trPr>
        <w:tc>
          <w:tcPr>
            <w:tcW w:w="1240" w:type="dxa"/>
            <w:vAlign w:val="bottom"/>
          </w:tcPr>
          <w:p>
            <w:pPr>
              <w:spacing w:after="0"/>
              <w:rPr>
                <w:sz w:val="24"/>
                <w:szCs w:val="24"/>
                <w:color w:val="auto"/>
              </w:rPr>
            </w:pPr>
          </w:p>
        </w:tc>
        <w:tc>
          <w:tcPr>
            <w:tcW w:w="9520" w:type="dxa"/>
            <w:vAlign w:val="bottom"/>
          </w:tcPr>
          <w:p>
            <w:pPr>
              <w:jc w:val="center"/>
              <w:ind w:right="470"/>
              <w:spacing w:after="0"/>
              <w:rPr>
                <w:sz w:val="20"/>
                <w:szCs w:val="20"/>
                <w:color w:val="auto"/>
              </w:rPr>
            </w:pPr>
            <w:r>
              <w:rPr>
                <w:rFonts w:ascii="Arial" w:cs="Arial" w:eastAsia="Arial" w:hAnsi="Arial"/>
                <w:sz w:val="18"/>
                <w:szCs w:val="18"/>
                <w:color w:val="auto"/>
                <w:w w:val="96"/>
              </w:rPr>
              <w:t>ARTICLE 9</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520" w:type="dxa"/>
            <w:vAlign w:val="bottom"/>
          </w:tcPr>
          <w:p>
            <w:pPr>
              <w:jc w:val="center"/>
              <w:ind w:right="490"/>
              <w:spacing w:after="0"/>
              <w:rPr>
                <w:sz w:val="20"/>
                <w:szCs w:val="20"/>
                <w:color w:val="auto"/>
              </w:rPr>
            </w:pPr>
            <w:r>
              <w:rPr>
                <w:rFonts w:ascii="Arial" w:cs="Arial" w:eastAsia="Arial" w:hAnsi="Arial"/>
                <w:sz w:val="18"/>
                <w:szCs w:val="18"/>
                <w:color w:val="auto"/>
                <w:w w:val="97"/>
              </w:rPr>
              <w:t>AMENDMENT, SUPPLEMENT AND WAIVER</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9.01</w:t>
            </w:r>
          </w:p>
        </w:tc>
        <w:tc>
          <w:tcPr>
            <w:tcW w:w="9520" w:type="dxa"/>
            <w:vAlign w:val="bottom"/>
          </w:tcPr>
          <w:p>
            <w:pPr>
              <w:ind w:left="220"/>
              <w:spacing w:after="0"/>
              <w:rPr>
                <w:sz w:val="20"/>
                <w:szCs w:val="20"/>
                <w:color w:val="auto"/>
              </w:rPr>
            </w:pPr>
            <w:r>
              <w:rPr>
                <w:rFonts w:ascii="Arial" w:cs="Arial" w:eastAsia="Arial" w:hAnsi="Arial"/>
                <w:sz w:val="18"/>
                <w:szCs w:val="18"/>
                <w:color w:val="auto"/>
              </w:rPr>
              <w:t>Without Consent of Holders of Notes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9.02</w:t>
            </w:r>
          </w:p>
        </w:tc>
        <w:tc>
          <w:tcPr>
            <w:tcW w:w="9520" w:type="dxa"/>
            <w:vAlign w:val="bottom"/>
          </w:tcPr>
          <w:p>
            <w:pPr>
              <w:ind w:left="220"/>
              <w:spacing w:after="0"/>
              <w:rPr>
                <w:sz w:val="20"/>
                <w:szCs w:val="20"/>
                <w:color w:val="auto"/>
              </w:rPr>
            </w:pPr>
            <w:r>
              <w:rPr>
                <w:rFonts w:ascii="Arial" w:cs="Arial" w:eastAsia="Arial" w:hAnsi="Arial"/>
                <w:sz w:val="18"/>
                <w:szCs w:val="18"/>
                <w:color w:val="auto"/>
              </w:rPr>
              <w:t>With Consent of Holders of Notes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9.03</w:t>
            </w:r>
          </w:p>
        </w:tc>
        <w:tc>
          <w:tcPr>
            <w:tcW w:w="9520" w:type="dxa"/>
            <w:vAlign w:val="bottom"/>
          </w:tcPr>
          <w:p>
            <w:pPr>
              <w:ind w:left="220"/>
              <w:spacing w:after="0"/>
              <w:rPr>
                <w:sz w:val="20"/>
                <w:szCs w:val="20"/>
                <w:color w:val="auto"/>
              </w:rPr>
            </w:pPr>
            <w:r>
              <w:rPr>
                <w:rFonts w:ascii="Arial" w:cs="Arial" w:eastAsia="Arial" w:hAnsi="Arial"/>
                <w:sz w:val="18"/>
                <w:szCs w:val="18"/>
                <w:color w:val="auto"/>
              </w:rPr>
              <w:t>Compliance with Trust Indenture Act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432"/>
        </w:trPr>
        <w:tc>
          <w:tcPr>
            <w:tcW w:w="1240" w:type="dxa"/>
            <w:vAlign w:val="bottom"/>
          </w:tcPr>
          <w:p>
            <w:pPr>
              <w:spacing w:after="0"/>
              <w:rPr>
                <w:sz w:val="24"/>
                <w:szCs w:val="24"/>
                <w:color w:val="auto"/>
              </w:rPr>
            </w:pPr>
          </w:p>
        </w:tc>
        <w:tc>
          <w:tcPr>
            <w:tcW w:w="9520" w:type="dxa"/>
            <w:vAlign w:val="bottom"/>
          </w:tcPr>
          <w:p>
            <w:pPr>
              <w:jc w:val="center"/>
              <w:ind w:right="490"/>
              <w:spacing w:after="0"/>
              <w:rPr>
                <w:sz w:val="20"/>
                <w:szCs w:val="20"/>
                <w:color w:val="auto"/>
              </w:rPr>
            </w:pPr>
            <w:r>
              <w:rPr>
                <w:rFonts w:ascii="Arial" w:cs="Arial" w:eastAsia="Arial" w:hAnsi="Arial"/>
                <w:sz w:val="18"/>
                <w:szCs w:val="18"/>
                <w:color w:val="auto"/>
              </w:rPr>
              <w:t>ii</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95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13"/>
        </w:trPr>
        <w:tc>
          <w:tcPr>
            <w:tcW w:w="124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1"/>
        </w:trPr>
        <w:tc>
          <w:tcPr>
            <w:tcW w:w="1240" w:type="dxa"/>
            <w:vAlign w:val="bottom"/>
          </w:tcPr>
          <w:p>
            <w:pPr>
              <w:spacing w:after="0"/>
              <w:rPr>
                <w:sz w:val="20"/>
                <w:szCs w:val="20"/>
                <w:color w:val="auto"/>
              </w:rPr>
            </w:pPr>
            <w:r>
              <w:rPr>
                <w:rFonts w:ascii="Arial" w:cs="Arial" w:eastAsia="Arial" w:hAnsi="Arial"/>
                <w:sz w:val="18"/>
                <w:szCs w:val="18"/>
                <w:color w:val="auto"/>
              </w:rPr>
              <w:t>Section 9.04</w:t>
            </w:r>
          </w:p>
        </w:tc>
        <w:tc>
          <w:tcPr>
            <w:tcW w:w="9520" w:type="dxa"/>
            <w:vAlign w:val="bottom"/>
          </w:tcPr>
          <w:p>
            <w:pPr>
              <w:ind w:left="220"/>
              <w:spacing w:after="0"/>
              <w:rPr>
                <w:sz w:val="20"/>
                <w:szCs w:val="20"/>
                <w:color w:val="auto"/>
              </w:rPr>
            </w:pPr>
            <w:r>
              <w:rPr>
                <w:rFonts w:ascii="Arial" w:cs="Arial" w:eastAsia="Arial" w:hAnsi="Arial"/>
                <w:sz w:val="18"/>
                <w:szCs w:val="18"/>
                <w:color w:val="auto"/>
              </w:rPr>
              <w:t>Revocation and Effect of Consents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9.05</w:t>
            </w:r>
          </w:p>
        </w:tc>
        <w:tc>
          <w:tcPr>
            <w:tcW w:w="9520" w:type="dxa"/>
            <w:vAlign w:val="bottom"/>
          </w:tcPr>
          <w:p>
            <w:pPr>
              <w:ind w:left="220"/>
              <w:spacing w:after="0"/>
              <w:rPr>
                <w:sz w:val="20"/>
                <w:szCs w:val="20"/>
                <w:color w:val="auto"/>
              </w:rPr>
            </w:pPr>
            <w:r>
              <w:rPr>
                <w:rFonts w:ascii="Arial" w:cs="Arial" w:eastAsia="Arial" w:hAnsi="Arial"/>
                <w:sz w:val="18"/>
                <w:szCs w:val="18"/>
                <w:color w:val="auto"/>
              </w:rPr>
              <w:t>Notation on or Exchange of Securities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9.06</w:t>
            </w:r>
          </w:p>
        </w:tc>
        <w:tc>
          <w:tcPr>
            <w:tcW w:w="9520" w:type="dxa"/>
            <w:vAlign w:val="bottom"/>
          </w:tcPr>
          <w:p>
            <w:pPr>
              <w:ind w:left="220"/>
              <w:spacing w:after="0"/>
              <w:rPr>
                <w:sz w:val="20"/>
                <w:szCs w:val="20"/>
                <w:color w:val="auto"/>
              </w:rPr>
            </w:pPr>
            <w:r>
              <w:rPr>
                <w:rFonts w:ascii="Arial" w:cs="Arial" w:eastAsia="Arial" w:hAnsi="Arial"/>
                <w:sz w:val="18"/>
                <w:szCs w:val="18"/>
                <w:color w:val="auto"/>
              </w:rPr>
              <w:t>Trustee to Sign Amendments, etc.</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418"/>
        </w:trPr>
        <w:tc>
          <w:tcPr>
            <w:tcW w:w="1240" w:type="dxa"/>
            <w:vAlign w:val="bottom"/>
          </w:tcPr>
          <w:p>
            <w:pPr>
              <w:spacing w:after="0"/>
              <w:rPr>
                <w:sz w:val="24"/>
                <w:szCs w:val="24"/>
                <w:color w:val="auto"/>
              </w:rPr>
            </w:pPr>
          </w:p>
        </w:tc>
        <w:tc>
          <w:tcPr>
            <w:tcW w:w="9520" w:type="dxa"/>
            <w:vAlign w:val="bottom"/>
          </w:tcPr>
          <w:p>
            <w:pPr>
              <w:jc w:val="center"/>
              <w:ind w:right="490"/>
              <w:spacing w:after="0"/>
              <w:rPr>
                <w:sz w:val="20"/>
                <w:szCs w:val="20"/>
                <w:color w:val="auto"/>
              </w:rPr>
            </w:pPr>
            <w:r>
              <w:rPr>
                <w:rFonts w:ascii="Arial" w:cs="Arial" w:eastAsia="Arial" w:hAnsi="Arial"/>
                <w:sz w:val="18"/>
                <w:szCs w:val="18"/>
                <w:color w:val="auto"/>
                <w:w w:val="96"/>
              </w:rPr>
              <w:t>ARTICLE 10</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520" w:type="dxa"/>
            <w:vAlign w:val="bottom"/>
          </w:tcPr>
          <w:p>
            <w:pPr>
              <w:jc w:val="center"/>
              <w:ind w:right="470"/>
              <w:spacing w:after="0"/>
              <w:rPr>
                <w:sz w:val="20"/>
                <w:szCs w:val="20"/>
                <w:color w:val="auto"/>
              </w:rPr>
            </w:pPr>
            <w:r>
              <w:rPr>
                <w:rFonts w:ascii="Arial" w:cs="Arial" w:eastAsia="Arial" w:hAnsi="Arial"/>
                <w:sz w:val="18"/>
                <w:szCs w:val="18"/>
                <w:color w:val="auto"/>
                <w:w w:val="96"/>
              </w:rPr>
              <w:t>GUARANTEES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10.01.</w:t>
            </w:r>
          </w:p>
        </w:tc>
        <w:tc>
          <w:tcPr>
            <w:tcW w:w="9520" w:type="dxa"/>
            <w:vAlign w:val="bottom"/>
          </w:tcPr>
          <w:p>
            <w:pPr>
              <w:ind w:left="220"/>
              <w:spacing w:after="0"/>
              <w:rPr>
                <w:sz w:val="20"/>
                <w:szCs w:val="20"/>
                <w:color w:val="auto"/>
              </w:rPr>
            </w:pPr>
            <w:r>
              <w:rPr>
                <w:rFonts w:ascii="Arial" w:cs="Arial" w:eastAsia="Arial" w:hAnsi="Arial"/>
                <w:sz w:val="18"/>
                <w:szCs w:val="18"/>
                <w:color w:val="auto"/>
              </w:rPr>
              <w:t>Guarantee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10.02.</w:t>
            </w:r>
          </w:p>
        </w:tc>
        <w:tc>
          <w:tcPr>
            <w:tcW w:w="9520" w:type="dxa"/>
            <w:vAlign w:val="bottom"/>
          </w:tcPr>
          <w:p>
            <w:pPr>
              <w:ind w:left="220"/>
              <w:spacing w:after="0"/>
              <w:rPr>
                <w:sz w:val="20"/>
                <w:szCs w:val="20"/>
                <w:color w:val="auto"/>
              </w:rPr>
            </w:pPr>
            <w:r>
              <w:rPr>
                <w:rFonts w:ascii="Arial" w:cs="Arial" w:eastAsia="Arial" w:hAnsi="Arial"/>
                <w:sz w:val="18"/>
                <w:szCs w:val="18"/>
                <w:color w:val="auto"/>
              </w:rPr>
              <w:t>Limitation on Guarantor Liability</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10.03.</w:t>
            </w:r>
          </w:p>
        </w:tc>
        <w:tc>
          <w:tcPr>
            <w:tcW w:w="9520" w:type="dxa"/>
            <w:vAlign w:val="bottom"/>
          </w:tcPr>
          <w:p>
            <w:pPr>
              <w:ind w:left="220"/>
              <w:spacing w:after="0"/>
              <w:rPr>
                <w:sz w:val="20"/>
                <w:szCs w:val="20"/>
                <w:color w:val="auto"/>
              </w:rPr>
            </w:pPr>
            <w:r>
              <w:rPr>
                <w:rFonts w:ascii="Arial" w:cs="Arial" w:eastAsia="Arial" w:hAnsi="Arial"/>
                <w:sz w:val="18"/>
                <w:szCs w:val="18"/>
                <w:color w:val="auto"/>
              </w:rPr>
              <w:t>Execution and Delivery of Guarantee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10.04.</w:t>
            </w:r>
          </w:p>
        </w:tc>
        <w:tc>
          <w:tcPr>
            <w:tcW w:w="9520" w:type="dxa"/>
            <w:vAlign w:val="bottom"/>
          </w:tcPr>
          <w:p>
            <w:pPr>
              <w:ind w:left="220"/>
              <w:spacing w:after="0"/>
              <w:rPr>
                <w:sz w:val="20"/>
                <w:szCs w:val="20"/>
                <w:color w:val="auto"/>
              </w:rPr>
            </w:pPr>
            <w:r>
              <w:rPr>
                <w:rFonts w:ascii="Arial" w:cs="Arial" w:eastAsia="Arial" w:hAnsi="Arial"/>
                <w:sz w:val="18"/>
                <w:szCs w:val="18"/>
                <w:color w:val="auto"/>
              </w:rPr>
              <w:t>Guarantors May Consolidate, etc., on Certain Terms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10.05.</w:t>
            </w:r>
          </w:p>
        </w:tc>
        <w:tc>
          <w:tcPr>
            <w:tcW w:w="9520" w:type="dxa"/>
            <w:vAlign w:val="bottom"/>
          </w:tcPr>
          <w:p>
            <w:pPr>
              <w:ind w:left="220"/>
              <w:spacing w:after="0"/>
              <w:rPr>
                <w:sz w:val="20"/>
                <w:szCs w:val="20"/>
                <w:color w:val="auto"/>
              </w:rPr>
            </w:pPr>
            <w:r>
              <w:rPr>
                <w:rFonts w:ascii="Arial" w:cs="Arial" w:eastAsia="Arial" w:hAnsi="Arial"/>
                <w:sz w:val="18"/>
                <w:szCs w:val="18"/>
                <w:color w:val="auto"/>
              </w:rPr>
              <w:t>Releases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418"/>
        </w:trPr>
        <w:tc>
          <w:tcPr>
            <w:tcW w:w="1240" w:type="dxa"/>
            <w:vAlign w:val="bottom"/>
          </w:tcPr>
          <w:p>
            <w:pPr>
              <w:spacing w:after="0"/>
              <w:rPr>
                <w:sz w:val="24"/>
                <w:szCs w:val="24"/>
                <w:color w:val="auto"/>
              </w:rPr>
            </w:pPr>
          </w:p>
        </w:tc>
        <w:tc>
          <w:tcPr>
            <w:tcW w:w="9520" w:type="dxa"/>
            <w:vAlign w:val="bottom"/>
          </w:tcPr>
          <w:p>
            <w:pPr>
              <w:jc w:val="center"/>
              <w:ind w:right="470"/>
              <w:spacing w:after="0"/>
              <w:rPr>
                <w:sz w:val="20"/>
                <w:szCs w:val="20"/>
                <w:color w:val="auto"/>
              </w:rPr>
            </w:pPr>
            <w:r>
              <w:rPr>
                <w:rFonts w:ascii="Arial" w:cs="Arial" w:eastAsia="Arial" w:hAnsi="Arial"/>
                <w:sz w:val="18"/>
                <w:szCs w:val="18"/>
                <w:color w:val="auto"/>
                <w:w w:val="94"/>
              </w:rPr>
              <w:t>ARTICLE 11</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520" w:type="dxa"/>
            <w:vAlign w:val="bottom"/>
          </w:tcPr>
          <w:p>
            <w:pPr>
              <w:jc w:val="center"/>
              <w:ind w:right="470"/>
              <w:spacing w:after="0"/>
              <w:rPr>
                <w:sz w:val="20"/>
                <w:szCs w:val="20"/>
                <w:color w:val="auto"/>
              </w:rPr>
            </w:pPr>
            <w:r>
              <w:rPr>
                <w:rFonts w:ascii="Arial" w:cs="Arial" w:eastAsia="Arial" w:hAnsi="Arial"/>
                <w:sz w:val="18"/>
                <w:szCs w:val="18"/>
                <w:color w:val="auto"/>
                <w:w w:val="96"/>
              </w:rPr>
              <w:t>SATISFACTION AND DISCHARGE</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11.01</w:t>
            </w:r>
          </w:p>
        </w:tc>
        <w:tc>
          <w:tcPr>
            <w:tcW w:w="9520" w:type="dxa"/>
            <w:vAlign w:val="bottom"/>
          </w:tcPr>
          <w:p>
            <w:pPr>
              <w:ind w:left="220"/>
              <w:spacing w:after="0"/>
              <w:rPr>
                <w:sz w:val="20"/>
                <w:szCs w:val="20"/>
                <w:color w:val="auto"/>
              </w:rPr>
            </w:pPr>
            <w:r>
              <w:rPr>
                <w:rFonts w:ascii="Arial" w:cs="Arial" w:eastAsia="Arial" w:hAnsi="Arial"/>
                <w:sz w:val="18"/>
                <w:szCs w:val="18"/>
                <w:color w:val="auto"/>
              </w:rPr>
              <w:t>Satisfaction and Discharge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-2960370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-2960370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11.02</w:t>
            </w:r>
          </w:p>
        </w:tc>
        <w:tc>
          <w:tcPr>
            <w:tcW w:w="8520" w:type="dxa"/>
            <w:vAlign w:val="bottom"/>
          </w:tcPr>
          <w:p>
            <w:pPr>
              <w:ind w:left="320"/>
              <w:spacing w:after="0"/>
              <w:rPr>
                <w:sz w:val="20"/>
                <w:szCs w:val="20"/>
                <w:color w:val="auto"/>
              </w:rPr>
            </w:pPr>
            <w:r>
              <w:rPr>
                <w:rFonts w:ascii="Arial" w:cs="Arial" w:eastAsia="Arial" w:hAnsi="Arial"/>
                <w:sz w:val="18"/>
                <w:szCs w:val="18"/>
                <w:color w:val="auto"/>
              </w:rPr>
              <w:t>Application of Trust Money</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1140" w:type="dxa"/>
            <w:vAlign w:val="bottom"/>
          </w:tcPr>
          <w:p>
            <w:pPr>
              <w:spacing w:after="0"/>
              <w:rPr>
                <w:sz w:val="24"/>
                <w:szCs w:val="24"/>
                <w:color w:val="auto"/>
              </w:rPr>
            </w:pPr>
          </w:p>
        </w:tc>
        <w:tc>
          <w:tcPr>
            <w:tcW w:w="8520" w:type="dxa"/>
            <w:vAlign w:val="bottom"/>
          </w:tcPr>
          <w:p>
            <w:pPr>
              <w:jc w:val="center"/>
              <w:ind w:left="530"/>
              <w:spacing w:after="0"/>
              <w:rPr>
                <w:sz w:val="20"/>
                <w:szCs w:val="20"/>
                <w:color w:val="auto"/>
              </w:rPr>
            </w:pPr>
            <w:r>
              <w:rPr>
                <w:rFonts w:ascii="Arial" w:cs="Arial" w:eastAsia="Arial" w:hAnsi="Arial"/>
                <w:sz w:val="18"/>
                <w:szCs w:val="18"/>
                <w:color w:val="auto"/>
                <w:w w:val="96"/>
              </w:rPr>
              <w:t>ARTICLE 12</w:t>
            </w:r>
          </w:p>
        </w:tc>
        <w:tc>
          <w:tcPr>
            <w:tcW w:w="176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30"/>
              <w:spacing w:after="0"/>
              <w:rPr>
                <w:sz w:val="20"/>
                <w:szCs w:val="20"/>
                <w:color w:val="auto"/>
              </w:rPr>
            </w:pPr>
            <w:r>
              <w:rPr>
                <w:rFonts w:ascii="Arial" w:cs="Arial" w:eastAsia="Arial" w:hAnsi="Arial"/>
                <w:sz w:val="18"/>
                <w:szCs w:val="18"/>
                <w:color w:val="auto"/>
                <w:w w:val="97"/>
              </w:rPr>
              <w:t>MISCELLANEOUS</w:t>
            </w:r>
          </w:p>
        </w:tc>
        <w:tc>
          <w:tcPr>
            <w:tcW w:w="176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12.01</w:t>
            </w:r>
          </w:p>
        </w:tc>
        <w:tc>
          <w:tcPr>
            <w:tcW w:w="8520" w:type="dxa"/>
            <w:vAlign w:val="bottom"/>
          </w:tcPr>
          <w:p>
            <w:pPr>
              <w:ind w:left="320"/>
              <w:spacing w:after="0"/>
              <w:rPr>
                <w:sz w:val="20"/>
                <w:szCs w:val="20"/>
                <w:color w:val="auto"/>
              </w:rPr>
            </w:pPr>
            <w:r>
              <w:rPr>
                <w:rFonts w:ascii="Arial" w:cs="Arial" w:eastAsia="Arial" w:hAnsi="Arial"/>
                <w:sz w:val="18"/>
                <w:szCs w:val="18"/>
                <w:color w:val="auto"/>
              </w:rPr>
              <w:t>Trust Indenture Act Controls</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12.02</w:t>
            </w:r>
          </w:p>
        </w:tc>
        <w:tc>
          <w:tcPr>
            <w:tcW w:w="8520" w:type="dxa"/>
            <w:vAlign w:val="bottom"/>
          </w:tcPr>
          <w:p>
            <w:pPr>
              <w:ind w:left="320"/>
              <w:spacing w:after="0"/>
              <w:rPr>
                <w:sz w:val="20"/>
                <w:szCs w:val="20"/>
                <w:color w:val="auto"/>
              </w:rPr>
            </w:pPr>
            <w:r>
              <w:rPr>
                <w:rFonts w:ascii="Arial" w:cs="Arial" w:eastAsia="Arial" w:hAnsi="Arial"/>
                <w:sz w:val="18"/>
                <w:szCs w:val="18"/>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12.03</w:t>
            </w:r>
          </w:p>
        </w:tc>
        <w:tc>
          <w:tcPr>
            <w:tcW w:w="8520" w:type="dxa"/>
            <w:vAlign w:val="bottom"/>
          </w:tcPr>
          <w:p>
            <w:pPr>
              <w:ind w:left="320"/>
              <w:spacing w:after="0"/>
              <w:rPr>
                <w:sz w:val="20"/>
                <w:szCs w:val="20"/>
                <w:color w:val="auto"/>
              </w:rPr>
            </w:pPr>
            <w:r>
              <w:rPr>
                <w:rFonts w:ascii="Arial" w:cs="Arial" w:eastAsia="Arial" w:hAnsi="Arial"/>
                <w:sz w:val="18"/>
                <w:szCs w:val="18"/>
                <w:color w:val="auto"/>
              </w:rPr>
              <w:t>Communication by Holders of Securities with Other Holders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12.04</w:t>
            </w:r>
          </w:p>
        </w:tc>
        <w:tc>
          <w:tcPr>
            <w:tcW w:w="8520" w:type="dxa"/>
            <w:vAlign w:val="bottom"/>
          </w:tcPr>
          <w:p>
            <w:pPr>
              <w:ind w:left="320"/>
              <w:spacing w:after="0"/>
              <w:rPr>
                <w:sz w:val="20"/>
                <w:szCs w:val="20"/>
                <w:color w:val="auto"/>
              </w:rPr>
            </w:pPr>
            <w:r>
              <w:rPr>
                <w:rFonts w:ascii="Arial" w:cs="Arial" w:eastAsia="Arial" w:hAnsi="Arial"/>
                <w:sz w:val="18"/>
                <w:szCs w:val="18"/>
                <w:color w:val="auto"/>
              </w:rPr>
              <w:t>Certificate and Opinion as to Conditions Precedent</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12.05</w:t>
            </w:r>
          </w:p>
        </w:tc>
        <w:tc>
          <w:tcPr>
            <w:tcW w:w="8520" w:type="dxa"/>
            <w:vAlign w:val="bottom"/>
          </w:tcPr>
          <w:p>
            <w:pPr>
              <w:ind w:left="320"/>
              <w:spacing w:after="0"/>
              <w:rPr>
                <w:sz w:val="20"/>
                <w:szCs w:val="20"/>
                <w:color w:val="auto"/>
              </w:rPr>
            </w:pPr>
            <w:r>
              <w:rPr>
                <w:rFonts w:ascii="Arial" w:cs="Arial" w:eastAsia="Arial" w:hAnsi="Arial"/>
                <w:sz w:val="18"/>
                <w:szCs w:val="18"/>
                <w:color w:val="auto"/>
              </w:rPr>
              <w:t>Statements Required in Certificate or Opinion</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12.06</w:t>
            </w:r>
          </w:p>
        </w:tc>
        <w:tc>
          <w:tcPr>
            <w:tcW w:w="8520" w:type="dxa"/>
            <w:vAlign w:val="bottom"/>
          </w:tcPr>
          <w:p>
            <w:pPr>
              <w:ind w:left="320"/>
              <w:spacing w:after="0"/>
              <w:rPr>
                <w:sz w:val="20"/>
                <w:szCs w:val="20"/>
                <w:color w:val="auto"/>
              </w:rPr>
            </w:pPr>
            <w:r>
              <w:rPr>
                <w:rFonts w:ascii="Arial" w:cs="Arial" w:eastAsia="Arial" w:hAnsi="Arial"/>
                <w:sz w:val="18"/>
                <w:szCs w:val="18"/>
                <w:color w:val="auto"/>
              </w:rPr>
              <w:t>Rules by Trustee and Agents</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12.07</w:t>
            </w:r>
          </w:p>
        </w:tc>
        <w:tc>
          <w:tcPr>
            <w:tcW w:w="8520" w:type="dxa"/>
            <w:vAlign w:val="bottom"/>
          </w:tcPr>
          <w:p>
            <w:pPr>
              <w:ind w:left="32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12.08</w:t>
            </w:r>
          </w:p>
        </w:tc>
        <w:tc>
          <w:tcPr>
            <w:tcW w:w="852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12.09</w:t>
            </w:r>
          </w:p>
        </w:tc>
        <w:tc>
          <w:tcPr>
            <w:tcW w:w="8520" w:type="dxa"/>
            <w:vAlign w:val="bottom"/>
          </w:tcPr>
          <w:p>
            <w:pPr>
              <w:ind w:left="320"/>
              <w:spacing w:after="0"/>
              <w:rPr>
                <w:sz w:val="20"/>
                <w:szCs w:val="20"/>
                <w:color w:val="auto"/>
              </w:rPr>
            </w:pPr>
            <w:r>
              <w:rPr>
                <w:rFonts w:ascii="Arial" w:cs="Arial" w:eastAsia="Arial" w:hAnsi="Arial"/>
                <w:sz w:val="18"/>
                <w:szCs w:val="18"/>
                <w:color w:val="auto"/>
              </w:rPr>
              <w:t>No Adverse Interpretation of Other Agreements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12.10</w:t>
            </w:r>
          </w:p>
        </w:tc>
        <w:tc>
          <w:tcPr>
            <w:tcW w:w="8520" w:type="dxa"/>
            <w:vAlign w:val="bottom"/>
          </w:tcPr>
          <w:p>
            <w:pPr>
              <w:ind w:left="320"/>
              <w:spacing w:after="0"/>
              <w:rPr>
                <w:sz w:val="20"/>
                <w:szCs w:val="20"/>
                <w:color w:val="auto"/>
              </w:rPr>
            </w:pPr>
            <w:r>
              <w:rPr>
                <w:rFonts w:ascii="Arial" w:cs="Arial" w:eastAsia="Arial" w:hAnsi="Arial"/>
                <w:sz w:val="18"/>
                <w:szCs w:val="18"/>
                <w:color w:val="auto"/>
              </w:rPr>
              <w:t>Successors</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12.11</w:t>
            </w:r>
          </w:p>
        </w:tc>
        <w:tc>
          <w:tcPr>
            <w:tcW w:w="852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12.12</w:t>
            </w:r>
          </w:p>
        </w:tc>
        <w:tc>
          <w:tcPr>
            <w:tcW w:w="8520" w:type="dxa"/>
            <w:vAlign w:val="bottom"/>
          </w:tcPr>
          <w:p>
            <w:pPr>
              <w:ind w:left="320"/>
              <w:spacing w:after="0"/>
              <w:rPr>
                <w:sz w:val="20"/>
                <w:szCs w:val="20"/>
                <w:color w:val="auto"/>
              </w:rPr>
            </w:pPr>
            <w:r>
              <w:rPr>
                <w:rFonts w:ascii="Arial" w:cs="Arial" w:eastAsia="Arial" w:hAnsi="Arial"/>
                <w:sz w:val="18"/>
                <w:szCs w:val="18"/>
                <w:color w:val="auto"/>
              </w:rPr>
              <w:t>Counterpart Originals</w:t>
            </w:r>
          </w:p>
        </w:tc>
        <w:tc>
          <w:tcPr>
            <w:tcW w:w="1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12.13</w:t>
            </w:r>
          </w:p>
        </w:tc>
        <w:tc>
          <w:tcPr>
            <w:tcW w:w="8520" w:type="dxa"/>
            <w:vAlign w:val="bottom"/>
          </w:tcPr>
          <w:p>
            <w:pPr>
              <w:ind w:left="320"/>
              <w:spacing w:after="0"/>
              <w:rPr>
                <w:sz w:val="20"/>
                <w:szCs w:val="20"/>
                <w:color w:val="auto"/>
              </w:rPr>
            </w:pPr>
            <w:r>
              <w:rPr>
                <w:rFonts w:ascii="Arial" w:cs="Arial" w:eastAsia="Arial" w:hAnsi="Arial"/>
                <w:sz w:val="18"/>
                <w:szCs w:val="18"/>
                <w:color w:val="auto"/>
              </w:rPr>
              <w:t>Table of Contents, Headings, etc.</w:t>
            </w:r>
          </w:p>
        </w:tc>
        <w:tc>
          <w:tcPr>
            <w:tcW w:w="1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12.14</w:t>
            </w:r>
          </w:p>
        </w:tc>
        <w:tc>
          <w:tcPr>
            <w:tcW w:w="8520" w:type="dxa"/>
            <w:vAlign w:val="bottom"/>
          </w:tcPr>
          <w:p>
            <w:pPr>
              <w:ind w:left="320"/>
              <w:spacing w:after="0"/>
              <w:rPr>
                <w:sz w:val="20"/>
                <w:szCs w:val="20"/>
                <w:color w:val="auto"/>
              </w:rPr>
            </w:pPr>
            <w:r>
              <w:rPr>
                <w:rFonts w:ascii="Arial" w:cs="Arial" w:eastAsia="Arial" w:hAnsi="Arial"/>
                <w:sz w:val="18"/>
                <w:szCs w:val="18"/>
                <w:color w:val="auto"/>
              </w:rPr>
              <w:t>Compliance with Applicable Anti-Terrorism and Anti-Money Laundering Regulations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1140" w:type="dxa"/>
            <w:vAlign w:val="bottom"/>
          </w:tcPr>
          <w:p>
            <w:pPr>
              <w:spacing w:after="0"/>
              <w:rPr>
                <w:sz w:val="24"/>
                <w:szCs w:val="24"/>
                <w:color w:val="auto"/>
              </w:rPr>
            </w:pPr>
          </w:p>
        </w:tc>
        <w:tc>
          <w:tcPr>
            <w:tcW w:w="8520" w:type="dxa"/>
            <w:vAlign w:val="bottom"/>
          </w:tcPr>
          <w:p>
            <w:pPr>
              <w:jc w:val="center"/>
              <w:ind w:left="530"/>
              <w:spacing w:after="0"/>
              <w:rPr>
                <w:sz w:val="20"/>
                <w:szCs w:val="20"/>
                <w:color w:val="auto"/>
              </w:rPr>
            </w:pPr>
            <w:r>
              <w:rPr>
                <w:rFonts w:ascii="Arial" w:cs="Arial" w:eastAsia="Arial" w:hAnsi="Arial"/>
                <w:sz w:val="18"/>
                <w:szCs w:val="18"/>
                <w:color w:val="auto"/>
                <w:w w:val="99"/>
              </w:rPr>
              <w:t>EXHIBITS</w:t>
            </w:r>
          </w:p>
        </w:tc>
        <w:tc>
          <w:tcPr>
            <w:tcW w:w="176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Exhibit A</w:t>
            </w:r>
          </w:p>
        </w:tc>
        <w:tc>
          <w:tcPr>
            <w:tcW w:w="8520" w:type="dxa"/>
            <w:vAlign w:val="bottom"/>
          </w:tcPr>
          <w:p>
            <w:pPr>
              <w:ind w:left="120"/>
              <w:spacing w:after="0"/>
              <w:rPr>
                <w:sz w:val="20"/>
                <w:szCs w:val="20"/>
                <w:color w:val="auto"/>
              </w:rPr>
            </w:pPr>
            <w:r>
              <w:rPr>
                <w:rFonts w:ascii="Arial" w:cs="Arial" w:eastAsia="Arial" w:hAnsi="Arial"/>
                <w:sz w:val="18"/>
                <w:szCs w:val="18"/>
                <w:color w:val="auto"/>
              </w:rPr>
              <w:t>FORM OF NOTE</w:t>
            </w:r>
          </w:p>
        </w:tc>
        <w:tc>
          <w:tcPr>
            <w:tcW w:w="176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 B</w:t>
            </w:r>
          </w:p>
        </w:tc>
        <w:tc>
          <w:tcPr>
            <w:tcW w:w="8520" w:type="dxa"/>
            <w:vAlign w:val="bottom"/>
          </w:tcPr>
          <w:p>
            <w:pPr>
              <w:ind w:left="120"/>
              <w:spacing w:after="0"/>
              <w:rPr>
                <w:sz w:val="20"/>
                <w:szCs w:val="20"/>
                <w:color w:val="auto"/>
              </w:rPr>
            </w:pPr>
            <w:r>
              <w:rPr>
                <w:rFonts w:ascii="Arial" w:cs="Arial" w:eastAsia="Arial" w:hAnsi="Arial"/>
                <w:sz w:val="18"/>
                <w:szCs w:val="18"/>
                <w:color w:val="auto"/>
              </w:rPr>
              <w:t>FORM OF CERTIFICATE OF TRANSFER</w:t>
            </w:r>
          </w:p>
        </w:tc>
        <w:tc>
          <w:tcPr>
            <w:tcW w:w="176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 C</w:t>
            </w:r>
          </w:p>
        </w:tc>
        <w:tc>
          <w:tcPr>
            <w:tcW w:w="8520" w:type="dxa"/>
            <w:vAlign w:val="bottom"/>
          </w:tcPr>
          <w:p>
            <w:pPr>
              <w:ind w:left="120"/>
              <w:spacing w:after="0"/>
              <w:rPr>
                <w:sz w:val="20"/>
                <w:szCs w:val="20"/>
                <w:color w:val="auto"/>
              </w:rPr>
            </w:pPr>
            <w:r>
              <w:rPr>
                <w:rFonts w:ascii="Arial" w:cs="Arial" w:eastAsia="Arial" w:hAnsi="Arial"/>
                <w:sz w:val="18"/>
                <w:szCs w:val="18"/>
                <w:color w:val="auto"/>
              </w:rPr>
              <w:t>FORM OF CERTIFICATE OF EXCHANGE</w:t>
            </w:r>
          </w:p>
        </w:tc>
        <w:tc>
          <w:tcPr>
            <w:tcW w:w="176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 D</w:t>
            </w:r>
          </w:p>
        </w:tc>
        <w:tc>
          <w:tcPr>
            <w:tcW w:w="8520" w:type="dxa"/>
            <w:vAlign w:val="bottom"/>
          </w:tcPr>
          <w:p>
            <w:pPr>
              <w:ind w:left="120"/>
              <w:spacing w:after="0"/>
              <w:rPr>
                <w:sz w:val="20"/>
                <w:szCs w:val="20"/>
                <w:color w:val="auto"/>
              </w:rPr>
            </w:pPr>
            <w:r>
              <w:rPr>
                <w:rFonts w:ascii="Arial" w:cs="Arial" w:eastAsia="Arial" w:hAnsi="Arial"/>
                <w:sz w:val="18"/>
                <w:szCs w:val="18"/>
                <w:color w:val="auto"/>
              </w:rPr>
              <w:t>FORM OF CERTIFICATE OF ACQUIRING INSTITUTIONAL ACCREDITED INVESTOR</w:t>
            </w:r>
          </w:p>
        </w:tc>
        <w:tc>
          <w:tcPr>
            <w:tcW w:w="176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 E</w:t>
            </w:r>
          </w:p>
        </w:tc>
        <w:tc>
          <w:tcPr>
            <w:tcW w:w="8520" w:type="dxa"/>
            <w:vAlign w:val="bottom"/>
          </w:tcPr>
          <w:p>
            <w:pPr>
              <w:ind w:left="120"/>
              <w:spacing w:after="0"/>
              <w:rPr>
                <w:sz w:val="20"/>
                <w:szCs w:val="20"/>
                <w:color w:val="auto"/>
              </w:rPr>
            </w:pPr>
            <w:r>
              <w:rPr>
                <w:rFonts w:ascii="Arial" w:cs="Arial" w:eastAsia="Arial" w:hAnsi="Arial"/>
                <w:sz w:val="18"/>
                <w:szCs w:val="18"/>
                <w:color w:val="auto"/>
              </w:rPr>
              <w:t>FORM OF NOTATION OF GUARANTEE</w:t>
            </w:r>
          </w:p>
        </w:tc>
        <w:tc>
          <w:tcPr>
            <w:tcW w:w="176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Exhibit F</w:t>
            </w:r>
          </w:p>
        </w:tc>
        <w:tc>
          <w:tcPr>
            <w:tcW w:w="8520" w:type="dxa"/>
            <w:vAlign w:val="bottom"/>
          </w:tcPr>
          <w:p>
            <w:pPr>
              <w:ind w:left="120"/>
              <w:spacing w:after="0"/>
              <w:rPr>
                <w:sz w:val="20"/>
                <w:szCs w:val="20"/>
                <w:color w:val="auto"/>
              </w:rPr>
            </w:pPr>
            <w:r>
              <w:rPr>
                <w:rFonts w:ascii="Arial" w:cs="Arial" w:eastAsia="Arial" w:hAnsi="Arial"/>
                <w:sz w:val="18"/>
                <w:szCs w:val="18"/>
                <w:color w:val="auto"/>
              </w:rPr>
              <w:t>FORM OF SUPPLEMENTAL INDENTURE</w:t>
            </w:r>
          </w:p>
        </w:tc>
        <w:tc>
          <w:tcPr>
            <w:tcW w:w="17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INDENTURE dated as of August 18, 2016 among NRG Yield Operating LLC, a Delaware limited liability company, the Guarantors (as defined herein) and Law Debenture Trust Company of New York,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The Company, the Guarantors and the Trustee agree as follows for the benefit of each other and for the equal and ratable benefit of the Holders (as defined herein) of the 5.000% Senior Notes due 2026 (the </w:t>
      </w:r>
      <w:r>
        <w:rPr>
          <w:rFonts w:ascii="Arial" w:cs="Arial" w:eastAsia="Arial" w:hAnsi="Arial"/>
          <w:sz w:val="16"/>
          <w:szCs w:val="16"/>
          <w:i w:val="1"/>
          <w:iCs w:val="1"/>
          <w:color w:val="auto"/>
        </w:rPr>
        <w:t>“Notes”</w:t>
      </w:r>
      <w:r>
        <w:rPr>
          <w:rFonts w:ascii="Arial" w:cs="Arial" w:eastAsia="Arial" w:hAnsi="Arial"/>
          <w:sz w:val="16"/>
          <w:szCs w:val="16"/>
          <w:color w:val="auto"/>
        </w:rPr>
        <w:t>) and any other Additional Securities issued pursuant to this Indenture after the date 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REFERENCE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purposes of the Notes, the following terms will have the meanings set forth in this Section 1.01. For purposes of any Additional Securities issued under this Indenture, the Supplemental Indenture in respect of such Additional Securities will specify the defined terms to be used therein, which may include some, all or none of the terms contained in this Section 1.01.</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“144A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sold in reliance on Rule 144A.</w:t>
      </w:r>
    </w:p>
    <w:p>
      <w:pPr>
        <w:spacing w:after="0" w:line="18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i w:val="1"/>
          <w:iCs w:val="1"/>
          <w:color w:val="auto"/>
        </w:rPr>
        <w:t xml:space="preserve">“144A Global Security” </w:t>
      </w:r>
      <w:r>
        <w:rPr>
          <w:rFonts w:ascii="Arial" w:cs="Arial" w:eastAsia="Arial" w:hAnsi="Arial"/>
          <w:sz w:val="16"/>
          <w:szCs w:val="16"/>
          <w:color w:val="auto"/>
        </w:rPr>
        <w:t>means a Global Security, in the form specified in the applicable Supplemental Indenture pursuant to which such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sold in reliance on Rule 144A.</w:t>
      </w:r>
    </w:p>
    <w:p>
      <w:pPr>
        <w:spacing w:after="0" w:line="147"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i w:val="1"/>
          <w:iCs w:val="1"/>
          <w:color w:val="auto"/>
        </w:rPr>
        <w:t xml:space="preserve">“Additional Notes” </w:t>
      </w:r>
      <w:r>
        <w:rPr>
          <w:rFonts w:ascii="Arial" w:cs="Arial" w:eastAsia="Arial" w:hAnsi="Arial"/>
          <w:sz w:val="18"/>
          <w:szCs w:val="18"/>
          <w:color w:val="auto"/>
        </w:rPr>
        <w:t>means additional Notes (other than the Initial Notes) issued from time to time under this Indenture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2.02 hereof, as part of the same series as the Initial Notes.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“Additional Securities” </w:t>
      </w:r>
      <w:r>
        <w:rPr>
          <w:rFonts w:ascii="Arial" w:cs="Arial" w:eastAsia="Arial" w:hAnsi="Arial"/>
          <w:sz w:val="18"/>
          <w:szCs w:val="18"/>
          <w:color w:val="auto"/>
        </w:rPr>
        <w:t>means any debentures, notes and other debt instruments of the Company of any Series, other than the Notes, authenticated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under this Indenture.</w:t>
      </w:r>
    </w:p>
    <w:p>
      <w:pPr>
        <w:spacing w:after="0" w:line="170"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6"/>
          <w:szCs w:val="16"/>
          <w:i w:val="1"/>
          <w:iCs w:val="1"/>
          <w:color w:val="auto"/>
        </w:rPr>
        <w:t>Adjusted LTM CAFD”</w:t>
      </w:r>
      <w:r>
        <w:rPr>
          <w:rFonts w:ascii="Arial" w:cs="Arial" w:eastAsia="Arial" w:hAnsi="Arial"/>
          <w:sz w:val="17"/>
          <w:szCs w:val="17"/>
          <w:i w:val="1"/>
          <w:iCs w:val="1"/>
          <w:color w:val="auto"/>
        </w:rPr>
        <w:t xml:space="preserve"> </w:t>
      </w:r>
      <w:r>
        <w:rPr>
          <w:rFonts w:ascii="Arial" w:cs="Arial" w:eastAsia="Arial" w:hAnsi="Arial"/>
          <w:sz w:val="17"/>
          <w:szCs w:val="17"/>
          <w:color w:val="auto"/>
        </w:rPr>
        <w:t>means, as of any date of determination (for purposes of this definition, the</w:t>
      </w:r>
      <w:r>
        <w:rPr>
          <w:rFonts w:ascii="Arial" w:cs="Arial" w:eastAsia="Arial" w:hAnsi="Arial"/>
          <w:sz w:val="17"/>
          <w:szCs w:val="17"/>
          <w:i w:val="1"/>
          <w:iCs w:val="1"/>
          <w:color w:val="auto"/>
        </w:rPr>
        <w:t xml:space="preserve"> “Calculation Date”</w:t>
      </w:r>
      <w:r>
        <w:rPr>
          <w:rFonts w:ascii="Arial" w:cs="Arial" w:eastAsia="Arial" w:hAnsi="Arial"/>
          <w:sz w:val="17"/>
          <w:szCs w:val="17"/>
          <w:color w:val="auto"/>
        </w:rPr>
        <w:t>), the net income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66" w:lineRule="exact"/>
        <w:rPr>
          <w:sz w:val="20"/>
          <w:szCs w:val="20"/>
          <w:color w:val="auto"/>
        </w:rPr>
      </w:pPr>
    </w:p>
    <w:p>
      <w:pPr>
        <w:ind w:left="2600" w:hanging="1295"/>
        <w:spacing w:after="0"/>
        <w:tabs>
          <w:tab w:leader="none" w:pos="2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2600" w:hanging="1295"/>
        <w:spacing w:after="0"/>
        <w:tabs>
          <w:tab w:leader="none" w:pos="2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plus income tax expense, net of income tax benefit, to the extent deducted in calculating net income during such four-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quarter period;</w:t>
      </w:r>
    </w:p>
    <w:p>
      <w:pPr>
        <w:spacing w:after="0" w:line="210" w:lineRule="exact"/>
        <w:rPr>
          <w:rFonts w:ascii="Arial" w:cs="Arial" w:eastAsia="Arial" w:hAnsi="Arial"/>
          <w:sz w:val="16"/>
          <w:szCs w:val="16"/>
          <w:color w:val="auto"/>
        </w:rPr>
      </w:pPr>
    </w:p>
    <w:p>
      <w:pPr>
        <w:ind w:left="2600" w:hanging="1295"/>
        <w:spacing w:after="0"/>
        <w:tabs>
          <w:tab w:leader="none" w:pos="2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plus depreciation and amortization, to the extent deducted in calculating net income during such four-quarter period;</w:t>
      </w:r>
    </w:p>
    <w:p>
      <w:pPr>
        <w:sectPr>
          <w:pgSz w:w="11900" w:h="16838" w:orient="portrait"/>
          <w:cols w:equalWidth="0" w:num="1">
            <w:col w:w="11420"/>
          </w:cols>
          <w:pgMar w:left="240" w:top="125" w:right="239" w:bottom="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 w:name="page7"/>
    <w:bookmarkEnd w:id="6"/>
    <w:p>
      <w:pPr>
        <w:ind w:left="2600" w:hanging="1295"/>
        <w:spacing w:after="0"/>
        <w:tabs>
          <w:tab w:leader="none" w:pos="2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minus equity in earnings of unconsolidated affiliates to the extent included in net income during such four-quarter period;</w:t>
      </w:r>
    </w:p>
    <w:p>
      <w:pPr>
        <w:spacing w:after="0" w:line="248" w:lineRule="exact"/>
        <w:rPr>
          <w:rFonts w:ascii="Arial" w:cs="Arial" w:eastAsia="Arial" w:hAnsi="Arial"/>
          <w:sz w:val="16"/>
          <w:szCs w:val="16"/>
          <w:color w:val="auto"/>
        </w:rPr>
      </w:pPr>
    </w:p>
    <w:p>
      <w:pPr>
        <w:ind w:left="2600" w:hanging="1295"/>
        <w:spacing w:after="0"/>
        <w:tabs>
          <w:tab w:leader="none" w:pos="2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plus cash distributions from unconsolidated affiliates, to the extent not included in net income during such four-quarter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2600" w:hanging="1295"/>
        <w:spacing w:after="0"/>
        <w:tabs>
          <w:tab w:leader="none" w:pos="2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minus cash interest payments made by Subsidiaries of the Company that were added back to net income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clause (1) above;</w:t>
      </w:r>
    </w:p>
    <w:p>
      <w:pPr>
        <w:spacing w:after="0" w:line="210" w:lineRule="exact"/>
        <w:rPr>
          <w:rFonts w:ascii="Arial" w:cs="Arial" w:eastAsia="Arial" w:hAnsi="Arial"/>
          <w:sz w:val="16"/>
          <w:szCs w:val="16"/>
          <w:color w:val="auto"/>
        </w:rPr>
      </w:pPr>
    </w:p>
    <w:p>
      <w:pPr>
        <w:ind w:left="2600" w:hanging="1295"/>
        <w:spacing w:after="0"/>
        <w:tabs>
          <w:tab w:leader="none" w:pos="2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minus cash income tax payments made by the Company and its Subsidiaries that were added back to net income pursuant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to clause (2) above;</w:t>
      </w:r>
    </w:p>
    <w:p>
      <w:pPr>
        <w:spacing w:after="0" w:line="210" w:lineRule="exact"/>
        <w:rPr>
          <w:rFonts w:ascii="Arial" w:cs="Arial" w:eastAsia="Arial" w:hAnsi="Arial"/>
          <w:sz w:val="16"/>
          <w:szCs w:val="16"/>
          <w:color w:val="auto"/>
        </w:rPr>
      </w:pPr>
    </w:p>
    <w:p>
      <w:pPr>
        <w:ind w:left="660" w:right="560" w:firstLine="645"/>
        <w:spacing w:after="0" w:line="277" w:lineRule="auto"/>
        <w:tabs>
          <w:tab w:leader="none" w:pos="2612"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the Company’s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left="2600" w:hanging="1295"/>
        <w:spacing w:after="0"/>
        <w:tabs>
          <w:tab w:leader="none" w:pos="2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plus any decrease or minus any increase in amounts attributable to contract amortization and any recurring changes in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other assets;</w:t>
      </w:r>
    </w:p>
    <w:p>
      <w:pPr>
        <w:spacing w:after="0" w:line="210" w:lineRule="exact"/>
        <w:rPr>
          <w:rFonts w:ascii="Arial" w:cs="Arial" w:eastAsia="Arial" w:hAnsi="Arial"/>
          <w:sz w:val="16"/>
          <w:szCs w:val="16"/>
          <w:color w:val="auto"/>
        </w:rPr>
      </w:pPr>
    </w:p>
    <w:p>
      <w:pPr>
        <w:ind w:left="2600" w:hanging="1295"/>
        <w:spacing w:after="0"/>
        <w:tabs>
          <w:tab w:leader="none" w:pos="2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minus maintenance capital expenditures, to the extent not deducted in calculating net income during such four-quarter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left="660" w:right="20" w:firstLine="645"/>
        <w:spacing w:after="0" w:line="259" w:lineRule="auto"/>
        <w:tabs>
          <w:tab w:leader="none" w:pos="2601"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any expenses or charges related to any equity offering, investment, acquisition, disposition, recapitalization or incurrence of Indebtedness permitted to be incurred by this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86" w:lineRule="exact"/>
        <w:rPr>
          <w:rFonts w:ascii="Arial" w:cs="Arial" w:eastAsia="Arial" w:hAnsi="Arial"/>
          <w:sz w:val="18"/>
          <w:szCs w:val="18"/>
          <w:color w:val="auto"/>
        </w:rPr>
      </w:pPr>
    </w:p>
    <w:p>
      <w:pPr>
        <w:ind w:left="660" w:right="320" w:firstLine="645"/>
        <w:spacing w:after="0" w:line="342" w:lineRule="auto"/>
        <w:tabs>
          <w:tab w:leader="none" w:pos="2608" w:val="left"/>
        </w:tabs>
        <w:numPr>
          <w:ilvl w:val="0"/>
          <w:numId w:val="5"/>
        </w:numPr>
        <w:rPr>
          <w:rFonts w:ascii="Arial" w:cs="Arial" w:eastAsia="Arial" w:hAnsi="Arial"/>
          <w:sz w:val="16"/>
          <w:szCs w:val="16"/>
          <w:color w:val="auto"/>
        </w:rPr>
      </w:pPr>
      <w:r>
        <w:rPr>
          <w:rFonts w:ascii="Arial" w:cs="Arial" w:eastAsia="Arial" w:hAnsi="Arial"/>
          <w:sz w:val="16"/>
          <w:szCs w:val="16"/>
          <w:color w:val="auto"/>
        </w:rPr>
        <w:t>plus any professional and underwriting fees related to any equity offering, investment, acquisition, recapitalization or Indebtedness permitted to be incurred under this Indenture, to the extent deducted in calculating net income during such four-quarter period.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ind w:left="660" w:right="40" w:firstLine="645"/>
        <w:spacing w:after="0" w:line="276" w:lineRule="auto"/>
        <w:tabs>
          <w:tab w:leader="none" w:pos="2612"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investments and acquisitions that have been made by the Company or any of its Subsidiaries, including through mergers or consolidations, or any Person or any of its Subsidiaries acquired by the Company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72" w:lineRule="exact"/>
        <w:rPr>
          <w:rFonts w:ascii="Arial" w:cs="Arial" w:eastAsia="Arial" w:hAnsi="Arial"/>
          <w:sz w:val="17"/>
          <w:szCs w:val="17"/>
          <w:color w:val="auto"/>
        </w:rPr>
      </w:pPr>
    </w:p>
    <w:p>
      <w:pPr>
        <w:ind w:left="660" w:right="740" w:firstLine="645"/>
        <w:spacing w:after="0" w:line="308" w:lineRule="auto"/>
        <w:tabs>
          <w:tab w:leader="none" w:pos="261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46" w:lineRule="exact"/>
        <w:rPr>
          <w:rFonts w:ascii="Arial" w:cs="Arial" w:eastAsia="Arial" w:hAnsi="Arial"/>
          <w:sz w:val="17"/>
          <w:szCs w:val="17"/>
          <w:color w:val="auto"/>
        </w:rPr>
      </w:pPr>
    </w:p>
    <w:p>
      <w:pPr>
        <w:ind w:left="2600" w:hanging="1295"/>
        <w:spacing w:after="0"/>
        <w:tabs>
          <w:tab w:leader="none" w:pos="2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four-quarter period; and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60" w:firstLine="645"/>
        <w:spacing w:after="0" w:line="277" w:lineRule="auto"/>
        <w:tabs>
          <w:tab w:leader="none" w:pos="261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of any specified Person means any other Person directly or indirectly controlling or controlled by or under direct or indirect common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color w:val="auto"/>
        </w:rPr>
        <w:t>means any Registrar, co-registrar, Paying Agent or additional paying agent.</w:t>
      </w:r>
    </w:p>
    <w:p>
      <w:pPr>
        <w:spacing w:after="0" w:line="225" w:lineRule="exact"/>
        <w:rPr>
          <w:sz w:val="20"/>
          <w:szCs w:val="20"/>
          <w:color w:val="auto"/>
        </w:rPr>
      </w:pPr>
    </w:p>
    <w:p>
      <w:pPr>
        <w:jc w:val="both"/>
        <w:ind w:right="40" w:firstLine="689"/>
        <w:spacing w:after="0" w:line="286"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6"/>
          <w:szCs w:val="16"/>
          <w:i w:val="1"/>
          <w:iCs w:val="1"/>
          <w:color w:val="auto"/>
        </w:rPr>
        <w:t>Applicable Laws”</w:t>
      </w:r>
      <w:r>
        <w:rPr>
          <w:rFonts w:ascii="Arial" w:cs="Arial" w:eastAsia="Arial" w:hAnsi="Arial"/>
          <w:sz w:val="17"/>
          <w:szCs w:val="17"/>
          <w:i w:val="1"/>
          <w:iCs w:val="1"/>
          <w:color w:val="auto"/>
        </w:rPr>
        <w:t xml:space="preserve"> </w:t>
      </w:r>
      <w:r>
        <w:rPr>
          <w:rFonts w:ascii="Arial" w:cs="Arial" w:eastAsia="Arial" w:hAnsi="Arial"/>
          <w:sz w:val="17"/>
          <w:szCs w:val="17"/>
          <w:color w:val="auto"/>
        </w:rPr>
        <w:t>means, as to any Person, any law, rule, regulation, ordinance or treaty, or any determination, ruling or other directive by or from</w:t>
      </w:r>
      <w:r>
        <w:rPr>
          <w:rFonts w:ascii="Arial" w:cs="Arial" w:eastAsia="Arial" w:hAnsi="Arial"/>
          <w:sz w:val="17"/>
          <w:szCs w:val="17"/>
          <w:i w:val="1"/>
          <w:iCs w:val="1"/>
          <w:color w:val="auto"/>
        </w:rPr>
        <w:t xml:space="preserve"> </w:t>
      </w:r>
      <w:r>
        <w:rPr>
          <w:rFonts w:ascii="Arial" w:cs="Arial" w:eastAsia="Arial" w:hAnsi="Arial"/>
          <w:sz w:val="17"/>
          <w:szCs w:val="17"/>
          <w:color w:val="auto"/>
        </w:rPr>
        <w:t>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Applicable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Note on any redemption date, the greater of:</w:t>
      </w:r>
    </w:p>
    <w:p>
      <w:pPr>
        <w:spacing w:after="0" w:line="225" w:lineRule="exact"/>
        <w:rPr>
          <w:sz w:val="20"/>
          <w:szCs w:val="20"/>
          <w:color w:val="auto"/>
        </w:rPr>
      </w:pPr>
    </w:p>
    <w:p>
      <w:pPr>
        <w:ind w:left="2600" w:hanging="1295"/>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2600" w:hanging="1295"/>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ind w:left="1300" w:right="260" w:firstLine="653"/>
        <w:spacing w:after="0" w:line="259" w:lineRule="auto"/>
        <w:tabs>
          <w:tab w:leader="none" w:pos="2593"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September 15, 2021 (such redemption price being set forth in the table appearing in Section 3.07 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September 15, 2021 (excluding accrued but unpaid interest to the redemption date), computed using a discount rate equal to the Treasury Rate as of such redemption date plus 50 basis points; over</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ectPr>
          <w:pgSz w:w="11900" w:h="16838" w:orient="portrait"/>
          <w:cols w:equalWidth="0" w:num="1">
            <w:col w:w="11360"/>
          </w:cols>
          <w:pgMar w:left="240" w:top="584" w:right="299" w:bottom="0" w:gutter="0" w:footer="0" w:header="0"/>
        </w:sectPr>
      </w:pPr>
    </w:p>
    <w:bookmarkStart w:id="7" w:name="page8"/>
    <w:bookmarkEnd w:id="7"/>
    <w:p>
      <w:pPr>
        <w:spacing w:after="0" w:line="3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“Applicable Procedures” </w:t>
      </w:r>
      <w:r>
        <w:rPr>
          <w:rFonts w:ascii="Arial" w:cs="Arial" w:eastAsia="Arial" w:hAnsi="Arial"/>
          <w:sz w:val="18"/>
          <w:szCs w:val="18"/>
          <w:color w:val="auto"/>
        </w:rPr>
        <w:t>means, with respect to any transfer or exchange of or for beneficial interests in any Global Note, the rules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Depositary, Euroclear and Clearstream that apply to such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“Bankruptcy Law” </w:t>
      </w:r>
      <w:r>
        <w:rPr>
          <w:rFonts w:ascii="Arial" w:cs="Arial" w:eastAsia="Arial" w:hAnsi="Arial"/>
          <w:sz w:val="18"/>
          <w:szCs w:val="18"/>
          <w:color w:val="auto"/>
        </w:rPr>
        <w:t>means Title 11, U.S. Code or any similar federal or state law for the relief of debtors.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has the meaning assigned to such term in Rule 13d-3 and Rule 13d-5 under the Exchange Act. The terms “Beneficially Owns”</w:t>
      </w:r>
      <w:r>
        <w:rPr>
          <w:rFonts w:ascii="Arial" w:cs="Arial" w:eastAsia="Arial" w:hAnsi="Arial"/>
          <w:sz w:val="18"/>
          <w:szCs w:val="18"/>
          <w:i w:val="1"/>
          <w:iCs w:val="1"/>
          <w:color w:val="auto"/>
        </w:rPr>
        <w:t xml:space="preserve"> </w:t>
      </w:r>
      <w:r>
        <w:rPr>
          <w:rFonts w:ascii="Arial" w:cs="Arial" w:eastAsia="Arial" w:hAnsi="Arial"/>
          <w:sz w:val="18"/>
          <w:szCs w:val="18"/>
          <w:color w:val="auto"/>
        </w:rPr>
        <w:t>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w:t>
      </w:r>
    </w:p>
    <w:p>
      <w:pPr>
        <w:spacing w:after="0" w:line="225"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board;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i w:val="1"/>
          <w:iCs w:val="1"/>
          <w:color w:val="auto"/>
        </w:rPr>
        <w:t xml:space="preserve">“Board Resolution” </w:t>
      </w:r>
      <w:r>
        <w:rPr>
          <w:rFonts w:ascii="Arial" w:cs="Arial" w:eastAsia="Arial" w:hAnsi="Arial"/>
          <w:sz w:val="18"/>
          <w:szCs w:val="18"/>
          <w:color w:val="auto"/>
        </w:rPr>
        <w:t>means a copy of a resolution certified by the Secretary or an Assistant Secretary of the Company to have been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pursuant to authorization by the Board of Directors and to be in full force and effect on the date of the certificate and delivered to the Trustee.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“Broker-Dealer” </w:t>
      </w:r>
      <w:r>
        <w:rPr>
          <w:rFonts w:ascii="Arial" w:cs="Arial" w:eastAsia="Arial" w:hAnsi="Arial"/>
          <w:sz w:val="18"/>
          <w:szCs w:val="18"/>
          <w:color w:val="auto"/>
        </w:rPr>
        <w:t>has the meaning set forth in the 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Legal Holiday.</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i w:val="1"/>
          <w:iCs w:val="1"/>
          <w:color w:val="auto"/>
        </w:rPr>
        <w:t xml:space="preserve">“Capital Lease Obligation” </w:t>
      </w:r>
      <w:r>
        <w:rPr>
          <w:rFonts w:ascii="Arial" w:cs="Arial" w:eastAsia="Arial" w:hAnsi="Arial"/>
          <w:sz w:val="16"/>
          <w:szCs w:val="16"/>
          <w:color w:val="auto"/>
        </w:rPr>
        <w:t>means, at the time any determination is to be made, the amount of the liability in respect of a capital lease that would at</w:t>
      </w:r>
      <w:r>
        <w:rPr>
          <w:rFonts w:ascii="Arial" w:cs="Arial" w:eastAsia="Arial" w:hAnsi="Arial"/>
          <w:sz w:val="16"/>
          <w:szCs w:val="16"/>
          <w:i w:val="1"/>
          <w:iCs w:val="1"/>
          <w:color w:val="auto"/>
        </w:rPr>
        <w:t xml:space="preserve"> </w:t>
      </w:r>
      <w:r>
        <w:rPr>
          <w:rFonts w:ascii="Arial" w:cs="Arial" w:eastAsia="Arial" w:hAnsi="Arial"/>
          <w:sz w:val="16"/>
          <w:szCs w:val="16"/>
          <w:color w:val="auto"/>
        </w:rPr>
        <w:t>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w:t>
      </w:r>
    </w:p>
    <w:p>
      <w:pPr>
        <w:spacing w:after="0" w:line="225" w:lineRule="exact"/>
        <w:rPr>
          <w:sz w:val="20"/>
          <w:szCs w:val="20"/>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9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firstLine="645"/>
        <w:spacing w:after="0" w:line="264" w:lineRule="auto"/>
        <w:tabs>
          <w:tab w:leader="none" w:pos="19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occurrence of any of the following:</w:t>
      </w:r>
    </w:p>
    <w:p>
      <w:pPr>
        <w:spacing w:after="0" w:line="225" w:lineRule="exact"/>
        <w:rPr>
          <w:sz w:val="20"/>
          <w:szCs w:val="20"/>
          <w:color w:val="auto"/>
        </w:rPr>
      </w:pPr>
    </w:p>
    <w:p>
      <w:pPr>
        <w:ind w:left="660" w:right="380" w:firstLine="645"/>
        <w:spacing w:after="0" w:line="302" w:lineRule="auto"/>
        <w:tabs>
          <w:tab w:leader="none" w:pos="19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but excluding any employee benefit plan of the Company or any of its Subsidiaries, and any person or entity acting in its capacity as trustee, agent or other fiduciary or administrator of such plan);</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adoption of a plan relating to the liquidation or dissolution of NRG Yield, Inc., the Parent Guarantor or the Company;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302" w:lineRule="auto"/>
        <w:tabs>
          <w:tab w:leader="none" w:pos="19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the result of which is that any “person” (as defined above), other than (i) NRG Energy, Inc. or (ii) a corporation owned directly or indirectly by the stockholders of NRG Yield, Inc. in substantially the same proportion as their ownership of stock of NRG Yield, Inc. prior to such transaction, becomes the Beneficial Owner, directly or indirectly, of more than 50% of the Voting Stock of NRG Yield, Inc., measured by voting power rather than number of shares; or</w:t>
      </w:r>
    </w:p>
    <w:p>
      <w:pPr>
        <w:spacing w:after="0" w:line="154" w:lineRule="exact"/>
        <w:rPr>
          <w:rFonts w:ascii="Arial" w:cs="Arial" w:eastAsia="Arial" w:hAnsi="Arial"/>
          <w:sz w:val="16"/>
          <w:szCs w:val="16"/>
          <w:color w:val="auto"/>
        </w:rPr>
      </w:pPr>
    </w:p>
    <w:p>
      <w:pPr>
        <w:ind w:left="660" w:right="640" w:firstLine="645"/>
        <w:spacing w:after="0" w:line="277" w:lineRule="auto"/>
        <w:tabs>
          <w:tab w:leader="none" w:pos="19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first day on which either (i) NRG Yield, Inc. ceases to be the sole managing member of the Parent Guarantor or (ii) the Company ceases to be a Wholly Owned Subsidiary of the Parent Guarantor.</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Change of Control Triggering Event”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 Change of Control has occurred and (ii) the Notes are downgraded by both S&amp;P and Moody’s on</w:t>
      </w:r>
      <w:r>
        <w:rPr>
          <w:rFonts w:ascii="Arial" w:cs="Arial" w:eastAsia="Arial" w:hAnsi="Arial"/>
          <w:sz w:val="18"/>
          <w:szCs w:val="18"/>
          <w:i w:val="1"/>
          <w:iCs w:val="1"/>
          <w:color w:val="auto"/>
        </w:rPr>
        <w:t xml:space="preserve"> </w:t>
      </w:r>
      <w:r>
        <w:rPr>
          <w:rFonts w:ascii="Arial" w:cs="Arial" w:eastAsia="Arial" w:hAnsi="Arial"/>
          <w:sz w:val="18"/>
          <w:szCs w:val="18"/>
          <w:color w:val="auto"/>
        </w:rPr>
        <w:t>any date during the period commencing 60 days prior to the consummation of such Change of Control and ending 60 days following consummation of such Change of Control.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“Clearstream” </w:t>
      </w:r>
      <w:r>
        <w:rPr>
          <w:rFonts w:ascii="Arial" w:cs="Arial" w:eastAsia="Arial" w:hAnsi="Arial"/>
          <w:sz w:val="18"/>
          <w:szCs w:val="18"/>
          <w:color w:val="auto"/>
        </w:rPr>
        <w:t>means Clearstream Banking, S.A.</w:t>
      </w:r>
    </w:p>
    <w:p>
      <w:pPr>
        <w:sectPr>
          <w:pgSz w:w="11900" w:h="16874" w:orient="portrait"/>
          <w:cols w:equalWidth="0" w:num="1">
            <w:col w:w="11420"/>
          </w:cols>
          <w:pgMar w:left="240" w:top="125" w:right="239" w:bottom="0" w:gutter="0" w:footer="0" w:header="0"/>
        </w:sectPr>
      </w:pPr>
    </w:p>
    <w:bookmarkStart w:id="8" w:name="page9"/>
    <w:bookmarkEnd w:id="8"/>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NRG Yield Operating LLC, and any and all successors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“continuing” </w:t>
      </w:r>
      <w:r>
        <w:rPr>
          <w:rFonts w:ascii="Arial" w:cs="Arial" w:eastAsia="Arial" w:hAnsi="Arial"/>
          <w:sz w:val="17"/>
          <w:szCs w:val="17"/>
          <w:color w:val="auto"/>
        </w:rPr>
        <w:t>means, with respect to any Default or Event of Default, that such Default or Event of Default has not been cured or waived.</w:t>
      </w:r>
    </w:p>
    <w:p>
      <w:pPr>
        <w:spacing w:after="0" w:line="237" w:lineRule="exact"/>
        <w:rPr>
          <w:sz w:val="20"/>
          <w:szCs w:val="20"/>
          <w:color w:val="auto"/>
        </w:rPr>
      </w:pPr>
    </w:p>
    <w:p>
      <w:pPr>
        <w:ind w:right="320" w:firstLine="689"/>
        <w:spacing w:after="0" w:line="277" w:lineRule="auto"/>
        <w:rPr>
          <w:sz w:val="20"/>
          <w:szCs w:val="20"/>
          <w:color w:val="auto"/>
        </w:rPr>
      </w:pPr>
      <w:r>
        <w:rPr>
          <w:rFonts w:ascii="Arial" w:cs="Arial" w:eastAsia="Arial" w:hAnsi="Arial"/>
          <w:sz w:val="18"/>
          <w:szCs w:val="18"/>
          <w:i w:val="1"/>
          <w:iCs w:val="1"/>
          <w:color w:val="auto"/>
        </w:rPr>
        <w:t xml:space="preserve">“Corporate Trust Office of the Trustee” </w:t>
      </w:r>
      <w:r>
        <w:rPr>
          <w:rFonts w:ascii="Arial" w:cs="Arial" w:eastAsia="Arial" w:hAnsi="Arial"/>
          <w:sz w:val="18"/>
          <w:szCs w:val="18"/>
          <w:color w:val="auto"/>
        </w:rPr>
        <w:t>means the address of the Trustee specified in Section 12.02 hereof or such other address as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give notice to the Company.</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means the Amended and Restated Credit Agreement, dated April 25, 2014, among the Company, the Parent Guarantor,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guarantor from time to time party thereto, each lender from time to time party thereto, Royal Bank of Canada, as administrative agent, and Royal Bank of Canada, Goldman Sachs Bank USA and Bank of America, N.A., as letter of credit issuers, as the same may be amended, restated, modified, renewed, refunded, replaced or refinanced from time to time.</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means (i) one or more debt facilities (including, without limitation, the Credit Agreement) or commercial paper facilities,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“Custodian” </w:t>
      </w:r>
      <w:r>
        <w:rPr>
          <w:rFonts w:ascii="Arial" w:cs="Arial" w:eastAsia="Arial" w:hAnsi="Arial"/>
          <w:sz w:val="18"/>
          <w:szCs w:val="18"/>
          <w:color w:val="auto"/>
        </w:rPr>
        <w:t>means 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that is, or with the passage of time or the giving of notice or both would be, an Event of Default.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“Definitive Note” </w:t>
      </w:r>
      <w:r>
        <w:rPr>
          <w:rFonts w:ascii="Arial" w:cs="Arial" w:eastAsia="Arial" w:hAnsi="Arial"/>
          <w:sz w:val="18"/>
          <w:szCs w:val="18"/>
          <w:color w:val="auto"/>
        </w:rPr>
        <w:t>means a certificated Note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Definitive Notes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shall not bear the Global Legend and shall not have the “Schedule of Exchanges of Interests in the Global Note” attached thereto.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“Definitive Security” </w:t>
      </w:r>
      <w:r>
        <w:rPr>
          <w:rFonts w:ascii="Arial" w:cs="Arial" w:eastAsia="Arial" w:hAnsi="Arial"/>
          <w:sz w:val="18"/>
          <w:szCs w:val="18"/>
          <w:color w:val="auto"/>
        </w:rPr>
        <w:t>means a certificated Security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Definitive Securities with respect to all other Series of Securities will be in the form specified in the Supplemental Indenture pursuant to which such Series of Securities is created.</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“Depositary” </w:t>
      </w:r>
      <w:r>
        <w:rPr>
          <w:rFonts w:ascii="Arial" w:cs="Arial" w:eastAsia="Arial" w:hAnsi="Arial"/>
          <w:sz w:val="18"/>
          <w:szCs w:val="18"/>
          <w:color w:val="auto"/>
        </w:rPr>
        <w:t>means, with respect to the Notes issuable or issued in whole or in part in global form, the Person specified in Section 2.03 hereof as</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with respect to the Notes, and any and all successors thereto appointed as depositary hereunder and having become such pursuant to the applicable provision of this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“ECU” </w:t>
      </w:r>
      <w:r>
        <w:rPr>
          <w:rFonts w:ascii="Arial" w:cs="Arial" w:eastAsia="Arial" w:hAnsi="Arial"/>
          <w:sz w:val="18"/>
          <w:szCs w:val="18"/>
          <w:color w:val="auto"/>
        </w:rPr>
        <w:t>means the European Currency Unit as determined by the Commission of the European Union.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Environmental CapEx Debt”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Indebtedness of the Company or any of its Subsidiaries incurred for the purpose of financing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to the extent deemed reasonably necessary, as determined by the Company or any of its Subsidiaries, as applicable, in good faith and pursuant to prudent judgment, to comply with applicable Environmental Laws.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Environmental Laws”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all former, current and future federal, state, local and foreign laws (including common law), treaties, regulations, rules,</w:t>
      </w:r>
      <w:r>
        <w:rPr>
          <w:rFonts w:ascii="Arial" w:cs="Arial" w:eastAsia="Arial" w:hAnsi="Arial"/>
          <w:sz w:val="18"/>
          <w:szCs w:val="18"/>
          <w:i w:val="1"/>
          <w:iCs w:val="1"/>
          <w:color w:val="auto"/>
        </w:rPr>
        <w:t xml:space="preserve"> </w:t>
      </w:r>
      <w:r>
        <w:rPr>
          <w:rFonts w:ascii="Arial" w:cs="Arial" w:eastAsia="Arial" w:hAnsi="Arial"/>
          <w:sz w:val="18"/>
          <w:szCs w:val="18"/>
          <w:color w:val="auto"/>
        </w:rPr>
        <w:t>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Capital Stock and all warrants, options or other rights to acquire Capital Stock (but excluding any debt security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or exchangeable for, Capital Stock).</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Equity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public or private sale after the Issue Date of Capital Stock of NRG Yield, Inc. or the Parent Guarantor, the proceeds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been contributed to the Company as common equity, other than:</w:t>
      </w:r>
    </w:p>
    <w:p>
      <w:pPr>
        <w:spacing w:after="0" w:line="170" w:lineRule="exact"/>
        <w:rPr>
          <w:sz w:val="20"/>
          <w:szCs w:val="20"/>
          <w:color w:val="auto"/>
        </w:rPr>
      </w:pPr>
    </w:p>
    <w:p>
      <w:pPr>
        <w:ind w:left="2600" w:hanging="1295"/>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offerings with respect to NRG Yield, Inc.’s common stock registered on Form S-4 or Form S-8; and</w:t>
      </w:r>
    </w:p>
    <w:p>
      <w:pPr>
        <w:spacing w:after="0" w:line="225" w:lineRule="exact"/>
        <w:rPr>
          <w:rFonts w:ascii="Arial" w:cs="Arial" w:eastAsia="Arial" w:hAnsi="Arial"/>
          <w:sz w:val="18"/>
          <w:szCs w:val="18"/>
          <w:color w:val="auto"/>
        </w:rPr>
      </w:pPr>
    </w:p>
    <w:p>
      <w:pPr>
        <w:ind w:left="2600" w:hanging="1295"/>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issuances to any Subsidiary of NRG Yield,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“Euroclear” </w:t>
      </w:r>
      <w:r>
        <w:rPr>
          <w:rFonts w:ascii="Arial" w:cs="Arial" w:eastAsia="Arial" w:hAnsi="Arial"/>
          <w:sz w:val="18"/>
          <w:szCs w:val="18"/>
          <w:color w:val="auto"/>
        </w:rPr>
        <w:t>means Euroclear Bank, S.A./N.V., as operator of the Euroclear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Exchange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Amended and Restated Exchange Agreement, dated as of May 14, 2015 by and among NRG Energy, Inc., NRG</w:t>
      </w:r>
      <w:r>
        <w:rPr>
          <w:rFonts w:ascii="Arial" w:cs="Arial" w:eastAsia="Arial" w:hAnsi="Arial"/>
          <w:sz w:val="18"/>
          <w:szCs w:val="18"/>
          <w:i w:val="1"/>
          <w:iCs w:val="1"/>
          <w:color w:val="auto"/>
        </w:rPr>
        <w:t xml:space="preserve"> </w:t>
      </w:r>
      <w:r>
        <w:rPr>
          <w:rFonts w:ascii="Arial" w:cs="Arial" w:eastAsia="Arial" w:hAnsi="Arial"/>
          <w:sz w:val="18"/>
          <w:szCs w:val="18"/>
          <w:color w:val="auto"/>
        </w:rPr>
        <w:t>Yield, Inc. and the Parent Guarantor and each of the other parties thereto from time to time, as amended, supplemented or otherwise modified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Notes” </w:t>
      </w:r>
      <w:r>
        <w:rPr>
          <w:rFonts w:ascii="Arial" w:cs="Arial" w:eastAsia="Arial" w:hAnsi="Arial"/>
          <w:sz w:val="18"/>
          <w:szCs w:val="18"/>
          <w:color w:val="auto"/>
        </w:rPr>
        <w:t>means the Notes issued in the Exchange Offer pursuant to Section 2.06(f)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has the meaning set forth in the Registration Rights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9" w:name="page10"/>
    <w:bookmarkEnd w:id="9"/>
    <w:p>
      <w:pPr>
        <w:ind w:left="660"/>
        <w:spacing w:after="0"/>
        <w:rPr>
          <w:sz w:val="20"/>
          <w:szCs w:val="20"/>
          <w:color w:val="auto"/>
        </w:rPr>
      </w:pPr>
      <w:r>
        <w:rPr>
          <w:rFonts w:ascii="Arial" w:cs="Arial" w:eastAsia="Arial" w:hAnsi="Arial"/>
          <w:sz w:val="18"/>
          <w:szCs w:val="18"/>
          <w:i w:val="1"/>
          <w:iCs w:val="1"/>
          <w:color w:val="auto"/>
        </w:rPr>
        <w:t xml:space="preserve">“Exchange Offer Registration Statement” </w:t>
      </w:r>
      <w:r>
        <w:rPr>
          <w:rFonts w:ascii="Arial" w:cs="Arial" w:eastAsia="Arial" w:hAnsi="Arial"/>
          <w:sz w:val="18"/>
          <w:szCs w:val="18"/>
          <w:color w:val="auto"/>
        </w:rPr>
        <w:t>has the meaning set forth in the Registration Rights Agreement.</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i w:val="1"/>
          <w:iCs w:val="1"/>
          <w:color w:val="auto"/>
        </w:rPr>
        <w:t xml:space="preserve">“Existing Liens” </w:t>
      </w:r>
      <w:r>
        <w:rPr>
          <w:rFonts w:ascii="Arial" w:cs="Arial" w:eastAsia="Arial" w:hAnsi="Arial"/>
          <w:sz w:val="17"/>
          <w:szCs w:val="17"/>
          <w:color w:val="auto"/>
        </w:rPr>
        <w:t>means Liens on the property or assets of the Company and/or any of its Subsidiaries existing on the date of this Indenture securing</w:t>
      </w:r>
      <w:r>
        <w:rPr>
          <w:rFonts w:ascii="Arial" w:cs="Arial" w:eastAsia="Arial" w:hAnsi="Arial"/>
          <w:sz w:val="17"/>
          <w:szCs w:val="17"/>
          <w:i w:val="1"/>
          <w:iCs w:val="1"/>
          <w:color w:val="auto"/>
        </w:rPr>
        <w:t xml:space="preserve"> </w:t>
      </w:r>
      <w:r>
        <w:rPr>
          <w:rFonts w:ascii="Arial" w:cs="Arial" w:eastAsia="Arial" w:hAnsi="Arial"/>
          <w:sz w:val="17"/>
          <w:szCs w:val="17"/>
          <w:color w:val="auto"/>
        </w:rPr>
        <w:t>Indebtedness of the Company or any of its Subsidiaries (other than Liens incurred pursuant to clause (1) of Section 4.07 hereof).</w:t>
      </w:r>
    </w:p>
    <w:p>
      <w:pPr>
        <w:spacing w:after="0" w:line="14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set forth in the opinions and pronouncements of the Accounting Principles Board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operating lease would be re-characterized as a capital lease due to changes in the accounting treatment of such operating leases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GAAP since the Issue Date, then solely with respect to the accounting treatment of any such lease, GAAP shall be interpreted as it was in effect on the Issue Date.</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“Global Legend” </w:t>
      </w:r>
      <w:r>
        <w:rPr>
          <w:rFonts w:ascii="Arial" w:cs="Arial" w:eastAsia="Arial" w:hAnsi="Arial"/>
          <w:sz w:val="18"/>
          <w:szCs w:val="18"/>
          <w:color w:val="auto"/>
        </w:rPr>
        <w:t>means the legend set forth in Section 2.06(g)(2) hereof, which is required to be placed on all Global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“Global Notes” </w:t>
      </w:r>
      <w:r>
        <w:rPr>
          <w:rFonts w:ascii="Arial" w:cs="Arial" w:eastAsia="Arial" w:hAnsi="Arial"/>
          <w:sz w:val="17"/>
          <w:szCs w:val="17"/>
          <w:color w:val="auto"/>
        </w:rPr>
        <w:t>means, individually and collectively, each Restricted Global Note and each Unrestricted Global Note deposited with or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and registered in the name of the Depositary or its nominee that bears the Global Legend and that has the “Schedule of Exchanges of Interests in the Global Note” attached thereto, issued in accordance with Section 2.01, 2.06(b)(3), 2.06(b)(4), 2.06(d)(2) or 2.06(f) hereof.</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“Global Securities” </w:t>
      </w:r>
      <w:r>
        <w:rPr>
          <w:rFonts w:ascii="Arial" w:cs="Arial" w:eastAsia="Arial" w:hAnsi="Arial"/>
          <w:sz w:val="18"/>
          <w:szCs w:val="18"/>
          <w:color w:val="auto"/>
        </w:rPr>
        <w:t>means, individually and collectively, each Restricted Global Security and each Unrestricted Global Security deposited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behalf of and registered in the name of the Depositary or its nominee that bears the Global Legend and that has the “Schedule of Exchanges of Interests in the Global Securities” attached thereto, issued in accordance with Section 2.01, 2.06(b)(3), 2.06(b)(4), 2.06(d)(2) or 2.06(f) hereof. The Global Security in respect of the Notes will be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“Government Securities” </w:t>
      </w:r>
      <w:r>
        <w:rPr>
          <w:rFonts w:ascii="Arial" w:cs="Arial" w:eastAsia="Arial" w:hAnsi="Arial"/>
          <w:sz w:val="18"/>
          <w:szCs w:val="18"/>
          <w:color w:val="auto"/>
        </w:rPr>
        <w:t>means direct obligations of, or obligations guaranteed by, the United States of America (including any agency or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instrumentality thereof) for the payment of which obligations or guarantees the full faith and credit of the United States of America is pledged and which are not callable or redeemable at the issuer’s option.</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“Guarantee” </w:t>
      </w:r>
      <w:r>
        <w:rPr>
          <w:rFonts w:ascii="Arial" w:cs="Arial" w:eastAsia="Arial" w:hAnsi="Arial"/>
          <w:sz w:val="18"/>
          <w:szCs w:val="18"/>
          <w:color w:val="auto"/>
        </w:rPr>
        <w:t>means a guarantee other than by endorsement of negotiable instruments for collection in the ordinary course of business, direct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means each of:</w:t>
      </w:r>
    </w:p>
    <w:p>
      <w:pPr>
        <w:spacing w:after="0" w:line="225"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Parent Guarantor;</w:t>
      </w:r>
    </w:p>
    <w:p>
      <w:pPr>
        <w:spacing w:after="0" w:line="225" w:lineRule="exact"/>
        <w:rPr>
          <w:rFonts w:ascii="Arial" w:cs="Arial" w:eastAsia="Arial" w:hAnsi="Arial"/>
          <w:sz w:val="18"/>
          <w:szCs w:val="18"/>
          <w:color w:val="auto"/>
        </w:rPr>
      </w:pPr>
    </w:p>
    <w:p>
      <w:pPr>
        <w:ind w:left="5660" w:right="3040" w:hanging="4355"/>
        <w:spacing w:after="0" w:line="528" w:lineRule="auto"/>
        <w:tabs>
          <w:tab w:leader="none" w:pos="19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Section 10.05; 7</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other Person that executes a Guarantee in accordance with the provisions of this Indenture, and their respective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Hedging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specified Person, the obligations of such Person under:</w:t>
      </w:r>
    </w:p>
    <w:p>
      <w:pPr>
        <w:spacing w:after="0" w:line="225" w:lineRule="exact"/>
        <w:rPr>
          <w:sz w:val="20"/>
          <w:szCs w:val="20"/>
          <w:color w:val="auto"/>
        </w:rPr>
      </w:pPr>
    </w:p>
    <w:p>
      <w:pPr>
        <w:ind w:left="660" w:right="240" w:firstLine="645"/>
        <w:spacing w:after="0" w:line="277" w:lineRule="auto"/>
        <w:tabs>
          <w:tab w:leader="none" w:pos="1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ind w:left="660" w:firstLine="645"/>
        <w:spacing w:after="0" w:line="257" w:lineRule="auto"/>
        <w:tabs>
          <w:tab w:leader="none" w:pos="1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a Person in whose name a Security is registered.</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 xml:space="preserve">“IAI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 Legend</w:t>
      </w:r>
      <w:r>
        <w:rPr>
          <w:rFonts w:ascii="Arial" w:cs="Arial" w:eastAsia="Arial" w:hAnsi="Arial"/>
          <w:sz w:val="18"/>
          <w:szCs w:val="18"/>
          <w:i w:val="1"/>
          <w:iCs w:val="1"/>
          <w:color w:val="auto"/>
        </w:rPr>
        <w:t xml:space="preserve"> </w:t>
      </w:r>
      <w:r>
        <w:rPr>
          <w:rFonts w:ascii="Arial" w:cs="Arial" w:eastAsia="Arial" w:hAnsi="Arial"/>
          <w:sz w:val="18"/>
          <w:szCs w:val="18"/>
          <w:color w:val="auto"/>
        </w:rPr>
        <w:t>and deposited with or on behalf of, and registered in the name of, the Depositary or its nominee that will be issued in a denomination equal to the outstanding principal amount of the Notes resold to Institutional Accredited Investors.</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“IAI Global Security” </w:t>
      </w:r>
      <w:r>
        <w:rPr>
          <w:rFonts w:ascii="Arial" w:cs="Arial" w:eastAsia="Arial" w:hAnsi="Arial"/>
          <w:sz w:val="18"/>
          <w:szCs w:val="18"/>
          <w:color w:val="auto"/>
        </w:rPr>
        <w:t>means a Global Security, in the form specified in the applicable Supplemental Indenture pursuant to which such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resold to Institutional Accredited Investors.</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specified Person, any indebtedness of such Person (excluding accrued expenses and trade payables,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clause (5) below), whether or not contingent:</w:t>
      </w:r>
    </w:p>
    <w:p>
      <w:pPr>
        <w:spacing w:after="0" w:line="170"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ectPr>
          <w:pgSz w:w="11900" w:h="16838" w:orient="portrait"/>
          <w:cols w:equalWidth="0" w:num="1">
            <w:col w:w="11420"/>
          </w:cols>
          <w:pgMar w:left="240" w:top="584" w:right="239" w:bottom="0" w:gutter="0" w:footer="0" w:header="0"/>
        </w:sectPr>
      </w:pPr>
    </w:p>
    <w:bookmarkStart w:id="10" w:name="page11"/>
    <w:bookmarkEnd w:id="10"/>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70" w:lineRule="exact"/>
        <w:rPr>
          <w:rFonts w:ascii="Arial" w:cs="Arial" w:eastAsia="Arial" w:hAnsi="Arial"/>
          <w:sz w:val="18"/>
          <w:szCs w:val="18"/>
          <w:color w:val="auto"/>
        </w:rPr>
      </w:pPr>
    </w:p>
    <w:p>
      <w:pPr>
        <w:ind w:left="660" w:right="400" w:firstLine="645"/>
        <w:spacing w:after="0" w:line="277" w:lineRule="auto"/>
        <w:tabs>
          <w:tab w:leader="none" w:pos="1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representing the net amount owing under any Hedging Obligations, if and to the extent any of the preceding items (other than letters of credit and Hedging Obligations) would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appear as a liability upon a balance sheet of the specified Person prepared in accordance with GAAP.</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“Indirect Participant” </w:t>
      </w:r>
      <w:r>
        <w:rPr>
          <w:rFonts w:ascii="Arial" w:cs="Arial" w:eastAsia="Arial" w:hAnsi="Arial"/>
          <w:sz w:val="18"/>
          <w:szCs w:val="18"/>
          <w:color w:val="auto"/>
        </w:rPr>
        <w:t>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Notes” </w:t>
      </w:r>
      <w:r>
        <w:rPr>
          <w:rFonts w:ascii="Arial" w:cs="Arial" w:eastAsia="Arial" w:hAnsi="Arial"/>
          <w:sz w:val="18"/>
          <w:szCs w:val="18"/>
          <w:color w:val="auto"/>
        </w:rPr>
        <w:t>means the first $350,000,000 in aggregate principal amount of Notes issued under this Indenture on the date hereof.</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“Initial Purchasers” </w:t>
      </w:r>
      <w:r>
        <w:rPr>
          <w:rFonts w:ascii="Arial" w:cs="Arial" w:eastAsia="Arial" w:hAnsi="Arial"/>
          <w:sz w:val="18"/>
          <w:szCs w:val="18"/>
          <w:color w:val="auto"/>
        </w:rPr>
        <w:t>means J.P. Morgan Securities LLC, RBC Capital Markets, LLC, Barclays Capital Inc., Citigroup Global Markets Inc., Credit</w:t>
      </w:r>
      <w:r>
        <w:rPr>
          <w:rFonts w:ascii="Arial" w:cs="Arial" w:eastAsia="Arial" w:hAnsi="Arial"/>
          <w:sz w:val="18"/>
          <w:szCs w:val="18"/>
          <w:i w:val="1"/>
          <w:iCs w:val="1"/>
          <w:color w:val="auto"/>
        </w:rPr>
        <w:t xml:space="preserve"> </w:t>
      </w:r>
      <w:r>
        <w:rPr>
          <w:rFonts w:ascii="Arial" w:cs="Arial" w:eastAsia="Arial" w:hAnsi="Arial"/>
          <w:sz w:val="18"/>
          <w:szCs w:val="18"/>
          <w:color w:val="auto"/>
        </w:rPr>
        <w:t>Suisse Securities (USA) LLC, Goldman, Sachs &amp; Co. and MUFG Securities Americas Inc., and shall include any other entity designated as such in any Supplemental Indenture with respect to any Series of Securities issued after the date of this Indenture.</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“Institutional Accredited Investor” </w:t>
      </w:r>
      <w:r>
        <w:rPr>
          <w:rFonts w:ascii="Arial" w:cs="Arial" w:eastAsia="Arial" w:hAnsi="Arial"/>
          <w:sz w:val="18"/>
          <w:szCs w:val="18"/>
          <w:color w:val="auto"/>
        </w:rPr>
        <w:t>means an institution that is an “accredited investor” as defined in Rule 501(a)(1), (2), (3) or (7)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who are not also QIBs.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“Issue Date” </w:t>
      </w:r>
      <w:r>
        <w:rPr>
          <w:rFonts w:ascii="Arial" w:cs="Arial" w:eastAsia="Arial" w:hAnsi="Arial"/>
          <w:sz w:val="18"/>
          <w:szCs w:val="18"/>
          <w:color w:val="auto"/>
        </w:rPr>
        <w:t>means August 18, 2016.</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“Legal Holiday” </w:t>
      </w:r>
      <w:r>
        <w:rPr>
          <w:rFonts w:ascii="Arial" w:cs="Arial" w:eastAsia="Arial" w:hAnsi="Arial"/>
          <w:sz w:val="17"/>
          <w:szCs w:val="17"/>
          <w:color w:val="auto"/>
        </w:rPr>
        <w:t>means a Saturday, a Sunday or a day on which banking institutions in the City of New York or at a place of payment are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“Letter of Transmittal” </w:t>
      </w:r>
      <w:r>
        <w:rPr>
          <w:rFonts w:ascii="Arial" w:cs="Arial" w:eastAsia="Arial" w:hAnsi="Arial"/>
          <w:sz w:val="18"/>
          <w:szCs w:val="18"/>
          <w:color w:val="auto"/>
        </w:rPr>
        <w:t>means the letter of transmittal to be prepared by the Company and sent to all Holders of the Notes for use by such 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Exchange Offer.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with respect to any asset:</w:t>
      </w:r>
    </w:p>
    <w:p>
      <w:pPr>
        <w:spacing w:after="0" w:line="225" w:lineRule="exact"/>
        <w:rPr>
          <w:sz w:val="20"/>
          <w:szCs w:val="20"/>
          <w:color w:val="auto"/>
        </w:rPr>
      </w:pPr>
    </w:p>
    <w:p>
      <w:pPr>
        <w:ind w:left="660" w:right="300" w:firstLine="645"/>
        <w:spacing w:after="0" w:line="277" w:lineRule="auto"/>
        <w:tabs>
          <w:tab w:leader="none" w:pos="19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left="660" w:firstLine="645"/>
        <w:spacing w:after="0" w:line="277" w:lineRule="auto"/>
        <w:tabs>
          <w:tab w:leader="none" w:pos="19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right="420" w:firstLine="645"/>
        <w:spacing w:after="0" w:line="277" w:lineRule="auto"/>
        <w:tabs>
          <w:tab w:leader="none" w:pos="19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Material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any series of Indebtedness with an aggregate principal amount outstanding in excess of the greater of</w:t>
      </w:r>
      <w:r>
        <w:rPr>
          <w:rFonts w:ascii="Arial" w:cs="Arial" w:eastAsia="Arial" w:hAnsi="Arial"/>
          <w:sz w:val="18"/>
          <w:szCs w:val="18"/>
          <w:i w:val="1"/>
          <w:iCs w:val="1"/>
          <w:color w:val="auto"/>
        </w:rPr>
        <w:t xml:space="preserve"> </w:t>
      </w:r>
      <w:r>
        <w:rPr>
          <w:rFonts w:ascii="Arial" w:cs="Arial" w:eastAsia="Arial" w:hAnsi="Arial"/>
          <w:sz w:val="18"/>
          <w:szCs w:val="18"/>
          <w:color w:val="auto"/>
        </w:rPr>
        <w:t>(i) 1.5% of Total Assets, as of such date, and (ii) $75.0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or any successor entity.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Necessary CapEx Debt”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Indebtedness of the Company or any of its Subsidiaries incurred for the purpose of financing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“Non-U.S. Person” </w:t>
      </w:r>
      <w:r>
        <w:rPr>
          <w:rFonts w:ascii="Arial" w:cs="Arial" w:eastAsia="Arial" w:hAnsi="Arial"/>
          <w:sz w:val="18"/>
          <w:szCs w:val="18"/>
          <w:color w:val="auto"/>
        </w:rPr>
        <w:t>means a Person who is not a U.S. Person.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has the meaning assigned to it in the preamble to this Indenture. The Initial Notes and the Additional Notes shall be treated as a single class</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purposes under this Indenture, and unless the context otherwise requires, all references to the Notes shall include the Initial Notes and any Additional Notes.</w:t>
      </w:r>
    </w:p>
    <w:p>
      <w:pPr>
        <w:sectPr>
          <w:pgSz w:w="11900" w:h="16838" w:orient="portrait"/>
          <w:cols w:equalWidth="0" w:num="1">
            <w:col w:w="11400"/>
          </w:cols>
          <w:pgMar w:left="240" w:top="341" w:right="259" w:bottom="0" w:gutter="0" w:footer="0" w:header="0"/>
        </w:sectPr>
      </w:pPr>
    </w:p>
    <w:bookmarkStart w:id="11" w:name="page12"/>
    <w:bookmarkEnd w:id="11"/>
    <w:p>
      <w:pPr>
        <w:spacing w:after="0" w:line="1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“Obligations” </w:t>
      </w:r>
      <w:r>
        <w:rPr>
          <w:rFonts w:ascii="Arial" w:cs="Arial" w:eastAsia="Arial" w:hAnsi="Arial"/>
          <w:sz w:val="18"/>
          <w:szCs w:val="18"/>
          <w:color w:val="auto"/>
        </w:rPr>
        <w:t>means any principal, interest, penalties, fees, indemnifications, reimbursements, damages and other liabilities payable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governing any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“Offering Memorandum” </w:t>
      </w:r>
      <w:r>
        <w:rPr>
          <w:rFonts w:ascii="Arial" w:cs="Arial" w:eastAsia="Arial" w:hAnsi="Arial"/>
          <w:sz w:val="17"/>
          <w:szCs w:val="17"/>
          <w:color w:val="auto"/>
        </w:rPr>
        <w:t>means the offering memorandum dated August 15, 2016 in connection with the offering of the Notes by the Company.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means, with respect to any Person, the Chairman of the Board of Directors, the Chief Executive Officer, the President, the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the Chief Financial Officer, the Chief Accounting Officer, the Treasurer, any Assistant Treasurer, the Secretary, the Controller, Assistant Secretary or any Vice President of such Person.</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means a certificate signed on behalf of the Company by two Officers of the Company, one of whom must be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the principal financial officer, the treasurer or the principal accounting officer of the Company, that meets the requirements of Section 12.05 hereof.</w:t>
      </w:r>
    </w:p>
    <w:p>
      <w:pPr>
        <w:spacing w:after="0" w:line="181" w:lineRule="exact"/>
        <w:rPr>
          <w:sz w:val="20"/>
          <w:szCs w:val="20"/>
          <w:color w:val="auto"/>
        </w:rPr>
      </w:pPr>
    </w:p>
    <w:p>
      <w:pPr>
        <w:ind w:right="980" w:firstLine="648"/>
        <w:spacing w:after="0" w:line="342" w:lineRule="auto"/>
        <w:rPr>
          <w:sz w:val="20"/>
          <w:szCs w:val="20"/>
          <w:color w:val="auto"/>
        </w:rPr>
      </w:pPr>
      <w:r>
        <w:rPr>
          <w:rFonts w:ascii="Arial" w:cs="Arial" w:eastAsia="Arial" w:hAnsi="Arial"/>
          <w:sz w:val="16"/>
          <w:szCs w:val="16"/>
          <w:i w:val="1"/>
          <w:iCs w:val="1"/>
          <w:color w:val="auto"/>
        </w:rPr>
        <w:t xml:space="preserve">“Opinion of Counsel” </w:t>
      </w:r>
      <w:r>
        <w:rPr>
          <w:rFonts w:ascii="Arial" w:cs="Arial" w:eastAsia="Arial" w:hAnsi="Arial"/>
          <w:sz w:val="16"/>
          <w:szCs w:val="16"/>
          <w:color w:val="auto"/>
        </w:rPr>
        <w:t>means an opinion from legal counsel who is reasonably acceptable to the Trustee, that meets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12.05 hereof. The counsel may be an employee of or counsel to the Company, any Subsidiary of the Company or the Trustee.</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Legend” </w:t>
      </w:r>
      <w:r>
        <w:rPr>
          <w:rFonts w:ascii="Arial" w:cs="Arial" w:eastAsia="Arial" w:hAnsi="Arial"/>
          <w:sz w:val="18"/>
          <w:szCs w:val="18"/>
          <w:color w:val="auto"/>
        </w:rPr>
        <w:t>means the legend set forth in Section 2.06(g)(3) hereof to be placed on all Securities issued under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if applicable.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“Parent Guarantee” </w:t>
      </w:r>
      <w:r>
        <w:rPr>
          <w:rFonts w:ascii="Arial" w:cs="Arial" w:eastAsia="Arial" w:hAnsi="Arial"/>
          <w:sz w:val="18"/>
          <w:szCs w:val="18"/>
          <w:color w:val="auto"/>
        </w:rPr>
        <w:t>means the Guarantee by the Parent Guarantor of the Company’s obligations under this Indenture and on the Notes,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provisions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“Parent Guarantor” </w:t>
      </w:r>
      <w:r>
        <w:rPr>
          <w:rFonts w:ascii="Arial" w:cs="Arial" w:eastAsia="Arial" w:hAnsi="Arial"/>
          <w:sz w:val="18"/>
          <w:szCs w:val="18"/>
          <w:color w:val="auto"/>
        </w:rPr>
        <w:t>means NRG Yield LLC and its successors and assigns.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with respect to the Depositary, Euroclear or Clearstream, a Person who has an account with the Depositary, Euroclear or</w:t>
      </w:r>
      <w:r>
        <w:rPr>
          <w:rFonts w:ascii="Arial" w:cs="Arial" w:eastAsia="Arial" w:hAnsi="Arial"/>
          <w:sz w:val="18"/>
          <w:szCs w:val="18"/>
          <w:i w:val="1"/>
          <w:iCs w:val="1"/>
          <w:color w:val="auto"/>
        </w:rPr>
        <w:t xml:space="preserve"> </w:t>
      </w:r>
      <w:r>
        <w:rPr>
          <w:rFonts w:ascii="Arial" w:cs="Arial" w:eastAsia="Arial" w:hAnsi="Arial"/>
          <w:sz w:val="18"/>
          <w:szCs w:val="18"/>
          <w:color w:val="auto"/>
        </w:rPr>
        <w:t>Clearstream, respectively (and, with respect to DTC, shall include Euroclear and Clearstream).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joint venture, association, joint-stock company, trust, unincorporated organization,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company or government or other entity.</w:t>
      </w:r>
    </w:p>
    <w:p>
      <w:pPr>
        <w:spacing w:after="0" w:line="170"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Principal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building, structure or other facility, and all related property, plant or equipment or other long-term assets used or</w:t>
      </w:r>
      <w:r>
        <w:rPr>
          <w:rFonts w:ascii="Arial" w:cs="Arial" w:eastAsia="Arial" w:hAnsi="Arial"/>
          <w:sz w:val="18"/>
          <w:szCs w:val="18"/>
          <w:i w:val="1"/>
          <w:iCs w:val="1"/>
          <w:color w:val="auto"/>
        </w:rPr>
        <w:t xml:space="preserve"> </w:t>
      </w:r>
      <w:r>
        <w:rPr>
          <w:rFonts w:ascii="Arial" w:cs="Arial" w:eastAsia="Arial" w:hAnsi="Arial"/>
          <w:sz w:val="18"/>
          <w:szCs w:val="18"/>
          <w:color w:val="auto"/>
        </w:rPr>
        <w:t>useful in the ownership, development, construction or operation of such building, structure or other facility owned or leased by the Company or any Guarantor and having a net book value in excess of 2.0% of Total Assets, except any such building, structure or other facility (or related property, plant or equipment) that in the opinion of the Board of Directors is not of material importance to the business conducted by the Company and its consolidated Subsidiaries, taken as a whole.</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“Private Placement Legend” </w:t>
      </w:r>
      <w:r>
        <w:rPr>
          <w:rFonts w:ascii="Arial" w:cs="Arial" w:eastAsia="Arial" w:hAnsi="Arial"/>
          <w:sz w:val="18"/>
          <w:szCs w:val="18"/>
          <w:color w:val="auto"/>
        </w:rPr>
        <w:t>means the legend set forth in Section 2.06(g)(1) hereof to be placed on all Notes issued under this Indenture except</w:t>
      </w:r>
      <w:r>
        <w:rPr>
          <w:rFonts w:ascii="Arial" w:cs="Arial" w:eastAsia="Arial" w:hAnsi="Arial"/>
          <w:sz w:val="18"/>
          <w:szCs w:val="18"/>
          <w:i w:val="1"/>
          <w:iCs w:val="1"/>
          <w:color w:val="auto"/>
        </w:rPr>
        <w:t xml:space="preserve"> </w:t>
      </w:r>
      <w:r>
        <w:rPr>
          <w:rFonts w:ascii="Arial" w:cs="Arial" w:eastAsia="Arial" w:hAnsi="Arial"/>
          <w:sz w:val="18"/>
          <w:szCs w:val="18"/>
          <w:color w:val="auto"/>
        </w:rPr>
        <w:t>where otherwise permitted by the provisions of this Indenture.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Pro Forma Cost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without duplication, with respect to any period, reductions in costs and related adjustments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actually realized or are projected by the Company’s Chief Financial Officer in good faith to result from reasonably identifiable and factually supportable actions or events, but only to the extent such reductions in costs and related adjustments are so projected by the Company to be realized prior to the end of the consecutive four-quarter period commencing after the transaction giving rise to such calculation.</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Project Debt”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Indebtedness of one or more Project Subsidiaries incurred for the purpose of holding, constructing or acquiring power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generation facilities or related or ancillary assets or properties;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liable with respect to such Indebtedness except to the extent of a non-recourse pledge of equity interests in one or more Project Subsidiaries.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Project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Subsidiary of the Company held for the purpose of holding, constructing or acquiring power generation facilities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related or ancillary assets or properties and any Subsidiary of the Company whose assets consist primarily of equity interests in one or more other Project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Subsidiary will cease to be a Project Subsidiary if it Guarantees any Indebtedness of the Company other than obligations of the Company related to Project Debt of one or more Project Subsidiaries.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means a “qualified institutional buyer” as defined in Rule 144A.</w:t>
      </w:r>
    </w:p>
    <w:p>
      <w:pPr>
        <w:spacing w:after="0" w:line="225"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5"/>
          <w:szCs w:val="15"/>
          <w:i w:val="1"/>
          <w:iCs w:val="1"/>
          <w:color w:val="auto"/>
        </w:rPr>
        <w:t>Refinancing Liens”</w:t>
      </w:r>
      <w:r>
        <w:rPr>
          <w:rFonts w:ascii="Arial" w:cs="Arial" w:eastAsia="Arial" w:hAnsi="Arial"/>
          <w:sz w:val="16"/>
          <w:szCs w:val="16"/>
          <w:i w:val="1"/>
          <w:iCs w:val="1"/>
          <w:color w:val="auto"/>
        </w:rPr>
        <w:t xml:space="preserve"> </w:t>
      </w:r>
      <w:r>
        <w:rPr>
          <w:rFonts w:ascii="Arial" w:cs="Arial" w:eastAsia="Arial" w:hAnsi="Arial"/>
          <w:sz w:val="16"/>
          <w:szCs w:val="16"/>
          <w:color w:val="auto"/>
        </w:rPr>
        <w:t>means Liens granted in connection with amending, extending, modifying, renewing, replacing, refunding or refinancing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whole or in part any Indebtedness secured by Liens described in clauses (2) through (10) of Section 4.07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Refinancing Liens do not</w:t>
      </w:r>
    </w:p>
    <w:p>
      <w:pPr>
        <w:ind w:right="300" w:firstLine="8"/>
        <w:spacing w:after="0" w:line="255"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“Registration Rights Agreement” </w:t>
      </w:r>
      <w:r>
        <w:rPr>
          <w:rFonts w:ascii="Arial" w:cs="Arial" w:eastAsia="Arial" w:hAnsi="Arial"/>
          <w:sz w:val="18"/>
          <w:szCs w:val="18"/>
          <w:color w:val="auto"/>
        </w:rPr>
        <w:t>means the Registration Rights Agreement, dated as of August 18, 2016, among the Company, the Guarantors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parties named on the signature pages thereof, as such agreement may be amended, modified or supplemented from time to time, and, with respect to any Additional Notes, one or more registration rights agreements among the Company, the Guarantors and the other parties thereto, as such agreement(s) may be amended, modified or supplemented from time to time, relating to rights given by the Company to the purchasers of Additional Notes to register such Additional Notes under the Securities 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“Regulation S” </w:t>
      </w:r>
      <w:r>
        <w:rPr>
          <w:rFonts w:ascii="Arial" w:cs="Arial" w:eastAsia="Arial" w:hAnsi="Arial"/>
          <w:sz w:val="16"/>
          <w:szCs w:val="16"/>
          <w:color w:val="auto"/>
        </w:rPr>
        <w:t>means Regulation S promulgated under the Securities Act.</w:t>
      </w:r>
    </w:p>
    <w:p>
      <w:pPr>
        <w:sectPr>
          <w:pgSz w:w="11900" w:h="16851" w:orient="portrait"/>
          <w:cols w:equalWidth="0" w:num="1">
            <w:col w:w="11400"/>
          </w:cols>
          <w:pgMar w:left="240" w:top="125" w:right="259" w:bottom="0" w:gutter="0" w:footer="0" w:header="0"/>
          <w:type w:val="continuous"/>
        </w:sectPr>
      </w:pPr>
    </w:p>
    <w:bookmarkStart w:id="12" w:name="page13"/>
    <w:bookmarkEnd w:id="12"/>
    <w:p>
      <w:pPr>
        <w:ind w:left="660"/>
        <w:spacing w:after="0"/>
        <w:rPr>
          <w:sz w:val="20"/>
          <w:szCs w:val="20"/>
          <w:color w:val="auto"/>
        </w:rPr>
      </w:pPr>
      <w:r>
        <w:rPr>
          <w:rFonts w:ascii="Arial" w:cs="Arial" w:eastAsia="Arial" w:hAnsi="Arial"/>
          <w:sz w:val="18"/>
          <w:szCs w:val="18"/>
          <w:i w:val="1"/>
          <w:iCs w:val="1"/>
          <w:color w:val="auto"/>
        </w:rPr>
        <w:t xml:space="preserve">“Regulation S-K” </w:t>
      </w:r>
      <w:r>
        <w:rPr>
          <w:rFonts w:ascii="Arial" w:cs="Arial" w:eastAsia="Arial" w:hAnsi="Arial"/>
          <w:sz w:val="18"/>
          <w:szCs w:val="18"/>
          <w:color w:val="auto"/>
        </w:rPr>
        <w:t>means Regulation S-K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S-X” </w:t>
      </w:r>
      <w:r>
        <w:rPr>
          <w:rFonts w:ascii="Arial" w:cs="Arial" w:eastAsia="Arial" w:hAnsi="Arial"/>
          <w:sz w:val="18"/>
          <w:szCs w:val="18"/>
          <w:color w:val="auto"/>
        </w:rPr>
        <w:t>means Regulation S-X promulgated under the Securities 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“Regulation S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issued in a denomination equal to the outstanding principal amount of the Notes sold in reliance on Rule 903 of Regulation 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“Regulation S Global Security” </w:t>
      </w:r>
      <w:r>
        <w:rPr>
          <w:rFonts w:ascii="Arial" w:cs="Arial" w:eastAsia="Arial" w:hAnsi="Arial"/>
          <w:sz w:val="18"/>
          <w:szCs w:val="18"/>
          <w:color w:val="auto"/>
        </w:rPr>
        <w:t>means a Global Security, in the form specified in the applicable Supplemental Indenture pursuant to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Securities is created, bearing the Global Legend and the Private Placement Legend and deposited with or on behalf of and registered in the name of the Depositary or its nominee, issued in a denomination equal to the outstanding principal amount of the Securities sold in reliance on Rule 903 of Regulation S.</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when used with respect to the Trustee, any officer within the Corporate Trust Administration of the Trustee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Note” </w:t>
      </w:r>
      <w:r>
        <w:rPr>
          <w:rFonts w:ascii="Arial" w:cs="Arial" w:eastAsia="Arial" w:hAnsi="Arial"/>
          <w:sz w:val="18"/>
          <w:szCs w:val="18"/>
          <w:color w:val="auto"/>
        </w:rPr>
        <w:t>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Security” </w:t>
      </w:r>
      <w:r>
        <w:rPr>
          <w:rFonts w:ascii="Arial" w:cs="Arial" w:eastAsia="Arial" w:hAnsi="Arial"/>
          <w:sz w:val="18"/>
          <w:szCs w:val="18"/>
          <w:color w:val="auto"/>
        </w:rPr>
        <w:t>means a Definitive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Note” </w:t>
      </w:r>
      <w:r>
        <w:rPr>
          <w:rFonts w:ascii="Arial" w:cs="Arial" w:eastAsia="Arial" w:hAnsi="Arial"/>
          <w:sz w:val="18"/>
          <w:szCs w:val="18"/>
          <w:color w:val="auto"/>
        </w:rPr>
        <w:t>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Security” </w:t>
      </w:r>
      <w:r>
        <w:rPr>
          <w:rFonts w:ascii="Arial" w:cs="Arial" w:eastAsia="Arial" w:hAnsi="Arial"/>
          <w:sz w:val="18"/>
          <w:szCs w:val="18"/>
          <w:color w:val="auto"/>
        </w:rPr>
        <w:t>means a Global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Period” </w:t>
      </w:r>
      <w:r>
        <w:rPr>
          <w:rFonts w:ascii="Arial" w:cs="Arial" w:eastAsia="Arial" w:hAnsi="Arial"/>
          <w:sz w:val="18"/>
          <w:szCs w:val="18"/>
          <w:color w:val="auto"/>
        </w:rPr>
        <w:t>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 </w:t>
      </w:r>
      <w:r>
        <w:rPr>
          <w:rFonts w:ascii="Arial" w:cs="Arial" w:eastAsia="Arial" w:hAnsi="Arial"/>
          <w:sz w:val="18"/>
          <w:szCs w:val="18"/>
          <w:color w:val="auto"/>
        </w:rPr>
        <w:t>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144A” </w:t>
      </w:r>
      <w:r>
        <w:rPr>
          <w:rFonts w:ascii="Arial" w:cs="Arial" w:eastAsia="Arial" w:hAnsi="Arial"/>
          <w:sz w:val="18"/>
          <w:szCs w:val="18"/>
          <w:color w:val="auto"/>
        </w:rPr>
        <w:t>means Rule 144A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903” </w:t>
      </w:r>
      <w:r>
        <w:rPr>
          <w:rFonts w:ascii="Arial" w:cs="Arial" w:eastAsia="Arial" w:hAnsi="Arial"/>
          <w:sz w:val="18"/>
          <w:szCs w:val="18"/>
          <w:color w:val="auto"/>
        </w:rPr>
        <w:t>means Rule 903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904” </w:t>
      </w:r>
      <w:r>
        <w:rPr>
          <w:rFonts w:ascii="Arial" w:cs="Arial" w:eastAsia="Arial" w:hAnsi="Arial"/>
          <w:sz w:val="18"/>
          <w:szCs w:val="18"/>
          <w:color w:val="auto"/>
        </w:rPr>
        <w:t>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Group or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means all debentures, notes and other debt instruments of the Company of any Series authenticated and delivered under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all Notes and Additional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“Series” </w:t>
      </w:r>
      <w:r>
        <w:rPr>
          <w:rFonts w:ascii="Arial" w:cs="Arial" w:eastAsia="Arial" w:hAnsi="Arial"/>
          <w:sz w:val="18"/>
          <w:szCs w:val="18"/>
          <w:color w:val="auto"/>
        </w:rPr>
        <w:t>or</w:t>
      </w:r>
      <w:r>
        <w:rPr>
          <w:rFonts w:ascii="Arial" w:cs="Arial" w:eastAsia="Arial" w:hAnsi="Arial"/>
          <w:sz w:val="18"/>
          <w:szCs w:val="18"/>
          <w:i w:val="1"/>
          <w:iCs w:val="1"/>
          <w:color w:val="auto"/>
        </w:rPr>
        <w:t xml:space="preserve"> “Series of Securities” </w:t>
      </w:r>
      <w:r>
        <w:rPr>
          <w:rFonts w:ascii="Arial" w:cs="Arial" w:eastAsia="Arial" w:hAnsi="Arial"/>
          <w:sz w:val="18"/>
          <w:szCs w:val="18"/>
          <w:color w:val="auto"/>
        </w:rPr>
        <w:t>means each series of Securities created pursuant to Section 2.01 hereof (for the avoidance of doubt,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Series of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has the meaning set forth in the Registration Rights Agreement.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any Subsidiary that would be a “significant subsidiary” as defined in Article 1, Rule 1-02 of Regulation S-X,</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pursuant to the Securities Act, as such Regulation is in effect on the date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“Special Interest” </w:t>
      </w:r>
      <w:r>
        <w:rPr>
          <w:rFonts w:ascii="Arial" w:cs="Arial" w:eastAsia="Arial" w:hAnsi="Arial"/>
          <w:sz w:val="18"/>
          <w:szCs w:val="18"/>
          <w:color w:val="auto"/>
        </w:rPr>
        <w:t>has the meaning assigned to that term pursuant to the Registration Rights Agreement</w:t>
      </w:r>
      <w:r>
        <w:rPr>
          <w:rFonts w:ascii="Arial" w:cs="Arial" w:eastAsia="Arial" w:hAnsi="Arial"/>
          <w:sz w:val="18"/>
          <w:szCs w:val="18"/>
          <w:i w:val="1"/>
          <w:iCs w:val="1"/>
          <w:color w:val="auto"/>
        </w:rPr>
        <w:t>.</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“Stated Maturity” </w:t>
      </w:r>
      <w:r>
        <w:rPr>
          <w:rFonts w:ascii="Arial" w:cs="Arial" w:eastAsia="Arial" w:hAnsi="Arial"/>
          <w:sz w:val="18"/>
          <w:szCs w:val="18"/>
          <w:color w:val="auto"/>
        </w:rPr>
        <w:t>means, with respect to any installment of interest or principal on any series of Indebtedness, the date on which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with respect to any specified Person:</w:t>
      </w:r>
    </w:p>
    <w:p>
      <w:pPr>
        <w:spacing w:after="0" w:line="225" w:lineRule="exact"/>
        <w:rPr>
          <w:sz w:val="20"/>
          <w:szCs w:val="20"/>
          <w:color w:val="auto"/>
        </w:rPr>
      </w:pPr>
    </w:p>
    <w:p>
      <w:pPr>
        <w:ind w:left="660" w:right="80" w:firstLine="645"/>
        <w:spacing w:after="0" w:line="257" w:lineRule="auto"/>
        <w:tabs>
          <w:tab w:leader="none" w:pos="1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8" w:lineRule="exact"/>
        <w:rPr>
          <w:rFonts w:ascii="Arial" w:cs="Arial" w:eastAsia="Arial" w:hAnsi="Arial"/>
          <w:sz w:val="18"/>
          <w:szCs w:val="18"/>
          <w:color w:val="auto"/>
        </w:rPr>
      </w:pPr>
    </w:p>
    <w:p>
      <w:pPr>
        <w:ind w:left="660" w:firstLine="645"/>
        <w:spacing w:after="0" w:line="308" w:lineRule="auto"/>
        <w:tabs>
          <w:tab w:leader="none" w:pos="19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ectPr>
          <w:pgSz w:w="11900" w:h="16838" w:orient="portrait"/>
          <w:cols w:equalWidth="0" w:num="1">
            <w:col w:w="11380"/>
          </w:cols>
          <w:pgMar w:left="240" w:top="341" w:right="279" w:bottom="0" w:gutter="0" w:footer="0" w:header="0"/>
        </w:sectPr>
      </w:pPr>
    </w:p>
    <w:bookmarkStart w:id="13" w:name="page14"/>
    <w:bookmarkEnd w:id="13"/>
    <w:p>
      <w:pPr>
        <w:ind w:right="34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Subsidiary Guarantee”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Guarantee by each Subsidiary Guarantor of the Company’s obligations under this Indenture and on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pursuant to the provisions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“Subsidiary Guarantors” </w:t>
      </w:r>
      <w:r>
        <w:rPr>
          <w:rFonts w:ascii="Arial" w:cs="Arial" w:eastAsia="Arial" w:hAnsi="Arial"/>
          <w:sz w:val="18"/>
          <w:szCs w:val="18"/>
          <w:color w:val="auto"/>
        </w:rPr>
        <w:t>means:</w:t>
      </w:r>
    </w:p>
    <w:p>
      <w:pPr>
        <w:spacing w:after="0" w:line="225" w:lineRule="exact"/>
        <w:rPr>
          <w:sz w:val="20"/>
          <w:szCs w:val="20"/>
          <w:color w:val="auto"/>
        </w:rPr>
      </w:pPr>
    </w:p>
    <w:p>
      <w:pPr>
        <w:ind w:left="660" w:right="160" w:firstLine="645"/>
        <w:spacing w:after="0" w:line="277" w:lineRule="auto"/>
        <w:tabs>
          <w:tab w:leader="none" w:pos="1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the Company’s Wholly Owned Subsidiaries that Guarantee the Notes on the date of this Indenture, until such time as they are released pursuant to Section 10.05 of this Indenture; and</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this Indenture, and their respective successors and assigns.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Indenture</w:t>
      </w:r>
      <w:r>
        <w:rPr>
          <w:rFonts w:ascii="Arial" w:cs="Arial" w:eastAsia="Arial" w:hAnsi="Arial"/>
          <w:sz w:val="18"/>
          <w:szCs w:val="18"/>
          <w:color w:val="auto"/>
        </w:rPr>
        <w:t>” means any supplemental indenture entered into pursuant to Section 2.01 hereof to evidence the issuance of any Additional Securities after the date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“TIA” </w:t>
      </w:r>
      <w:r>
        <w:rPr>
          <w:rFonts w:ascii="Arial" w:cs="Arial" w:eastAsia="Arial" w:hAnsi="Arial"/>
          <w:sz w:val="18"/>
          <w:szCs w:val="18"/>
          <w:color w:val="auto"/>
        </w:rPr>
        <w:t>means the Trust Indenture Act of 1939, as amended (15 U.S.C. §§ 77aaa-77bbbb).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40" w:firstLine="648"/>
        <w:spacing w:after="0" w:line="342"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5"/>
          <w:szCs w:val="15"/>
          <w:i w:val="1"/>
          <w:iCs w:val="1"/>
          <w:color w:val="auto"/>
        </w:rPr>
        <w:t>Total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means, as of any date of determination, the total consolidated assets of the Company and its Subsidiaries, determined on a</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basis in accordance with GAAP, as shown on the most recent publicly available balance sheet of the Company as of such date.</w:t>
      </w:r>
    </w:p>
    <w:p>
      <w:pPr>
        <w:spacing w:after="0" w:line="12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Total Secured Debt”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of determination, the aggregate principal amount of Indebtedness of the Company and the Guarantors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on such date that is secured by a Lien on any property or assets of the Company or any of the Guarantors (including Capital Stock of Subsidiaries of the Company or Indebtedness of Subsidiaries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Total Secured Debt will include only the amount of payments that the Company or any of the Guarantors would be required to make, on the date Total Secured Debt is being determined, in the event of any early termination or similar event on such date of determination and (ii) for the avoidance of doubt, Total Secured Debt will not include the undrawn amount of any outstanding letters of credit.</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Treasury Rate”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redemption date, the yield to maturity as of such redemption date of United States Treasury securities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September 15, 2021;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period from the redemption date to September 15, 2021 is less than one year, the weekly average yield on actually traded United States Treasury securities adjusted to a constant maturity of one year will be used.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Definitive Note” </w:t>
      </w:r>
      <w:r>
        <w:rPr>
          <w:rFonts w:ascii="Arial" w:cs="Arial" w:eastAsia="Arial" w:hAnsi="Arial"/>
          <w:sz w:val="18"/>
          <w:szCs w:val="18"/>
          <w:color w:val="auto"/>
        </w:rPr>
        <w:t>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“Unrestricted Definitive Security” </w:t>
      </w:r>
      <w:r>
        <w:rPr>
          <w:rFonts w:ascii="Arial" w:cs="Arial" w:eastAsia="Arial" w:hAnsi="Arial"/>
          <w:sz w:val="17"/>
          <w:szCs w:val="17"/>
          <w:color w:val="auto"/>
        </w:rPr>
        <w:t>means a Definitive Security that does not bear and is not required to bear the Private Placement Legend.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Note” </w:t>
      </w:r>
      <w:r>
        <w:rPr>
          <w:rFonts w:ascii="Arial" w:cs="Arial" w:eastAsia="Arial" w:hAnsi="Arial"/>
          <w:sz w:val="18"/>
          <w:szCs w:val="18"/>
          <w:color w:val="auto"/>
        </w:rPr>
        <w:t>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Security” </w:t>
      </w:r>
      <w:r>
        <w:rPr>
          <w:rFonts w:ascii="Arial" w:cs="Arial" w:eastAsia="Arial" w:hAnsi="Arial"/>
          <w:sz w:val="18"/>
          <w:szCs w:val="18"/>
          <w:color w:val="auto"/>
        </w:rPr>
        <w:t>means a Global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“U.S. Person” </w:t>
      </w:r>
      <w:r>
        <w:rPr>
          <w:rFonts w:ascii="Arial" w:cs="Arial" w:eastAsia="Arial" w:hAnsi="Arial"/>
          <w:sz w:val="18"/>
          <w:szCs w:val="18"/>
          <w:color w:val="auto"/>
        </w:rPr>
        <w:t>means a U.S. Person as defined in Rule 902(k) promulgated under the Securities Act.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of any specified Person as of any date means the Capital Stock of such Person that is at the time entitled to vote in the election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of such Person.</w:t>
      </w:r>
    </w:p>
    <w:p>
      <w:pPr>
        <w:spacing w:after="0" w:line="17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i w:val="1"/>
          <w:iCs w:val="1"/>
          <w:color w:val="auto"/>
        </w:rPr>
        <w:t xml:space="preserve">“Wholly Owned Subsidiary” </w:t>
      </w:r>
      <w:r>
        <w:rPr>
          <w:rFonts w:ascii="Arial" w:cs="Arial" w:eastAsia="Arial" w:hAnsi="Arial"/>
          <w:sz w:val="16"/>
          <w:szCs w:val="16"/>
          <w:color w:val="auto"/>
        </w:rPr>
        <w:t>means, with respect to any specified Person, a direct or indirect Subsidiary of such Person, 100% of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Stock or other ownership interests of which is at the time owned by such Person or by one or more Wholly Owned Subsidiaries of such Person.</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i w:val="1"/>
          <w:iCs w:val="1"/>
          <w:color w:val="auto"/>
        </w:rPr>
        <w:t>Other Definitions.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purposes of the Notes, the following terms will have the meanings set forth in this Section 1.02. For purposes of any Additional Securities issued under this Indenture, the Supplemental Indenture in respect of such Additional Securities will specify the defined terms to be used therein, which may include some, all or none of the terms contained in this Section 1.02.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280" w:type="dxa"/>
            <w:vAlign w:val="bottom"/>
          </w:tcPr>
          <w:p>
            <w:pPr>
              <w:jc w:val="right"/>
              <w:ind w:right="283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78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44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Term</w:t>
            </w: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94"/>
              </w:rPr>
              <w:t>Defined in</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6"/>
              </w:rPr>
              <w:t>Section</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“Authentication Order”</w:t>
            </w:r>
          </w:p>
        </w:tc>
        <w:tc>
          <w:tcPr>
            <w:tcW w:w="4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“Change of Control Offer”</w:t>
            </w:r>
          </w:p>
        </w:tc>
        <w:tc>
          <w:tcPr>
            <w:tcW w:w="5920" w:type="dxa"/>
            <w:vAlign w:val="bottom"/>
            <w:gridSpan w:val="3"/>
          </w:tcPr>
          <w:p>
            <w:pPr>
              <w:jc w:val="center"/>
              <w:ind w:left="447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 of Control Payment”</w:t>
            </w:r>
          </w:p>
        </w:tc>
        <w:tc>
          <w:tcPr>
            <w:tcW w:w="5920" w:type="dxa"/>
            <w:vAlign w:val="bottom"/>
            <w:gridSpan w:val="3"/>
            <w:shd w:val="clear" w:color="auto" w:fill="CCEEFF"/>
          </w:tcPr>
          <w:p>
            <w:pPr>
              <w:jc w:val="center"/>
              <w:ind w:left="4470"/>
              <w:spacing w:after="0"/>
              <w:rPr>
                <w:sz w:val="20"/>
                <w:szCs w:val="20"/>
                <w:color w:val="auto"/>
              </w:rPr>
            </w:pPr>
            <w:r>
              <w:rPr>
                <w:rFonts w:ascii="Arial" w:cs="Arial" w:eastAsia="Arial" w:hAnsi="Arial"/>
                <w:sz w:val="18"/>
                <w:szCs w:val="18"/>
                <w:color w:val="auto"/>
                <w:w w:val="91"/>
              </w:rPr>
              <w:t>4.09</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“Change of Control Payment Date”</w:t>
            </w:r>
          </w:p>
        </w:tc>
        <w:tc>
          <w:tcPr>
            <w:tcW w:w="5920" w:type="dxa"/>
            <w:vAlign w:val="bottom"/>
            <w:gridSpan w:val="3"/>
          </w:tcPr>
          <w:p>
            <w:pPr>
              <w:jc w:val="center"/>
              <w:ind w:left="447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“Covenant Defeasance”</w:t>
            </w:r>
          </w:p>
        </w:tc>
        <w:tc>
          <w:tcPr>
            <w:tcW w:w="5920" w:type="dxa"/>
            <w:vAlign w:val="bottom"/>
            <w:gridSpan w:val="3"/>
            <w:shd w:val="clear" w:color="auto" w:fill="CCEEFF"/>
          </w:tcPr>
          <w:p>
            <w:pPr>
              <w:jc w:val="center"/>
              <w:ind w:left="4470"/>
              <w:spacing w:after="0"/>
              <w:rPr>
                <w:sz w:val="20"/>
                <w:szCs w:val="20"/>
                <w:color w:val="auto"/>
              </w:rPr>
            </w:pPr>
            <w:r>
              <w:rPr>
                <w:rFonts w:ascii="Arial" w:cs="Arial" w:eastAsia="Arial" w:hAnsi="Arial"/>
                <w:sz w:val="18"/>
                <w:szCs w:val="18"/>
                <w:color w:val="auto"/>
                <w:w w:val="91"/>
              </w:rPr>
              <w:t>8.03</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“DTC”</w:t>
            </w:r>
          </w:p>
        </w:tc>
        <w:tc>
          <w:tcPr>
            <w:tcW w:w="5920" w:type="dxa"/>
            <w:vAlign w:val="bottom"/>
            <w:gridSpan w:val="3"/>
          </w:tcPr>
          <w:p>
            <w:pPr>
              <w:jc w:val="center"/>
              <w:ind w:left="4470"/>
              <w:spacing w:after="0"/>
              <w:rPr>
                <w:sz w:val="20"/>
                <w:szCs w:val="20"/>
                <w:color w:val="auto"/>
              </w:rPr>
            </w:pPr>
            <w:r>
              <w:rPr>
                <w:rFonts w:ascii="Arial" w:cs="Arial" w:eastAsia="Arial" w:hAnsi="Arial"/>
                <w:sz w:val="18"/>
                <w:szCs w:val="18"/>
                <w:color w:val="auto"/>
                <w:w w:val="91"/>
              </w:rPr>
              <w:t>2.03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“Event of Default”</w:t>
            </w:r>
          </w:p>
        </w:tc>
        <w:tc>
          <w:tcPr>
            <w:tcW w:w="5920" w:type="dxa"/>
            <w:vAlign w:val="bottom"/>
            <w:gridSpan w:val="3"/>
            <w:shd w:val="clear" w:color="auto" w:fill="CCEEFF"/>
          </w:tcPr>
          <w:p>
            <w:pPr>
              <w:jc w:val="center"/>
              <w:ind w:left="4470"/>
              <w:spacing w:after="0"/>
              <w:rPr>
                <w:sz w:val="20"/>
                <w:szCs w:val="20"/>
                <w:color w:val="auto"/>
              </w:rPr>
            </w:pPr>
            <w:r>
              <w:rPr>
                <w:rFonts w:ascii="Arial" w:cs="Arial" w:eastAsia="Arial" w:hAnsi="Arial"/>
                <w:sz w:val="18"/>
                <w:szCs w:val="18"/>
                <w:color w:val="auto"/>
                <w:w w:val="91"/>
              </w:rPr>
              <w:t>6.01</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“Legal Defeasance”</w:t>
            </w:r>
          </w:p>
        </w:tc>
        <w:tc>
          <w:tcPr>
            <w:tcW w:w="5920" w:type="dxa"/>
            <w:vAlign w:val="bottom"/>
            <w:gridSpan w:val="3"/>
          </w:tcPr>
          <w:p>
            <w:pPr>
              <w:jc w:val="center"/>
              <w:ind w:left="4470"/>
              <w:spacing w:after="0"/>
              <w:rPr>
                <w:sz w:val="20"/>
                <w:szCs w:val="20"/>
                <w:color w:val="auto"/>
              </w:rPr>
            </w:pPr>
            <w:r>
              <w:rPr>
                <w:rFonts w:ascii="Arial" w:cs="Arial" w:eastAsia="Arial" w:hAnsi="Arial"/>
                <w:sz w:val="18"/>
                <w:szCs w:val="18"/>
                <w:color w:val="auto"/>
                <w:w w:val="91"/>
              </w:rPr>
              <w:t>8.02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“Paying Agent”</w:t>
            </w:r>
          </w:p>
        </w:tc>
        <w:tc>
          <w:tcPr>
            <w:tcW w:w="5920" w:type="dxa"/>
            <w:vAlign w:val="bottom"/>
            <w:gridSpan w:val="3"/>
            <w:shd w:val="clear" w:color="auto" w:fill="CCEEFF"/>
          </w:tcPr>
          <w:p>
            <w:pPr>
              <w:jc w:val="center"/>
              <w:ind w:left="4470"/>
              <w:spacing w:after="0"/>
              <w:rPr>
                <w:sz w:val="20"/>
                <w:szCs w:val="20"/>
                <w:color w:val="auto"/>
              </w:rPr>
            </w:pPr>
            <w:r>
              <w:rPr>
                <w:rFonts w:ascii="Arial" w:cs="Arial" w:eastAsia="Arial" w:hAnsi="Arial"/>
                <w:sz w:val="18"/>
                <w:szCs w:val="18"/>
                <w:color w:val="auto"/>
                <w:w w:val="91"/>
              </w:rPr>
              <w:t>2.03</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“Payment Default”</w:t>
            </w:r>
          </w:p>
        </w:tc>
        <w:tc>
          <w:tcPr>
            <w:tcW w:w="5920" w:type="dxa"/>
            <w:vAlign w:val="bottom"/>
            <w:gridSpan w:val="3"/>
          </w:tcPr>
          <w:p>
            <w:pPr>
              <w:jc w:val="center"/>
              <w:ind w:left="4470"/>
              <w:spacing w:after="0"/>
              <w:rPr>
                <w:sz w:val="20"/>
                <w:szCs w:val="20"/>
                <w:color w:val="auto"/>
              </w:rPr>
            </w:pPr>
            <w:r>
              <w:rPr>
                <w:rFonts w:ascii="Arial" w:cs="Arial" w:eastAsia="Arial" w:hAnsi="Arial"/>
                <w:sz w:val="18"/>
                <w:szCs w:val="18"/>
                <w:color w:val="auto"/>
                <w:w w:val="91"/>
              </w:rPr>
              <w:t>6.01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“Registrar”</w:t>
            </w:r>
          </w:p>
        </w:tc>
        <w:tc>
          <w:tcPr>
            <w:tcW w:w="5920" w:type="dxa"/>
            <w:vAlign w:val="bottom"/>
            <w:gridSpan w:val="3"/>
            <w:shd w:val="clear" w:color="auto" w:fill="CCEEFF"/>
          </w:tcPr>
          <w:p>
            <w:pPr>
              <w:jc w:val="center"/>
              <w:ind w:left="4470"/>
              <w:spacing w:after="0"/>
              <w:rPr>
                <w:sz w:val="20"/>
                <w:szCs w:val="20"/>
                <w:color w:val="auto"/>
              </w:rPr>
            </w:pPr>
            <w:r>
              <w:rPr>
                <w:rFonts w:ascii="Arial" w:cs="Arial" w:eastAsia="Arial" w:hAnsi="Arial"/>
                <w:sz w:val="18"/>
                <w:szCs w:val="18"/>
                <w:color w:val="auto"/>
                <w:w w:val="91"/>
              </w:rPr>
              <w:t>2.03</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-2094230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-2094230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4" w:name="page15"/>
    <w:bookmarkEnd w:id="14"/>
    <w:p>
      <w:pPr>
        <w:spacing w:after="0"/>
        <w:tabs>
          <w:tab w:leader="none" w:pos="12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i w:val="1"/>
          <w:iCs w:val="1"/>
          <w:color w:val="auto"/>
        </w:rPr>
        <w:t>Incorporation by Reference of Trust Indenture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Whenever this Indenture refers to a provision of the TIA, the provision is incorporated by reference in and made a part of this Indenture.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securities” </w:t>
      </w:r>
      <w:r>
        <w:rPr>
          <w:rFonts w:ascii="Arial" w:cs="Arial" w:eastAsia="Arial" w:hAnsi="Arial"/>
          <w:sz w:val="18"/>
          <w:szCs w:val="18"/>
          <w:color w:val="auto"/>
        </w:rPr>
        <w:t>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security Holder” </w:t>
      </w:r>
      <w:r>
        <w:rPr>
          <w:rFonts w:ascii="Arial" w:cs="Arial" w:eastAsia="Arial" w:hAnsi="Arial"/>
          <w:sz w:val="18"/>
          <w:szCs w:val="18"/>
          <w:color w:val="auto"/>
        </w:rPr>
        <w:t>means a Holder of a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to be qualified” </w:t>
      </w:r>
      <w:r>
        <w:rPr>
          <w:rFonts w:ascii="Arial" w:cs="Arial" w:eastAsia="Arial" w:hAnsi="Arial"/>
          <w:sz w:val="18"/>
          <w:szCs w:val="18"/>
          <w:color w:val="auto"/>
        </w:rPr>
        <w:t>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trustee” </w:t>
      </w:r>
      <w:r>
        <w:rPr>
          <w:rFonts w:ascii="Arial" w:cs="Arial" w:eastAsia="Arial" w:hAnsi="Arial"/>
          <w:sz w:val="18"/>
          <w:szCs w:val="18"/>
          <w:color w:val="auto"/>
        </w:rPr>
        <w:t>or</w:t>
      </w:r>
      <w:r>
        <w:rPr>
          <w:rFonts w:ascii="Arial" w:cs="Arial" w:eastAsia="Arial" w:hAnsi="Arial"/>
          <w:sz w:val="18"/>
          <w:szCs w:val="18"/>
          <w:i w:val="1"/>
          <w:iCs w:val="1"/>
          <w:color w:val="auto"/>
        </w:rPr>
        <w:t xml:space="preserve"> “institutional trustee” </w:t>
      </w:r>
      <w:r>
        <w:rPr>
          <w:rFonts w:ascii="Arial" w:cs="Arial" w:eastAsia="Arial" w:hAnsi="Arial"/>
          <w:sz w:val="18"/>
          <w:szCs w:val="18"/>
          <w:color w:val="auto"/>
        </w:rPr>
        <w:t>means the Trustee; and</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“obligor” </w:t>
      </w:r>
      <w:r>
        <w:rPr>
          <w:rFonts w:ascii="Arial" w:cs="Arial" w:eastAsia="Arial" w:hAnsi="Arial"/>
          <w:sz w:val="18"/>
          <w:szCs w:val="18"/>
          <w:color w:val="auto"/>
        </w:rPr>
        <w:t>on the Securities and the Guarantees means the Company and the Guarantors, respectively, and any successor obligor upon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Guarantees, respectively.</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have the meanings so assigned to them.</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Rules of Construction.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“including” is not limiting;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terms and provisions contained in this Indenture will apply to any Additional Securities issued from time to time pursuant to this Indenture, except as may be otherwise provided in the Supplemental Indenture with respect to such Additional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ISSUANCE OF NOTES AND ADDITIONAL SECURITIES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 of Notes; Creation of Additional Securities.</w:t>
      </w:r>
    </w:p>
    <w:p>
      <w:pPr>
        <w:spacing w:after="0" w:line="225" w:lineRule="exact"/>
        <w:rPr>
          <w:sz w:val="20"/>
          <w:szCs w:val="20"/>
          <w:color w:val="auto"/>
        </w:rPr>
      </w:pPr>
    </w:p>
    <w:p>
      <w:pPr>
        <w:ind w:firstLine="656"/>
        <w:spacing w:after="0" w:line="291" w:lineRule="auto"/>
        <w:tabs>
          <w:tab w:leader="none" w:pos="1294"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Securities to be Issued in Series</w:t>
      </w:r>
      <w:r>
        <w:rPr>
          <w:rFonts w:ascii="Arial" w:cs="Arial" w:eastAsia="Arial" w:hAnsi="Arial"/>
          <w:sz w:val="16"/>
          <w:szCs w:val="16"/>
          <w:color w:val="auto"/>
        </w:rPr>
        <w:t>. The aggregate amount of Securities that may be authenticated and delivered under this Indenture is</w:t>
      </w:r>
      <w:r>
        <w:rPr>
          <w:rFonts w:ascii="Arial" w:cs="Arial" w:eastAsia="Arial" w:hAnsi="Arial"/>
          <w:sz w:val="16"/>
          <w:szCs w:val="16"/>
          <w:i w:val="1"/>
          <w:iCs w:val="1"/>
          <w:color w:val="auto"/>
        </w:rPr>
        <w:t xml:space="preserve"> </w:t>
      </w:r>
      <w:r>
        <w:rPr>
          <w:rFonts w:ascii="Arial" w:cs="Arial" w:eastAsia="Arial" w:hAnsi="Arial"/>
          <w:sz w:val="16"/>
          <w:szCs w:val="16"/>
          <w:color w:val="auto"/>
        </w:rPr>
        <w:t>unlimited. The Securities may be issued in one or more Series. All Additional Securities will have the terms set forth in the Supplemental Indenture pursuant to which such Series of Additional Securities is created, which Supplemental Indenture will detail the adoption of the terms of such Series of Additional Securities pursuant to the authority granted under a Board Resolution. In the case of Securities of a Series to be issued from time to time, the Supplemental Indenture creating such Series will detail the adoption of the terms thereof pursuant to the authority granted under a Board Resolution and will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At or prior to the issuance of any Series of Additional Securities, the following terms shall be established in the Supplemental Indenture in respect of such Series created pursuant to authority granted under a Board Resolution and executed and delivered by the Company and the Trustee (and, if applicable, any guarantors of such Additional Securities):</w:t>
      </w:r>
    </w:p>
    <w:p>
      <w:pPr>
        <w:spacing w:after="0" w:line="181" w:lineRule="exact"/>
        <w:rPr>
          <w:sz w:val="20"/>
          <w:szCs w:val="20"/>
          <w:color w:val="auto"/>
        </w:rPr>
      </w:pPr>
    </w:p>
    <w:p>
      <w:pPr>
        <w:ind w:left="1960" w:hanging="655"/>
        <w:spacing w:after="0"/>
        <w:tabs>
          <w:tab w:leader="none" w:pos="1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title of the Series (which shall distinguish the Securities of that particular Series from the Securities of any other Series);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48" w:lineRule="exact"/>
        <w:rPr>
          <w:rFonts w:ascii="Arial" w:cs="Arial" w:eastAsia="Arial" w:hAnsi="Arial"/>
          <w:sz w:val="16"/>
          <w:szCs w:val="16"/>
          <w:color w:val="auto"/>
        </w:rPr>
      </w:pPr>
    </w:p>
    <w:p>
      <w:pPr>
        <w:ind w:left="660" w:right="120" w:firstLine="645"/>
        <w:spacing w:after="0" w:line="264" w:lineRule="auto"/>
        <w:tabs>
          <w:tab w:leader="none" w:pos="1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this Article 2);</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ectPr>
          <w:pgSz w:w="11900" w:h="16838" w:orient="portrait"/>
          <w:cols w:equalWidth="0" w:num="1">
            <w:col w:w="11400"/>
          </w:cols>
          <w:pgMar w:left="240" w:top="341" w:right="259" w:bottom="0" w:gutter="0" w:footer="0" w:header="0"/>
        </w:sectPr>
      </w:pPr>
    </w:p>
    <w:bookmarkStart w:id="15" w:name="page16"/>
    <w:bookmarkEnd w:id="15"/>
    <w:p>
      <w:pPr>
        <w:spacing w:after="0" w:line="89" w:lineRule="exact"/>
        <w:rPr>
          <w:sz w:val="20"/>
          <w:szCs w:val="20"/>
          <w:color w:val="auto"/>
        </w:rPr>
      </w:pPr>
    </w:p>
    <w:p>
      <w:pPr>
        <w:ind w:left="660" w:right="80" w:firstLine="645"/>
        <w:spacing w:after="0" w:line="279" w:lineRule="auto"/>
        <w:tabs>
          <w:tab w:leader="none" w:pos="196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20" w:firstLine="645"/>
        <w:spacing w:after="0" w:line="312" w:lineRule="auto"/>
        <w:tabs>
          <w:tab w:leader="none" w:pos="196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46" w:lineRule="exact"/>
        <w:rPr>
          <w:rFonts w:ascii="Arial" w:cs="Arial" w:eastAsia="Arial" w:hAnsi="Arial"/>
          <w:sz w:val="16"/>
          <w:szCs w:val="16"/>
          <w:color w:val="auto"/>
        </w:rPr>
      </w:pPr>
    </w:p>
    <w:p>
      <w:pPr>
        <w:ind w:left="660" w:right="700" w:firstLine="645"/>
        <w:spacing w:after="0" w:line="277" w:lineRule="auto"/>
        <w:tabs>
          <w:tab w:leader="none" w:pos="19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jc w:val="both"/>
        <w:ind w:left="660" w:right="20" w:firstLine="645"/>
        <w:spacing w:after="0" w:line="286" w:lineRule="auto"/>
        <w:tabs>
          <w:tab w:leader="none" w:pos="196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660" w:right="160" w:firstLine="645"/>
        <w:spacing w:after="0" w:line="277" w:lineRule="auto"/>
        <w:tabs>
          <w:tab w:leader="none" w:pos="19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660" w:right="460" w:firstLine="645"/>
        <w:spacing w:after="0" w:line="277" w:lineRule="auto"/>
        <w:tabs>
          <w:tab w:leader="none" w:pos="19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multiples of $1,000 in excess thereof, the denominations in which the Securities of the Series shall be issuable;</w:t>
      </w:r>
    </w:p>
    <w:p>
      <w:pPr>
        <w:spacing w:after="0" w:line="170" w:lineRule="exact"/>
        <w:rPr>
          <w:rFonts w:ascii="Arial" w:cs="Arial" w:eastAsia="Arial" w:hAnsi="Arial"/>
          <w:sz w:val="18"/>
          <w:szCs w:val="18"/>
          <w:color w:val="auto"/>
        </w:rPr>
      </w:pPr>
    </w:p>
    <w:p>
      <w:pPr>
        <w:ind w:left="660" w:right="220" w:firstLine="645"/>
        <w:spacing w:after="0" w:line="277" w:lineRule="auto"/>
        <w:tabs>
          <w:tab w:leader="none" w:pos="19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forms of the Securities of the Series in bearer or fully registered form (and, if in fully registered form, whether the Securities will be issuable as Global Securities);</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left="660" w:right="220" w:firstLine="645"/>
        <w:spacing w:after="0" w:line="264" w:lineRule="auto"/>
        <w:tabs>
          <w:tab w:leader="none" w:pos="19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of denomination of the Securities of the Series, which may be U.S. dollars or any other currency, including, but not limited to, the ECU, and if such currency of denomination is a composite currency other than the ECU, the agency or organization, if any, responsible for overseeing such composite currency;</w:t>
      </w:r>
    </w:p>
    <w:p>
      <w:pPr>
        <w:spacing w:after="0" w:line="181" w:lineRule="exact"/>
        <w:rPr>
          <w:rFonts w:ascii="Arial" w:cs="Arial" w:eastAsia="Arial" w:hAnsi="Arial"/>
          <w:sz w:val="18"/>
          <w:szCs w:val="18"/>
          <w:color w:val="auto"/>
        </w:rPr>
      </w:pPr>
    </w:p>
    <w:p>
      <w:pPr>
        <w:ind w:left="660" w:right="560" w:firstLine="645"/>
        <w:spacing w:after="0" w:line="277" w:lineRule="auto"/>
        <w:tabs>
          <w:tab w:leader="none" w:pos="19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if any, on the Securities of the Series will be made;</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19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19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rFonts w:ascii="Arial" w:cs="Arial" w:eastAsia="Arial" w:hAnsi="Arial"/>
          <w:sz w:val="18"/>
          <w:szCs w:val="18"/>
          <w:color w:val="auto"/>
        </w:rPr>
      </w:pPr>
    </w:p>
    <w:p>
      <w:pPr>
        <w:ind w:left="660" w:right="80" w:firstLine="645"/>
        <w:spacing w:after="0" w:line="277" w:lineRule="auto"/>
        <w:tabs>
          <w:tab w:leader="none" w:pos="19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if any, relating to any security or guarantee provided for the Securities of the Series, and any subordination in right of payment, if any, of the Securities of the Series;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covenants set forth in Articles 4 or 5 which applies to Securities of the Series;</w:t>
      </w:r>
    </w:p>
    <w:p>
      <w:pPr>
        <w:spacing w:after="0" w:line="248" w:lineRule="exact"/>
        <w:rPr>
          <w:rFonts w:ascii="Arial" w:cs="Arial" w:eastAsia="Arial" w:hAnsi="Arial"/>
          <w:sz w:val="16"/>
          <w:szCs w:val="16"/>
          <w:color w:val="auto"/>
        </w:rPr>
      </w:pPr>
    </w:p>
    <w:p>
      <w:pPr>
        <w:ind w:left="660" w:right="160" w:firstLine="645"/>
        <w:spacing w:after="0" w:line="308" w:lineRule="auto"/>
        <w:tabs>
          <w:tab w:leader="none" w:pos="1959"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provisions and terms set forth in Articles 7 and 9 which applies to Securities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 Series;</w:t>
      </w:r>
    </w:p>
    <w:p>
      <w:pPr>
        <w:spacing w:after="0" w:line="210" w:lineRule="exact"/>
        <w:rPr>
          <w:rFonts w:ascii="Arial" w:cs="Arial" w:eastAsia="Arial" w:hAnsi="Arial"/>
          <w:sz w:val="16"/>
          <w:szCs w:val="16"/>
          <w:color w:val="auto"/>
        </w:rPr>
      </w:pPr>
    </w:p>
    <w:p>
      <w:pPr>
        <w:ind w:left="660" w:right="140" w:firstLine="645"/>
        <w:spacing w:after="0" w:line="277" w:lineRule="auto"/>
        <w:tabs>
          <w:tab w:leader="none" w:pos="19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may modify or delete any provision of this Indenture insofar as it applies to such Series and/or add additional provisions);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depositories,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consistent with the terms of this Indenture, if so provided by or pursuant to the Supplemental Indenture pursuant to which such Series is created, and the authorized principal amount of any Series may be increased to provide for issuances of additional Securities of such Series, unless otherwise provided in such Supplemental Indenture.</w:t>
      </w:r>
    </w:p>
    <w:p>
      <w:pPr>
        <w:spacing w:after="0" w:line="147" w:lineRule="exact"/>
        <w:rPr>
          <w:sz w:val="20"/>
          <w:szCs w:val="20"/>
          <w:color w:val="auto"/>
        </w:rPr>
      </w:pPr>
    </w:p>
    <w:p>
      <w:pPr>
        <w:ind w:firstLine="656"/>
        <w:spacing w:after="0" w:line="279" w:lineRule="auto"/>
        <w:tabs>
          <w:tab w:leader="none" w:pos="1304"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The Notes</w:t>
      </w:r>
      <w:r>
        <w:rPr>
          <w:rFonts w:ascii="Arial" w:cs="Arial" w:eastAsia="Arial" w:hAnsi="Arial"/>
          <w:sz w:val="17"/>
          <w:szCs w:val="17"/>
          <w:color w:val="auto"/>
        </w:rPr>
        <w:t>. The Notes shall be issued in registered global form without interest coupons. The Notes and the Trustee’s certificate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authentication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Notes may have notations, legends or endorsements required by law, stock exchange rule or usage. The Company shall furnish any such notations, legends or endorsements to the Trustee in writing. Each Note shall be dated the date of its authentication. The Notes shall be in minimum denominations of $2,000 and integral multiples of $1,000.</w:t>
      </w:r>
    </w:p>
    <w:p>
      <w:pPr>
        <w:sectPr>
          <w:pgSz w:w="11900" w:h="16928" w:orient="portrait"/>
          <w:cols w:equalWidth="0" w:num="1">
            <w:col w:w="11400"/>
          </w:cols>
          <w:pgMar w:left="240" w:top="125" w:right="259" w:bottom="0" w:gutter="0" w:footer="0" w:header="0"/>
        </w:sectPr>
      </w:pPr>
    </w:p>
    <w:bookmarkStart w:id="16" w:name="page17"/>
    <w:bookmarkEnd w:id="16"/>
    <w:p>
      <w:pPr>
        <w:spacing w:after="0" w:line="10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the Indenture and the Company, the Guarantors and the Trustee, by their execution and delivery of this Indenture, expressly agree to such terms and provisions and to be bound thereby. However, to the extent any provision of the Note conflicts with the express provisions of this Indenture, the provisions of this Indenture shall govern and be controlling.</w:t>
      </w:r>
    </w:p>
    <w:p>
      <w:pPr>
        <w:spacing w:after="0" w:line="187" w:lineRule="exact"/>
        <w:rPr>
          <w:sz w:val="20"/>
          <w:szCs w:val="20"/>
          <w:color w:val="auto"/>
        </w:rPr>
      </w:pPr>
    </w:p>
    <w:p>
      <w:pPr>
        <w:ind w:right="20" w:firstLine="656"/>
        <w:spacing w:after="0" w:line="270" w:lineRule="auto"/>
        <w:tabs>
          <w:tab w:leader="none" w:pos="1307"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Global Securities</w:t>
      </w:r>
      <w:r>
        <w:rPr>
          <w:rFonts w:ascii="Arial" w:cs="Arial" w:eastAsia="Arial" w:hAnsi="Arial"/>
          <w:sz w:val="17"/>
          <w:szCs w:val="17"/>
          <w:color w:val="auto"/>
        </w:rPr>
        <w:t>. Notes issued in global form shall be substantially in the form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hereto (including the Global Legend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thereon and the “Schedule of Exchanges of Interests in the Global Note” attached thereto). Notes issued in definitive form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(but without the Global Legend thereon and without the “Schedule of Exchanges of Interests in the Global Note” attached thereto). All other Global Securities will be in the form specified in the Supplemental Indenture pursuant to which such Series of Securities is created. Each Global Security shall represent such of the outstanding Securities as will be specified therein and each shall provide that it represents the aggregate principal amount of outstanding Securities from time to time as reflected in the records of the Trustee and that the aggregate principal amount of outstanding Securities represented thereby may from time to time be reduced or increased, as appropriate, to reflect exchanges and redemptions. The Trustee’s records shall be noted to reflect the amount of any increase or decrease in the aggregate principal amount of outstanding Securities represented thereby, in accordance with instructions given by the Holder thereof as required by Section 2.06 hereof.</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56"/>
        <w:spacing w:after="0" w:line="312" w:lineRule="auto"/>
        <w:tabs>
          <w:tab w:leader="none" w:pos="1304"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Governing Use of Euroclear” and the “General Terms and Conditions of Clearstream Banking” and “Customer Handbook” of Clearstream will be applicable to transfers of beneficial interests in the Regulation S Global Security that are held by Participants through Euroclear or Clearstream.</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Officer must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 Officer whose signature is on a Security no longer holds that office at the time a Security is authenticated, the Security will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 Security will not be valid until authenticated by the manual signature of the Trustee. The signature will be conclusive evidence that the Security has been authenticated under this Indenture.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Trustee shall, upon receipt of a written order of the Company signed by at least one Officer (an </w:t>
      </w:r>
      <w:r>
        <w:rPr>
          <w:rFonts w:ascii="Arial" w:cs="Arial" w:eastAsia="Arial" w:hAnsi="Arial"/>
          <w:sz w:val="16"/>
          <w:szCs w:val="16"/>
          <w:i w:val="1"/>
          <w:iCs w:val="1"/>
          <w:color w:val="auto"/>
        </w:rPr>
        <w:t>“Authentication Order”</w:t>
      </w:r>
      <w:r>
        <w:rPr>
          <w:rFonts w:ascii="Arial" w:cs="Arial" w:eastAsia="Arial" w:hAnsi="Arial"/>
          <w:sz w:val="16"/>
          <w:szCs w:val="16"/>
          <w:color w:val="auto"/>
        </w:rPr>
        <w:t>), authenticate Securities for original issue under this Indenture. The aggregate principal amount of Securities outstanding at any time may not exceed the aggregate principal amount of Securities authorized for issuance by the Company pursuant to one or more Authentication Orders, except as provided in Section 2.08 hereof.</w:t>
      </w:r>
    </w:p>
    <w:p>
      <w:pPr>
        <w:spacing w:after="0" w:line="147"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will maintain an office or agency with respect to each Series of Securities issued pursuant to this Indenture, where such securities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such Securities may be presented for payment (</w:t>
      </w:r>
      <w:r>
        <w:rPr>
          <w:rFonts w:ascii="Arial" w:cs="Arial" w:eastAsia="Arial" w:hAnsi="Arial"/>
          <w:sz w:val="16"/>
          <w:szCs w:val="16"/>
          <w:i w:val="1"/>
          <w:iCs w:val="1"/>
          <w:color w:val="auto"/>
        </w:rPr>
        <w:t>“Paying</w:t>
      </w:r>
      <w:r>
        <w:rPr>
          <w:rFonts w:ascii="Arial" w:cs="Arial" w:eastAsia="Arial" w:hAnsi="Arial"/>
          <w:sz w:val="16"/>
          <w:szCs w:val="16"/>
          <w:color w:val="auto"/>
        </w:rPr>
        <w:t xml:space="preserve"> </w:t>
      </w:r>
      <w:r>
        <w:rPr>
          <w:rFonts w:ascii="Arial" w:cs="Arial" w:eastAsia="Arial" w:hAnsi="Arial"/>
          <w:sz w:val="16"/>
          <w:szCs w:val="16"/>
          <w:i w:val="1"/>
          <w:iCs w:val="1"/>
          <w:color w:val="auto"/>
        </w:rPr>
        <w:t>Agent”</w:t>
      </w:r>
      <w:r>
        <w:rPr>
          <w:rFonts w:ascii="Arial" w:cs="Arial" w:eastAsia="Arial" w:hAnsi="Arial"/>
          <w:sz w:val="16"/>
          <w:szCs w:val="16"/>
          <w:color w:val="auto"/>
        </w:rPr>
        <w:t>). The Registrar will keep a register of all such Securities and of their transfer and exchange. The Company may appoint one or more co-registrars</w:t>
      </w:r>
      <w:r>
        <w:rPr>
          <w:rFonts w:ascii="Arial" w:cs="Arial" w:eastAsia="Arial" w:hAnsi="Arial"/>
          <w:sz w:val="16"/>
          <w:szCs w:val="16"/>
          <w:i w:val="1"/>
          <w:iCs w:val="1"/>
          <w:color w:val="auto"/>
        </w:rPr>
        <w:t xml:space="preserve"> </w:t>
      </w:r>
      <w:r>
        <w:rPr>
          <w:rFonts w:ascii="Arial" w:cs="Arial" w:eastAsia="Arial" w:hAnsi="Arial"/>
          <w:sz w:val="16"/>
          <w:szCs w:val="16"/>
          <w:color w:val="auto"/>
        </w:rPr>
        <w:t>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or parent entities may act as Paying Agent or Registrar.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Company initially appoints the Trustee to act as the Registrar and Paying Agent and to act as Custodian with respect to the Global Notes.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of the Securities for which it is acting as Paying Agent or the Trustee all money held by the Paying Agent for the payment of principal of, premium, if any, and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all Holders and shall otherwise comply with TIA §312(a).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 and the Company shall otherwise comply with TIA §312(a).</w:t>
      </w:r>
    </w:p>
    <w:p>
      <w:pPr>
        <w:sectPr>
          <w:pgSz w:w="11900" w:h="16945" w:orient="portrait"/>
          <w:cols w:equalWidth="0" w:num="1">
            <w:col w:w="11380"/>
          </w:cols>
          <w:pgMar w:left="240" w:top="341" w:right="279" w:bottom="0" w:gutter="0" w:footer="0" w:header="0"/>
        </w:sectPr>
      </w:pPr>
    </w:p>
    <w:bookmarkStart w:id="17" w:name="page18"/>
    <w:bookmarkEnd w:id="17"/>
    <w:p>
      <w:pPr>
        <w:spacing w:after="0"/>
        <w:tabs>
          <w:tab w:leader="none" w:pos="12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ind w:firstLine="656"/>
        <w:spacing w:after="0" w:line="312" w:lineRule="auto"/>
        <w:tabs>
          <w:tab w:leader="none" w:pos="1294"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Securities</w:t>
      </w:r>
      <w:r>
        <w:rPr>
          <w:rFonts w:ascii="Arial" w:cs="Arial" w:eastAsia="Arial" w:hAnsi="Arial"/>
          <w:sz w:val="16"/>
          <w:szCs w:val="16"/>
          <w:color w:val="auto"/>
        </w:rPr>
        <w:t>. A Global Security may not be transferred except as a whole by the Depositary to a nominee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by a nominee of the Depositary to the Depositary or to another nominee of the Depositary, or by the Depositary or any such nominee to a successor Depositary or a nominee of such successor Depositary. All Global Securities shall be exchanged by the Company for Definitive Securities if:</w:t>
      </w:r>
    </w:p>
    <w:p>
      <w:pPr>
        <w:spacing w:after="0" w:line="146" w:lineRule="exact"/>
        <w:rPr>
          <w:rFonts w:ascii="Arial" w:cs="Arial" w:eastAsia="Arial" w:hAnsi="Arial"/>
          <w:sz w:val="16"/>
          <w:szCs w:val="16"/>
          <w:color w:val="auto"/>
        </w:rPr>
      </w:pPr>
    </w:p>
    <w:p>
      <w:pPr>
        <w:ind w:left="660" w:right="80" w:firstLine="645"/>
        <w:spacing w:after="0" w:line="264" w:lineRule="auto"/>
        <w:tabs>
          <w:tab w:leader="none" w:pos="19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81" w:lineRule="exact"/>
        <w:rPr>
          <w:rFonts w:ascii="Arial" w:cs="Arial" w:eastAsia="Arial" w:hAnsi="Arial"/>
          <w:sz w:val="18"/>
          <w:szCs w:val="18"/>
          <w:color w:val="auto"/>
        </w:rPr>
      </w:pPr>
    </w:p>
    <w:p>
      <w:pPr>
        <w:ind w:left="660" w:right="620" w:firstLine="645"/>
        <w:spacing w:after="0" w:line="277" w:lineRule="auto"/>
        <w:tabs>
          <w:tab w:leader="none" w:pos="19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Securities (in whole but not in part) should be exchanged for Definitive Securities and delivers a written notice to such effect to the Trustee;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the occurrence of any of the preceding events in (1), (2) or (3) above, Definitive Securities shall be issued in such names and in any approved denominations as the Depositary shall instruct the Trustee. Global Securities also may be exchanged or replaced, in whole or in part, as provided in Sections 2.08 and 2.11 hereof. Every Security authenticated and delivered in exchange for, or in lieu of, a Global Security or any portion thereof, pursuant to this Section 2.06 or Section 2.08 or 2.11 hereof, shall be authenticated and delivered in the form of, and shall be, a Global Security. A Global Security may not be exchanged for another Security other than as provided in this Section 2.06(a); however, beneficial interests in a Global Security may be transferred and exchanged as provided in Section 2.06(b), (c) or (f) hereof.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59" w:lineRule="auto"/>
        <w:tabs>
          <w:tab w:leader="none" w:pos="130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Securities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shall be effected through the Depositary, in accordance with the provisions of this Indenture and the Applicable Procedures. Transfers of beneficial interests in the Global Securities also will require compliance with either subparagraph (1) or (2) below, as applicable, as well as one or more of the other following subparagraphs, as applicable:</w:t>
      </w:r>
    </w:p>
    <w:p>
      <w:pPr>
        <w:spacing w:after="0" w:line="186" w:lineRule="exact"/>
        <w:rPr>
          <w:rFonts w:ascii="Arial" w:cs="Arial" w:eastAsia="Arial" w:hAnsi="Arial"/>
          <w:sz w:val="18"/>
          <w:szCs w:val="18"/>
          <w:color w:val="auto"/>
        </w:rPr>
      </w:pPr>
    </w:p>
    <w:p>
      <w:pPr>
        <w:ind w:left="660" w:right="80" w:firstLine="645"/>
        <w:spacing w:after="0" w:line="289" w:lineRule="auto"/>
        <w:tabs>
          <w:tab w:leader="none" w:pos="1964"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Transfer of Beneficial Interests in the Same Global Security</w:t>
      </w:r>
      <w:r>
        <w:rPr>
          <w:rFonts w:ascii="Arial" w:cs="Arial" w:eastAsia="Arial" w:hAnsi="Arial"/>
          <w:sz w:val="16"/>
          <w:szCs w:val="16"/>
          <w:color w:val="auto"/>
        </w:rPr>
        <w:t>. Beneficial interests in any Restricted Global Security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Persons who take delivery thereof in the form of a beneficial interest in the same Restricted Global Security in accordance with the transfer restrictions set forth in the Private Placement Legend;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expiration of the Restricted Period, transfers of beneficial interests in the applicable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Any person who transfers a beneficial interest in the Regulation S Global Security prior to the expiration of the applicable Restricted Period with respect to any Series of Additional Securities shall be deemed to have certified that such transfer was not made to a U.S. Person or for the account or benefit of a U.S. Person (other than an Initial Purchaser). No written orders or instructions shall be required to be delivered to the Registrar to effect the transfers described in this Section 2.06(b)(1).</w:t>
      </w:r>
    </w:p>
    <w:p>
      <w:pPr>
        <w:spacing w:after="0" w:line="166" w:lineRule="exact"/>
        <w:rPr>
          <w:rFonts w:ascii="Arial" w:cs="Arial" w:eastAsia="Arial" w:hAnsi="Arial"/>
          <w:sz w:val="16"/>
          <w:szCs w:val="16"/>
          <w:color w:val="auto"/>
        </w:rPr>
      </w:pPr>
    </w:p>
    <w:p>
      <w:pPr>
        <w:ind w:left="660" w:right="120" w:firstLine="645"/>
        <w:spacing w:after="0" w:line="342" w:lineRule="auto"/>
        <w:tabs>
          <w:tab w:leader="none" w:pos="1964"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Securities. </w:t>
      </w:r>
      <w:r>
        <w:rPr>
          <w:rFonts w:ascii="Arial" w:cs="Arial" w:eastAsia="Arial" w:hAnsi="Arial"/>
          <w:sz w:val="16"/>
          <w:szCs w:val="16"/>
          <w:color w:val="auto"/>
        </w:rPr>
        <w:t>In connection with all transfers and exchanges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interests that are not subject to Section 2.06(b)(1) above, the transferor of such beneficial interest must deliver to the Registrar either:</w:t>
      </w:r>
    </w:p>
    <w:p>
      <w:pPr>
        <w:spacing w:after="0" w:line="123" w:lineRule="exact"/>
        <w:rPr>
          <w:rFonts w:ascii="Arial" w:cs="Arial" w:eastAsia="Arial" w:hAnsi="Arial"/>
          <w:sz w:val="16"/>
          <w:szCs w:val="16"/>
          <w:color w:val="auto"/>
        </w:rPr>
      </w:pPr>
    </w:p>
    <w:p>
      <w:pPr>
        <w:ind w:left="2620" w:hanging="667"/>
        <w:spacing w:after="0"/>
        <w:tabs>
          <w:tab w:leader="none" w:pos="26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ind w:left="1960" w:right="140" w:firstLine="641"/>
        <w:spacing w:after="0" w:line="264" w:lineRule="auto"/>
        <w:tabs>
          <w:tab w:leader="none" w:pos="3278" w:val="left"/>
        </w:tabs>
        <w:numPr>
          <w:ilvl w:val="3"/>
          <w:numId w:val="34"/>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spacing w:after="0" w:line="181" w:lineRule="exact"/>
        <w:rPr>
          <w:rFonts w:ascii="Arial" w:cs="Arial" w:eastAsia="Arial" w:hAnsi="Arial"/>
          <w:sz w:val="18"/>
          <w:szCs w:val="18"/>
          <w:color w:val="auto"/>
        </w:rPr>
      </w:pPr>
    </w:p>
    <w:p>
      <w:pPr>
        <w:ind w:left="1960" w:right="780" w:firstLine="641"/>
        <w:spacing w:after="0" w:line="277" w:lineRule="auto"/>
        <w:tabs>
          <w:tab w:leader="none" w:pos="3287" w:val="left"/>
        </w:tabs>
        <w:numPr>
          <w:ilvl w:val="3"/>
          <w:numId w:val="34"/>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ind w:left="1960" w:right="340" w:firstLine="641"/>
        <w:spacing w:after="0" w:line="264" w:lineRule="auto"/>
        <w:tabs>
          <w:tab w:leader="none" w:pos="3278" w:val="left"/>
        </w:tabs>
        <w:numPr>
          <w:ilvl w:val="3"/>
          <w:numId w:val="34"/>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w:t>
      </w:r>
    </w:p>
    <w:p>
      <w:pPr>
        <w:spacing w:after="0" w:line="181" w:lineRule="exact"/>
        <w:rPr>
          <w:rFonts w:ascii="Arial" w:cs="Arial" w:eastAsia="Arial" w:hAnsi="Arial"/>
          <w:sz w:val="18"/>
          <w:szCs w:val="18"/>
          <w:color w:val="auto"/>
        </w:rPr>
      </w:pPr>
    </w:p>
    <w:p>
      <w:pPr>
        <w:ind w:left="1960" w:firstLine="641"/>
        <w:spacing w:after="0" w:line="277" w:lineRule="auto"/>
        <w:tabs>
          <w:tab w:leader="none" w:pos="3287" w:val="left"/>
        </w:tabs>
        <w:numPr>
          <w:ilvl w:val="3"/>
          <w:numId w:val="34"/>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Security shall be registered to effect the transfer or exchange referred to in (1) above.</w:t>
      </w:r>
    </w:p>
    <w:p>
      <w:pPr>
        <w:spacing w:after="0" w:line="170"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Upon consummation by the Company of the Exchange Offer (or any other exchange offer) contemplated by the Company in accordance with Section 2.06(f) hereof, the requirements of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302" w:lineRule="auto"/>
        <w:rPr>
          <w:sz w:val="20"/>
          <w:szCs w:val="20"/>
          <w:color w:val="auto"/>
        </w:rPr>
      </w:pPr>
      <w:r>
        <w:rPr>
          <w:rFonts w:ascii="Arial" w:cs="Arial" w:eastAsia="Arial" w:hAnsi="Arial"/>
          <w:sz w:val="16"/>
          <w:szCs w:val="16"/>
          <w:color w:val="auto"/>
        </w:rPr>
        <w:t>Section 2.06(b)(2) shall be deemed to have been satisfied upon receipt by the Registrar of the instructions contained in the Letter of Transmittal delivered by the Holder of such beneficial interests in the Restricted Global Securities. Upon satisfaction of all of the requirements for transfer or exchange of beneficial interests in Global Securities contained in this Indenture and the Notes or otherwise applicable under the Securities Act, the Trustee shall adjust the principal amount of the relevant Global Security(ies) pursuant to Section 2.06(h) hereof.</w:t>
      </w:r>
    </w:p>
    <w:p>
      <w:pPr>
        <w:sectPr>
          <w:pgSz w:w="11900" w:h="16838" w:orient="portrait"/>
          <w:cols w:equalWidth="0" w:num="1">
            <w:col w:w="11400"/>
          </w:cols>
          <w:pgMar w:left="240" w:top="341" w:right="259" w:bottom="0" w:gutter="0" w:footer="0" w:header="0"/>
        </w:sectPr>
      </w:pPr>
    </w:p>
    <w:bookmarkStart w:id="18" w:name="page19"/>
    <w:bookmarkEnd w:id="18"/>
    <w:p>
      <w:pPr>
        <w:jc w:val="both"/>
        <w:ind w:left="660" w:right="40" w:firstLine="645"/>
        <w:spacing w:after="0" w:line="264" w:lineRule="auto"/>
        <w:tabs>
          <w:tab w:leader="none" w:pos="196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Security. </w:t>
      </w:r>
      <w:r>
        <w:rPr>
          <w:rFonts w:ascii="Arial" w:cs="Arial" w:eastAsia="Arial" w:hAnsi="Arial"/>
          <w:sz w:val="18"/>
          <w:szCs w:val="18"/>
          <w:color w:val="auto"/>
        </w:rPr>
        <w:t>A beneficial interest in any Restricted Global Security may</w:t>
      </w:r>
      <w:r>
        <w:rPr>
          <w:rFonts w:ascii="Arial" w:cs="Arial" w:eastAsia="Arial" w:hAnsi="Arial"/>
          <w:sz w:val="18"/>
          <w:szCs w:val="18"/>
          <w:i w:val="1"/>
          <w:iCs w:val="1"/>
          <w:color w:val="auto"/>
        </w:rPr>
        <w:t xml:space="preserve"> </w:t>
      </w:r>
      <w:r>
        <w:rPr>
          <w:rFonts w:ascii="Arial" w:cs="Arial" w:eastAsia="Arial" w:hAnsi="Arial"/>
          <w:sz w:val="18"/>
          <w:szCs w:val="18"/>
          <w:color w:val="auto"/>
        </w:rPr>
        <w:t>be transferred to a Person who takes delivery thereof in the form of a beneficial interest in another Restricted Global Security if the transfer complies with the requirements of Section 2.06(b)(2) above and the Registrar receives the following:</w:t>
      </w:r>
    </w:p>
    <w:p>
      <w:pPr>
        <w:spacing w:after="0" w:line="181" w:lineRule="exact"/>
        <w:rPr>
          <w:rFonts w:ascii="Arial" w:cs="Arial" w:eastAsia="Arial" w:hAnsi="Arial"/>
          <w:sz w:val="18"/>
          <w:szCs w:val="18"/>
          <w:color w:val="auto"/>
        </w:rPr>
      </w:pPr>
    </w:p>
    <w:p>
      <w:pPr>
        <w:ind w:left="1300" w:firstLine="653"/>
        <w:spacing w:after="0" w:line="277" w:lineRule="auto"/>
        <w:tabs>
          <w:tab w:leader="none" w:pos="2617"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144A Global Security,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300" w:right="620" w:firstLine="653"/>
        <w:spacing w:after="0" w:line="308" w:lineRule="auto"/>
        <w:tabs>
          <w:tab w:leader="none" w:pos="2607"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if the transferee will take delivery in the form of a beneficial interest in the Regulation S Global Security, then the transferor must deliver a certificate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(2) thereof; and</w:t>
      </w:r>
    </w:p>
    <w:p>
      <w:pPr>
        <w:spacing w:after="0" w:line="146" w:lineRule="exact"/>
        <w:rPr>
          <w:rFonts w:ascii="Arial" w:cs="Arial" w:eastAsia="Arial" w:hAnsi="Arial"/>
          <w:sz w:val="17"/>
          <w:szCs w:val="17"/>
          <w:color w:val="auto"/>
        </w:rPr>
      </w:pPr>
    </w:p>
    <w:p>
      <w:pPr>
        <w:ind w:left="1300" w:right="160" w:firstLine="653"/>
        <w:spacing w:after="0" w:line="291" w:lineRule="auto"/>
        <w:tabs>
          <w:tab w:leader="none" w:pos="2607"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if the transferee will take delivery in the form of a beneficial interest in the IAI Global Security,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w:t>
      </w:r>
    </w:p>
    <w:p>
      <w:pPr>
        <w:ind w:left="1560" w:hanging="255"/>
        <w:spacing w:after="0"/>
        <w:tabs>
          <w:tab w:leader="none" w:pos="1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ind w:left="660" w:right="120" w:firstLine="645"/>
        <w:spacing w:after="0" w:line="259" w:lineRule="auto"/>
        <w:tabs>
          <w:tab w:leader="none" w:pos="196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Beneficial Interests in a Restricted Global Security for Beneficial Interests in an Unrestricted Global Security. </w:t>
      </w:r>
      <w:r>
        <w:rPr>
          <w:rFonts w:ascii="Arial" w:cs="Arial" w:eastAsia="Arial" w:hAnsi="Arial"/>
          <w:sz w:val="18"/>
          <w:szCs w:val="18"/>
          <w:color w:val="auto"/>
        </w:rPr>
        <w:t>A beneficial interest in any Restricted Global Security may be exchanged by any holder thereof for a beneficial interest in an Unrestricted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Security or transferred to a Person who takes delivery thereof in the form of a beneficial interest in an Unrestricted Global Security if the exchange or transfer complies with the requirements of Section 2.06(b)(2) above and:</w:t>
      </w:r>
    </w:p>
    <w:p>
      <w:pPr>
        <w:spacing w:after="0" w:line="186" w:lineRule="exact"/>
        <w:rPr>
          <w:rFonts w:ascii="Arial" w:cs="Arial" w:eastAsia="Arial" w:hAnsi="Arial"/>
          <w:sz w:val="18"/>
          <w:szCs w:val="18"/>
          <w:color w:val="auto"/>
        </w:rPr>
      </w:pPr>
    </w:p>
    <w:p>
      <w:pPr>
        <w:ind w:left="1300" w:right="180" w:firstLine="653"/>
        <w:spacing w:after="0" w:line="279" w:lineRule="auto"/>
        <w:tabs>
          <w:tab w:leader="none" w:pos="2617" w:val="left"/>
        </w:tabs>
        <w:numPr>
          <w:ilvl w:val="1"/>
          <w:numId w:val="36"/>
        </w:numPr>
        <w:rPr>
          <w:rFonts w:ascii="Arial" w:cs="Arial" w:eastAsia="Arial" w:hAnsi="Arial"/>
          <w:sz w:val="17"/>
          <w:szCs w:val="17"/>
          <w:color w:val="auto"/>
        </w:rPr>
      </w:pPr>
      <w:r>
        <w:rPr>
          <w:rFonts w:ascii="Arial" w:cs="Arial" w:eastAsia="Arial" w:hAnsi="Arial"/>
          <w:sz w:val="17"/>
          <w:szCs w:val="17"/>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171" w:lineRule="exact"/>
        <w:rPr>
          <w:rFonts w:ascii="Arial" w:cs="Arial" w:eastAsia="Arial" w:hAnsi="Arial"/>
          <w:sz w:val="17"/>
          <w:szCs w:val="17"/>
          <w:color w:val="auto"/>
        </w:rPr>
      </w:pPr>
    </w:p>
    <w:p>
      <w:pPr>
        <w:ind w:left="2620" w:hanging="667"/>
        <w:spacing w:after="0"/>
        <w:tabs>
          <w:tab w:leader="none" w:pos="26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300" w:firstLine="653"/>
        <w:spacing w:after="0" w:line="277" w:lineRule="auto"/>
        <w:tabs>
          <w:tab w:leader="none" w:pos="26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sz w:val="20"/>
          <w:szCs w:val="20"/>
          <w:color w:val="auto"/>
        </w:rPr>
      </w:pPr>
    </w:p>
    <w:p>
      <w:pPr>
        <w:ind w:left="1960" w:right="60" w:firstLine="641"/>
        <w:spacing w:after="0" w:line="277" w:lineRule="auto"/>
        <w:tabs>
          <w:tab w:leader="none" w:pos="32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beneficial interest in 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 xml:space="preserve">Unrestricted Global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(1)</w:t>
      </w:r>
    </w:p>
    <w:p>
      <w:pPr>
        <w:spacing w:after="0" w:line="46" w:lineRule="exact"/>
        <w:rPr>
          <w:sz w:val="20"/>
          <w:szCs w:val="20"/>
          <w:color w:val="auto"/>
        </w:rPr>
      </w:pPr>
    </w:p>
    <w:p>
      <w:pPr>
        <w:ind w:left="2200" w:hanging="247"/>
        <w:spacing w:after="0"/>
        <w:tabs>
          <w:tab w:leader="none" w:pos="2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thereof; or</w:t>
      </w:r>
    </w:p>
    <w:p>
      <w:pPr>
        <w:spacing w:after="0" w:line="210" w:lineRule="exact"/>
        <w:rPr>
          <w:rFonts w:ascii="Arial" w:cs="Arial" w:eastAsia="Arial" w:hAnsi="Arial"/>
          <w:sz w:val="18"/>
          <w:szCs w:val="18"/>
          <w:color w:val="auto"/>
        </w:rPr>
      </w:pPr>
    </w:p>
    <w:p>
      <w:pPr>
        <w:ind w:left="1960" w:right="500" w:firstLine="641"/>
        <w:spacing w:after="0" w:line="312" w:lineRule="auto"/>
        <w:tabs>
          <w:tab w:leader="none" w:pos="3287"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147" w:lineRule="exact"/>
        <w:rPr>
          <w:sz w:val="20"/>
          <w:szCs w:val="20"/>
          <w:color w:val="auto"/>
        </w:rPr>
      </w:pPr>
    </w:p>
    <w:p>
      <w:pPr>
        <w:ind w:left="1300" w:right="120"/>
        <w:spacing w:after="0" w:line="259"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left="660" w:right="140" w:firstLine="648"/>
        <w:spacing w:after="0" w:line="259" w:lineRule="auto"/>
        <w:rPr>
          <w:sz w:val="20"/>
          <w:szCs w:val="20"/>
          <w:color w:val="auto"/>
        </w:rPr>
      </w:pPr>
      <w:r>
        <w:rPr>
          <w:rFonts w:ascii="Arial" w:cs="Arial" w:eastAsia="Arial" w:hAnsi="Arial"/>
          <w:sz w:val="18"/>
          <w:szCs w:val="18"/>
          <w:color w:val="auto"/>
        </w:rPr>
        <w:t>If any such transfer is effected pursuant to subparagraph (B) or (D) above at a time when an Unrestricted Global Security has not yet been issued, the Company shall issue and, upon receipt of an Authentication Order in accordance with Section 2.02 hereof, the Trustee shall authenticate one or more Unrestricted Global Securities in an aggregate principal amount equal to the aggregate principal amount of beneficial interests transferred pursuant to subparagraph (B) or (D) above.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70" w:lineRule="exact"/>
        <w:rPr>
          <w:sz w:val="20"/>
          <w:szCs w:val="20"/>
          <w:color w:val="auto"/>
        </w:rPr>
      </w:pPr>
    </w:p>
    <w:p>
      <w:pPr>
        <w:ind w:right="100" w:firstLine="656"/>
        <w:spacing w:after="0" w:line="264"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Transfer or Exchange of Beneficial Interests in Global Securities for Definitive Securities. </w:t>
      </w:r>
      <w:r>
        <w:rPr>
          <w:rFonts w:ascii="Arial" w:cs="Arial" w:eastAsia="Arial" w:hAnsi="Arial"/>
          <w:sz w:val="18"/>
          <w:szCs w:val="18"/>
          <w:color w:val="auto"/>
        </w:rPr>
        <w:t>Transfers or exchanges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Securities for Definitive Securities shall in each case be subject to the satisfaction of any applicable conditions set forth in Section 2.06(b)(2) hereof, and to the requirements set forth below in this Section 2.06(c).</w:t>
      </w:r>
    </w:p>
    <w:p>
      <w:pPr>
        <w:spacing w:after="0" w:line="181" w:lineRule="exact"/>
        <w:rPr>
          <w:rFonts w:ascii="Arial" w:cs="Arial" w:eastAsia="Arial" w:hAnsi="Arial"/>
          <w:sz w:val="18"/>
          <w:szCs w:val="18"/>
          <w:color w:val="auto"/>
        </w:rPr>
      </w:pPr>
    </w:p>
    <w:p>
      <w:pPr>
        <w:ind w:left="660" w:right="120" w:firstLine="645"/>
        <w:spacing w:after="0" w:line="259" w:lineRule="auto"/>
        <w:tabs>
          <w:tab w:leader="none" w:pos="1964"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Securities to Restricted Definitive Securities. </w:t>
      </w:r>
      <w:r>
        <w:rPr>
          <w:rFonts w:ascii="Arial" w:cs="Arial" w:eastAsia="Arial" w:hAnsi="Arial"/>
          <w:sz w:val="18"/>
          <w:szCs w:val="18"/>
          <w:color w:val="auto"/>
        </w:rPr>
        <w:t>If any holder of a beneficial interest in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Global Security proposes to exchange such beneficial interest for a Restricted Definitive Security or to transfer such beneficial interest to a Person who takes delivery thereof in the form of a Restricted Definitive Security, then, upon receipt by the Registrar of the following documentation:</w:t>
      </w:r>
    </w:p>
    <w:p>
      <w:pPr>
        <w:spacing w:after="0" w:line="186" w:lineRule="exact"/>
        <w:rPr>
          <w:rFonts w:ascii="Arial" w:cs="Arial" w:eastAsia="Arial" w:hAnsi="Arial"/>
          <w:sz w:val="18"/>
          <w:szCs w:val="18"/>
          <w:color w:val="auto"/>
        </w:rPr>
      </w:pPr>
    </w:p>
    <w:p>
      <w:pPr>
        <w:ind w:left="1300" w:right="80" w:firstLine="653"/>
        <w:spacing w:after="0" w:line="274" w:lineRule="auto"/>
        <w:tabs>
          <w:tab w:leader="none" w:pos="2617" w:val="left"/>
        </w:tabs>
        <w:numPr>
          <w:ilvl w:val="2"/>
          <w:numId w:val="39"/>
        </w:numPr>
        <w:rPr>
          <w:rFonts w:ascii="Arial" w:cs="Arial" w:eastAsia="Arial" w:hAnsi="Arial"/>
          <w:sz w:val="17"/>
          <w:szCs w:val="17"/>
          <w:color w:val="auto"/>
        </w:rPr>
      </w:pPr>
      <w:r>
        <w:rPr>
          <w:rFonts w:ascii="Arial" w:cs="Arial" w:eastAsia="Arial" w:hAnsi="Arial"/>
          <w:sz w:val="17"/>
          <w:szCs w:val="17"/>
          <w:color w:val="auto"/>
        </w:rPr>
        <w:t xml:space="preserve">if the holder of such beneficial interest in a Restricted Global Security proposes to exchange such beneficial interest for a Restricted Definitive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(2)</w:t>
      </w:r>
    </w:p>
    <w:p>
      <w:pPr>
        <w:ind w:left="1300"/>
        <w:spacing w:after="0"/>
        <w:rPr>
          <w:rFonts w:ascii="Arial" w:cs="Arial" w:eastAsia="Arial" w:hAnsi="Arial"/>
          <w:sz w:val="17"/>
          <w:szCs w:val="17"/>
          <w:color w:val="auto"/>
        </w:rPr>
      </w:pPr>
      <w:r>
        <w:rPr>
          <w:rFonts w:ascii="Arial" w:cs="Arial" w:eastAsia="Arial" w:hAnsi="Arial"/>
          <w:sz w:val="18"/>
          <w:szCs w:val="18"/>
          <w:color w:val="auto"/>
        </w:rPr>
        <w:t>(a) thereof;</w:t>
      </w:r>
    </w:p>
    <w:p>
      <w:pPr>
        <w:spacing w:after="0" w:line="210" w:lineRule="exact"/>
        <w:rPr>
          <w:rFonts w:ascii="Arial" w:cs="Arial" w:eastAsia="Arial" w:hAnsi="Arial"/>
          <w:sz w:val="17"/>
          <w:szCs w:val="17"/>
          <w:color w:val="auto"/>
        </w:rPr>
      </w:pPr>
    </w:p>
    <w:p>
      <w:pPr>
        <w:ind w:left="1300" w:firstLine="653"/>
        <w:spacing w:after="0" w:line="277" w:lineRule="auto"/>
        <w:tabs>
          <w:tab w:leader="none" w:pos="2607"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ectPr>
          <w:pgSz w:w="11900" w:h="16838" w:orient="portrait"/>
          <w:cols w:equalWidth="0" w:num="1">
            <w:col w:w="11420"/>
          </w:cols>
          <w:pgMar w:left="240" w:top="125" w:right="239" w:bottom="45" w:gutter="0" w:footer="0" w:header="0"/>
        </w:sectPr>
      </w:pPr>
    </w:p>
    <w:bookmarkStart w:id="19" w:name="page20"/>
    <w:bookmarkEnd w:id="19"/>
    <w:p>
      <w:pPr>
        <w:spacing w:after="0" w:line="36" w:lineRule="exact"/>
        <w:rPr>
          <w:sz w:val="20"/>
          <w:szCs w:val="20"/>
          <w:color w:val="auto"/>
        </w:rPr>
      </w:pPr>
    </w:p>
    <w:p>
      <w:pPr>
        <w:ind w:left="644" w:right="700" w:firstLine="653"/>
        <w:spacing w:after="0" w:line="308" w:lineRule="auto"/>
        <w:tabs>
          <w:tab w:leader="none" w:pos="195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(2) thereof;</w:t>
      </w:r>
    </w:p>
    <w:p>
      <w:pPr>
        <w:spacing w:after="0" w:line="14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80" w:firstLine="653"/>
        <w:spacing w:after="0" w:line="291" w:lineRule="auto"/>
        <w:tabs>
          <w:tab w:leader="none" w:pos="1961"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w:t>
      </w:r>
    </w:p>
    <w:p>
      <w:pPr>
        <w:ind w:left="884" w:hanging="235"/>
        <w:spacing w:after="0"/>
        <w:tabs>
          <w:tab w:leader="none" w:pos="8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thereof;</w:t>
      </w:r>
    </w:p>
    <w:p>
      <w:pPr>
        <w:spacing w:after="0" w:line="210" w:lineRule="exact"/>
        <w:rPr>
          <w:rFonts w:ascii="Arial" w:cs="Arial" w:eastAsia="Arial" w:hAnsi="Arial"/>
          <w:sz w:val="18"/>
          <w:szCs w:val="18"/>
          <w:color w:val="auto"/>
        </w:rPr>
      </w:pPr>
    </w:p>
    <w:p>
      <w:pPr>
        <w:ind w:left="644" w:right="60" w:firstLine="653"/>
        <w:spacing w:after="0" w:line="312" w:lineRule="auto"/>
        <w:tabs>
          <w:tab w:leader="none" w:pos="1954"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146" w:lineRule="exact"/>
        <w:rPr>
          <w:rFonts w:ascii="Arial" w:cs="Arial" w:eastAsia="Arial" w:hAnsi="Arial"/>
          <w:sz w:val="16"/>
          <w:szCs w:val="16"/>
          <w:color w:val="auto"/>
        </w:rPr>
      </w:pPr>
    </w:p>
    <w:p>
      <w:pPr>
        <w:ind w:left="644" w:right="40" w:firstLine="653"/>
        <w:spacing w:after="0" w:line="277" w:lineRule="auto"/>
        <w:tabs>
          <w:tab w:leader="none" w:pos="19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4" w:right="260" w:firstLine="653"/>
        <w:spacing w:after="0" w:line="277" w:lineRule="auto"/>
        <w:tabs>
          <w:tab w:leader="none" w:pos="1961"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Trustee shall cause the aggregate principal amount of the applicable Global Security to be reduced accordingly pursuant to</w:t>
      </w:r>
    </w:p>
    <w:p>
      <w:pPr>
        <w:spacing w:after="0" w:line="23" w:lineRule="exact"/>
        <w:rPr>
          <w:sz w:val="20"/>
          <w:szCs w:val="20"/>
          <w:color w:val="auto"/>
        </w:rPr>
      </w:pPr>
    </w:p>
    <w:p>
      <w:pPr>
        <w:ind w:left="4" w:right="40"/>
        <w:spacing w:after="0" w:line="269" w:lineRule="auto"/>
        <w:rPr>
          <w:sz w:val="20"/>
          <w:szCs w:val="20"/>
          <w:color w:val="auto"/>
        </w:rPr>
      </w:pPr>
      <w:r>
        <w:rPr>
          <w:rFonts w:ascii="Arial" w:cs="Arial" w:eastAsia="Arial" w:hAnsi="Arial"/>
          <w:sz w:val="17"/>
          <w:szCs w:val="17"/>
          <w:color w:val="auto"/>
        </w:rPr>
        <w:t>Section 2.06(h) hereof, and the Company shall execute and the Trustee shall authenticate and deliver to the Person designated in the instructions a Definitive Security in the appropriate principal amount. Any Definitive Security issued in exchange for a beneficial interest in a Restricted Global Security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 Any Definitive Security issued in exchange for a beneficial interest in a Restricted Global Security pursuant to this Section 2.06(c)(1) shall bear the Private Placement Legend and shall be subject to all restrictions on transfer contained therein.</w:t>
      </w:r>
    </w:p>
    <w:p>
      <w:pPr>
        <w:spacing w:after="0" w:line="181" w:lineRule="exact"/>
        <w:rPr>
          <w:sz w:val="20"/>
          <w:szCs w:val="20"/>
          <w:color w:val="auto"/>
        </w:rPr>
      </w:pPr>
    </w:p>
    <w:p>
      <w:pPr>
        <w:ind w:left="4" w:right="80" w:firstLine="645"/>
        <w:spacing w:after="0" w:line="264" w:lineRule="auto"/>
        <w:tabs>
          <w:tab w:leader="none" w:pos="130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Securities to Unrestricted Definitive Securities. </w:t>
      </w:r>
      <w:r>
        <w:rPr>
          <w:rFonts w:ascii="Arial" w:cs="Arial" w:eastAsia="Arial" w:hAnsi="Arial"/>
          <w:sz w:val="18"/>
          <w:szCs w:val="18"/>
          <w:color w:val="auto"/>
        </w:rPr>
        <w:t>A holder of a beneficial interest in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Global Security may exchange such beneficial interest for an Unrestricted Definitive Security or may transfer such beneficial interest to a Person who takes delivery thereof in the form of an Unrestricted Definitive Security only if:</w:t>
      </w:r>
    </w:p>
    <w:p>
      <w:pPr>
        <w:spacing w:after="0" w:line="181" w:lineRule="exact"/>
        <w:rPr>
          <w:rFonts w:ascii="Arial" w:cs="Arial" w:eastAsia="Arial" w:hAnsi="Arial"/>
          <w:sz w:val="18"/>
          <w:szCs w:val="18"/>
          <w:color w:val="auto"/>
        </w:rPr>
      </w:pPr>
    </w:p>
    <w:p>
      <w:pPr>
        <w:ind w:left="644" w:right="220" w:firstLine="653"/>
        <w:spacing w:after="0" w:line="259" w:lineRule="auto"/>
        <w:tabs>
          <w:tab w:leader="none" w:pos="1961"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186" w:lineRule="exact"/>
        <w:rPr>
          <w:rFonts w:ascii="Arial" w:cs="Arial" w:eastAsia="Arial" w:hAnsi="Arial"/>
          <w:sz w:val="18"/>
          <w:szCs w:val="18"/>
          <w:color w:val="auto"/>
        </w:rPr>
      </w:pPr>
    </w:p>
    <w:p>
      <w:pPr>
        <w:ind w:left="1964" w:hanging="667"/>
        <w:spacing w:after="0"/>
        <w:tabs>
          <w:tab w:leader="none" w:pos="1964" w:val="left"/>
        </w:tabs>
        <w:numPr>
          <w:ilvl w:val="1"/>
          <w:numId w:val="43"/>
        </w:numPr>
        <w:rPr>
          <w:rFonts w:ascii="Arial" w:cs="Arial" w:eastAsia="Arial" w:hAnsi="Arial"/>
          <w:sz w:val="17"/>
          <w:szCs w:val="17"/>
          <w:color w:val="auto"/>
        </w:rPr>
      </w:pPr>
      <w:r>
        <w:rPr>
          <w:rFonts w:ascii="Arial" w:cs="Arial" w:eastAsia="Arial" w:hAnsi="Arial"/>
          <w:sz w:val="17"/>
          <w:szCs w:val="17"/>
          <w:color w:val="auto"/>
        </w:rPr>
        <w:t>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644"/>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644" w:firstLine="653"/>
        <w:spacing w:after="0" w:line="277" w:lineRule="auto"/>
        <w:tabs>
          <w:tab w:leader="none" w:pos="19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1964" w:hanging="667"/>
        <w:spacing w:after="0"/>
        <w:tabs>
          <w:tab w:leader="none" w:pos="196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4" w:right="380" w:firstLine="641"/>
        <w:spacing w:after="0" w:line="264" w:lineRule="auto"/>
        <w:tabs>
          <w:tab w:leader="none" w:pos="262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exchange such beneficial interest for an Unrestricted Definitive Security,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(1)(b) thereof; or</w:t>
      </w:r>
    </w:p>
    <w:p>
      <w:pPr>
        <w:spacing w:after="0" w:line="181" w:lineRule="exact"/>
        <w:rPr>
          <w:rFonts w:ascii="Arial" w:cs="Arial" w:eastAsia="Arial" w:hAnsi="Arial"/>
          <w:sz w:val="18"/>
          <w:szCs w:val="18"/>
          <w:color w:val="auto"/>
        </w:rPr>
      </w:pPr>
    </w:p>
    <w:p>
      <w:pPr>
        <w:ind w:left="1304" w:right="20" w:firstLine="641"/>
        <w:spacing w:after="0" w:line="264" w:lineRule="auto"/>
        <w:tabs>
          <w:tab w:leader="none" w:pos="26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1"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left="4" w:right="40" w:firstLine="645"/>
        <w:spacing w:after="0" w:line="288" w:lineRule="auto"/>
        <w:tabs>
          <w:tab w:leader="none" w:pos="1308"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Securities to Unrestricted Definitive Securities. </w:t>
      </w:r>
      <w:r>
        <w:rPr>
          <w:rFonts w:ascii="Arial" w:cs="Arial" w:eastAsia="Arial" w:hAnsi="Arial"/>
          <w:sz w:val="16"/>
          <w:szCs w:val="16"/>
          <w:color w:val="auto"/>
        </w:rPr>
        <w:t>If any holder of a beneficial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an Unrestricted Global Security proposes to exchange such beneficial interest for a Definitive Security or to transfer such beneficial interest to a Person who takes delivery thereof in the form of a Definitive Security, then, upon satisfaction of the conditions set forth in Section 2.06(b)(2) hereof, the Trustee shall cause the aggregate principal amount of the applicable Unrestricted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Securities to the Persons in whose names such Securities are so registered. Any Definitive Security issued in exchange for a beneficial interest pursuant to this Section 2.06(c)(3) will not bear the Private Placement Legend.</w:t>
      </w:r>
    </w:p>
    <w:p>
      <w:pPr>
        <w:spacing w:after="0" w:line="169" w:lineRule="exact"/>
        <w:rPr>
          <w:rFonts w:ascii="Arial" w:cs="Arial" w:eastAsia="Arial" w:hAnsi="Arial"/>
          <w:sz w:val="16"/>
          <w:szCs w:val="16"/>
          <w:color w:val="auto"/>
        </w:rPr>
      </w:pPr>
    </w:p>
    <w:p>
      <w:pPr>
        <w:ind w:left="664" w:hanging="664"/>
        <w:spacing w:after="0"/>
        <w:tabs>
          <w:tab w:leader="none" w:pos="664"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Securities for Beneficial Interests.</w:t>
      </w:r>
    </w:p>
    <w:p>
      <w:pPr>
        <w:sectPr>
          <w:pgSz w:w="11900" w:h="16874" w:orient="portrait"/>
          <w:cols w:equalWidth="0" w:num="1">
            <w:col w:w="10764"/>
          </w:cols>
          <w:pgMar w:left="896" w:top="125" w:right="239" w:bottom="0" w:gutter="0" w:footer="0" w:header="0"/>
        </w:sectPr>
      </w:pPr>
    </w:p>
    <w:bookmarkStart w:id="20" w:name="page21"/>
    <w:bookmarkEnd w:id="20"/>
    <w:p>
      <w:pPr>
        <w:ind w:left="4" w:right="360" w:firstLine="645"/>
        <w:spacing w:after="0" w:line="259" w:lineRule="auto"/>
        <w:tabs>
          <w:tab w:leader="none" w:pos="1308"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Restricted Global Securities. </w:t>
      </w:r>
      <w:r>
        <w:rPr>
          <w:rFonts w:ascii="Arial" w:cs="Arial" w:eastAsia="Arial" w:hAnsi="Arial"/>
          <w:sz w:val="18"/>
          <w:szCs w:val="18"/>
          <w:color w:val="auto"/>
        </w:rPr>
        <w:t>If any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proposes to exchange such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186" w:lineRule="exact"/>
        <w:rPr>
          <w:rFonts w:ascii="Arial" w:cs="Arial" w:eastAsia="Arial" w:hAnsi="Arial"/>
          <w:sz w:val="18"/>
          <w:szCs w:val="18"/>
          <w:color w:val="auto"/>
        </w:rPr>
      </w:pPr>
    </w:p>
    <w:p>
      <w:pPr>
        <w:ind w:left="644" w:right="60" w:firstLine="653"/>
        <w:spacing w:after="0" w:line="342" w:lineRule="auto"/>
        <w:tabs>
          <w:tab w:leader="none" w:pos="1961"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Security proposes to exchange such Security for a beneficial interest in a Restricted Global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(2)(b) thereof;</w:t>
      </w:r>
    </w:p>
    <w:p>
      <w:pPr>
        <w:spacing w:after="0" w:line="123" w:lineRule="exact"/>
        <w:rPr>
          <w:rFonts w:ascii="Arial" w:cs="Arial" w:eastAsia="Arial" w:hAnsi="Arial"/>
          <w:sz w:val="16"/>
          <w:szCs w:val="16"/>
          <w:color w:val="auto"/>
        </w:rPr>
      </w:pPr>
    </w:p>
    <w:p>
      <w:pPr>
        <w:ind w:left="644" w:right="420" w:firstLine="653"/>
        <w:spacing w:after="0" w:line="277" w:lineRule="auto"/>
        <w:tabs>
          <w:tab w:leader="none" w:pos="1951"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00" w:firstLine="653"/>
        <w:spacing w:after="0" w:line="342" w:lineRule="auto"/>
        <w:tabs>
          <w:tab w:leader="none" w:pos="1951"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to a Non-U.S. Person in an offshore transaction in accordance with Rule 903 or Rule 904,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w:t>
      </w:r>
    </w:p>
    <w:p>
      <w:pPr>
        <w:spacing w:after="0" w:line="123" w:lineRule="exact"/>
        <w:rPr>
          <w:rFonts w:ascii="Arial" w:cs="Arial" w:eastAsia="Arial" w:hAnsi="Arial"/>
          <w:sz w:val="16"/>
          <w:szCs w:val="16"/>
          <w:color w:val="auto"/>
        </w:rPr>
      </w:pPr>
    </w:p>
    <w:p>
      <w:pPr>
        <w:ind w:left="644" w:right="20" w:firstLine="653"/>
        <w:spacing w:after="0" w:line="291" w:lineRule="auto"/>
        <w:tabs>
          <w:tab w:leader="none" w:pos="1961"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w:t>
      </w:r>
    </w:p>
    <w:p>
      <w:pPr>
        <w:ind w:left="884" w:hanging="235"/>
        <w:spacing w:after="0"/>
        <w:tabs>
          <w:tab w:leader="none" w:pos="8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thereof;</w:t>
      </w:r>
    </w:p>
    <w:p>
      <w:pPr>
        <w:spacing w:after="0" w:line="210" w:lineRule="exact"/>
        <w:rPr>
          <w:rFonts w:ascii="Arial" w:cs="Arial" w:eastAsia="Arial" w:hAnsi="Arial"/>
          <w:sz w:val="18"/>
          <w:szCs w:val="18"/>
          <w:color w:val="auto"/>
        </w:rPr>
      </w:pPr>
    </w:p>
    <w:p>
      <w:pPr>
        <w:ind w:left="644" w:right="540" w:firstLine="653"/>
        <w:spacing w:after="0" w:line="288" w:lineRule="auto"/>
        <w:tabs>
          <w:tab w:leader="none" w:pos="1954"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w:t>
      </w:r>
    </w:p>
    <w:p>
      <w:pPr>
        <w:ind w:left="644"/>
        <w:spacing w:after="0"/>
        <w:rPr>
          <w:rFonts w:ascii="Arial" w:cs="Arial" w:eastAsia="Arial" w:hAnsi="Arial"/>
          <w:sz w:val="16"/>
          <w:szCs w:val="16"/>
          <w:color w:val="auto"/>
        </w:rPr>
      </w:pPr>
      <w:r>
        <w:rPr>
          <w:rFonts w:ascii="Arial" w:cs="Arial" w:eastAsia="Arial" w:hAnsi="Arial"/>
          <w:sz w:val="18"/>
          <w:szCs w:val="18"/>
          <w:color w:val="auto"/>
        </w:rPr>
        <w:t>(3) thereof, if applicable;</w:t>
      </w:r>
    </w:p>
    <w:p>
      <w:pPr>
        <w:spacing w:after="0" w:line="210" w:lineRule="exact"/>
        <w:rPr>
          <w:rFonts w:ascii="Arial" w:cs="Arial" w:eastAsia="Arial" w:hAnsi="Arial"/>
          <w:sz w:val="16"/>
          <w:szCs w:val="16"/>
          <w:color w:val="auto"/>
        </w:rPr>
      </w:pPr>
    </w:p>
    <w:p>
      <w:pPr>
        <w:ind w:left="644" w:right="280" w:firstLine="653"/>
        <w:spacing w:after="0" w:line="277" w:lineRule="auto"/>
        <w:tabs>
          <w:tab w:leader="none" w:pos="19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4" w:right="620" w:firstLine="653"/>
        <w:spacing w:after="0" w:line="308" w:lineRule="auto"/>
        <w:tabs>
          <w:tab w:leader="none" w:pos="1961"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if such Restricted Definitive Security is being transferred pursuant to an effective registration statement under the Securities Act, a 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(3)(c) thereof,</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Trustee will cancel the Restricted Definitive Security, increase or cause to be increased the aggregate principal amount of, in the case of clause</w:t>
      </w:r>
    </w:p>
    <w:p>
      <w:pPr>
        <w:spacing w:after="0" w:line="46" w:lineRule="exact"/>
        <w:rPr>
          <w:sz w:val="20"/>
          <w:szCs w:val="20"/>
          <w:color w:val="auto"/>
        </w:rPr>
      </w:pPr>
    </w:p>
    <w:p>
      <w:pPr>
        <w:ind w:left="4" w:right="100" w:hanging="4"/>
        <w:spacing w:after="0" w:line="261" w:lineRule="auto"/>
        <w:tabs>
          <w:tab w:leader="none" w:pos="299" w:val="left"/>
        </w:tabs>
        <w:numPr>
          <w:ilvl w:val="0"/>
          <w:numId w:val="50"/>
        </w:numPr>
        <w:rPr>
          <w:rFonts w:ascii="Arial" w:cs="Arial" w:eastAsia="Arial" w:hAnsi="Arial"/>
          <w:sz w:val="18"/>
          <w:szCs w:val="18"/>
          <w:color w:val="auto"/>
        </w:rPr>
      </w:pPr>
      <w:r>
        <w:rPr>
          <w:rFonts w:ascii="Arial" w:cs="Arial" w:eastAsia="Arial" w:hAnsi="Arial"/>
          <w:sz w:val="18"/>
          <w:szCs w:val="18"/>
          <w:color w:val="auto"/>
        </w:rPr>
        <w:t>above, the appropriate Restricted Global Security, in the case of clause (B) above, the 144A Global Security, in the case of clause (C) above, the Regulation S Global Security, and in all other cases, the IAI Global Security.</w:t>
      </w:r>
    </w:p>
    <w:p>
      <w:pPr>
        <w:spacing w:after="0" w:line="183" w:lineRule="exact"/>
        <w:rPr>
          <w:rFonts w:ascii="Arial" w:cs="Arial" w:eastAsia="Arial" w:hAnsi="Arial"/>
          <w:sz w:val="18"/>
          <w:szCs w:val="18"/>
          <w:color w:val="auto"/>
        </w:rPr>
      </w:pPr>
    </w:p>
    <w:p>
      <w:pPr>
        <w:ind w:left="4" w:right="180" w:firstLine="645"/>
        <w:spacing w:after="0" w:line="264" w:lineRule="auto"/>
        <w:tabs>
          <w:tab w:leader="none" w:pos="1308"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Unrestricted Global Securities. </w:t>
      </w:r>
      <w:r>
        <w:rPr>
          <w:rFonts w:ascii="Arial" w:cs="Arial" w:eastAsia="Arial" w:hAnsi="Arial"/>
          <w:sz w:val="18"/>
          <w:szCs w:val="18"/>
          <w:color w:val="auto"/>
        </w:rPr>
        <w:t>A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Restricted Definitive Security to a Person who takes delivery thereof in the form of a beneficial interest in an Unrestricted Global Security only if:</w:t>
      </w:r>
    </w:p>
    <w:p>
      <w:pPr>
        <w:spacing w:after="0" w:line="181" w:lineRule="exact"/>
        <w:rPr>
          <w:rFonts w:ascii="Arial" w:cs="Arial" w:eastAsia="Arial" w:hAnsi="Arial"/>
          <w:sz w:val="18"/>
          <w:szCs w:val="18"/>
          <w:color w:val="auto"/>
        </w:rPr>
      </w:pPr>
    </w:p>
    <w:p>
      <w:pPr>
        <w:ind w:left="644" w:right="140" w:firstLine="653"/>
        <w:spacing w:after="0" w:line="259" w:lineRule="auto"/>
        <w:tabs>
          <w:tab w:leader="none" w:pos="1961" w:val="left"/>
        </w:tabs>
        <w:numPr>
          <w:ilvl w:val="2"/>
          <w:numId w:val="50"/>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186" w:lineRule="exact"/>
        <w:rPr>
          <w:rFonts w:ascii="Arial" w:cs="Arial" w:eastAsia="Arial" w:hAnsi="Arial"/>
          <w:sz w:val="18"/>
          <w:szCs w:val="18"/>
          <w:color w:val="auto"/>
        </w:rPr>
      </w:pPr>
    </w:p>
    <w:p>
      <w:pPr>
        <w:ind w:left="1964" w:hanging="667"/>
        <w:spacing w:after="0"/>
        <w:tabs>
          <w:tab w:leader="none" w:pos="1964" w:val="left"/>
        </w:tabs>
        <w:numPr>
          <w:ilvl w:val="2"/>
          <w:numId w:val="50"/>
        </w:numPr>
        <w:rPr>
          <w:rFonts w:ascii="Arial" w:cs="Arial" w:eastAsia="Arial" w:hAnsi="Arial"/>
          <w:sz w:val="17"/>
          <w:szCs w:val="17"/>
          <w:color w:val="auto"/>
        </w:rPr>
      </w:pPr>
      <w:r>
        <w:rPr>
          <w:rFonts w:ascii="Arial" w:cs="Arial" w:eastAsia="Arial" w:hAnsi="Arial"/>
          <w:sz w:val="17"/>
          <w:szCs w:val="17"/>
          <w:color w:val="auto"/>
        </w:rPr>
        <w:t>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644"/>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644" w:firstLine="653"/>
        <w:spacing w:after="0" w:line="277" w:lineRule="auto"/>
        <w:tabs>
          <w:tab w:leader="none" w:pos="1951" w:val="left"/>
        </w:tabs>
        <w:numPr>
          <w:ilvl w:val="2"/>
          <w:numId w:val="50"/>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1964" w:hanging="667"/>
        <w:spacing w:after="0"/>
        <w:tabs>
          <w:tab w:leader="none" w:pos="1964"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4" w:right="20" w:firstLine="641"/>
        <w:spacing w:after="0" w:line="291" w:lineRule="auto"/>
        <w:tabs>
          <w:tab w:leader="none" w:pos="262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Securities proposes to exchange such Notes for a beneficial interest in the Unrestricted Global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w:t>
      </w:r>
    </w:p>
    <w:p>
      <w:pPr>
        <w:ind w:left="1304"/>
        <w:spacing w:after="0"/>
        <w:rPr>
          <w:rFonts w:ascii="Arial" w:cs="Arial" w:eastAsia="Arial" w:hAnsi="Arial"/>
          <w:sz w:val="16"/>
          <w:szCs w:val="16"/>
          <w:color w:val="auto"/>
        </w:rPr>
      </w:pPr>
      <w:r>
        <w:rPr>
          <w:rFonts w:ascii="Arial" w:cs="Arial" w:eastAsia="Arial" w:hAnsi="Arial"/>
          <w:sz w:val="18"/>
          <w:szCs w:val="18"/>
          <w:color w:val="auto"/>
        </w:rPr>
        <w:t>(1)(c) thereof; or</w:t>
      </w:r>
    </w:p>
    <w:p>
      <w:pPr>
        <w:spacing w:after="0" w:line="210" w:lineRule="exact"/>
        <w:rPr>
          <w:rFonts w:ascii="Arial" w:cs="Arial" w:eastAsia="Arial" w:hAnsi="Arial"/>
          <w:sz w:val="16"/>
          <w:szCs w:val="16"/>
          <w:color w:val="auto"/>
        </w:rPr>
      </w:pPr>
    </w:p>
    <w:p>
      <w:pPr>
        <w:ind w:left="1304" w:right="160" w:firstLine="641"/>
        <w:spacing w:after="0" w:line="264" w:lineRule="auto"/>
        <w:tabs>
          <w:tab w:leader="none" w:pos="26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 beneficial interest in the Unrestricted Global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1" w:lineRule="exact"/>
        <w:rPr>
          <w:sz w:val="20"/>
          <w:szCs w:val="20"/>
          <w:color w:val="auto"/>
        </w:rPr>
      </w:pPr>
    </w:p>
    <w:p>
      <w:pPr>
        <w:ind w:left="644" w:right="120"/>
        <w:spacing w:after="0" w:line="259"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left="4" w:right="160" w:firstLine="648"/>
        <w:spacing w:after="0" w:line="308" w:lineRule="auto"/>
        <w:rPr>
          <w:sz w:val="20"/>
          <w:szCs w:val="20"/>
          <w:color w:val="auto"/>
        </w:rPr>
      </w:pPr>
      <w:r>
        <w:rPr>
          <w:rFonts w:ascii="Arial" w:cs="Arial" w:eastAsia="Arial" w:hAnsi="Arial"/>
          <w:sz w:val="17"/>
          <w:szCs w:val="17"/>
          <w:color w:val="auto"/>
        </w:rPr>
        <w:t>Upon satisfaction of the conditions of any of the subparagraphs in this Section 2.06(d)(2), the Trustee will cancel the Restricted Definitive Securities and increase or cause to be increased the aggregate principal amount of the Unrestricted Global Security.</w:t>
      </w:r>
    </w:p>
    <w:p>
      <w:pPr>
        <w:sectPr>
          <w:pgSz w:w="11900" w:h="16838" w:orient="portrait"/>
          <w:cols w:equalWidth="0" w:num="1">
            <w:col w:w="10764"/>
          </w:cols>
          <w:pgMar w:left="896" w:top="341" w:right="239" w:bottom="0" w:gutter="0" w:footer="0" w:header="0"/>
        </w:sectPr>
      </w:pPr>
    </w:p>
    <w:bookmarkStart w:id="21" w:name="page22"/>
    <w:bookmarkEnd w:id="21"/>
    <w:p>
      <w:pPr>
        <w:ind w:left="660" w:right="60" w:firstLine="645"/>
        <w:spacing w:after="0" w:line="257" w:lineRule="auto"/>
        <w:tabs>
          <w:tab w:leader="none" w:pos="1964"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Securities to Beneficial Interests in Unrestricted Global Securities. </w:t>
      </w:r>
      <w:r>
        <w:rPr>
          <w:rFonts w:ascii="Arial" w:cs="Arial" w:eastAsia="Arial" w:hAnsi="Arial"/>
          <w:sz w:val="18"/>
          <w:szCs w:val="18"/>
          <w:color w:val="auto"/>
        </w:rPr>
        <w:t>A Holder of an Unrestricted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Definitive Securities to a Person who takes delivery thereof in the form of a beneficial interest in an Unrestricted Global Security at any time. Upon receipt of a request for such an exchange or transfer, the Trustee will cancel the applicable Unrestricted Definitive Security and increase or cause to be increased the aggregate principal amount of one of the Unrestricted Global Securities.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such exchange or transfer from a Definitive Security to a beneficial interest is effected pursuant to subparagraphs (2)(B), (2)(D) or (3) above at a time when an Unrestricted Global Security has not yet been issued, the Company will issue and, upon receipt of an Authentication Order in accordance with Section 2.02 hereof, the Trustee will authenticate one or more Unrestricted Global Securities in an aggregate principal amount equal to the principal amount of Definitive Securities so transferred.</w:t>
      </w:r>
    </w:p>
    <w:p>
      <w:pPr>
        <w:spacing w:after="0" w:line="187" w:lineRule="exact"/>
        <w:rPr>
          <w:sz w:val="20"/>
          <w:szCs w:val="20"/>
          <w:color w:val="auto"/>
        </w:rPr>
      </w:pPr>
    </w:p>
    <w:p>
      <w:pPr>
        <w:ind w:right="160" w:firstLine="656"/>
        <w:spacing w:after="0" w:line="255" w:lineRule="auto"/>
        <w:tabs>
          <w:tab w:leader="none" w:pos="1307"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Securities for Definitive Securities. </w:t>
      </w:r>
      <w:r>
        <w:rPr>
          <w:rFonts w:ascii="Arial" w:cs="Arial" w:eastAsia="Arial" w:hAnsi="Arial"/>
          <w:sz w:val="18"/>
          <w:szCs w:val="18"/>
          <w:color w:val="auto"/>
        </w:rPr>
        <w:t>Upon request by a Holder of Definitive Securities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compliance with the provisions of this Section 2.06(e), the Registrar shall register the transfer or exchange of Definitive Securities. Prior to such registration of transfer or exchange, the requesting Holder must present or surrender to the Registrar the Definitive Securities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3" w:lineRule="exact"/>
        <w:rPr>
          <w:rFonts w:ascii="Arial" w:cs="Arial" w:eastAsia="Arial" w:hAnsi="Arial"/>
          <w:sz w:val="18"/>
          <w:szCs w:val="18"/>
          <w:color w:val="auto"/>
        </w:rPr>
      </w:pPr>
    </w:p>
    <w:p>
      <w:pPr>
        <w:ind w:left="660" w:right="220" w:firstLine="645"/>
        <w:spacing w:after="0" w:line="342" w:lineRule="auto"/>
        <w:tabs>
          <w:tab w:leader="none" w:pos="1964"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Securities to Restricted Definitive Securities. </w:t>
      </w:r>
      <w:r>
        <w:rPr>
          <w:rFonts w:ascii="Arial" w:cs="Arial" w:eastAsia="Arial" w:hAnsi="Arial"/>
          <w:sz w:val="16"/>
          <w:szCs w:val="16"/>
          <w:color w:val="auto"/>
        </w:rPr>
        <w:t>Any Restricted Definitive Security may be transferred to and</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in the name of Persons who take delivery thereof in the form of a Restricted Definitive Security if the Registrar receives the following: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firstLine="653"/>
        <w:spacing w:after="0" w:line="277" w:lineRule="auto"/>
        <w:tabs>
          <w:tab w:leader="none" w:pos="2617"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144A,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300" w:right="140" w:firstLine="653"/>
        <w:spacing w:after="0" w:line="277" w:lineRule="auto"/>
        <w:tabs>
          <w:tab w:leader="none" w:pos="2607"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70" w:lineRule="exact"/>
        <w:rPr>
          <w:rFonts w:ascii="Arial" w:cs="Arial" w:eastAsia="Arial" w:hAnsi="Arial"/>
          <w:sz w:val="18"/>
          <w:szCs w:val="18"/>
          <w:color w:val="auto"/>
        </w:rPr>
      </w:pPr>
    </w:p>
    <w:p>
      <w:pPr>
        <w:ind w:left="1300" w:right="60" w:firstLine="653"/>
        <w:spacing w:after="0" w:line="264" w:lineRule="auto"/>
        <w:tabs>
          <w:tab w:leader="none" w:pos="2607"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181" w:lineRule="exact"/>
        <w:rPr>
          <w:rFonts w:ascii="Arial" w:cs="Arial" w:eastAsia="Arial" w:hAnsi="Arial"/>
          <w:sz w:val="18"/>
          <w:szCs w:val="18"/>
          <w:color w:val="auto"/>
        </w:rPr>
      </w:pPr>
    </w:p>
    <w:p>
      <w:pPr>
        <w:ind w:left="660" w:right="60" w:firstLine="645"/>
        <w:spacing w:after="0" w:line="264" w:lineRule="auto"/>
        <w:tabs>
          <w:tab w:leader="none" w:pos="1964"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Unrestricted Definitive Securities. </w:t>
      </w:r>
      <w:r>
        <w:rPr>
          <w:rFonts w:ascii="Arial" w:cs="Arial" w:eastAsia="Arial" w:hAnsi="Arial"/>
          <w:sz w:val="18"/>
          <w:szCs w:val="18"/>
          <w:color w:val="auto"/>
        </w:rPr>
        <w:t>Any Restricted Definitive Security may be exchanged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for an Unrestricted Definitive Security or transferred to a Person or Persons who take delivery thereof in the form of an Unrestricted Definitive Security if:</w:t>
      </w:r>
    </w:p>
    <w:p>
      <w:pPr>
        <w:spacing w:after="0" w:line="181" w:lineRule="exact"/>
        <w:rPr>
          <w:rFonts w:ascii="Arial" w:cs="Arial" w:eastAsia="Arial" w:hAnsi="Arial"/>
          <w:sz w:val="18"/>
          <w:szCs w:val="18"/>
          <w:color w:val="auto"/>
        </w:rPr>
      </w:pPr>
    </w:p>
    <w:p>
      <w:pPr>
        <w:ind w:left="1300" w:right="140" w:firstLine="653"/>
        <w:spacing w:after="0" w:line="259" w:lineRule="auto"/>
        <w:tabs>
          <w:tab w:leader="none" w:pos="2617"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such transfer is effected pursuant to the Shelf Registration Statement in accordance with the Registration Rights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300" w:right="340" w:firstLine="653"/>
        <w:spacing w:after="0" w:line="277" w:lineRule="auto"/>
        <w:tabs>
          <w:tab w:leader="none" w:pos="260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such transfer is effected by a Broker-Dealer pursuant to the Exchange Offer Registration Statement in accordance with the Registration Rights Agreement;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rFonts w:ascii="Arial" w:cs="Arial" w:eastAsia="Arial" w:hAnsi="Arial"/>
          <w:sz w:val="18"/>
          <w:szCs w:val="18"/>
          <w:color w:val="auto"/>
        </w:rPr>
      </w:pPr>
    </w:p>
    <w:p>
      <w:pPr>
        <w:ind w:left="1960" w:right="220" w:firstLine="641"/>
        <w:spacing w:after="0" w:line="291" w:lineRule="auto"/>
        <w:tabs>
          <w:tab w:leader="none" w:pos="3278" w:val="left"/>
        </w:tabs>
        <w:numPr>
          <w:ilvl w:val="2"/>
          <w:numId w:val="55"/>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Securities proposes to exchange such Securities for an Unrestricted Definitive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(1)</w:t>
      </w:r>
    </w:p>
    <w:p>
      <w:pPr>
        <w:ind w:left="1960"/>
        <w:spacing w:after="0"/>
        <w:rPr>
          <w:rFonts w:ascii="Arial" w:cs="Arial" w:eastAsia="Arial" w:hAnsi="Arial"/>
          <w:sz w:val="16"/>
          <w:szCs w:val="16"/>
          <w:color w:val="auto"/>
        </w:rPr>
      </w:pPr>
      <w:r>
        <w:rPr>
          <w:rFonts w:ascii="Arial" w:cs="Arial" w:eastAsia="Arial" w:hAnsi="Arial"/>
          <w:sz w:val="18"/>
          <w:szCs w:val="18"/>
          <w:color w:val="auto"/>
        </w:rPr>
        <w:t>(d) thereof; or</w:t>
      </w:r>
    </w:p>
    <w:p>
      <w:pPr>
        <w:spacing w:after="0" w:line="211" w:lineRule="exact"/>
        <w:rPr>
          <w:sz w:val="20"/>
          <w:szCs w:val="20"/>
          <w:color w:val="auto"/>
        </w:rPr>
      </w:pPr>
    </w:p>
    <w:p>
      <w:pPr>
        <w:ind w:left="1960" w:right="160" w:firstLine="641"/>
        <w:spacing w:after="0" w:line="264" w:lineRule="auto"/>
        <w:tabs>
          <w:tab w:leader="none" w:pos="3287"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1" w:lineRule="exact"/>
        <w:rPr>
          <w:sz w:val="20"/>
          <w:szCs w:val="20"/>
          <w:color w:val="auto"/>
        </w:rPr>
      </w:pPr>
    </w:p>
    <w:p>
      <w:pPr>
        <w:ind w:left="1300" w:right="140"/>
        <w:spacing w:after="0" w:line="312" w:lineRule="auto"/>
        <w:rPr>
          <w:sz w:val="20"/>
          <w:szCs w:val="20"/>
          <w:color w:val="auto"/>
        </w:rPr>
      </w:pPr>
      <w:r>
        <w:rPr>
          <w:rFonts w:ascii="Arial" w:cs="Arial" w:eastAsia="Arial" w:hAnsi="Arial"/>
          <w:sz w:val="16"/>
          <w:szCs w:val="16"/>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540" w:firstLine="645"/>
        <w:spacing w:after="0" w:line="312" w:lineRule="auto"/>
        <w:tabs>
          <w:tab w:leader="none" w:pos="1964"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Unrestricted Definitive Securities to Unrestricted Definitive Securities. </w:t>
      </w:r>
      <w:r>
        <w:rPr>
          <w:rFonts w:ascii="Arial" w:cs="Arial" w:eastAsia="Arial" w:hAnsi="Arial"/>
          <w:sz w:val="16"/>
          <w:szCs w:val="16"/>
          <w:color w:val="auto"/>
        </w:rPr>
        <w:t>A Holder of Unrestricted Definitive Securities may</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such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spacing w:after="0" w:line="146" w:lineRule="exact"/>
        <w:rPr>
          <w:rFonts w:ascii="Arial" w:cs="Arial" w:eastAsia="Arial" w:hAnsi="Arial"/>
          <w:sz w:val="16"/>
          <w:szCs w:val="16"/>
          <w:color w:val="auto"/>
        </w:rPr>
      </w:pPr>
    </w:p>
    <w:p>
      <w:pPr>
        <w:ind w:right="380" w:firstLine="656"/>
        <w:spacing w:after="0" w:line="277" w:lineRule="auto"/>
        <w:tabs>
          <w:tab w:leader="none" w:pos="1301"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Upon the occurrence of the Exchange Offer in accordance with the Registration Rights Agreement,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issue and, upon receipt of an Authentication Order in accordance with Section 2.02 hereof, the Trustee will authenticate:</w:t>
      </w:r>
    </w:p>
    <w:p>
      <w:pPr>
        <w:sectPr>
          <w:pgSz w:w="11900" w:h="16838" w:orient="portrait"/>
          <w:cols w:equalWidth="0" w:num="1">
            <w:col w:w="11420"/>
          </w:cols>
          <w:pgMar w:left="240" w:top="125" w:right="239" w:bottom="0" w:gutter="0" w:footer="0" w:header="0"/>
        </w:sectPr>
      </w:pPr>
    </w:p>
    <w:bookmarkStart w:id="22" w:name="page23"/>
    <w:bookmarkEnd w:id="22"/>
    <w:p>
      <w:pPr>
        <w:jc w:val="both"/>
        <w:ind w:left="660" w:firstLine="645"/>
        <w:spacing w:after="0" w:line="259" w:lineRule="auto"/>
        <w:tabs>
          <w:tab w:leader="none" w:pos="1964" w:val="left"/>
        </w:tabs>
        <w:numPr>
          <w:ilvl w:val="1"/>
          <w:numId w:val="59"/>
        </w:numPr>
        <w:rPr>
          <w:rFonts w:ascii="Arial" w:cs="Arial" w:eastAsia="Arial" w:hAnsi="Arial"/>
          <w:sz w:val="18"/>
          <w:szCs w:val="18"/>
          <w:color w:val="auto"/>
        </w:rPr>
      </w:pPr>
      <w:r>
        <w:rPr>
          <w:rFonts w:ascii="Arial" w:cs="Arial" w:eastAsia="Arial" w:hAnsi="Arial"/>
          <w:sz w:val="18"/>
          <w:szCs w:val="18"/>
          <w:color w:val="auto"/>
        </w:rPr>
        <w:t>one or more Unrestricted Global Notes in an aggregate principal amount equal to the principal amount of the beneficial interests in the Restricted Global Notes accepted for exchange in the Exchange Offer by Persons that certify in the applicable Letters of Transmittal that (A) they are not Broker-Dealers, (B) they are not participating in a distribution of the Exchange Notes and (C) they are not affiliates (as defined in Rule 144) of the Company; and</w:t>
      </w:r>
    </w:p>
    <w:p>
      <w:pPr>
        <w:spacing w:after="0" w:line="186" w:lineRule="exact"/>
        <w:rPr>
          <w:rFonts w:ascii="Arial" w:cs="Arial" w:eastAsia="Arial" w:hAnsi="Arial"/>
          <w:sz w:val="18"/>
          <w:szCs w:val="18"/>
          <w:color w:val="auto"/>
        </w:rPr>
      </w:pPr>
    </w:p>
    <w:p>
      <w:pPr>
        <w:jc w:val="both"/>
        <w:ind w:left="660" w:right="260" w:firstLine="645"/>
        <w:spacing w:after="0" w:line="291" w:lineRule="auto"/>
        <w:tabs>
          <w:tab w:leader="none" w:pos="1964" w:val="left"/>
        </w:tabs>
        <w:numPr>
          <w:ilvl w:val="1"/>
          <w:numId w:val="59"/>
        </w:numPr>
        <w:rPr>
          <w:rFonts w:ascii="Arial" w:cs="Arial" w:eastAsia="Arial" w:hAnsi="Arial"/>
          <w:sz w:val="16"/>
          <w:szCs w:val="16"/>
          <w:color w:val="auto"/>
        </w:rPr>
      </w:pPr>
      <w:r>
        <w:rPr>
          <w:rFonts w:ascii="Arial" w:cs="Arial" w:eastAsia="Arial" w:hAnsi="Arial"/>
          <w:sz w:val="16"/>
          <w:szCs w:val="16"/>
          <w:color w:val="auto"/>
        </w:rPr>
        <w:t>Unrestricted Definitive Notes in an aggregate principal amount equal to the principal amount of the Restricted Definitive Notes accepted for exchange in the Exchange Offer by Persons that certify in the applicable Letters of Transmittal that (A) they are not Broker-Dealers,</w:t>
      </w:r>
    </w:p>
    <w:p>
      <w:pPr>
        <w:ind w:left="940" w:hanging="284"/>
        <w:spacing w:after="0"/>
        <w:tabs>
          <w:tab w:leader="none" w:pos="9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they are not participating in a distribution of the Exchange Notes and (C) they are not affiliates (as defined in Rule 144) of the Company.</w:t>
      </w:r>
    </w:p>
    <w:p>
      <w:pPr>
        <w:spacing w:after="0" w:line="22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Concurrently with the issuance of such Notes, the Trustee will cause the aggregate principal amount of the applicable Restricted Global Notes to be reduced accordingly, and the Company will execute and the Trustee will authenticate and deliver to the Persons designated by the Holders of Definitive Notes so accepted Unrestricted Definitive Notes in the appropriate principal amount.</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any exchange offer is contemplated in respect of any Series of Additional Securities, the terms thereof will be specified in and governed by the terms of the Supplemental Indenture pursuant to which such Series of Additional Securities is created.</w:t>
      </w:r>
    </w:p>
    <w:p>
      <w:pPr>
        <w:spacing w:after="0" w:line="170" w:lineRule="exact"/>
        <w:rPr>
          <w:sz w:val="20"/>
          <w:szCs w:val="20"/>
          <w:color w:val="auto"/>
        </w:rPr>
      </w:pPr>
    </w:p>
    <w:p>
      <w:pPr>
        <w:ind w:right="580" w:firstLine="656"/>
        <w:spacing w:after="0" w:line="264" w:lineRule="auto"/>
        <w:tabs>
          <w:tab w:leader="none" w:pos="1317"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 Additional Securities will bear the legends, if any, provided for in the Supplemental Indenture pursuant to which such Series of Additional Securities is created.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225" w:lineRule="exact"/>
        <w:rPr>
          <w:sz w:val="20"/>
          <w:szCs w:val="20"/>
          <w:color w:val="auto"/>
        </w:rPr>
      </w:pPr>
    </w:p>
    <w:p>
      <w:pPr>
        <w:ind w:left="1300" w:right="420" w:firstLine="653"/>
        <w:spacing w:after="0" w:line="277" w:lineRule="auto"/>
        <w:tabs>
          <w:tab w:leader="none" w:pos="26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[IN THE CASE OF RULE 144A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NOTES: ONE YEAR]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INSIDE THE UNITED STATES TO A QUALIFIED INSTITUTIONAL BUYER IN COMPLIANCE WITH RULE 144A UNDER THE SECURITIES ACT,</w:t>
      </w:r>
    </w:p>
    <w:p>
      <w:pPr>
        <w:spacing w:after="0" w:line="2" w:lineRule="exact"/>
        <w:rPr>
          <w:sz w:val="20"/>
          <w:szCs w:val="20"/>
          <w:color w:val="auto"/>
        </w:rPr>
      </w:pPr>
    </w:p>
    <w:p>
      <w:pPr>
        <w:ind w:right="120" w:firstLine="8"/>
        <w:spacing w:after="0" w:line="252" w:lineRule="auto"/>
        <w:tabs>
          <w:tab w:leader="none" w:pos="2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 (F) PURSUANT TO AN EFFECTIVE REGISTRATION STATEMENT UNDER THE SECURITIES ACT AND (3) 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191" w:lineRule="exact"/>
        <w:rPr>
          <w:rFonts w:ascii="Arial" w:cs="Arial" w:eastAsia="Arial" w:hAnsi="Arial"/>
          <w:sz w:val="18"/>
          <w:szCs w:val="18"/>
          <w:color w:val="auto"/>
        </w:rPr>
      </w:pPr>
    </w:p>
    <w:p>
      <w:pPr>
        <w:ind w:left="1300" w:firstLine="653"/>
        <w:spacing w:after="0" w:line="264" w:lineRule="auto"/>
        <w:tabs>
          <w:tab w:leader="none" w:pos="2607" w:val="left"/>
        </w:tabs>
        <w:numPr>
          <w:ilvl w:val="2"/>
          <w:numId w:val="63"/>
        </w:numPr>
        <w:rPr>
          <w:rFonts w:ascii="Arial" w:cs="Arial" w:eastAsia="Arial" w:hAnsi="Arial"/>
          <w:sz w:val="18"/>
          <w:szCs w:val="18"/>
          <w:color w:val="auto"/>
        </w:rPr>
      </w:pPr>
      <w:r>
        <w:rPr>
          <w:rFonts w:ascii="Arial" w:cs="Arial" w:eastAsia="Arial" w:hAnsi="Arial"/>
          <w:sz w:val="18"/>
          <w:szCs w:val="18"/>
          <w:color w:val="auto"/>
        </w:rPr>
        <w:t>Notwithstanding the foregoing, any Global Note or Definitive Note issued pursuant to subparagraphs (b)(4), (c)(2), (c)(3), (d)(2), (d)(3), (e)(2), (e)(3) or (f) of this Section 2.06 (and all Notes issued in exchange therefor or substitution thereof) will not bear the Private Placement Legend.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Global Legend</w:t>
      </w:r>
      <w:r>
        <w:rPr>
          <w:rFonts w:ascii="Arial" w:cs="Arial" w:eastAsia="Arial" w:hAnsi="Arial"/>
          <w:sz w:val="18"/>
          <w:szCs w:val="18"/>
          <w:color w:val="auto"/>
        </w:rPr>
        <w:t>. Each Global Security will bear a legend in substantially the following form:</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DEPOSITARY WITH THE PRIOR WRITTEN CONSENT OF NRG YIELD OPERATING LLC.</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w:t>
      </w:r>
    </w:p>
    <w:p>
      <w:pPr>
        <w:sectPr>
          <w:pgSz w:w="11900" w:h="16838" w:orient="portrait"/>
          <w:cols w:equalWidth="0" w:num="1">
            <w:col w:w="11400"/>
          </w:cols>
          <w:pgMar w:left="240" w:top="125" w:right="259" w:bottom="123"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HEREOF FOR VALUE OR OTHERWISE BY OR TO ANY PERSON IS WRONGFUL INASMUCH AS THE REGISTERED OWNER HEREOF, CEDE &amp; CO., HAS AN INTEREST HEREIN.”</w:t>
      </w:r>
    </w:p>
    <w:p>
      <w:pPr>
        <w:spacing w:after="0" w:line="170" w:lineRule="exact"/>
        <w:rPr>
          <w:sz w:val="20"/>
          <w:szCs w:val="20"/>
          <w:color w:val="auto"/>
        </w:rPr>
      </w:pPr>
    </w:p>
    <w:p>
      <w:pPr>
        <w:ind w:left="1960" w:hanging="655"/>
        <w:spacing w:after="0"/>
        <w:tabs>
          <w:tab w:leader="none" w:pos="19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Original Issue Discount Legend</w:t>
      </w:r>
      <w:r>
        <w:rPr>
          <w:rFonts w:ascii="Arial" w:cs="Arial" w:eastAsia="Arial" w:hAnsi="Arial"/>
          <w:sz w:val="17"/>
          <w:szCs w:val="17"/>
          <w:color w:val="auto"/>
        </w:rPr>
        <w:t>. Each Note issued with original issue discount, if any, will bear a legend in substantially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following form:</w:t>
      </w:r>
    </w:p>
    <w:p>
      <w:pPr>
        <w:spacing w:after="0" w:line="21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“FOR THE PURPOSES OF SECTIONS 1272, 1273 AND 1275 OF THE INTERNAL REVENUE CODE OF 1986, AS AMENDED, THIS SECURITY IS BEING ISSUED WITH ORIGINAL ISSUE DISCOUNT; FOR EACH $1,000 IN AGGREGATE PRINCIPAL AMOUNT OF THIS SECURITY, THE</w:t>
      </w:r>
    </w:p>
    <w:p>
      <w:pPr>
        <w:ind w:right="260"/>
        <w:spacing w:after="0" w:line="261" w:lineRule="auto"/>
        <w:rPr>
          <w:sz w:val="20"/>
          <w:szCs w:val="20"/>
          <w:color w:val="auto"/>
        </w:rPr>
      </w:pPr>
      <w:r>
        <w:rPr>
          <w:rFonts w:ascii="Arial" w:cs="Arial" w:eastAsia="Arial" w:hAnsi="Arial"/>
          <w:sz w:val="18"/>
          <w:szCs w:val="18"/>
          <w:color w:val="auto"/>
        </w:rPr>
        <w:t>ISSUE PRICE IS $[ ], THE AMOUNT OF ORIGINAL ISSUE DISCOUNT IS $[ ], THE ISSUE DATE IS [ ], 201[ ] AND THE YIELD TO MATURITY IS [ ]% PER ANNUM.”</w:t>
      </w:r>
    </w:p>
    <w:p>
      <w:pPr>
        <w:spacing w:after="0" w:line="184" w:lineRule="exact"/>
        <w:rPr>
          <w:sz w:val="20"/>
          <w:szCs w:val="20"/>
          <w:color w:val="auto"/>
        </w:rPr>
      </w:pPr>
    </w:p>
    <w:p>
      <w:pPr>
        <w:ind w:firstLine="656"/>
        <w:spacing w:after="0" w:line="253" w:lineRule="auto"/>
        <w:tabs>
          <w:tab w:leader="none" w:pos="1304"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Cancellation and/or Adjustment of Global Securities. </w:t>
      </w:r>
      <w:r>
        <w:rPr>
          <w:rFonts w:ascii="Arial" w:cs="Arial" w:eastAsia="Arial" w:hAnsi="Arial"/>
          <w:sz w:val="18"/>
          <w:szCs w:val="18"/>
          <w:color w:val="auto"/>
        </w:rPr>
        <w:t>At such time as all beneficial interests in a particular Global Security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for Definitive Securities or a particular Global Security has been redeemed, repurchased or canceled in whole and not in part, each such Global Security shall be returned to or retained and canceled by the Trustee in accordance with Section 2.12 hereof.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will be reduced accordingly and a notation will be made on the records maintained by the Trustee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will be increased accordingly and a notation will be made on the records maintained by the Trustee or by the Depositary at the direction of the Trustee to reflect such increase.</w:t>
      </w:r>
    </w:p>
    <w:p>
      <w:pPr>
        <w:spacing w:after="0" w:line="197" w:lineRule="exact"/>
        <w:rPr>
          <w:rFonts w:ascii="Arial" w:cs="Arial" w:eastAsia="Arial" w:hAnsi="Arial"/>
          <w:sz w:val="18"/>
          <w:szCs w:val="18"/>
          <w:color w:val="auto"/>
        </w:rPr>
      </w:pPr>
    </w:p>
    <w:p>
      <w:pPr>
        <w:ind w:left="1320" w:hanging="66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auto"/>
        </w:rPr>
      </w:pPr>
    </w:p>
    <w:p>
      <w:pPr>
        <w:ind w:left="660" w:right="100" w:firstLine="645"/>
        <w:spacing w:after="0" w:line="342" w:lineRule="auto"/>
        <w:tabs>
          <w:tab w:leader="none" w:pos="1964"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shall execute and the Trustee shall authenticate Global Securities and Definitive Securities upon receipt of an Authentication Order in accordance with Section 2.02 hereof or at the Registrar’s request.</w:t>
      </w:r>
    </w:p>
    <w:p>
      <w:pPr>
        <w:spacing w:after="0" w:line="123" w:lineRule="exact"/>
        <w:rPr>
          <w:rFonts w:ascii="Arial" w:cs="Arial" w:eastAsia="Arial" w:hAnsi="Arial"/>
          <w:sz w:val="16"/>
          <w:szCs w:val="16"/>
          <w:color w:val="auto"/>
        </w:rPr>
      </w:pPr>
    </w:p>
    <w:p>
      <w:pPr>
        <w:jc w:val="both"/>
        <w:ind w:left="660" w:right="80" w:firstLine="645"/>
        <w:spacing w:after="0" w:line="259" w:lineRule="auto"/>
        <w:tabs>
          <w:tab w:leader="none" w:pos="1964"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Security or to a Holder of a Definitive Security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3.06, 4.09 and 9.05 hereof).</w:t>
      </w:r>
    </w:p>
    <w:p>
      <w:pPr>
        <w:spacing w:after="0" w:line="186" w:lineRule="exact"/>
        <w:rPr>
          <w:rFonts w:ascii="Arial" w:cs="Arial" w:eastAsia="Arial" w:hAnsi="Arial"/>
          <w:sz w:val="18"/>
          <w:szCs w:val="18"/>
          <w:color w:val="auto"/>
        </w:rPr>
      </w:pPr>
    </w:p>
    <w:p>
      <w:pPr>
        <w:ind w:left="660" w:right="280" w:firstLine="645"/>
        <w:spacing w:after="0" w:line="277" w:lineRule="auto"/>
        <w:tabs>
          <w:tab w:leader="none" w:pos="1964"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Registrar shall not be required to register the transfer of or exchange of any Security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ind w:left="660" w:right="100" w:firstLine="645"/>
        <w:spacing w:after="0" w:line="286" w:lineRule="auto"/>
        <w:tabs>
          <w:tab w:leader="none" w:pos="1964"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Company shall not be required: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firstLine="653"/>
        <w:spacing w:after="0" w:line="342" w:lineRule="auto"/>
        <w:tabs>
          <w:tab w:leader="none" w:pos="2617" w:val="left"/>
        </w:tabs>
        <w:numPr>
          <w:ilvl w:val="1"/>
          <w:numId w:val="66"/>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Securities during a period beginning at the opening of business 15 days before the day of any selection of Securities for redemption and ending at the close of business on the day of selection;</w:t>
      </w:r>
    </w:p>
    <w:p>
      <w:pPr>
        <w:spacing w:after="0" w:line="123" w:lineRule="exact"/>
        <w:rPr>
          <w:rFonts w:ascii="Arial" w:cs="Arial" w:eastAsia="Arial" w:hAnsi="Arial"/>
          <w:sz w:val="16"/>
          <w:szCs w:val="16"/>
          <w:color w:val="auto"/>
        </w:rPr>
      </w:pPr>
    </w:p>
    <w:p>
      <w:pPr>
        <w:ind w:left="1300" w:right="100" w:firstLine="653"/>
        <w:spacing w:after="0" w:line="277" w:lineRule="auto"/>
        <w:tabs>
          <w:tab w:leader="none" w:pos="2607"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register the transfer of or to exchange any Security selected for redemption in whole or in part, except the unredeemed portion of any Security being redeemed in part;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to register the transfer of or to exchange a Security between a record date and the next succeeding interest payment date.</w:t>
      </w:r>
    </w:p>
    <w:p>
      <w:pPr>
        <w:spacing w:after="0" w:line="248" w:lineRule="exact"/>
        <w:rPr>
          <w:rFonts w:ascii="Arial" w:cs="Arial" w:eastAsia="Arial" w:hAnsi="Arial"/>
          <w:sz w:val="16"/>
          <w:szCs w:val="16"/>
          <w:color w:val="auto"/>
        </w:rPr>
      </w:pPr>
    </w:p>
    <w:p>
      <w:pPr>
        <w:ind w:left="660" w:right="60" w:firstLine="645"/>
        <w:spacing w:after="0" w:line="259" w:lineRule="auto"/>
        <w:tabs>
          <w:tab w:leader="none" w:pos="19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Security, the Trustee, any Agent and the Company may deem and treat the Person in whose name any Security is registered as the absolute owner of such Security for the purpose of receiving payment of principal of and interest on such Securities and for all other purposes, and none of the Trustee, any Agent or the Company shall be affected by notice to the contrary.</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Trustee shall authenticate Global Securities and Definitive Securities in accordance with the provisions of Section 2.02 hereof.</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orders, certifications, certificates and Opinions of Counsel required to be submitted to the Registrar pursuant to this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2.06 to effect a registration of transfer or exchange may be submitted by facsimile.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i w:val="1"/>
          <w:iCs w:val="1"/>
          <w:color w:val="auto"/>
        </w:rPr>
        <w:t>Issuance of Additional Notes.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shall be entitled, upon delivery to the Trustee of an Officers’ Certificate, Opinion of Counsel and Authentication Order, to issue Additional Notes under this Indenture which shall have identical terms as the Initial Notes issued on the Issue Date, other than with respect to the date of issuance and issue price. The Initial Notes issued on the Issue Date and any Additional Notes issued shall be treated as a single class for all purposes under this Indenture.</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With respect to any Additional Notes, the Company shall set forth in a Board Resolution and an Officers’ Certificate, a copy of each which shall be delivered to the Trustee, the following information:</w:t>
      </w:r>
    </w:p>
    <w:p>
      <w:pPr>
        <w:spacing w:after="0" w:line="170"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 price, the issue date and the CUSIP number of such Additional Notes.</w:t>
      </w:r>
    </w:p>
    <w:p>
      <w:pPr>
        <w:sectPr>
          <w:pgSz w:w="11900" w:h="16838" w:orient="portrait"/>
          <w:cols w:equalWidth="0" w:num="1">
            <w:col w:w="11420"/>
          </w:cols>
          <w:pgMar w:left="240" w:top="341" w:right="239" w:bottom="0" w:gutter="0" w:footer="0" w:header="0"/>
        </w:sectPr>
      </w:pPr>
    </w:p>
    <w:bookmarkStart w:id="24" w:name="page25"/>
    <w:bookmarkEnd w:id="24"/>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i w:val="1"/>
          <w:iCs w:val="1"/>
          <w:color w:val="auto"/>
        </w:rPr>
        <w:t>Replacement Securities.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If any mutilated Security is surrendered to the Trustee or the Company and the Trustee receives evidence to its satisfaction of the destruction, loss or theft of any Security, the Company will issue and the Trustee, upon receipt of an Authentication Order, will authenticate a replacement Security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Security is replaced. The Company may charge for its expenses in replacing a Security.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Every replacement Security is an additional obligation of the Company and will be entitled to all of the benefits of this Indenture equally and proportionately with all other Securities duly issued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i w:val="1"/>
          <w:iCs w:val="1"/>
          <w:color w:val="auto"/>
        </w:rPr>
        <w:t>Outstanding Securities.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Securities outstanding at any time are all the Notes authenticated by the Trustee except for those canceled by it, those delivered to it for cancellation, those reductions in the interest in a Global Security effected by the Trustee in accordance with the provisions hereof, and those described in this Section 2.09 as not outstanding. Except as set forth in Section 2.10 hereof, a Security does not cease to be outstanding because the Company or an Affiliate of the Company holds the Security; however, Securities held by the Company or a Subsidiary of the Company shall not be deemed to be outstanding for purposes of Section 3.07(a) hereof.</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If a Security is replaced pursuant to Section 2.08 hereof, it ceases to be outstanding unless the Trustee receives proof satisfactory to it that the replaced Security is held by a protected purchaser.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principal amount of any Security is considered paid under Section 4.01 hereof, it ceases to be outstanding and interest on it ceases to accrue.</w:t>
      </w:r>
    </w:p>
    <w:p>
      <w:pPr>
        <w:spacing w:after="0" w:line="248"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Securities payable on that date, then on and after that date such Securities will be deemed to be no longer outstanding and will cease to accrue interest.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i w:val="1"/>
          <w:iCs w:val="1"/>
          <w:color w:val="auto"/>
        </w:rPr>
        <w:t>Treasury Securities.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determining whether the Holders of the required principal amount of Notes have concurred in any direction, waiver or consent, Securities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such Notes that the Trustee has received written notice from the Company or any Guarantor, as applicable, certifying that the relevant Notes are owned by either the Company or any Guarantor, as applicable, will be so disregarded.</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Temporary Securities.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Until certificates representing Securities are ready for delivery, the Company may prepare and the Trustee, upon receipt of an Authentication Order, will authenticate temporary Securities. Temporary Securities will be substantially in the form of certificated Securities but may have variations that the Company considers appropriate for temporary Securities and as may be reasonably acceptable to the Trustee. Without unreasonable delay, the Company will prepare and the Trustee will authenticate definitive Securities in exchange for temporary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at any time may deliver Securities to the Trustee for cancellation. The Registrar and Paying Agent will forward to the Trustee any Securities surrendered to them for registration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transfer, exchange or payment. Upon receipt of written direction from the Company, the Trustee and no one else will cancel all Securities surrendered for registration of transfer, exchange, payment, replacement or cancellation and will destroy canceled Securities (subject to the record retention requirements of the Exchange Act). Certification of the destruction of all canceled Securities will be delivered to the Company. The Company may not issue new Securities to replace Securities that it has paid or that have been delivered to the Trustee for cancellation.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Defaulted Interest.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At least 10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Default interest will be payable with respect to Additional Securities on the terms provided in the Supplemental Indenture pursuant to which such Series of Additional Securities is created.</w:t>
      </w:r>
    </w:p>
    <w:p>
      <w:pPr>
        <w:sectPr>
          <w:pgSz w:w="11900" w:h="16838" w:orient="portrait"/>
          <w:cols w:equalWidth="0" w:num="1">
            <w:col w:w="11380"/>
          </w:cols>
          <w:pgMar w:left="240" w:top="341" w:right="279" w:bottom="0" w:gutter="0" w:footer="0" w:header="0"/>
        </w:sectPr>
      </w:pPr>
    </w:p>
    <w:bookmarkStart w:id="25" w:name="page26"/>
    <w:bookmarkEnd w:id="25"/>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For purposes of the Notes, Article 3 hereof provides the terms upon which redemption and prepayment may occur. For purposes of any Additional Securities issued under this Indenture, the Supplemental Indenture in respect of such Additional Securities will specify the terms upon which redemption and prepayment may occur, which may include some, all or none of the terms contained in this Article 3 hereof.</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hereof, it must furnish to the Trustee, at least 30 days but not more than 60 days before a redemption date, an Officers’ Certificate setting forth:</w:t>
      </w:r>
    </w:p>
    <w:p>
      <w:pPr>
        <w:spacing w:after="0" w:line="170" w:lineRule="exact"/>
        <w:rPr>
          <w:sz w:val="20"/>
          <w:szCs w:val="20"/>
          <w:color w:val="auto"/>
        </w:rPr>
      </w:pPr>
    </w:p>
    <w:p>
      <w:pPr>
        <w:ind w:left="1960" w:hanging="655"/>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If less than all of the Notes are to be redeemed at any time, the Trustee shall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among all outstanding Notes or, if the Notes are listed on any national securities exchange, in compliance with the requirements of the principal national securities exchange on which the Notes are listed, in either case, unless otherwise required by law or depositary requirements.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 the event of partial redemption by lot, the particular Notes to be redeemed or purchased shall be selected, unless otherwise provided herein, not less than 30 nor more than 60 days prior to the redemption by the Trustee from the outstanding Notes not previously called for redemption.</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$2,000 or whole multiples of $1,000 in excess of $2,000;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spacing w:after="0" w:line="188"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No Notes of $2,000 or less shall be redeemed in part. Notices of redemption shall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this Indenture.</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any Note is to be redeemed in part only, the notice of redemption that relates to that Note shall state the portion of the principal amount of that Note that is to be redeemed. A new Note in principal amount equal to the unredeemed portion of the original Note shall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the Company has deposited with the Paying Agent funds sufficient to pay the principal of, plus accrued and unpaid interest and premium, if any, on, the Notes to be redeemed.</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At least 30 days but not more than 60 days before a redemption date, the Company shall mail or 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Articles 8 or 11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225" w:lineRule="exact"/>
        <w:rPr>
          <w:sz w:val="20"/>
          <w:szCs w:val="20"/>
          <w:color w:val="auto"/>
        </w:rPr>
      </w:pPr>
    </w:p>
    <w:p>
      <w:pPr>
        <w:ind w:left="1960" w:hanging="655"/>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660" w:right="640" w:firstLine="645"/>
        <w:spacing w:after="0" w:line="264" w:lineRule="auto"/>
        <w:tabs>
          <w:tab w:leader="none" w:pos="1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7"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ectPr>
          <w:pgSz w:w="11900" w:h="16929" w:orient="portrait"/>
          <w:cols w:equalWidth="0" w:num="1">
            <w:col w:w="11400"/>
          </w:cols>
          <w:pgMar w:left="240" w:top="125" w:right="259" w:bottom="0" w:gutter="0" w:footer="0" w:header="0"/>
        </w:sectPr>
      </w:pPr>
    </w:p>
    <w:bookmarkStart w:id="26" w:name="page27"/>
    <w:bookmarkEnd w:id="26"/>
    <w:p>
      <w:pPr>
        <w:ind w:left="1960" w:hanging="655"/>
        <w:spacing w:after="0"/>
        <w:tabs>
          <w:tab w:leader="none" w:pos="19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960" w:hanging="655"/>
        <w:spacing w:after="0"/>
        <w:tabs>
          <w:tab w:leader="none" w:pos="1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At the Company’s request, the Trustee shall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45 days prior to the redemption date (or such shorter period as the Trustee in its sole discretion may allow), an Officers’ Certificate requesting that the Trustee give such notice and setting forth the information to be stated in such notice as provided in the preceding paragraph.</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Once notice of redemption is mailed in accordance with Section 3.03 hereof, Notes called for redemption become, subject to any conditions precedent set forth in the notice of redemption, irrevocably due and payable on the redemption date at the redemption price.</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One Business Day prior to the redemption or purchase date, the Company shall deposit with the Trustee or with the Paying Agent money sufficient to pay the redemption or purchase price of, accrued interest and premium, if any, on all Notes to be redeemed or purchased on that date. Promptly after the Company’s written request, the Trustee or the Paying Agent shall promptly return to the Company any money deposited with the Trustee or the Paying Agent by the Company in excess of the amounts necessary to pay the redemption or purchase price of accrued interest and premium, if any, on, all Notes to be redeemed or purchased.</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ind w:right="260" w:firstLine="656"/>
        <w:spacing w:after="0" w:line="302" w:lineRule="auto"/>
        <w:tabs>
          <w:tab w:leader="none" w:pos="1294"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At any time prior to September 15, 2019, the Company may on any one or more occasions redeem up to 35% of the aggregate principal amount of the Notes, upon not less than 30 nor more than 60 days’ notice, at a redemption price equal to 105.000%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54" w:lineRule="exact"/>
        <w:rPr>
          <w:rFonts w:ascii="Arial" w:cs="Arial" w:eastAsia="Arial" w:hAnsi="Arial"/>
          <w:sz w:val="16"/>
          <w:szCs w:val="16"/>
          <w:color w:val="auto"/>
        </w:rPr>
      </w:pPr>
    </w:p>
    <w:p>
      <w:pPr>
        <w:ind w:left="660" w:right="560" w:firstLine="645"/>
        <w:spacing w:after="0" w:line="308" w:lineRule="auto"/>
        <w:tabs>
          <w:tab w:leader="none" w:pos="1964" w:val="left"/>
        </w:tabs>
        <w:numPr>
          <w:ilvl w:val="1"/>
          <w:numId w:val="74"/>
        </w:numPr>
        <w:rPr>
          <w:rFonts w:ascii="Arial" w:cs="Arial" w:eastAsia="Arial" w:hAnsi="Arial"/>
          <w:sz w:val="17"/>
          <w:szCs w:val="17"/>
          <w:color w:val="auto"/>
        </w:rPr>
      </w:pPr>
      <w:r>
        <w:rPr>
          <w:rFonts w:ascii="Arial" w:cs="Arial" w:eastAsia="Arial" w:hAnsi="Arial"/>
          <w:sz w:val="17"/>
          <w:szCs w:val="17"/>
          <w:color w:val="auto"/>
        </w:rPr>
        <w:t>at least 65% of the aggregate principal amount of Notes originally issued under this Indenture (excluding Notes held by the Company, its Subsidiaries and parent entities) remains outstanding immediately after the occurrence of such redemption;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redemption occurs within 90 days of the date of the closing of such equity offering.</w:t>
      </w:r>
    </w:p>
    <w:p>
      <w:pPr>
        <w:spacing w:after="0" w:line="225" w:lineRule="exact"/>
        <w:rPr>
          <w:rFonts w:ascii="Arial" w:cs="Arial" w:eastAsia="Arial" w:hAnsi="Arial"/>
          <w:sz w:val="18"/>
          <w:szCs w:val="18"/>
          <w:color w:val="auto"/>
        </w:rPr>
      </w:pPr>
    </w:p>
    <w:p>
      <w:pPr>
        <w:ind w:right="160" w:firstLine="656"/>
        <w:spacing w:after="0" w:line="259" w:lineRule="auto"/>
        <w:tabs>
          <w:tab w:leader="none" w:pos="13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any time prior to September 15, 2021, the Company may on any one or more occasions redeem all or a part of the Notes, upon not less than 30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 September 15, 2021.</w:t>
      </w:r>
    </w:p>
    <w:p>
      <w:pPr>
        <w:spacing w:after="0" w:line="236" w:lineRule="exact"/>
        <w:rPr>
          <w:rFonts w:ascii="Arial" w:cs="Arial" w:eastAsia="Arial" w:hAnsi="Arial"/>
          <w:sz w:val="17"/>
          <w:szCs w:val="17"/>
          <w:color w:val="auto"/>
        </w:rPr>
      </w:pPr>
    </w:p>
    <w:p>
      <w:pPr>
        <w:ind w:right="20" w:firstLine="656"/>
        <w:spacing w:after="0" w:line="302" w:lineRule="auto"/>
        <w:tabs>
          <w:tab w:leader="none" w:pos="1304"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or after September 15, 2021, the Company may on any one or more occasions redeem all or a part of the Notes, upon not less than 30 nor more than 60 days’ prior notice, at the redemption prices (expressed as percentages of principal amount) set forth below, plus accrued and unpaid interest, if any, on the Notes redeemed, to the applicable date of redemption, if redeemed during the twelve-month period beginning on September 15 of the years indicated below, subject to the rights of Holders on the relevant record date to receive interest on the relevant interest payment date:</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Percentage</w:t>
            </w:r>
          </w:p>
        </w:tc>
        <w:tc>
          <w:tcPr>
            <w:tcW w:w="160" w:type="dxa"/>
            <w:vAlign w:val="bottom"/>
            <w:tcBorders>
              <w:bottom w:val="single" w:sz="8" w:color="CCEEFF"/>
            </w:tcBorders>
          </w:tcPr>
          <w:p>
            <w:pPr>
              <w:spacing w:after="0"/>
              <w:rPr>
                <w:sz w:val="14"/>
                <w:szCs w:val="14"/>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102.500%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101.667%</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100.833%</w:t>
            </w:r>
          </w:p>
        </w:tc>
      </w:t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bl>
    <w:p>
      <w:pPr>
        <w:sectPr>
          <w:pgSz w:w="11900" w:h="16838" w:orient="portrait"/>
          <w:cols w:equalWidth="0" w:num="1">
            <w:col w:w="11400"/>
          </w:cols>
          <w:pgMar w:left="240" w:top="341" w:right="259" w:bottom="0" w:gutter="0" w:footer="0" w:header="0"/>
        </w:sectPr>
      </w:pPr>
    </w:p>
    <w:bookmarkStart w:id="27" w:name="page28"/>
    <w:bookmarkEnd w:id="27"/>
    <w:p>
      <w:pPr>
        <w:ind w:left="1320" w:hanging="66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hereof.</w:t>
      </w:r>
    </w:p>
    <w:p>
      <w:pPr>
        <w:spacing w:after="0" w:line="225" w:lineRule="exact"/>
        <w:rPr>
          <w:rFonts w:ascii="Arial" w:cs="Arial" w:eastAsia="Arial" w:hAnsi="Arial"/>
          <w:sz w:val="18"/>
          <w:szCs w:val="18"/>
          <w:color w:val="auto"/>
        </w:rPr>
      </w:pPr>
    </w:p>
    <w:p>
      <w:pPr>
        <w:ind w:right="20" w:firstLine="656"/>
        <w:spacing w:after="0" w:line="277" w:lineRule="auto"/>
        <w:tabs>
          <w:tab w:leader="none" w:pos="13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provisions of this Article 3 do not prohibit the Company or its affiliates from acquiring the Notes in market transactions by means other than a redemption, whether pursuant to a tender offer or otherwise.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purposes of the Notes, Article 4 hereof provides the terms of the various covenants to which the Notes are subject. For purposes of any Additional Securities issued under this Indenture, the Supplemental Indenture in respect of such Additional Securities will specify the terms of the covenants to which such Additional Securities are subject, which may include some, all or none of the covenants contained in this Article 4 hereof.</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Payment of Notes.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shall pay or cause to be paid the principal of, premium,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 The Company will pay all Special Interest, if any, in the same manner on the dates and in the amounts set forth in the Registration Rights Agreement.</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references to “interest” on the Notes in this Indenture will be deemed to include all Special Interest payable pursuant to the Registration Rights Agreement, if any. Notwithstanding anything to the contrary contained herein, in the event the Company is required to pay Special Interest, the Company will provide written notice to the Trustee of the Company’s obligation to pay Special Interest no later than 15 days prior to the next interest payment date (or such shorter period as may be agreed by the Trustee), which notice shall set forth the amount of the Special Interest to be paid by the Company (but the failure to provide such notice shall not affect the Company’s obligation to pay such Special Interest when due). The Trustee shall not at any time be under any duty or responsibility to any Holders to determine whether any Special Interest is payable or the amount thereof.</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designation or rescission will in any manner relieve the Company of its obligation to maintain an office or agency in the Borough of Manhattan, the City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New York for such purposes. The Company will give prompt written notice to the Trustee of any such designation or rescission and of any change in the location of any such other office or agency.</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225" w:lineRule="exact"/>
        <w:rPr>
          <w:sz w:val="20"/>
          <w:szCs w:val="20"/>
          <w:color w:val="auto"/>
        </w:rPr>
      </w:pPr>
    </w:p>
    <w:p>
      <w:pPr>
        <w:ind w:right="100" w:firstLine="656"/>
        <w:spacing w:after="0" w:line="277" w:lineRule="auto"/>
        <w:tabs>
          <w:tab w:leader="none" w:pos="129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or not required by the SEC’s rules and regulations, so long as any Notes are outstanding, the Company shall furnish or cause to be furnished to Holders, within the time periods (including any extensions thereof) specified in the SEC’s rules and regulations:</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19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such reports;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SEC on Form 8-K if the Company were required to file such reports.</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All such reports shall be prepared in all material respects in accordance with all of the rules and regulations applicable to such reports. Each annual report on Form 10-K will include a report on the Company’s consolidated financial statements by the Company’s independent registered public accounting firm. In addition, after consummation of the Exchange Offer contemplated by the Registration Rights Agreement, the Company shall file a copy of each of the reports referred to in clauses (1) and (2) above with the SEC for public availability within the time periods specified in the rules and regulations applicable to such reports (unless the SEC will not accept such a filing). To the extent such filings are made, the reports shall be deemed to be furnished to the Trustee and Holders of Notes.</w:t>
      </w:r>
    </w:p>
    <w:p>
      <w:pPr>
        <w:sectPr>
          <w:pgSz w:w="11900" w:h="16838" w:orient="portrait"/>
          <w:cols w:equalWidth="0" w:num="1">
            <w:col w:w="11420"/>
          </w:cols>
          <w:pgMar w:left="240" w:top="341" w:right="239" w:bottom="0" w:gutter="0" w:footer="0" w:header="0"/>
        </w:sectPr>
      </w:pPr>
    </w:p>
    <w:bookmarkStart w:id="28" w:name="page29"/>
    <w:bookmarkEnd w:id="28"/>
    <w:p>
      <w:pPr>
        <w:spacing w:after="0" w:line="13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If the Company is no longer subject to the periodic reporting requirements of the Exchange Act for any reason, the Company shall nevertheless continue filing the reports specified in this Section 4.03(a) with the SEC within the time periods specified above unless the SEC will not accept such a filing. The Company agrees that it shall not take any action for the purpose of causing the SEC not to accept any such filings. If, notwithstanding the foregoing, the SEC will not accept the Company’s filings for any reason, the Company shall post the reports referred to in this Section 4.03(a) on its website within the time periods that would apply if the Company were required to file those reports with the SEC. The Company shall at all times comply with TIA § 314(a).</w:t>
      </w:r>
    </w:p>
    <w:p>
      <w:pPr>
        <w:spacing w:after="0" w:line="158" w:lineRule="exact"/>
        <w:rPr>
          <w:sz w:val="20"/>
          <w:szCs w:val="20"/>
          <w:color w:val="auto"/>
        </w:rPr>
      </w:pPr>
    </w:p>
    <w:p>
      <w:pPr>
        <w:ind w:right="280" w:firstLine="656"/>
        <w:spacing w:after="0" w:line="312" w:lineRule="auto"/>
        <w:tabs>
          <w:tab w:leader="none" w:pos="1304" w:val="left"/>
        </w:tabs>
        <w:numPr>
          <w:ilvl w:val="0"/>
          <w:numId w:val="77"/>
        </w:numPr>
        <w:rPr>
          <w:rFonts w:ascii="Arial" w:cs="Arial" w:eastAsia="Arial" w:hAnsi="Arial"/>
          <w:sz w:val="16"/>
          <w:szCs w:val="16"/>
          <w:color w:val="auto"/>
        </w:rPr>
      </w:pPr>
      <w:r>
        <w:rPr>
          <w:rFonts w:ascii="Arial" w:cs="Arial" w:eastAsia="Arial" w:hAnsi="Arial"/>
          <w:sz w:val="16"/>
          <w:szCs w:val="16"/>
          <w:color w:val="auto"/>
        </w:rPr>
        <w:t>So long as the Parent Guarantor continues to own, directly or indirectly, all of the Equity Interests of the Company,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the Company under this Section 4.03.</w:t>
      </w:r>
    </w:p>
    <w:p>
      <w:pPr>
        <w:spacing w:after="0" w:line="146" w:lineRule="exact"/>
        <w:rPr>
          <w:rFonts w:ascii="Arial" w:cs="Arial" w:eastAsia="Arial" w:hAnsi="Arial"/>
          <w:sz w:val="16"/>
          <w:szCs w:val="16"/>
          <w:color w:val="auto"/>
        </w:rPr>
      </w:pPr>
    </w:p>
    <w:p>
      <w:pPr>
        <w:ind w:right="220" w:firstLine="656"/>
        <w:spacing w:after="0" w:line="286" w:lineRule="auto"/>
        <w:tabs>
          <w:tab w:leader="none" w:pos="1307"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addition, the Company and the Guarantors agree that, for so long as any Notes remain outstanding, at any time they are not required to file the reports required by the preceding paragraphs with the Commission, they shall furnish to the Holders and to securities analysts and prospective investors, upon their request, the information required to be delivered pursuant to Rule 144A(d)(4) under the Securities 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ind w:firstLine="656"/>
        <w:spacing w:after="0" w:line="270" w:lineRule="auto"/>
        <w:tabs>
          <w:tab w:leader="none" w:pos="129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Company and each Guarantor (to the extent that such Guarantor is so required under the TIA)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if any, and interest, if any, on the Notes is prohibited or if such event has occurred, a description of the event and what action the Company is taking or proposes to take with respect thereto. The Company’s fiscal year ends December 31st.</w:t>
      </w:r>
    </w:p>
    <w:p>
      <w:pPr>
        <w:spacing w:after="0" w:line="177" w:lineRule="exact"/>
        <w:rPr>
          <w:rFonts w:ascii="Arial" w:cs="Arial" w:eastAsia="Arial" w:hAnsi="Arial"/>
          <w:sz w:val="17"/>
          <w:szCs w:val="17"/>
          <w:color w:val="auto"/>
        </w:rPr>
      </w:pPr>
    </w:p>
    <w:p>
      <w:pPr>
        <w:jc w:val="both"/>
        <w:ind w:right="200" w:firstLine="656"/>
        <w:spacing w:after="0" w:line="264" w:lineRule="auto"/>
        <w:tabs>
          <w:tab w:leader="none" w:pos="13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shall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4"/>
          <w:szCs w:val="14"/>
          <w:i w:val="1"/>
          <w:iCs w:val="1"/>
          <w:color w:val="auto"/>
        </w:rPr>
        <w:t>Taxes.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Company and each of the Guarantors covenants (to the extent that it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the Indenture; and the Company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i w:val="1"/>
          <w:iCs w:val="1"/>
          <w:color w:val="auto"/>
        </w:rPr>
        <w:t>Liens.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The Company will not, and will not permit any Subsidiary Guarantor, to create or permit to exist any Lien upon any Principal Property owned by the Company or any Subsidiary Guarantor or upon any Equity Interests issued by, or Indebtedness of, any direct or indirect Subsidiary of the Company to secure any Indebtedness of the Company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restriction will not apply to, or prevent the creation or existence 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20" w:firstLine="645"/>
        <w:spacing w:after="0" w:line="286" w:lineRule="auto"/>
        <w:tabs>
          <w:tab w:leader="none" w:pos="1964" w:val="left"/>
        </w:tabs>
        <w:numPr>
          <w:ilvl w:val="0"/>
          <w:numId w:val="79"/>
        </w:numPr>
        <w:rPr>
          <w:rFonts w:ascii="Arial" w:cs="Arial" w:eastAsia="Arial" w:hAnsi="Arial"/>
          <w:sz w:val="17"/>
          <w:szCs w:val="17"/>
          <w:color w:val="auto"/>
        </w:rPr>
      </w:pPr>
      <w:r>
        <w:rPr>
          <w:rFonts w:ascii="Arial" w:cs="Arial" w:eastAsia="Arial" w:hAnsi="Arial"/>
          <w:sz w:val="17"/>
          <w:szCs w:val="17"/>
          <w:color w:val="auto"/>
        </w:rPr>
        <w:t>Liens securing Indebtedness of the Company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ind w:left="660" w:right="140" w:firstLine="645"/>
        <w:spacing w:after="0" w:line="293" w:lineRule="auto"/>
        <w:tabs>
          <w:tab w:leader="none" w:pos="1964"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Liens securing Indebtedness of any Person that (a) is acquired by the Company or any of its Subsidiaries after the date hereof, (b) is merged or amalgamated with or into the Company or any of its Subsidiaries after the date hereof or (c) becomes consolidated in the financial statements of the Company or any of its Subsidiaries after the date hereof in accordance with GAAP;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Company or any of its Subsidiaries;</w:t>
      </w:r>
    </w:p>
    <w:p>
      <w:pPr>
        <w:spacing w:after="0" w:line="164" w:lineRule="exact"/>
        <w:rPr>
          <w:rFonts w:ascii="Arial" w:cs="Arial" w:eastAsia="Arial" w:hAnsi="Arial"/>
          <w:sz w:val="16"/>
          <w:szCs w:val="16"/>
          <w:color w:val="auto"/>
        </w:rPr>
      </w:pPr>
    </w:p>
    <w:p>
      <w:pPr>
        <w:ind w:left="660" w:right="60" w:firstLine="645"/>
        <w:spacing w:after="0" w:line="342" w:lineRule="auto"/>
        <w:tabs>
          <w:tab w:leader="none" w:pos="1964" w:val="left"/>
        </w:tabs>
        <w:numPr>
          <w:ilvl w:val="0"/>
          <w:numId w:val="79"/>
        </w:numPr>
        <w:rPr>
          <w:rFonts w:ascii="Arial" w:cs="Arial" w:eastAsia="Arial" w:hAnsi="Arial"/>
          <w:sz w:val="16"/>
          <w:szCs w:val="16"/>
          <w:color w:val="auto"/>
        </w:rPr>
      </w:pPr>
      <w:r>
        <w:rPr>
          <w:rFonts w:ascii="Arial" w:cs="Arial" w:eastAsia="Arial" w:hAnsi="Arial"/>
          <w:sz w:val="16"/>
          <w:szCs w:val="16"/>
          <w:color w:val="auto"/>
        </w:rPr>
        <w:t>Liens securing Indebtedness of the Company or any Subsidiary Guarantor incurred to finance (whether prior to or within 365 days after) the acquisition, construction or improvement of assets (whether through the direct purchase of assets or through the purchase of the Equity</w:t>
      </w:r>
    </w:p>
    <w:p>
      <w:pPr>
        <w:sectPr>
          <w:pgSz w:w="11900" w:h="16975" w:orient="portrait"/>
          <w:cols w:equalWidth="0" w:num="1">
            <w:col w:w="11420"/>
          </w:cols>
          <w:pgMar w:left="240" w:top="125" w:right="239" w:bottom="0" w:gutter="0" w:footer="0" w:header="0"/>
        </w:sectPr>
      </w:pPr>
    </w:p>
    <w:bookmarkStart w:id="29" w:name="page30"/>
    <w:bookmarkEnd w:id="29"/>
    <w:p>
      <w:pPr>
        <w:ind w:left="660" w:right="280"/>
        <w:spacing w:after="0" w:line="277" w:lineRule="auto"/>
        <w:rPr>
          <w:sz w:val="20"/>
          <w:szCs w:val="20"/>
          <w:color w:val="auto"/>
        </w:rPr>
      </w:pPr>
      <w:r>
        <w:rPr>
          <w:rFonts w:ascii="Arial" w:cs="Arial" w:eastAsia="Arial" w:hAnsi="Arial"/>
          <w:sz w:val="18"/>
          <w:szCs w:val="18"/>
          <w:color w:val="auto"/>
        </w:rPr>
        <w:t xml:space="preserve">Interests of any Person owning such assets or through an acquisition of any such Person by merger);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Indebtedness is only secured by Liens on the Equity Interests and assets acquired, constructed or improved in such financing;</w:t>
      </w:r>
    </w:p>
    <w:p>
      <w:pPr>
        <w:spacing w:after="0" w:line="170" w:lineRule="exact"/>
        <w:rPr>
          <w:sz w:val="20"/>
          <w:szCs w:val="20"/>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in favor of the Company or any of its Subsidiaries;</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the Company in its reasonable discretion acting in good faith);</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Liens relating to current or future escrow arrangements securing Indebtedness of the Company or any Subsidiary Guarantor;</w:t>
      </w:r>
    </w:p>
    <w:p>
      <w:pPr>
        <w:spacing w:after="0" w:line="236" w:lineRule="exact"/>
        <w:rPr>
          <w:rFonts w:ascii="Arial" w:cs="Arial" w:eastAsia="Arial" w:hAnsi="Arial"/>
          <w:sz w:val="17"/>
          <w:szCs w:val="17"/>
          <w:color w:val="auto"/>
        </w:rPr>
      </w:pPr>
    </w:p>
    <w:p>
      <w:pPr>
        <w:ind w:left="660" w:right="580" w:firstLine="645"/>
        <w:spacing w:after="0" w:line="277"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Guarantor, including rights of offset and set-off;</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on the stock or assets of Project Subsidiaries securing Project Debt of one or more Project Subsidiaries;</w:t>
      </w:r>
    </w:p>
    <w:p>
      <w:pPr>
        <w:spacing w:after="0" w:line="225" w:lineRule="exact"/>
        <w:rPr>
          <w:rFonts w:ascii="Arial" w:cs="Arial" w:eastAsia="Arial" w:hAnsi="Arial"/>
          <w:sz w:val="18"/>
          <w:szCs w:val="18"/>
          <w:color w:val="auto"/>
        </w:rPr>
      </w:pPr>
    </w:p>
    <w:p>
      <w:pPr>
        <w:ind w:left="660" w:right="80" w:firstLine="645"/>
        <w:spacing w:after="0" w:line="264" w:lineRule="auto"/>
        <w:tabs>
          <w:tab w:leader="none" w:pos="19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securing Indebtedness incurred to finance an acquisition of assets or a business or multiple businesses;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within 180 days from the date the related Indebtedness was Incurred, such cash or cash equivalents are used to (a) fund the acquisition (or a similar transaction), including any related fees and expenses, and the related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Indebtedness is (1) secured by Liens otherwise permitted under this Section 4.07 or (2) unsecured; or (b) retire or repay the Indebtedness that it secures and to pay any related fees and expenses; and</w:t>
      </w:r>
    </w:p>
    <w:p>
      <w:pPr>
        <w:spacing w:after="0" w:line="170" w:lineRule="exact"/>
        <w:rPr>
          <w:sz w:val="20"/>
          <w:szCs w:val="20"/>
          <w:color w:val="auto"/>
        </w:rPr>
      </w:pPr>
    </w:p>
    <w:p>
      <w:pPr>
        <w:ind w:left="660" w:right="200" w:firstLine="645"/>
        <w:spacing w:after="0" w:line="264" w:lineRule="auto"/>
        <w:tabs>
          <w:tab w:leader="none" w:pos="19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the Company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Liens securing Indebtedness under the Credit Agreement existing on the date of this Indenture will be deemed to have been incurred on such date in reliance on the exception provided by clause (1) above. For purposes of determining compliance with this Section 4.07, in the event that a proposed Lien meets the criteria of more than one of the categories of Liens described in clauses (1) through (13) above, the Company will be permitted to classify such Lien on the date of its incurrence, or later reclassify all or a portion of such Lien, in any manner that complies with this Section 4.07.</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the Company or any Subsidiary Guarantor proposes to create or permit to exist any Lien upon any Principal Property owned by the Company or any Subsidiary Guarantor or upon any Equity Interests or Indebtedness of any direct or indirect Subsidiary of the Company to secure any Indebtedness, other than as permitted by clauses (1) through (13) of the previous paragraph, the Company will give prior written notice thereof to the Trustee, who will give notice to the Holders of the Notes at the direction and expense of the Company, and the Company will further agree, prior to or simultaneously with the creation of such Lien, effectively to secure all the Notes equally and ratably with (or prior to) such other Indebtedness, for so long as such other Indebtedness is so secured.</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Limited Liability Company Existence.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Article 5 hereof, the Company shall do or cause to be done all things necessary to preserve and keep in full force and effect:</w:t>
      </w:r>
    </w:p>
    <w:p>
      <w:pPr>
        <w:spacing w:after="0" w:line="225" w:lineRule="exact"/>
        <w:rPr>
          <w:sz w:val="20"/>
          <w:szCs w:val="20"/>
          <w:color w:val="auto"/>
        </w:rPr>
      </w:pPr>
    </w:p>
    <w:p>
      <w:pPr>
        <w:ind w:left="660" w:right="40" w:firstLine="645"/>
        <w:spacing w:after="0" w:line="264" w:lineRule="auto"/>
        <w:tabs>
          <w:tab w:leader="none" w:pos="19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its limited liability company existence, and the corporate, partnership or other existence, as applicable, of the Parent Guarantor and each of its Subsidiaries, in accordance with the respective organizational documents (as the same may be amended from time to time) of the Company, the Parent Guarantor or any such Subsidiary; and</w:t>
      </w:r>
    </w:p>
    <w:p>
      <w:pPr>
        <w:spacing w:after="0" w:line="181" w:lineRule="exact"/>
        <w:rPr>
          <w:rFonts w:ascii="Arial" w:cs="Arial" w:eastAsia="Arial" w:hAnsi="Arial"/>
          <w:sz w:val="18"/>
          <w:szCs w:val="18"/>
          <w:color w:val="auto"/>
        </w:rPr>
      </w:pPr>
    </w:p>
    <w:p>
      <w:pPr>
        <w:ind w:left="660" w:right="100" w:firstLine="645"/>
        <w:spacing w:after="0" w:line="297" w:lineRule="auto"/>
        <w:tabs>
          <w:tab w:leader="none" w:pos="1964"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the Parent Guarantor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preserve any such right, license or franchise, or the corporate, partnership or other existence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Parent Guarantor or any of its Subsidiaries, if (a) the Company shall determine that the preservation thereof is no longer desirable in the conduct of the business of the Company, the Parent Guarantor and its Subsidiaries, taken as a whole, and that the loss thereof is not adverse in any material respect to the Holders of the Notes or (b) if a Subsidiary is to be dissolved, such Subsidiary has no assets.</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Offer to Repurchase Upon Change of Control Triggering Event.</w:t>
      </w:r>
    </w:p>
    <w:p>
      <w:pPr>
        <w:spacing w:after="0" w:line="225" w:lineRule="exact"/>
        <w:rPr>
          <w:sz w:val="20"/>
          <w:szCs w:val="20"/>
          <w:color w:val="auto"/>
        </w:rPr>
      </w:pPr>
    </w:p>
    <w:p>
      <w:pPr>
        <w:ind w:right="160" w:firstLine="656"/>
        <w:spacing w:after="0" w:line="259" w:lineRule="auto"/>
        <w:tabs>
          <w:tab w:leader="none" w:pos="129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Upon the occurrence of a Change of Control Triggering Event, the Company will make an offer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record date to receive interest due on the relevant interest payment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Triggering Event, the Company will mail a notice to each Holder describing the transaction or transactions that constitute the Change of Control and stating:</w:t>
      </w:r>
    </w:p>
    <w:p>
      <w:pPr>
        <w:sectPr>
          <w:pgSz w:w="11900" w:h="16838" w:orient="portrait"/>
          <w:cols w:equalWidth="0" w:num="1">
            <w:col w:w="11420"/>
          </w:cols>
          <w:pgMar w:left="240" w:top="125" w:right="239" w:bottom="0" w:gutter="0" w:footer="0" w:header="0"/>
        </w:sectPr>
      </w:pPr>
    </w:p>
    <w:bookmarkStart w:id="30" w:name="page31"/>
    <w:bookmarkEnd w:id="30"/>
    <w:p>
      <w:pPr>
        <w:spacing w:after="0" w:line="69" w:lineRule="exact"/>
        <w:rPr>
          <w:sz w:val="20"/>
          <w:szCs w:val="20"/>
          <w:color w:val="auto"/>
        </w:rPr>
      </w:pPr>
    </w:p>
    <w:p>
      <w:pPr>
        <w:ind w:left="1960" w:hanging="655"/>
        <w:spacing w:after="0"/>
        <w:tabs>
          <w:tab w:leader="none" w:pos="19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that the Change of Control Offer is being made pursuant to this Section 4.09 and that all Notes tendered will be accepted for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payment;</w:t>
      </w:r>
    </w:p>
    <w:p>
      <w:pPr>
        <w:spacing w:after="0" w:line="210" w:lineRule="exact"/>
        <w:rPr>
          <w:rFonts w:ascii="Arial" w:cs="Arial" w:eastAsia="Arial" w:hAnsi="Arial"/>
          <w:sz w:val="17"/>
          <w:szCs w:val="17"/>
          <w:color w:val="auto"/>
        </w:rPr>
      </w:pPr>
    </w:p>
    <w:p>
      <w:pPr>
        <w:ind w:left="660" w:firstLine="645"/>
        <w:spacing w:after="0" w:line="277" w:lineRule="auto"/>
        <w:tabs>
          <w:tab w:leader="none" w:pos="1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no earlier than 30 days and no later than 60 days from the date such notice is mailed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25"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170" w:lineRule="exact"/>
        <w:rPr>
          <w:rFonts w:ascii="Arial" w:cs="Arial" w:eastAsia="Arial" w:hAnsi="Arial"/>
          <w:sz w:val="18"/>
          <w:szCs w:val="18"/>
          <w:color w:val="auto"/>
        </w:rPr>
      </w:pPr>
    </w:p>
    <w:p>
      <w:pPr>
        <w:ind w:left="660" w:right="100" w:firstLine="645"/>
        <w:spacing w:after="0" w:line="286" w:lineRule="auto"/>
        <w:tabs>
          <w:tab w:leader="none" w:pos="1964"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that Holders electing to have any Notes purchased pursuant to a Change of Control Offer shall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spacing w:after="0" w:line="165" w:lineRule="exact"/>
        <w:rPr>
          <w:rFonts w:ascii="Arial" w:cs="Arial" w:eastAsia="Arial" w:hAnsi="Arial"/>
          <w:sz w:val="17"/>
          <w:szCs w:val="17"/>
          <w:color w:val="auto"/>
        </w:rPr>
      </w:pPr>
    </w:p>
    <w:p>
      <w:pPr>
        <w:ind w:left="660" w:right="340" w:firstLine="645"/>
        <w:spacing w:after="0" w:line="312" w:lineRule="auto"/>
        <w:tabs>
          <w:tab w:leader="none" w:pos="196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facsimile transmission or letter setting forth the name of the Holder, the principal amount of Notes delivered for purchase, and a statement that such Holder is withdrawing his election to have the Notes purchased; and</w:t>
      </w:r>
    </w:p>
    <w:p>
      <w:pPr>
        <w:spacing w:after="0" w:line="146" w:lineRule="exact"/>
        <w:rPr>
          <w:rFonts w:ascii="Arial" w:cs="Arial" w:eastAsia="Arial" w:hAnsi="Arial"/>
          <w:sz w:val="16"/>
          <w:szCs w:val="16"/>
          <w:color w:val="auto"/>
        </w:rPr>
      </w:pPr>
    </w:p>
    <w:p>
      <w:pPr>
        <w:jc w:val="both"/>
        <w:ind w:left="660" w:right="40" w:firstLine="645"/>
        <w:spacing w:after="0" w:line="264" w:lineRule="auto"/>
        <w:tabs>
          <w:tab w:leader="none" w:pos="1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in excess of $2,000.</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provisions of this Section 4.09, the Company shall comply with the applicable securities laws and regulations and shall not be deemed to have breached its obligations under this Section 4.09 by virtue of such compliance.</w:t>
      </w:r>
    </w:p>
    <w:p>
      <w:pPr>
        <w:spacing w:after="0" w:line="154" w:lineRule="exact"/>
        <w:rPr>
          <w:sz w:val="20"/>
          <w:szCs w:val="20"/>
          <w:color w:val="auto"/>
        </w:rPr>
      </w:pPr>
    </w:p>
    <w:p>
      <w:pPr>
        <w:ind w:left="1320" w:hanging="66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right="400" w:firstLine="645"/>
        <w:spacing w:after="0" w:line="277" w:lineRule="auto"/>
        <w:tabs>
          <w:tab w:leader="none" w:pos="196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0" w:firstLine="645"/>
        <w:spacing w:after="0" w:line="277" w:lineRule="auto"/>
        <w:tabs>
          <w:tab w:leader="none" w:pos="1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Paying Agent shall promptly distribute to each Holder of Notes properly tendered the Change of Control Payment for the Notes, and the Trustee shall promptly authenticate and deliver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principal amount of $2,000 or an integral multiple of $1,000 in excess of $2,000. The Company shall publicly announce the results of the Change of Control Offer on or as soon as practicable after the Change of Control Payment Date.</w:t>
      </w:r>
    </w:p>
    <w:p>
      <w:pPr>
        <w:spacing w:after="0" w:line="188" w:lineRule="exact"/>
        <w:rPr>
          <w:sz w:val="20"/>
          <w:szCs w:val="20"/>
          <w:color w:val="auto"/>
        </w:rPr>
      </w:pPr>
    </w:p>
    <w:p>
      <w:pPr>
        <w:jc w:val="both"/>
        <w:ind w:right="40" w:firstLine="656"/>
        <w:spacing w:after="0" w:line="264" w:lineRule="auto"/>
        <w:tabs>
          <w:tab w:leader="none" w:pos="130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provisions described in Sections 4.09(a) and (b) shall apply whether or not other provisions of this Indenture are applicable. Except as described in Sections 4.09(a) and (b) hereof, Holders of Notes shall not be permitted to require that the Company repurchase or redeem the Notes in the event of a takeover, recapitalization or similar transaction.</w:t>
      </w:r>
    </w:p>
    <w:p>
      <w:pPr>
        <w:spacing w:after="0" w:line="181" w:lineRule="exact"/>
        <w:rPr>
          <w:rFonts w:ascii="Arial" w:cs="Arial" w:eastAsia="Arial" w:hAnsi="Arial"/>
          <w:sz w:val="18"/>
          <w:szCs w:val="18"/>
          <w:color w:val="auto"/>
        </w:rPr>
      </w:pPr>
    </w:p>
    <w:p>
      <w:pPr>
        <w:ind w:right="20" w:firstLine="656"/>
        <w:spacing w:after="0" w:line="255" w:lineRule="auto"/>
        <w:tabs>
          <w:tab w:leader="none" w:pos="13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4.09, the Company shall not be required to make a Change of Control Offer upon a Change of Control Triggering Event if (1) a third party makes the Change of Control Offer in the manner, at the times and otherwise in compliance with the requirements set forth in this Section 4.09 and purchases all Notes properly tendered and not withdrawn under the Change of Control Offer, or (2) notice of redemption has been given pursuant to Section 3.07 hereof,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i w:val="1"/>
          <w:iCs w:val="1"/>
          <w:color w:val="auto"/>
        </w:rPr>
        <w:t>Additional Subsidiary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660" w:right="180" w:firstLine="645"/>
        <w:spacing w:after="0" w:line="277" w:lineRule="auto"/>
        <w:tabs>
          <w:tab w:leader="none" w:pos="1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or any of its Subsidiaries acquires or creates another Wholly Owned Subsidiary after the date of this Indenture and such Wholly Owned Subsidiary Guarantees any Obligations of the Company under the Credit Agreement, or</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Wholly Owned Subsidiary that does not Guarantee any Obligations of the Company under the Credit Agreement as of the date of the Indenture subsequently Guarantees any Obligations of the Company under the Credit Agreement, or</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there is no Indebtedness of the Company outstanding under the Credit Agreement at that time, any Wholly Owned Subsidiary of the Company (including any newly acquired or created Wholly Owned Subsidiary) Guarantees any Obligations with respect to any other Material Indebtedness of the Company,</w:t>
      </w:r>
    </w:p>
    <w:p>
      <w:pPr>
        <w:spacing w:after="0" w:line="18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then such newly acquired or created Wholly Owned Subsidiary or Wholly Owned Subsidiary that subsequently fully and unconditionally Guarantees Obligations under the Credit Agreement or other Material Indebtedness of the Company, as the case may be, will become a Guarantor of the Notes and</w:t>
      </w:r>
    </w:p>
    <w:p>
      <w:pPr>
        <w:sectPr>
          <w:pgSz w:w="11900" w:h="16908" w:orient="portrait"/>
          <w:cols w:equalWidth="0" w:num="1">
            <w:col w:w="11400"/>
          </w:cols>
          <w:pgMar w:left="240" w:top="125" w:right="259" w:bottom="0" w:gutter="0" w:footer="0" w:header="0"/>
        </w:sectPr>
      </w:pPr>
    </w:p>
    <w:bookmarkStart w:id="31" w:name="page32"/>
    <w:bookmarkEnd w:id="31"/>
    <w:p>
      <w:pPr>
        <w:spacing w:after="0" w:line="13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 xml:space="preserve">execute a supplemental indenture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and deliver an Opinion of Counsel satisfactory to the trustee within 30 business days of the date on which it was acquired or created or guaranteed other Material Indebtedness of the Company, as the case may be.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Holding Company Status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ownership of debt or Equity Interests in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participating in tax, accounting and other administrative activities as the parent of a consolidated group of companies, including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making distributions to holders of its debt or Equity Interests or to the Company or any Subsidiary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NRG Yield, Inc., the Company or any Subsidiary of the Company and the execution and delivery of any agreements related to the foregoing, including credit agreements, indentures, security agreements, notes and registration rights agreements;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purposes of the Notes, Article 5 hereof provides the terms upon which a Person can succeed the Obligations of the Company or the Guarantors. For purposes of any Additional Securities issued under this Indenture, the Supplemental Indenture in respect of such Additional Securities will specify the terms upon which a Person can succeed the obligations of the Company or the Guarantors, if any, to such Additional Securities, which may include some, all or none of the terms contained in this Article 5 hereof.</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the Parent Guarantor nor the Company shall, directly or indirectly: (1) consolidate or merge with or into another Person (whether or not the Parent Guarantor or the Company is the surviving Person); or (2) sell, assign, transfer, convey or otherwise dispose of all or substantially all of the properties or assets of the Parent Guarantor or the Parent Guarantor and its Subsidiaries taken as a whole or the Company or the Company and its Subsidiaries taken as a whole, in one or more related transactions, to another Person, unless:</w:t>
      </w:r>
    </w:p>
    <w:p>
      <w:pPr>
        <w:spacing w:after="0" w:line="187" w:lineRule="exact"/>
        <w:rPr>
          <w:sz w:val="20"/>
          <w:szCs w:val="20"/>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Parent Guarantor or the Company, as the case may be, is the surviving Person; or</w:t>
      </w:r>
    </w:p>
    <w:p>
      <w:pPr>
        <w:spacing w:after="0" w:line="225" w:lineRule="exact"/>
        <w:rPr>
          <w:rFonts w:ascii="Arial" w:cs="Arial" w:eastAsia="Arial" w:hAnsi="Arial"/>
          <w:sz w:val="18"/>
          <w:szCs w:val="18"/>
          <w:color w:val="auto"/>
        </w:rPr>
      </w:pPr>
    </w:p>
    <w:p>
      <w:pPr>
        <w:ind w:left="1300" w:right="40" w:firstLine="653"/>
        <w:spacing w:after="0" w:line="255" w:lineRule="auto"/>
        <w:tabs>
          <w:tab w:leader="none" w:pos="2607"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the Person formed by or surviving any such consolidation or merger (if other than the Parent Guarantor or the Company,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189" w:lineRule="exact"/>
        <w:rPr>
          <w:rFonts w:ascii="Arial" w:cs="Arial" w:eastAsia="Arial" w:hAnsi="Arial"/>
          <w:sz w:val="18"/>
          <w:szCs w:val="18"/>
          <w:color w:val="auto"/>
        </w:rPr>
      </w:pPr>
    </w:p>
    <w:p>
      <w:pPr>
        <w:ind w:left="660" w:right="240" w:firstLine="645"/>
        <w:spacing w:after="0" w:line="279" w:lineRule="auto"/>
        <w:tabs>
          <w:tab w:leader="none" w:pos="1964"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Parent Guarantor or the Company, as the case may be) or the Person to which such sale, assignment, transfer, conveyance or other disposition has been made assumes all the obligations of the Parent Guarantor or the Company, as the case may be, under the Notes, this Indenture and the Registration Rights Agreement pursuant to a supplemental indenture or other documents and agreements reasonably satisfactory to the Trustee; and</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In addition, neither the Parent Guarantor nor the Company will, directly or indirectly, lease all or substantially all of its and its respective Subsidiaries’ properties or assets taken as a whole, in one or more related transactions, to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5.01 shall not apply to:</w:t>
      </w:r>
    </w:p>
    <w:p>
      <w:pPr>
        <w:spacing w:after="0" w:line="225" w:lineRule="exact"/>
        <w:rPr>
          <w:sz w:val="20"/>
          <w:szCs w:val="20"/>
          <w:color w:val="auto"/>
        </w:rPr>
      </w:pPr>
    </w:p>
    <w:p>
      <w:pPr>
        <w:ind w:left="660" w:right="40" w:firstLine="645"/>
        <w:spacing w:after="0" w:line="342" w:lineRule="auto"/>
        <w:tabs>
          <w:tab w:leader="none" w:pos="1964"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merger of the Parent Guarantor or the Company, as the case may be, with an Affiliate solely for the purpose of reforming the Parent Guarantor or the Company, as the case may be, in another jurisdiction or forming a direct or indirect holding company of the Company that is</w:t>
      </w:r>
    </w:p>
    <w:p>
      <w:pPr>
        <w:sectPr>
          <w:pgSz w:w="11900" w:h="16975" w:orient="portrait"/>
          <w:cols w:equalWidth="0" w:num="1">
            <w:col w:w="11400"/>
          </w:cols>
          <w:pgMar w:left="240" w:top="125" w:right="259" w:bottom="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a Wholly Owned Subsidiary of the Parent Guarantor; and</w:t>
      </w:r>
    </w:p>
    <w:p>
      <w:pPr>
        <w:spacing w:after="0" w:line="225" w:lineRule="exact"/>
        <w:rPr>
          <w:sz w:val="20"/>
          <w:szCs w:val="20"/>
          <w:color w:val="auto"/>
        </w:rPr>
      </w:pPr>
    </w:p>
    <w:p>
      <w:pPr>
        <w:ind w:left="660" w:right="620" w:firstLine="645"/>
        <w:spacing w:after="0" w:line="277" w:lineRule="auto"/>
        <w:tabs>
          <w:tab w:leader="none" w:pos="1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Parent Guarantor, the Company and their respective Subsidiaries, including by way of merger or consolidation.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i w:val="1"/>
          <w:iCs w:val="1"/>
          <w:color w:val="auto"/>
        </w:rPr>
        <w:t>Successor Entity Substituted.</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Upon any consolidation or merger, or any sale, assignment, transfer, lease, conveyance or other disposition of all or substantially all of the properties or assets of the Parent Guarantor, the Company and their respective Subsidiaries taken as a whole in a transaction that is subject to, and that complies with the provisions of, Section 5.01 hereof, the successor Person formed by such consolidation or into or with which the Parent Guarantor or the Company, as the case may be, is merged or to which such sale, assignment, transfer, conveyance or other disposition is made shall succeed to, and be substituted for (so that from and after the date of such consolidation, merger, sale, assignment, transfer, conveyance or other disposition, the provisions of this Indenture referring to the “Company” shall refer instead to the successor Person and not to the Company or, as the case may be, the provisions of this Indenture referring to the “Parent Guarantor” shall refer instead to the successor Person and not to the Parent Guarantor), and may exercise every right and power of the Parent Guarantor or the Company, as the case may be, under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this Indenture with the same effect as if such successor Person had been named as the Parent Guarantor or the Company, as the case may be,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predecessor Company shall not be relieved from the obligation to pay the principal of, premium, if any, and interest on, the Notes and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predecessor Parent Guarantor shall not be relieved from its obligations under its Guarantee except in the case of a sale of all of the Company’s or the Parent Guarantors assets, as the case may be, in a transaction that is subject to, and that complies with the provisions of, Section 5.01 hereof.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purposes of the Notes, Article 6 hereof provides the terms of defaults and remedies. For purposes of any Additional Securities issued under this Indenture, the Supplement Indenture in respect of such Additional Securities will specify the terms of defaults and remedies for such Additional Securities, which may include some, all or none of the terms contained in this Article 6 hereof.</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225" w:lineRule="exact"/>
        <w:rPr>
          <w:sz w:val="20"/>
          <w:szCs w:val="20"/>
          <w:color w:val="auto"/>
        </w:rPr>
      </w:pPr>
    </w:p>
    <w:p>
      <w:pPr>
        <w:ind w:left="1960" w:hanging="655"/>
        <w:spacing w:after="0"/>
        <w:tabs>
          <w:tab w:leader="none" w:pos="1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w:t>
      </w:r>
    </w:p>
    <w:p>
      <w:pPr>
        <w:spacing w:after="0" w:line="225" w:lineRule="exact"/>
        <w:rPr>
          <w:rFonts w:ascii="Arial" w:cs="Arial" w:eastAsia="Arial" w:hAnsi="Arial"/>
          <w:sz w:val="18"/>
          <w:szCs w:val="18"/>
          <w:color w:val="auto"/>
        </w:rPr>
      </w:pPr>
    </w:p>
    <w:p>
      <w:pPr>
        <w:ind w:left="660" w:right="120" w:firstLine="645"/>
        <w:spacing w:after="0" w:line="264" w:lineRule="auto"/>
        <w:tabs>
          <w:tab w:leader="none" w:pos="1964"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failure by the Company or any Guarantor for 45 days after written notice to the Company by the Trustee or the Holders of at least 25% in aggregate principal amount of the Notes then outstanding to comply with any of the agreements in this Indenture (other than a default referred to in clause (1) or (2) of this Section 6.01);</w:t>
      </w:r>
    </w:p>
    <w:p>
      <w:pPr>
        <w:spacing w:after="0" w:line="181" w:lineRule="exact"/>
        <w:rPr>
          <w:rFonts w:ascii="Arial" w:cs="Arial" w:eastAsia="Arial" w:hAnsi="Arial"/>
          <w:sz w:val="18"/>
          <w:szCs w:val="18"/>
          <w:color w:val="auto"/>
        </w:rPr>
      </w:pPr>
    </w:p>
    <w:p>
      <w:pPr>
        <w:ind w:left="660" w:right="80" w:firstLine="645"/>
        <w:spacing w:after="0" w:line="286" w:lineRule="auto"/>
        <w:tabs>
          <w:tab w:leader="none" w:pos="1964"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w:t>
      </w:r>
    </w:p>
    <w:p>
      <w:pPr>
        <w:spacing w:after="0" w:line="165" w:lineRule="exact"/>
        <w:rPr>
          <w:rFonts w:ascii="Arial" w:cs="Arial" w:eastAsia="Arial" w:hAnsi="Arial"/>
          <w:sz w:val="17"/>
          <w:szCs w:val="17"/>
          <w:color w:val="auto"/>
        </w:rPr>
      </w:pPr>
    </w:p>
    <w:p>
      <w:pPr>
        <w:ind w:left="1300" w:firstLine="653"/>
        <w:spacing w:after="0" w:line="277" w:lineRule="auto"/>
        <w:tabs>
          <w:tab w:leader="none" w:pos="2617"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660" w:right="320"/>
        <w:spacing w:after="0" w:line="279" w:lineRule="auto"/>
        <w:rPr>
          <w:sz w:val="20"/>
          <w:szCs w:val="20"/>
          <w:color w:val="auto"/>
        </w:rPr>
      </w:pPr>
      <w:r>
        <w:rPr>
          <w:rFonts w:ascii="Arial" w:cs="Arial" w:eastAsia="Arial" w:hAnsi="Arial"/>
          <w:sz w:val="17"/>
          <w:szCs w:val="17"/>
          <w:color w:val="auto"/>
        </w:rPr>
        <w:t xml:space="preserve">and, in each case, the principal amount of any such Indebtedness, together with the principal amount of any other such Indebtedness under which there has been a Payment Default or the maturity of which has been so accelerated, exceeds the greater of (i) 1.5% of Total Assets and (ii) $75.0 million;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(4) shall not apply to secured Indebtedness that becomes due as a result of the voluntary sale or transfer of the property or assets securing such Indebtedness to a Person that is not an Affiliate of the Company;</w:t>
      </w:r>
    </w:p>
    <w:p>
      <w:pPr>
        <w:spacing w:after="0" w:line="171" w:lineRule="exact"/>
        <w:rPr>
          <w:sz w:val="20"/>
          <w:szCs w:val="20"/>
          <w:color w:val="auto"/>
        </w:rPr>
      </w:pPr>
    </w:p>
    <w:p>
      <w:pPr>
        <w:ind w:left="1960" w:hanging="655"/>
        <w:spacing w:after="0"/>
        <w:tabs>
          <w:tab w:leader="none" w:pos="19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the greater of (i) 1.5% of Total Assets and</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$75.0 million (excluding therefrom 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amount reasonably expected to be covered by insurance) shall be rendered against the Company or any Guarantor or Guarantors or any combination thereof and the same shall not have been paid, discharged or stayed for a period of 60 days after such judgment became final and non-appealable;</w:t>
      </w:r>
    </w:p>
    <w:p>
      <w:pPr>
        <w:spacing w:after="0" w:line="124" w:lineRule="exact"/>
        <w:rPr>
          <w:sz w:val="20"/>
          <w:szCs w:val="20"/>
          <w:color w:val="auto"/>
        </w:rPr>
      </w:pPr>
    </w:p>
    <w:p>
      <w:pPr>
        <w:ind w:left="660" w:right="20" w:firstLine="645"/>
        <w:spacing w:after="0" w:line="302" w:lineRule="auto"/>
        <w:tabs>
          <w:tab w:leader="none" w:pos="1964" w:val="left"/>
        </w:tabs>
        <w:numPr>
          <w:ilvl w:val="0"/>
          <w:numId w:val="98"/>
        </w:numPr>
        <w:rPr>
          <w:rFonts w:ascii="Arial" w:cs="Arial" w:eastAsia="Arial" w:hAnsi="Arial"/>
          <w:sz w:val="16"/>
          <w:szCs w:val="16"/>
          <w:color w:val="auto"/>
        </w:rPr>
      </w:pPr>
      <w:r>
        <w:rPr>
          <w:rFonts w:ascii="Arial" w:cs="Arial" w:eastAsia="Arial" w:hAnsi="Arial"/>
          <w:sz w:val="16"/>
          <w:szCs w:val="16"/>
          <w:color w:val="auto"/>
        </w:rPr>
        <w:t>except as permitted by this Indenture, any Guarantee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Guarantee(s);</w:t>
      </w:r>
    </w:p>
    <w:p>
      <w:pPr>
        <w:spacing w:after="0" w:line="154" w:lineRule="exact"/>
        <w:rPr>
          <w:rFonts w:ascii="Arial" w:cs="Arial" w:eastAsia="Arial" w:hAnsi="Arial"/>
          <w:sz w:val="16"/>
          <w:szCs w:val="16"/>
          <w:color w:val="auto"/>
        </w:rPr>
      </w:pPr>
    </w:p>
    <w:p>
      <w:pPr>
        <w:ind w:left="660" w:right="20" w:firstLine="645"/>
        <w:spacing w:after="0" w:line="277" w:lineRule="auto"/>
        <w:tabs>
          <w:tab w:leader="none" w:pos="19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or any of the Guarantors that, if a Subsidiary of the Company, would constitute a Significant Subsidiary or any group of Guarantors that, if Subsidiaries of the Company, taken together, would constitute a Significant Subsidiary:</w:t>
      </w:r>
    </w:p>
    <w:p>
      <w:pPr>
        <w:sectPr>
          <w:pgSz w:w="11900" w:h="16838" w:orient="portrait"/>
          <w:cols w:equalWidth="0" w:num="1">
            <w:col w:w="11420"/>
          </w:cols>
          <w:pgMar w:left="240" w:top="125" w:right="239" w:bottom="0" w:gutter="0" w:footer="0" w:header="0"/>
        </w:sectPr>
      </w:pPr>
    </w:p>
    <w:bookmarkStart w:id="33" w:name="page34"/>
    <w:bookmarkEnd w:id="33"/>
    <w:p>
      <w:pPr>
        <w:spacing w:after="0" w:line="90" w:lineRule="exact"/>
        <w:rPr>
          <w:sz w:val="20"/>
          <w:szCs w:val="20"/>
          <w:color w:val="auto"/>
        </w:rPr>
      </w:pPr>
    </w:p>
    <w:p>
      <w:pPr>
        <w:ind w:left="2620" w:hanging="667"/>
        <w:spacing w:after="0"/>
        <w:tabs>
          <w:tab w:leader="none" w:pos="2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300" w:right="220" w:firstLine="653"/>
        <w:spacing w:after="0" w:line="342" w:lineRule="auto"/>
        <w:tabs>
          <w:tab w:leader="none" w:pos="261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is for relief against the Company or any Guarantor that, if a Subsidiary of the Company, would constitute a Significant Subsidiary or any group of Guarantors that, if Subsidiaries of The Company, taken together, would constitute a Significant Subsidiary;</w:t>
      </w:r>
    </w:p>
    <w:p>
      <w:pPr>
        <w:spacing w:after="0" w:line="123" w:lineRule="exact"/>
        <w:rPr>
          <w:rFonts w:ascii="Arial" w:cs="Arial" w:eastAsia="Arial" w:hAnsi="Arial"/>
          <w:sz w:val="16"/>
          <w:szCs w:val="16"/>
          <w:color w:val="auto"/>
        </w:rPr>
      </w:pPr>
    </w:p>
    <w:p>
      <w:pPr>
        <w:ind w:left="1300" w:right="420" w:firstLine="653"/>
        <w:spacing w:after="0" w:line="286" w:lineRule="auto"/>
        <w:tabs>
          <w:tab w:leader="none" w:pos="2607"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appoints a custodian of the Company or any Guarantor that, if a Subsidiary of the Company, would constitute a Significant Subsidiary or any group of Guarantors that, if Subsidiaries of The Company, taken together, would constitute a Significant Subsidiary for all or substantially all of the property of the Company or any such Guarantor; or</w:t>
      </w:r>
    </w:p>
    <w:p>
      <w:pPr>
        <w:spacing w:after="0" w:line="165" w:lineRule="exact"/>
        <w:rPr>
          <w:rFonts w:ascii="Arial" w:cs="Arial" w:eastAsia="Arial" w:hAnsi="Arial"/>
          <w:sz w:val="17"/>
          <w:szCs w:val="17"/>
          <w:color w:val="auto"/>
        </w:rPr>
      </w:pPr>
    </w:p>
    <w:p>
      <w:pPr>
        <w:ind w:left="1300" w:right="420" w:firstLine="653"/>
        <w:spacing w:after="0" w:line="264" w:lineRule="auto"/>
        <w:tabs>
          <w:tab w:leader="none" w:pos="260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orders the liquidation of the Company or any Guarantor that, if a Subsidiary of the Company, would constitute a Significant Subsidiary or any group of Guarantors that, if Subsidiaries of The Company, taken together, would constitute a Significant Subsidiary;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case of an Event of Default specified in clause (7) or (8) of Section 6.01 hereof, with respect to the Company, any Guarantor of the Company that, if a Subsidiary of the Company, would constitute a Significant Subsidiary or any group of Guarantors of the Company that, if Subsidiaries of the Company,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premium, if any, or interest on, the Notes or to enforce the performance of any provision of the Notes or this Indenture.</w:t>
      </w:r>
    </w:p>
    <w:p>
      <w:pPr>
        <w:spacing w:after="0" w:line="170"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time, method and place of conducting any proceeding for exercising any remedy available to the Trustee in its exercise of any trust or power. However, the Trustee may refuse to follow any direction that conflicts with law or this Indenture that the Trustee determines may be unduly prejudicial to the rights of other Holders of Securities or that may involve the Trustee in personal liability.</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Holder of a Note may pursue any remedy with respect to this Indenture or the Notes unless:</w:t>
      </w:r>
    </w:p>
    <w:p>
      <w:pPr>
        <w:spacing w:after="0" w:line="225" w:lineRule="exact"/>
        <w:rPr>
          <w:sz w:val="20"/>
          <w:szCs w:val="20"/>
          <w:color w:val="auto"/>
        </w:rPr>
      </w:pPr>
    </w:p>
    <w:p>
      <w:pPr>
        <w:ind w:left="5620" w:right="2320" w:hanging="4315"/>
        <w:spacing w:after="0" w:line="528" w:lineRule="auto"/>
        <w:tabs>
          <w:tab w:leader="none" w:pos="195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 49</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480" w:firstLine="645"/>
        <w:spacing w:after="0" w:line="277" w:lineRule="auto"/>
        <w:tabs>
          <w:tab w:leader="none" w:pos="19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make a written request to the Trustee to pursue the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29" w:orient="portrait"/>
          <w:cols w:equalWidth="0" w:num="1">
            <w:col w:w="11380"/>
          </w:cols>
          <w:pgMar w:left="240" w:top="125" w:right="279" w:bottom="0" w:gutter="0" w:footer="0" w:header="0"/>
        </w:sectPr>
      </w:pPr>
    </w:p>
    <w:bookmarkStart w:id="34" w:name="page35"/>
    <w:bookmarkEnd w:id="34"/>
    <w:p>
      <w:pPr>
        <w:ind w:left="660" w:right="400" w:firstLine="645"/>
        <w:spacing w:after="0" w:line="277" w:lineRule="auto"/>
        <w:tabs>
          <w:tab w:leader="none" w:pos="19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Holder or Holders have offered the Trustee security or indemnity reasonably satisfactory to the Trustee against any loss, liability or expense it may incur;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Trustee does not comply with such request within 60 days after receipt of the request and the offer of security or indemnity;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400" w:firstLine="645"/>
        <w:spacing w:after="0" w:line="277" w:lineRule="auto"/>
        <w:tabs>
          <w:tab w:leader="none" w:pos="19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during such 60-day period, Holders of a majority in aggregate principal amount of the then outstanding Notes do not give the Trustee a direction inconsistent with such request.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225"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Notwithstanding any other provision of this Indenture, the right of any Holder of a Note to receive payment of principal of, premium,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If an Event of Default specified in Section 6.01(1) or (2) hereof occurs and is continuing, the Trustee is authorized to recover judgment in its own name and as trustee of an express trust against the Company for the whole amount of principal of, premium, if any, and interest on,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to the Trustee under this Indenture, including without limitation, under Section</w:t>
      </w:r>
    </w:p>
    <w:p>
      <w:pPr>
        <w:spacing w:after="0" w:line="3"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7.07 hereof. To the extent that the payment of any such compensation, expenses, disbursements and advances of the Trustee, its agents and counsel, and any other amounts due to the Trustee under this Indenture, including without limitation,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225" w:lineRule="exact"/>
        <w:rPr>
          <w:sz w:val="20"/>
          <w:szCs w:val="20"/>
          <w:color w:val="auto"/>
        </w:rPr>
      </w:pPr>
    </w:p>
    <w:p>
      <w:pPr>
        <w:ind w:left="660" w:right="360" w:firstLine="64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liabilities incurred, and all advances made, by the Trustee and the costs and expenses of collection;</w:t>
      </w:r>
    </w:p>
    <w:p>
      <w:pPr>
        <w:spacing w:after="0" w:line="170" w:lineRule="exact"/>
        <w:rPr>
          <w:sz w:val="20"/>
          <w:szCs w:val="20"/>
          <w:color w:val="auto"/>
        </w:rPr>
      </w:pPr>
    </w:p>
    <w:p>
      <w:pPr>
        <w:ind w:left="660" w:right="140" w:firstLine="648"/>
        <w:spacing w:after="0" w:line="264"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if any, and interest, ratably,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or priority of any kind, according to the amounts due and payable on the Notes for principal, premium, if any, and interest, respectively; and</w:t>
      </w:r>
    </w:p>
    <w:p>
      <w:pPr>
        <w:spacing w:after="0" w:line="181"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the Company or to such party as a court of competent jurisdiction shall direct.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17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Duties of Trustee.</w:t>
      </w:r>
    </w:p>
    <w:p>
      <w:pPr>
        <w:sectPr>
          <w:pgSz w:w="11900" w:h="16838" w:orient="portrait"/>
          <w:cols w:equalWidth="0" w:num="1">
            <w:col w:w="11380"/>
          </w:cols>
          <w:pgMar w:left="240" w:top="341" w:right="279" w:bottom="0" w:gutter="0" w:footer="0" w:header="0"/>
        </w:sectPr>
      </w:pPr>
    </w:p>
    <w:bookmarkStart w:id="35" w:name="page36"/>
    <w:bookmarkEnd w:id="35"/>
    <w:p>
      <w:pPr>
        <w:ind w:firstLine="656"/>
        <w:spacing w:after="0" w:line="264" w:lineRule="auto"/>
        <w:tabs>
          <w:tab w:leader="none" w:pos="129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an Event of Default with respect to any Series of Securities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right="240" w:firstLine="645"/>
        <w:spacing w:after="0" w:line="264" w:lineRule="auto"/>
        <w:tabs>
          <w:tab w:leader="none" w:pos="1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645"/>
        <w:spacing w:after="0" w:line="312" w:lineRule="auto"/>
        <w:tabs>
          <w:tab w:leader="none" w:pos="196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46" w:lineRule="exact"/>
        <w:rPr>
          <w:rFonts w:ascii="Arial" w:cs="Arial" w:eastAsia="Arial" w:hAnsi="Arial"/>
          <w:sz w:val="16"/>
          <w:szCs w:val="16"/>
          <w:color w:val="auto"/>
        </w:rPr>
      </w:pPr>
    </w:p>
    <w:p>
      <w:pPr>
        <w:ind w:left="1320" w:hanging="664"/>
        <w:spacing w:after="0"/>
        <w:tabs>
          <w:tab w:leader="none" w:pos="13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 willful misconduct,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except that: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96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6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taken, suffered or omitted to be taken in respect of the Notes in accordance with a direction received by it pursuant to Section 6.05 hereof.</w:t>
      </w:r>
    </w:p>
    <w:p>
      <w:pPr>
        <w:spacing w:after="0" w:line="170" w:lineRule="exact"/>
        <w:rPr>
          <w:rFonts w:ascii="Arial" w:cs="Arial" w:eastAsia="Arial" w:hAnsi="Arial"/>
          <w:sz w:val="18"/>
          <w:szCs w:val="18"/>
          <w:color w:val="auto"/>
        </w:rPr>
      </w:pPr>
    </w:p>
    <w:p>
      <w:pPr>
        <w:ind w:right="820" w:firstLine="656"/>
        <w:spacing w:after="0" w:line="277" w:lineRule="auto"/>
        <w:tabs>
          <w:tab w:leader="none" w:pos="13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ind w:right="60" w:firstLine="656"/>
        <w:spacing w:after="0" w:line="264" w:lineRule="auto"/>
        <w:tabs>
          <w:tab w:leader="none" w:pos="13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spacing w:after="0" w:line="181" w:lineRule="exact"/>
        <w:rPr>
          <w:rFonts w:ascii="Arial" w:cs="Arial" w:eastAsia="Arial" w:hAnsi="Arial"/>
          <w:sz w:val="18"/>
          <w:szCs w:val="18"/>
          <w:color w:val="auto"/>
        </w:rPr>
      </w:pPr>
    </w:p>
    <w:p>
      <w:pPr>
        <w:ind w:right="580" w:firstLine="656"/>
        <w:spacing w:after="0" w:line="277" w:lineRule="auto"/>
        <w:tabs>
          <w:tab w:leader="none" w:pos="130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right="100" w:firstLine="656"/>
        <w:spacing w:after="0" w:line="277" w:lineRule="auto"/>
        <w:tabs>
          <w:tab w:leader="none" w:pos="131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Paying Agent and the Registrar shall be entitled to the same protections, immunities and standard of care as are set forth in paragraphs (a), (b) and (c) of this section with respect to the Trustee.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225" w:lineRule="exact"/>
        <w:rPr>
          <w:sz w:val="20"/>
          <w:szCs w:val="20"/>
          <w:color w:val="auto"/>
        </w:rPr>
      </w:pPr>
    </w:p>
    <w:p>
      <w:pPr>
        <w:ind w:right="420" w:firstLine="656"/>
        <w:spacing w:after="0" w:line="277" w:lineRule="auto"/>
        <w:tabs>
          <w:tab w:leader="none" w:pos="129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ind w:right="120" w:firstLine="656"/>
        <w:spacing w:after="0" w:line="259" w:lineRule="auto"/>
        <w:tabs>
          <w:tab w:leader="none" w:pos="130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The Trustee will not be liable for any action it takes or omits to take in good faith in reliance on such Officers’ Certificate.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186" w:lineRule="exact"/>
        <w:rPr>
          <w:rFonts w:ascii="Arial" w:cs="Arial" w:eastAsia="Arial" w:hAnsi="Arial"/>
          <w:sz w:val="18"/>
          <w:szCs w:val="18"/>
          <w:color w:val="auto"/>
        </w:rPr>
      </w:pPr>
    </w:p>
    <w:p>
      <w:pPr>
        <w:ind w:right="120" w:firstLine="656"/>
        <w:spacing w:after="0" w:line="264" w:lineRule="auto"/>
        <w:tabs>
          <w:tab w:leader="none" w:pos="130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No Depositary shall be deemed to be an attorney or agent of the Trustee and the Trustee shall not be responsible for any action or omission by any Depositary.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656"/>
        <w:spacing w:after="0" w:line="277" w:lineRule="auto"/>
        <w:tabs>
          <w:tab w:leader="none" w:pos="13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280" w:firstLine="656"/>
        <w:spacing w:after="0" w:line="277" w:lineRule="auto"/>
        <w:tabs>
          <w:tab w:leader="none" w:pos="130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70" w:lineRule="exact"/>
        <w:rPr>
          <w:rFonts w:ascii="Arial" w:cs="Arial" w:eastAsia="Arial" w:hAnsi="Arial"/>
          <w:sz w:val="18"/>
          <w:szCs w:val="18"/>
          <w:color w:val="auto"/>
        </w:rPr>
      </w:pPr>
    </w:p>
    <w:p>
      <w:pPr>
        <w:jc w:val="both"/>
        <w:ind w:right="260" w:firstLine="656"/>
        <w:spacing w:after="0" w:line="264" w:lineRule="auto"/>
        <w:tabs>
          <w:tab w:leader="none" w:pos="13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reasonable indemnity or security satisfactory to the Trustee against the losses, liabilities and expenses that might be incurred by it in compliance with such request or direction.</w:t>
      </w:r>
    </w:p>
    <w:p>
      <w:pPr>
        <w:spacing w:after="0" w:line="181" w:lineRule="exact"/>
        <w:rPr>
          <w:rFonts w:ascii="Arial" w:cs="Arial" w:eastAsia="Arial" w:hAnsi="Arial"/>
          <w:sz w:val="18"/>
          <w:szCs w:val="18"/>
          <w:color w:val="auto"/>
        </w:rPr>
      </w:pPr>
    </w:p>
    <w:p>
      <w:pPr>
        <w:ind w:firstLine="656"/>
        <w:spacing w:after="0" w:line="342" w:lineRule="auto"/>
        <w:tabs>
          <w:tab w:leader="none" w:pos="131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spacing w:after="0" w:line="123" w:lineRule="exact"/>
        <w:rPr>
          <w:rFonts w:ascii="Arial" w:cs="Arial" w:eastAsia="Arial" w:hAnsi="Arial"/>
          <w:sz w:val="16"/>
          <w:szCs w:val="16"/>
          <w:color w:val="auto"/>
        </w:rPr>
      </w:pPr>
    </w:p>
    <w:p>
      <w:pPr>
        <w:ind w:right="100" w:firstLine="656"/>
        <w:spacing w:after="0" w:line="277" w:lineRule="auto"/>
        <w:tabs>
          <w:tab w:leader="none" w:pos="13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received written notice thereof at the Corporate Trust Office of the Trustee, and such notice references the Notes and this Indenture.</w:t>
      </w:r>
    </w:p>
    <w:p>
      <w:pPr>
        <w:sectPr>
          <w:pgSz w:w="11900" w:h="16838" w:orient="portrait"/>
          <w:cols w:equalWidth="0" w:num="1">
            <w:col w:w="11420"/>
          </w:cols>
          <w:pgMar w:left="240" w:top="125" w:right="239" w:bottom="0" w:gutter="0" w:footer="0" w:header="0"/>
        </w:sectPr>
      </w:pPr>
    </w:p>
    <w:bookmarkStart w:id="36" w:name="page37"/>
    <w:bookmarkEnd w:id="36"/>
    <w:p>
      <w:pPr>
        <w:ind w:right="80" w:firstLine="656"/>
        <w:spacing w:after="0" w:line="342" w:lineRule="auto"/>
        <w:tabs>
          <w:tab w:leader="none" w:pos="131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23" w:lineRule="exact"/>
        <w:rPr>
          <w:rFonts w:ascii="Arial" w:cs="Arial" w:eastAsia="Arial" w:hAnsi="Arial"/>
          <w:sz w:val="16"/>
          <w:szCs w:val="16"/>
          <w:color w:val="auto"/>
        </w:rPr>
      </w:pPr>
    </w:p>
    <w:p>
      <w:pPr>
        <w:ind w:right="60" w:firstLine="656"/>
        <w:spacing w:after="0" w:line="342" w:lineRule="auto"/>
        <w:tabs>
          <w:tab w:leader="none" w:pos="130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23" w:lineRule="exact"/>
        <w:rPr>
          <w:rFonts w:ascii="Arial" w:cs="Arial" w:eastAsia="Arial" w:hAnsi="Arial"/>
          <w:sz w:val="16"/>
          <w:szCs w:val="16"/>
          <w:color w:val="auto"/>
        </w:rPr>
      </w:pPr>
    </w:p>
    <w:p>
      <w:pPr>
        <w:ind w:right="80" w:firstLine="656"/>
        <w:spacing w:after="0" w:line="270" w:lineRule="auto"/>
        <w:tabs>
          <w:tab w:leader="none" w:pos="130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81" w:lineRule="exact"/>
        <w:rPr>
          <w:rFonts w:ascii="Arial" w:cs="Arial" w:eastAsia="Arial" w:hAnsi="Arial"/>
          <w:sz w:val="17"/>
          <w:szCs w:val="17"/>
          <w:color w:val="auto"/>
        </w:rPr>
      </w:pPr>
    </w:p>
    <w:p>
      <w:pPr>
        <w:ind w:left="1320" w:hanging="664"/>
        <w:spacing w:after="0"/>
        <w:tabs>
          <w:tab w:leader="none" w:pos="13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right of the Trustee to perform any discretionary act enumerated in this Indenture or any related document shall not be construed as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duty.</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Individual Rights of Trustee.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it must eliminate such conflict within 90 days, apply to the SEC for permission to continue as trustee (if this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Indenture has been qualified under the TIA) or resign. Any Agent may do the same with like rights and duties. The Trustee is also subject to Sections 7.10 and 7.11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If a Default or Event of Default with respect to any Series of Securities occurs and is continuing and if it is known to a Responsible Officer of the Trustee, the Trustee will mail to Holders of such Securities a notice of the Default or Event of Default within 90 days after it occurs or, if later, after a Responsible Officer has knowledge of any Default or Event of Default. Except in the case of a Default or Event of Default in payment of principal of, premium, if any, or interest on, any Security, the Trustee may withhold the notice if and so long as a committee of its Responsible Officers in good faith determines that withholding the notice is in the interests of the Holders of the Securities.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Reports by Trustee to Holders of the Securities.</w:t>
      </w:r>
    </w:p>
    <w:p>
      <w:pPr>
        <w:spacing w:after="0" w:line="225" w:lineRule="exact"/>
        <w:rPr>
          <w:sz w:val="20"/>
          <w:szCs w:val="20"/>
          <w:color w:val="auto"/>
        </w:rPr>
      </w:pPr>
    </w:p>
    <w:p>
      <w:pPr>
        <w:ind w:right="80" w:firstLine="656"/>
        <w:spacing w:after="0" w:line="259" w:lineRule="auto"/>
        <w:tabs>
          <w:tab w:leader="none" w:pos="12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Within 60 days after each August 15 beginning with the August 15 following the date of this Indenture, and for so long as any Securities remain outstanding, the Trustee will mail to the Holders of the Securities a brief report dated as of such reporting date that complies with TIA §313(a) (but if no event described in TIA §313(a) has occurred within the twelve months preceding the reporting date, no report need be transmitted). The Trustee also will comply with TIA §313(b)(2). The Trustee will also transmit by mail all reports as required by TIA §313(c).</w:t>
      </w:r>
    </w:p>
    <w:p>
      <w:pPr>
        <w:spacing w:after="0" w:line="186" w:lineRule="exact"/>
        <w:rPr>
          <w:rFonts w:ascii="Arial" w:cs="Arial" w:eastAsia="Arial" w:hAnsi="Arial"/>
          <w:sz w:val="18"/>
          <w:szCs w:val="18"/>
          <w:color w:val="auto"/>
        </w:rPr>
      </w:pPr>
    </w:p>
    <w:p>
      <w:pPr>
        <w:jc w:val="both"/>
        <w:ind w:right="460" w:firstLine="656"/>
        <w:spacing w:after="0" w:line="264" w:lineRule="auto"/>
        <w:tabs>
          <w:tab w:leader="none" w:pos="13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copy of each report at the time of its mailing to the Holders of Notes will be mailed by the Trustee to the Company and filed by the Company with the SEC and each stock exchange on such Securities are listed in accordance with TIA §313(d). The Company will promptly notify the Trustee when any Securities are listed on any stock exchange.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ind w:right="320" w:firstLine="656"/>
        <w:spacing w:after="0" w:line="302" w:lineRule="auto"/>
        <w:tabs>
          <w:tab w:leader="none" w:pos="129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54" w:lineRule="exact"/>
        <w:rPr>
          <w:rFonts w:ascii="Arial" w:cs="Arial" w:eastAsia="Arial" w:hAnsi="Arial"/>
          <w:sz w:val="16"/>
          <w:szCs w:val="16"/>
          <w:color w:val="auto"/>
        </w:rPr>
      </w:pPr>
    </w:p>
    <w:p>
      <w:pPr>
        <w:jc w:val="both"/>
        <w:ind w:right="80" w:firstLine="656"/>
        <w:spacing w:after="0" w:line="259" w:lineRule="auto"/>
        <w:tabs>
          <w:tab w:leader="none" w:pos="13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and the Guarantors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532" w:gutter="0" w:footer="0" w:header="0"/>
        </w:sectPr>
      </w:pPr>
    </w:p>
    <w:bookmarkStart w:id="37" w:name="page38"/>
    <w:bookmarkEnd w:id="37"/>
    <w:p>
      <w:pPr>
        <w:ind w:right="80"/>
        <w:spacing w:after="0" w:line="255" w:lineRule="auto"/>
        <w:rPr>
          <w:sz w:val="20"/>
          <w:szCs w:val="20"/>
          <w:color w:val="auto"/>
        </w:rPr>
      </w:pPr>
      <w:r>
        <w:rPr>
          <w:rFonts w:ascii="Arial" w:cs="Arial" w:eastAsia="Arial" w:hAnsi="Arial"/>
          <w:sz w:val="18"/>
          <w:szCs w:val="18"/>
          <w:color w:val="auto"/>
        </w:rPr>
        <w:t>connection with the exercise or performance of any of its powers or duties hereunder, except to the extent any such loss, liability or expense may be attributable to its negligence, bad faith or willful misconduct.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93" w:lineRule="exact"/>
        <w:rPr>
          <w:sz w:val="20"/>
          <w:szCs w:val="20"/>
          <w:color w:val="auto"/>
        </w:rPr>
      </w:pPr>
    </w:p>
    <w:p>
      <w:pPr>
        <w:ind w:left="1320" w:hanging="664"/>
        <w:spacing w:after="0"/>
        <w:tabs>
          <w:tab w:leader="none" w:pos="13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obligations of the Company and the Guarantors under this Section 7.07 will survive the satisfaction and discharge of this Indenture.</w:t>
      </w:r>
    </w:p>
    <w:p>
      <w:pPr>
        <w:spacing w:after="0" w:line="248" w:lineRule="exact"/>
        <w:rPr>
          <w:rFonts w:ascii="Arial" w:cs="Arial" w:eastAsia="Arial" w:hAnsi="Arial"/>
          <w:sz w:val="16"/>
          <w:szCs w:val="16"/>
          <w:color w:val="auto"/>
        </w:rPr>
      </w:pPr>
    </w:p>
    <w:p>
      <w:pPr>
        <w:ind w:right="140" w:firstLine="656"/>
        <w:spacing w:after="0" w:line="264" w:lineRule="auto"/>
        <w:tabs>
          <w:tab w:leader="none" w:pos="130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7.07, the Trustee will have a Lien prior to the Securities on all money or property held or collected by the Trustee, except that held in trust to pay principal of, premium, if any, or interest on, particular Securities. Such Lien will survive the satisfaction and discharge of this Indenture.</w:t>
      </w:r>
    </w:p>
    <w:p>
      <w:pPr>
        <w:spacing w:after="0" w:line="181" w:lineRule="exact"/>
        <w:rPr>
          <w:rFonts w:ascii="Arial" w:cs="Arial" w:eastAsia="Arial" w:hAnsi="Arial"/>
          <w:sz w:val="18"/>
          <w:szCs w:val="18"/>
          <w:color w:val="auto"/>
        </w:rPr>
      </w:pPr>
    </w:p>
    <w:p>
      <w:pPr>
        <w:ind w:right="120" w:firstLine="656"/>
        <w:spacing w:after="0" w:line="264" w:lineRule="auto"/>
        <w:tabs>
          <w:tab w:leader="none" w:pos="13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clause (7) or (8) of Section 6.01 hereof occurs, the expenses and the compensation for the services (including the fees and expenses of its agents and counsel) are intended to constitute expenses of administration under any Bankruptcy Law.</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will comply with the provisions of TIA §313(b)(2) to the extent applicable.</w:t>
      </w:r>
    </w:p>
    <w:p>
      <w:pPr>
        <w:spacing w:after="0" w:line="225" w:lineRule="exact"/>
        <w:rPr>
          <w:rFonts w:ascii="Arial" w:cs="Arial" w:eastAsia="Arial" w:hAnsi="Arial"/>
          <w:sz w:val="18"/>
          <w:szCs w:val="18"/>
          <w:color w:val="auto"/>
        </w:rPr>
      </w:pPr>
    </w:p>
    <w:p>
      <w:pPr>
        <w:ind w:firstLine="656"/>
        <w:spacing w:after="0" w:line="342" w:lineRule="auto"/>
        <w:tabs>
          <w:tab w:leader="none" w:pos="131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Company’s and Guarantors’ obligations under this Section 7.07 shall survive the resignation or removal of the Trustee, any termination of this Indenture, including any termination or rejection of this Indenture in any insolvency or similar proceeding and the repayment of all the Securities.</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i w:val="1"/>
          <w:iCs w:val="1"/>
          <w:color w:val="auto"/>
        </w:rPr>
        <w:t>Replacement of Trustee.</w:t>
      </w:r>
    </w:p>
    <w:p>
      <w:pPr>
        <w:spacing w:after="0" w:line="225" w:lineRule="exact"/>
        <w:rPr>
          <w:sz w:val="20"/>
          <w:szCs w:val="20"/>
          <w:color w:val="auto"/>
        </w:rPr>
      </w:pPr>
    </w:p>
    <w:p>
      <w:pPr>
        <w:ind w:right="300" w:firstLine="656"/>
        <w:spacing w:after="0" w:line="277" w:lineRule="auto"/>
        <w:tabs>
          <w:tab w:leader="none" w:pos="129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7.08.</w:t>
      </w:r>
    </w:p>
    <w:p>
      <w:pPr>
        <w:spacing w:after="0" w:line="170" w:lineRule="exact"/>
        <w:rPr>
          <w:rFonts w:ascii="Arial" w:cs="Arial" w:eastAsia="Arial" w:hAnsi="Arial"/>
          <w:sz w:val="18"/>
          <w:szCs w:val="18"/>
          <w:color w:val="auto"/>
        </w:rPr>
      </w:pPr>
    </w:p>
    <w:p>
      <w:pPr>
        <w:ind w:right="160" w:firstLine="656"/>
        <w:spacing w:after="0" w:line="264" w:lineRule="auto"/>
        <w:tabs>
          <w:tab w:leader="none" w:pos="13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Securities may remove the Trustee by so notifying the Trustee and the Company in writing. The Company may remove the Trustee if:</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420" w:firstLine="656"/>
        <w:spacing w:after="0" w:line="277" w:lineRule="auto"/>
        <w:tabs>
          <w:tab w:leader="none" w:pos="130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Company will promptly appoint a successor Trustee. Within one year after the successor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Trustee takes office, the Holders of a majority in aggregate principal amount of the then outstanding Securities may appoint a successor Trustee to replace the successor Trustee appointed by the Company.</w:t>
      </w:r>
    </w:p>
    <w:p>
      <w:pPr>
        <w:spacing w:after="0" w:line="170" w:lineRule="exact"/>
        <w:rPr>
          <w:sz w:val="20"/>
          <w:szCs w:val="20"/>
          <w:color w:val="auto"/>
        </w:rPr>
      </w:pPr>
    </w:p>
    <w:p>
      <w:pPr>
        <w:ind w:right="40" w:firstLine="656"/>
        <w:spacing w:after="0" w:line="264" w:lineRule="auto"/>
        <w:tabs>
          <w:tab w:leader="none" w:pos="1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the Company, or the Holders of at least 10% in aggregate principal amount of the then outstanding Securities may petition any court of competent jurisdiction for the appointment of a successor Trustee.</w:t>
      </w:r>
    </w:p>
    <w:p>
      <w:pPr>
        <w:spacing w:after="0" w:line="181" w:lineRule="exact"/>
        <w:rPr>
          <w:rFonts w:ascii="Arial" w:cs="Arial" w:eastAsia="Arial" w:hAnsi="Arial"/>
          <w:sz w:val="18"/>
          <w:szCs w:val="18"/>
          <w:color w:val="auto"/>
        </w:rPr>
      </w:pPr>
    </w:p>
    <w:p>
      <w:pPr>
        <w:ind w:right="80" w:firstLine="656"/>
        <w:spacing w:after="0" w:line="255" w:lineRule="auto"/>
        <w:tabs>
          <w:tab w:leader="none" w:pos="13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Indenture will always have a Trustee who satisfies the requirements of TIA §310(a)(1), (2) and (5). The Trustee is subject to TIA §310(b).</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i w:val="1"/>
          <w:iCs w:val="1"/>
          <w:color w:val="auto"/>
        </w:rPr>
        <w:t>Preferential Collection of Claims Against Company.</w:t>
      </w:r>
    </w:p>
    <w:p>
      <w:pPr>
        <w:sectPr>
          <w:pgSz w:w="11900" w:h="16838" w:orient="portrait"/>
          <w:cols w:equalWidth="0" w:num="1">
            <w:col w:w="11400"/>
          </w:cols>
          <w:pgMar w:left="240" w:top="125" w:right="259" w:bottom="0" w:gutter="0" w:footer="0" w:header="0"/>
        </w:sectPr>
      </w:pPr>
    </w:p>
    <w:bookmarkStart w:id="38" w:name="page39"/>
    <w:bookmarkEnd w:id="38"/>
    <w:p>
      <w:pPr>
        <w:ind w:right="80" w:firstLine="648"/>
        <w:spacing w:after="0" w:line="277" w:lineRule="auto"/>
        <w:rPr>
          <w:sz w:val="20"/>
          <w:szCs w:val="20"/>
          <w:color w:val="auto"/>
        </w:rPr>
      </w:pPr>
      <w:r>
        <w:rPr>
          <w:rFonts w:ascii="Arial" w:cs="Arial" w:eastAsia="Arial" w:hAnsi="Arial"/>
          <w:sz w:val="18"/>
          <w:szCs w:val="18"/>
          <w:color w:val="auto"/>
        </w:rPr>
        <w:t>The Trustee is subject to TIA §311(a), excluding any creditor relationship listed in TIA §311(b). A Trustee who has resigned or been removed shall be subject to TIA §311(a) to the extent indicated therein.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purposes of the Notes, Article 8 hereof provides the terms upon which legal defeasance and covenant defeasance can occur. For purposes of any Additional Securities issued under this Indenture, the Supplemental Indenture in respect of such Additional Securities will specify the terms upon which legal defeasance and covenant defeasance can occur for such Additional Securities, which may include some, all or none of the terms contained in this Article 8 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Upon the Company’s exercise under Section 8.01 hereof of the option applicable to this Section 8.02, the Company and each of the Guarantors shall, subject to the satisfaction of the conditions set forth in Section 8.04 hereof, be deemed to have been discharged from their obligations with respect to all outstanding Notes (including the Guarantees) on the date the conditions set forth in Section 8.04 hereof are satisfied (hereinafter, </w:t>
      </w:r>
      <w:r>
        <w:rPr>
          <w:rFonts w:ascii="Arial" w:cs="Arial" w:eastAsia="Arial" w:hAnsi="Arial"/>
          <w:sz w:val="17"/>
          <w:szCs w:val="17"/>
          <w:i w:val="1"/>
          <w:iCs w:val="1"/>
          <w:color w:val="auto"/>
        </w:rPr>
        <w:t>“Legal Defeasance”</w:t>
      </w:r>
      <w:r>
        <w:rPr>
          <w:rFonts w:ascii="Arial" w:cs="Arial" w:eastAsia="Arial" w:hAnsi="Arial"/>
          <w:sz w:val="17"/>
          <w:szCs w:val="17"/>
          <w:color w:val="auto"/>
        </w:rPr>
        <w:t>). For this purpose, Legal Defeasance means that the Company and the Guarantors shall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79" w:lineRule="exact"/>
        <w:rPr>
          <w:sz w:val="20"/>
          <w:szCs w:val="20"/>
          <w:color w:val="auto"/>
        </w:rPr>
      </w:pPr>
    </w:p>
    <w:p>
      <w:pPr>
        <w:ind w:left="660" w:right="200" w:firstLine="645"/>
        <w:spacing w:after="0" w:line="277" w:lineRule="auto"/>
        <w:tabs>
          <w:tab w:leader="none" w:pos="1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or interest on such Notes when such payments are due from the trust referred to in Section 8.04 hereof;</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2 and Section 4.02 hereof;</w:t>
      </w:r>
    </w:p>
    <w:p>
      <w:pPr>
        <w:spacing w:after="0" w:line="225" w:lineRule="exact"/>
        <w:rPr>
          <w:rFonts w:ascii="Arial" w:cs="Arial" w:eastAsia="Arial" w:hAnsi="Arial"/>
          <w:sz w:val="18"/>
          <w:szCs w:val="18"/>
          <w:color w:val="auto"/>
        </w:rPr>
      </w:pPr>
    </w:p>
    <w:p>
      <w:pPr>
        <w:ind w:left="660" w:right="360" w:firstLine="645"/>
        <w:spacing w:after="0" w:line="277" w:lineRule="auto"/>
        <w:tabs>
          <w:tab w:leader="none" w:pos="1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hereunder and the Company’s and the Guarantors’ obligations in connection therewith;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Upon the Company’s exercise under Section 8.01 hereof of the option applicable to this Section 8.03, the Company and the Guarantors shall, subject to the satisfaction of the conditions set forth in Section 8.04 hereof, be released from each of their obligations under Sections 4.07, 4.09 and 4.10 hereof with respect to the outstanding Notes on and after the date the conditions set forth in Section 8.04 hereof are satisfied (hereinafter,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such omission to comply will not constitute a Default or an Event of Default under Section 6.01 hereof, but, except as specified above, the remainder of this Indenture and such Notes and Guarantees shall be unaffected thereby. In addition, upon the Company’s exercise under Section 8.01 hereof of the option applicable to this Section 8.03, subject to the satisfaction of the conditions set forth in Section 8.04 hereof, Sections 6.01(3), (4), (5), (8) hereof shall not constitute Events of Default.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225" w:lineRule="exact"/>
        <w:rPr>
          <w:sz w:val="20"/>
          <w:szCs w:val="20"/>
          <w:color w:val="auto"/>
        </w:rPr>
      </w:pPr>
    </w:p>
    <w:p>
      <w:pPr>
        <w:ind w:left="660" w:right="20" w:firstLine="645"/>
        <w:spacing w:after="0" w:line="276" w:lineRule="auto"/>
        <w:tabs>
          <w:tab w:leader="none" w:pos="196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ectPr>
          <w:pgSz w:w="11900" w:h="16838" w:orient="portrait"/>
          <w:cols w:equalWidth="0" w:num="1">
            <w:col w:w="11400"/>
          </w:cols>
          <w:pgMar w:left="240" w:top="125" w:right="259" w:bottom="0" w:gutter="0" w:footer="0" w:header="0"/>
        </w:sectPr>
      </w:pPr>
    </w:p>
    <w:bookmarkStart w:id="39" w:name="page40"/>
    <w:bookmarkEnd w:id="39"/>
    <w:p>
      <w:pPr>
        <w:spacing w:after="0" w:line="103" w:lineRule="exact"/>
        <w:rPr>
          <w:sz w:val="20"/>
          <w:szCs w:val="20"/>
          <w:color w:val="auto"/>
        </w:rPr>
      </w:pPr>
    </w:p>
    <w:p>
      <w:pPr>
        <w:ind w:left="660" w:right="240" w:firstLine="645"/>
        <w:spacing w:after="0" w:line="277" w:lineRule="auto"/>
        <w:tabs>
          <w:tab w:leader="none" w:pos="1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federal income tax law,</w:t>
      </w:r>
    </w:p>
    <w:p>
      <w:pPr>
        <w:spacing w:after="0" w:line="225" w:lineRule="exact"/>
        <w:rPr>
          <w:sz w:val="20"/>
          <w:szCs w:val="20"/>
          <w:color w:val="auto"/>
        </w:rPr>
      </w:pPr>
    </w:p>
    <w:p>
      <w:pPr>
        <w:ind w:left="1300"/>
        <w:spacing w:after="0" w:line="312" w:lineRule="auto"/>
        <w:rPr>
          <w:sz w:val="20"/>
          <w:szCs w:val="20"/>
          <w:color w:val="auto"/>
        </w:rPr>
      </w:pPr>
      <w:r>
        <w:rPr>
          <w:rFonts w:ascii="Arial" w:cs="Arial" w:eastAsia="Arial" w:hAnsi="Arial"/>
          <w:sz w:val="16"/>
          <w:szCs w:val="16"/>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47" w:lineRule="exact"/>
        <w:rPr>
          <w:sz w:val="20"/>
          <w:szCs w:val="20"/>
          <w:color w:val="auto"/>
        </w:rPr>
      </w:pPr>
    </w:p>
    <w:p>
      <w:pPr>
        <w:ind w:left="660" w:right="240" w:firstLine="645"/>
        <w:spacing w:after="0" w:line="279" w:lineRule="auto"/>
        <w:tabs>
          <w:tab w:leader="none" w:pos="196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1" w:lineRule="exact"/>
        <w:rPr>
          <w:rFonts w:ascii="Arial" w:cs="Arial" w:eastAsia="Arial" w:hAnsi="Arial"/>
          <w:sz w:val="17"/>
          <w:szCs w:val="17"/>
          <w:color w:val="auto"/>
        </w:rPr>
      </w:pPr>
    </w:p>
    <w:p>
      <w:pPr>
        <w:jc w:val="both"/>
        <w:ind w:left="660" w:right="160" w:firstLine="645"/>
        <w:spacing w:after="0" w:line="264" w:lineRule="auto"/>
        <w:tabs>
          <w:tab w:leader="none" w:pos="1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81" w:lineRule="exact"/>
        <w:rPr>
          <w:rFonts w:ascii="Arial" w:cs="Arial" w:eastAsia="Arial" w:hAnsi="Arial"/>
          <w:sz w:val="18"/>
          <w:szCs w:val="18"/>
          <w:color w:val="auto"/>
        </w:rPr>
      </w:pPr>
    </w:p>
    <w:p>
      <w:pPr>
        <w:ind w:left="660" w:right="200" w:firstLine="645"/>
        <w:spacing w:after="0" w:line="259" w:lineRule="auto"/>
        <w:tabs>
          <w:tab w:leader="none" w:pos="1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or the Parent Guarantor is a party or by which the Company or any of its Subsidiaries or the Parent Guarantor is bound;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64" w:lineRule="auto"/>
        <w:tabs>
          <w:tab w:leader="none" w:pos="1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81" w:lineRule="exact"/>
        <w:rPr>
          <w:rFonts w:ascii="Arial" w:cs="Arial" w:eastAsia="Arial" w:hAnsi="Arial"/>
          <w:sz w:val="18"/>
          <w:szCs w:val="18"/>
          <w:color w:val="auto"/>
        </w:rPr>
      </w:pPr>
    </w:p>
    <w:p>
      <w:pPr>
        <w:ind w:left="660" w:right="560" w:firstLine="645"/>
        <w:spacing w:after="0" w:line="277" w:lineRule="auto"/>
        <w:tabs>
          <w:tab w:leader="none" w:pos="1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Government Securities to be Held in Trust; Other Miscellaneous Provisions.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6"/>
          <w:szCs w:val="16"/>
          <w:i w:val="1"/>
          <w:iCs w:val="1"/>
          <w:color w:val="auto"/>
        </w:rPr>
        <w:t>“Trustee”</w:t>
      </w:r>
      <w:r>
        <w:rPr>
          <w:rFonts w:ascii="Arial" w:cs="Arial" w:eastAsia="Arial" w:hAnsi="Arial"/>
          <w:sz w:val="16"/>
          <w:szCs w:val="16"/>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Notwithstanding anything in this Article 8 to the contrary,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written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Company.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if</w:t>
      </w:r>
    </w:p>
    <w:p>
      <w:pPr>
        <w:sectPr>
          <w:pgSz w:w="11900" w:h="16941" w:orient="portrait"/>
          <w:cols w:equalWidth="0" w:num="1">
            <w:col w:w="11420"/>
          </w:cols>
          <w:pgMar w:left="240" w:top="125" w:right="239" w:bottom="0" w:gutter="0" w:footer="0" w:header="0"/>
        </w:sectPr>
      </w:pPr>
    </w:p>
    <w:bookmarkStart w:id="40" w:name="page41"/>
    <w:bookmarkEnd w:id="40"/>
    <w:p>
      <w:pPr>
        <w:ind w:right="400"/>
        <w:spacing w:after="0" w:line="277" w:lineRule="auto"/>
        <w:rPr>
          <w:sz w:val="20"/>
          <w:szCs w:val="20"/>
          <w:color w:val="auto"/>
        </w:rPr>
      </w:pPr>
      <w:r>
        <w:rPr>
          <w:rFonts w:ascii="Arial" w:cs="Arial" w:eastAsia="Arial" w:hAnsi="Arial"/>
          <w:sz w:val="18"/>
          <w:szCs w:val="18"/>
          <w:color w:val="auto"/>
        </w:rPr>
        <w:t>any, or interest on, any Note following the reinstatement of its obligations, the Company shall be subrogated to the rights of the Holders of such Notes to receive such payment from the money held by the Trustee or Paying Agent.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Notwithstanding Section 9.02 of this Indenture, without the consent of any Holder of Securities, the Company, the Guarantors and the Trustee may amend or supplement this Indenture, the Securities or the Guarantees:</w:t>
      </w:r>
    </w:p>
    <w:p>
      <w:pPr>
        <w:spacing w:after="0" w:line="170" w:lineRule="exact"/>
        <w:rPr>
          <w:sz w:val="20"/>
          <w:szCs w:val="20"/>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cure any ambiguity, mistake, defect or inconsistency;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660" w:right="28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Securities in the case of a merger or consolidation or sale of all or substantially all of the Company’s assets;</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Securities or that does not adversely affect the legal rights under this Indenture of any such Holder;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rFonts w:ascii="Arial" w:cs="Arial" w:eastAsia="Arial" w:hAnsi="Arial"/>
          <w:sz w:val="18"/>
          <w:szCs w:val="18"/>
          <w:color w:val="auto"/>
        </w:rPr>
      </w:pPr>
    </w:p>
    <w:p>
      <w:pPr>
        <w:ind w:left="660" w:right="58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conform the text of this Indenture or the Notes to any provision of the “Description of the Notes” section of the Offering Memorandum, relating to the initial offering of the Notes;</w:t>
      </w:r>
    </w:p>
    <w:p>
      <w:pPr>
        <w:spacing w:after="0" w:line="170" w:lineRule="exact"/>
        <w:rPr>
          <w:rFonts w:ascii="Arial" w:cs="Arial" w:eastAsia="Arial" w:hAnsi="Arial"/>
          <w:sz w:val="18"/>
          <w:szCs w:val="18"/>
          <w:color w:val="auto"/>
        </w:rPr>
      </w:pPr>
    </w:p>
    <w:p>
      <w:pPr>
        <w:ind w:left="660" w:right="92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hereof;</w:t>
      </w:r>
    </w:p>
    <w:p>
      <w:pPr>
        <w:spacing w:after="0" w:line="170" w:lineRule="exact"/>
        <w:rPr>
          <w:rFonts w:ascii="Arial" w:cs="Arial" w:eastAsia="Arial" w:hAnsi="Arial"/>
          <w:sz w:val="18"/>
          <w:szCs w:val="18"/>
          <w:color w:val="auto"/>
        </w:rPr>
      </w:pPr>
    </w:p>
    <w:p>
      <w:pPr>
        <w:ind w:left="660" w:right="56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provide for the issuance of Additional Notes and Additional Securities in accordance with the limitations set forth in this Indenture as of the date hereof;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Guarantee with respect to the Securities.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Upon the request of the Company accompanied by a Board Resolution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Except as provided below in this Section 9.02, the Company and the Trustee may amend or supplement this Indenture (including, without limitation, Section 4.09 hereof), the Notes and the Guarantees with the consent of the Holders of at least a majority in aggregate principal amount of the then outstanding Securities of each Series of Securities affected thereby (including, without limitation, consents obtained in connection with a tender offer or exchange offer for, or purchase of, any Series of Securities), and, subject to Sections 6.04 and 6.07 hereof, any existing Default or Event of Default (other than a Default or Event of Default in the payment of the principal of, premium, if any, or interest on, any Securities, except a payment default resulting from an acceleration that has been rescinded) or compliance with any provision of this Indenture, the Notes or the Guarantees may be waived with the consent of the Holders of a majority in aggregate principal amount of the then outstanding Securities of each Series of Securities affected thereby (including, without limitation, consents obtained in connection with a tender offer or exchange offer for, or purchase of, any Series of Securities). Section 2.09 hereof shall determine which Securities are considered to be “outstanding” for purposes of this Section 9.02.</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Upon the request of the Company accompanied by a Board Resolution and upon the filing with the Trustee of evidence satisfactory to the Trustee of the consent of the Holders of Securities as aforesaid, and upon receipt by the Trustee of an Officers’ Certificate and Opinion of Counsel, the Trustee shall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It is not necessary for the consent of the Holders of Securities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mail to the Holders of Securities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Securities of any particular Series then outstanding voting as a single class may waive compliance in a particular instance by the Company with any provision of this Indenture, the Securities or the Guarantees. However, without the consent of each Holder of any Security affected, an amendment, supplement or waiver under this Section 9.02 may not (with respect to any Security held by a non-consenting Holder):</w:t>
      </w:r>
    </w:p>
    <w:p>
      <w:pPr>
        <w:spacing w:after="0" w:line="189" w:lineRule="exact"/>
        <w:rPr>
          <w:sz w:val="20"/>
          <w:szCs w:val="20"/>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25" w:right="259" w:bottom="0" w:gutter="0" w:footer="0" w:header="0"/>
          <w:type w:val="continuous"/>
        </w:sectPr>
      </w:pPr>
    </w:p>
    <w:bookmarkStart w:id="41" w:name="page42"/>
    <w:bookmarkEnd w:id="41"/>
    <w:p>
      <w:pPr>
        <w:ind w:left="660" w:right="220" w:firstLine="645"/>
        <w:spacing w:after="0" w:line="264" w:lineRule="auto"/>
        <w:tabs>
          <w:tab w:leader="none" w:pos="1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reduce the principal of or change the fixed maturity of any Security or alter the provisions with respect to the redemption of the Securities (other than provisions relating to the covenants described in Section 4.09 hereof and provisions relating to the number of days’ notice to be given in case of redemption);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Security;</w:t>
      </w:r>
    </w:p>
    <w:p>
      <w:pPr>
        <w:spacing w:after="0" w:line="225" w:lineRule="exact"/>
        <w:rPr>
          <w:rFonts w:ascii="Arial" w:cs="Arial" w:eastAsia="Arial" w:hAnsi="Arial"/>
          <w:sz w:val="18"/>
          <w:szCs w:val="18"/>
          <w:color w:val="auto"/>
        </w:rPr>
      </w:pPr>
    </w:p>
    <w:p>
      <w:pPr>
        <w:ind w:left="660" w:right="480" w:firstLine="645"/>
        <w:spacing w:after="0" w:line="264" w:lineRule="auto"/>
        <w:tabs>
          <w:tab w:leader="none" w:pos="1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premium, if any, or interest on, any Security (except a rescission of acceleration of any Series of Securities by the Holders of at least a majority in aggregate principal amount of the then outstanding Securities of such Series and a waiver of the payment default that resulted from such acceleration);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any Security payable in currency other than that stated in the Securities;</w:t>
      </w:r>
    </w:p>
    <w:p>
      <w:pPr>
        <w:spacing w:after="0" w:line="225"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Securities to receive payments of principal of, premium, if any, or, interest on, the Securities;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(other than a payment required by Sections 4.09 hereof);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Compliance with Trust Indenture Act.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Every amendment or supplement to this Indenture or the Securities will be set forth in an amended or supplemental indenture that complies with the TIA as then in effect.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Securities.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Trustee may place an appropriate notation about an amendment, supplement or waiver on any Security thereafter authenticated. The Company in exchange for all Securities may issue and the Trustee shall, upon receipt of an Authentication Order, authenticate new Securities that reflect the amendment, supplement or waiver.</w:t>
      </w:r>
    </w:p>
    <w:p>
      <w:pPr>
        <w:spacing w:after="0" w:line="181"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Failure to make the appropriate notation or issue a new Security will not affect the validity and effect of such amendment, supplement or waiver.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Trustee shall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Section 7.01 hereof) will be fully protected in relying upon an Officers’ Certificate and an Opinion of Counsel stating that the execution of such amended or supplemental indenture is authorized or permitted by this Indenture.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GUARANTEES</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For purposes of the Notes, Article 10 hereof provides the terms of the Guarantees of the Notes. For purposes of any Additional Securities issued under this Indenture, the Supplemental Indenture in respect of such Additional Securities will specify the terms of guarantees for such Additional Securities, which may include some, all or none of the terms contained in this Article 10 hereof.</w:t>
      </w:r>
    </w:p>
    <w:p>
      <w:pPr>
        <w:spacing w:after="0" w:line="18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10.01.</w:t>
      </w:r>
      <w:r>
        <w:rPr>
          <w:sz w:val="20"/>
          <w:szCs w:val="20"/>
          <w:color w:val="auto"/>
        </w:rPr>
        <w:tab/>
      </w:r>
      <w:r>
        <w:rPr>
          <w:rFonts w:ascii="Arial" w:cs="Arial" w:eastAsia="Arial" w:hAnsi="Arial"/>
          <w:sz w:val="16"/>
          <w:szCs w:val="16"/>
          <w:i w:val="1"/>
          <w:iCs w:val="1"/>
          <w:color w:val="auto"/>
        </w:rPr>
        <w:t>Guarantee.</w:t>
      </w:r>
    </w:p>
    <w:p>
      <w:pPr>
        <w:spacing w:after="0" w:line="225" w:lineRule="exact"/>
        <w:rPr>
          <w:sz w:val="20"/>
          <w:szCs w:val="20"/>
          <w:color w:val="auto"/>
        </w:rPr>
      </w:pPr>
    </w:p>
    <w:p>
      <w:pPr>
        <w:ind w:right="380" w:firstLine="656"/>
        <w:spacing w:after="0" w:line="264" w:lineRule="auto"/>
        <w:tabs>
          <w:tab w:leader="none" w:pos="129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this Article 10,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81" w:lineRule="exact"/>
        <w:rPr>
          <w:rFonts w:ascii="Arial" w:cs="Arial" w:eastAsia="Arial" w:hAnsi="Arial"/>
          <w:sz w:val="18"/>
          <w:szCs w:val="18"/>
          <w:color w:val="auto"/>
        </w:rPr>
      </w:pPr>
    </w:p>
    <w:p>
      <w:pPr>
        <w:ind w:left="660" w:right="80" w:firstLine="645"/>
        <w:spacing w:after="0" w:line="259" w:lineRule="auto"/>
        <w:tabs>
          <w:tab w:leader="none" w:pos="196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Notes shall be promptly paid in full when due, whether at maturity, by acceleration, redemption or otherwise, and interest on the overdue principal of, premium, if any, and interest on, the Notes, if lawful, and all other obligations of the Company to the Holders or the Trustee hereunder or thereunder shall be promptly paid in full or performed, all in accordance with the terms hereof and thereof; and</w:t>
      </w:r>
    </w:p>
    <w:p>
      <w:pPr>
        <w:spacing w:after="0" w:line="186" w:lineRule="exact"/>
        <w:rPr>
          <w:rFonts w:ascii="Arial" w:cs="Arial" w:eastAsia="Arial" w:hAnsi="Arial"/>
          <w:sz w:val="18"/>
          <w:szCs w:val="18"/>
          <w:color w:val="auto"/>
        </w:rPr>
      </w:pPr>
    </w:p>
    <w:p>
      <w:pPr>
        <w:ind w:left="660" w:firstLine="645"/>
        <w:spacing w:after="0" w:line="342" w:lineRule="auto"/>
        <w:tabs>
          <w:tab w:leader="none" w:pos="196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ectPr>
          <w:pgSz w:w="11900" w:h="16838" w:orient="portrait"/>
          <w:cols w:equalWidth="0" w:num="1">
            <w:col w:w="11420"/>
          </w:cols>
          <w:pgMar w:left="240" w:top="733" w:right="239" w:bottom="0" w:gutter="0" w:footer="0" w:header="0"/>
        </w:sectPr>
      </w:pPr>
    </w:p>
    <w:bookmarkStart w:id="42" w:name="page43"/>
    <w:bookmarkEnd w:id="42"/>
    <w:p>
      <w:pPr>
        <w:spacing w:after="0" w:line="9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ind w:right="120" w:firstLine="656"/>
        <w:spacing w:after="0" w:line="255"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are full and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656"/>
        <w:spacing w:after="0" w:line="264" w:lineRule="auto"/>
        <w:tabs>
          <w:tab w:leader="none" w:pos="13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81" w:lineRule="exact"/>
        <w:rPr>
          <w:rFonts w:ascii="Arial" w:cs="Arial" w:eastAsia="Arial" w:hAnsi="Arial"/>
          <w:sz w:val="18"/>
          <w:szCs w:val="18"/>
          <w:color w:val="auto"/>
        </w:rPr>
      </w:pPr>
    </w:p>
    <w:p>
      <w:pPr>
        <w:ind w:right="40" w:firstLine="656"/>
        <w:spacing w:after="0" w:line="291" w:lineRule="auto"/>
        <w:tabs>
          <w:tab w:leader="none" w:pos="130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10.02.</w:t>
      </w:r>
      <w:r>
        <w:rPr>
          <w:sz w:val="20"/>
          <w:szCs w:val="20"/>
          <w:color w:val="auto"/>
        </w:rPr>
        <w:tab/>
      </w:r>
      <w:r>
        <w:rPr>
          <w:rFonts w:ascii="Arial" w:cs="Arial" w:eastAsia="Arial" w:hAnsi="Arial"/>
          <w:sz w:val="17"/>
          <w:szCs w:val="17"/>
          <w:i w:val="1"/>
          <w:iCs w:val="1"/>
          <w:color w:val="auto"/>
        </w:rPr>
        <w:t>Limitation on Guarantor Liability.</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10.03.</w:t>
      </w:r>
      <w:r>
        <w:rPr>
          <w:sz w:val="20"/>
          <w:szCs w:val="20"/>
          <w:color w:val="auto"/>
        </w:rPr>
        <w:tab/>
      </w:r>
      <w:r>
        <w:rPr>
          <w:rFonts w:ascii="Arial" w:cs="Arial" w:eastAsia="Arial" w:hAnsi="Arial"/>
          <w:sz w:val="16"/>
          <w:szCs w:val="16"/>
          <w:i w:val="1"/>
          <w:iCs w:val="1"/>
          <w:color w:val="auto"/>
        </w:rPr>
        <w:t>Execution and Delivery of Guarantee.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To evidence its Guarantee set forth in Section 10.01 hereof, each Guarantor hereby agrees that a notation of such Guarantee substantially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shall be endorsed by an Officer of such Guarantor on each Note authenticated and delivered by the Trustee and that this Indenture shall be executed on behalf of such Guarantor by one of its Officers.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10.01 hereof will remain in full force and effect notwithstanding any failure to endorse on each Note a notation of such Guarantee.</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an Officer whose signature is on this Indenture or on the Guarantee no longer holds that office at the time the Trustee authenticates the Note on which a Guarantee is endorsed, the Guarantee will be valid nevertheless.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Guarantee set forth in this Indenture on behalf of the Guarantors.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10.04.</w:t>
      </w:r>
      <w:r>
        <w:rPr>
          <w:sz w:val="20"/>
          <w:szCs w:val="20"/>
          <w:color w:val="auto"/>
        </w:rPr>
        <w:tab/>
      </w:r>
      <w:r>
        <w:rPr>
          <w:rFonts w:ascii="Arial" w:cs="Arial" w:eastAsia="Arial" w:hAnsi="Arial"/>
          <w:sz w:val="16"/>
          <w:szCs w:val="16"/>
          <w:i w:val="1"/>
          <w:iCs w:val="1"/>
          <w:color w:val="auto"/>
        </w:rPr>
        <w:t>Guarantors May Consolidate, etc., on Certain Terms.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Except as otherwise provided in Section 10.05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181" w:lineRule="exact"/>
        <w:rPr>
          <w:sz w:val="20"/>
          <w:szCs w:val="20"/>
          <w:color w:val="auto"/>
        </w:rPr>
      </w:pPr>
    </w:p>
    <w:p>
      <w:pPr>
        <w:ind w:left="1960" w:hanging="655"/>
        <w:spacing w:after="0"/>
        <w:tabs>
          <w:tab w:leader="none" w:pos="1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225" w:lineRule="exact"/>
        <w:rPr>
          <w:rFonts w:ascii="Arial" w:cs="Arial" w:eastAsia="Arial" w:hAnsi="Arial"/>
          <w:sz w:val="18"/>
          <w:szCs w:val="18"/>
          <w:color w:val="auto"/>
        </w:rPr>
      </w:pPr>
    </w:p>
    <w:p>
      <w:pPr>
        <w:ind w:left="660" w:right="300" w:firstLine="645"/>
        <w:spacing w:after="0" w:line="259" w:lineRule="auto"/>
        <w:tabs>
          <w:tab w:leader="none" w:pos="19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Section 10.05 hereof, the Person acquiring the property in any such sale or disposition or the Person formed by or surviving any such consolidation or merger fully and unconditionally assumes all the obligations of that Guarantor under its Guarantee, this Indenture, the Registration Rights Agreement on the terms set forth herein or therein, pursuant to a supplemental indenture in form and substance reasonably satisfactory to the Trustee;</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case of any such consolidation, merger, sale or conveyance and upon the assumption by the successor Person, by supplemental indenture, executed and delivered to the Trustee and satisfactory in form to the Trustee, of the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at the date of the execution hereof.</w:t>
      </w:r>
    </w:p>
    <w:p>
      <w:pPr>
        <w:sectPr>
          <w:pgSz w:w="11900" w:h="16932" w:orient="portrait"/>
          <w:cols w:equalWidth="0" w:num="1">
            <w:col w:w="11420"/>
          </w:cols>
          <w:pgMar w:left="240" w:top="125" w:right="239" w:bottom="0" w:gutter="0" w:footer="0" w:header="0"/>
        </w:sectPr>
      </w:pPr>
    </w:p>
    <w:bookmarkStart w:id="43" w:name="page44"/>
    <w:bookmarkEnd w:id="43"/>
    <w:p>
      <w:pPr>
        <w:ind w:right="40" w:firstLine="648"/>
        <w:spacing w:after="0" w:line="264" w:lineRule="auto"/>
        <w:rPr>
          <w:sz w:val="20"/>
          <w:szCs w:val="20"/>
          <w:color w:val="auto"/>
        </w:rPr>
      </w:pPr>
      <w:r>
        <w:rPr>
          <w:rFonts w:ascii="Arial" w:cs="Arial" w:eastAsia="Arial" w:hAnsi="Arial"/>
          <w:sz w:val="18"/>
          <w:szCs w:val="18"/>
          <w:color w:val="auto"/>
        </w:rPr>
        <w:t>Except as set forth in Articles 4 and 5 hereof, and notwithstanding clause (2)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18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i w:val="1"/>
          <w:iCs w:val="1"/>
          <w:color w:val="auto"/>
        </w:rPr>
        <w:t>Section 10.05.</w:t>
      </w:r>
      <w:r>
        <w:rPr>
          <w:sz w:val="20"/>
          <w:szCs w:val="20"/>
          <w:color w:val="auto"/>
        </w:rPr>
        <w:tab/>
      </w:r>
      <w:r>
        <w:rPr>
          <w:rFonts w:ascii="Arial" w:cs="Arial" w:eastAsia="Arial" w:hAnsi="Arial"/>
          <w:sz w:val="15"/>
          <w:szCs w:val="15"/>
          <w:i w:val="1"/>
          <w:iCs w:val="1"/>
          <w:color w:val="auto"/>
        </w:rPr>
        <w:t>Releases.</w:t>
      </w:r>
    </w:p>
    <w:p>
      <w:pPr>
        <w:spacing w:after="0" w:line="225" w:lineRule="exact"/>
        <w:rPr>
          <w:sz w:val="20"/>
          <w:szCs w:val="20"/>
          <w:color w:val="auto"/>
        </w:rPr>
      </w:pPr>
    </w:p>
    <w:p>
      <w:pPr>
        <w:ind w:left="1300" w:hanging="603"/>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20" w:hanging="623"/>
        <w:spacing w:after="0"/>
        <w:tabs>
          <w:tab w:leader="none" w:pos="1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Subsidiary Guarantee of a Subsidiary Guarantor shall be released automatically:</w:t>
      </w:r>
    </w:p>
    <w:p>
      <w:pPr>
        <w:spacing w:after="0" w:line="225" w:lineRule="exact"/>
        <w:rPr>
          <w:rFonts w:ascii="Arial" w:cs="Arial" w:eastAsia="Arial" w:hAnsi="Arial"/>
          <w:sz w:val="18"/>
          <w:szCs w:val="18"/>
          <w:color w:val="auto"/>
        </w:rPr>
      </w:pPr>
    </w:p>
    <w:p>
      <w:pPr>
        <w:jc w:val="both"/>
        <w:ind w:left="660" w:right="160" w:firstLine="645"/>
        <w:spacing w:after="0" w:line="264" w:lineRule="auto"/>
        <w:tabs>
          <w:tab w:leader="none" w:pos="19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Subsidiary of the Company;</w:t>
      </w:r>
    </w:p>
    <w:p>
      <w:pPr>
        <w:spacing w:after="0" w:line="181" w:lineRule="exact"/>
        <w:rPr>
          <w:rFonts w:ascii="Arial" w:cs="Arial" w:eastAsia="Arial" w:hAnsi="Arial"/>
          <w:sz w:val="18"/>
          <w:szCs w:val="18"/>
          <w:color w:val="auto"/>
        </w:rPr>
      </w:pPr>
    </w:p>
    <w:p>
      <w:pPr>
        <w:ind w:left="660" w:right="60" w:firstLine="645"/>
        <w:spacing w:after="0" w:line="264" w:lineRule="auto"/>
        <w:tabs>
          <w:tab w:leader="none" w:pos="19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the Company or a Subsidiary of the Company, if following such sale or other disposition, that Subsidiary Guarantor is no longer a direct or indirect Subsidiary of the Company;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upon defeasance or satisfaction and discharge of the Notes as provided in Sections 8.01, 8.02, 8.03, 8.04 and 11.01 hereof;</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upon the dissolution of a Subsidiary Guarantor that is permitted under this Indenture;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upon the prior consent of Holders of at least a majority in aggregate principal amount of the Notes then outstanding;</w:t>
      </w:r>
    </w:p>
    <w:p>
      <w:pPr>
        <w:spacing w:after="0" w:line="236" w:lineRule="exact"/>
        <w:rPr>
          <w:rFonts w:ascii="Arial" w:cs="Arial" w:eastAsia="Arial" w:hAnsi="Arial"/>
          <w:sz w:val="17"/>
          <w:szCs w:val="17"/>
          <w:color w:val="auto"/>
        </w:rPr>
      </w:pPr>
    </w:p>
    <w:p>
      <w:pPr>
        <w:ind w:left="1300" w:firstLine="653"/>
        <w:spacing w:after="0" w:line="255" w:lineRule="auto"/>
        <w:tabs>
          <w:tab w:leader="none" w:pos="2607"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if the Company has Indebtedness outstanding under the Credit Agreement at that time, upon the consent of the requisite lenders under the Credit Agreement to the release of such Subsidiary Guarantor’s Guarantee of all Obligations under the Credit Agreement, or, if there is no Indebtedness of the Company outstanding under the Credit Agreement at that time, upon the requisite consent of the Holders of all other Material Indebtedness of the Company that is guaranteed by such Subsidiary Guarantor at that time outstanding to the release of such Subsidiary Guarantor’s Guarantee of all Obligations with respect to all such other Material Indebtedness that is guaranteed by such Subsidiary Guarantor at that time outstanding; or</w:t>
      </w:r>
    </w:p>
    <w:p>
      <w:pPr>
        <w:spacing w:after="0" w:line="193" w:lineRule="exact"/>
        <w:rPr>
          <w:rFonts w:ascii="Arial" w:cs="Arial" w:eastAsia="Arial" w:hAnsi="Arial"/>
          <w:sz w:val="18"/>
          <w:szCs w:val="18"/>
          <w:color w:val="auto"/>
        </w:rPr>
      </w:pPr>
    </w:p>
    <w:p>
      <w:pPr>
        <w:ind w:left="1300" w:right="300" w:firstLine="653"/>
        <w:spacing w:after="0" w:line="259" w:lineRule="auto"/>
        <w:tabs>
          <w:tab w:leader="none" w:pos="2607"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if the Company has Indebtedness outstanding under the Credit Agreement at that time, upon the release of such Subsidiary Guarantor’s Guarantee of all Obligations under the Credit Agreement, or, if there is no Indebtedness of the Company outstanding under the Credit Agreement at that time, upon the release of such Subsidiary Guarantor’s Guarantee of all Obligations with respect to all other Material Indebtedness of the Company at that time outstanding.</w:t>
      </w:r>
    </w:p>
    <w:p>
      <w:pPr>
        <w:spacing w:after="0" w:line="186" w:lineRule="exact"/>
        <w:rPr>
          <w:rFonts w:ascii="Arial" w:cs="Arial" w:eastAsia="Arial" w:hAnsi="Arial"/>
          <w:sz w:val="18"/>
          <w:szCs w:val="18"/>
          <w:color w:val="auto"/>
        </w:rPr>
      </w:pPr>
    </w:p>
    <w:p>
      <w:pPr>
        <w:ind w:right="200" w:firstLine="656"/>
        <w:spacing w:after="0" w:line="277" w:lineRule="auto"/>
        <w:tabs>
          <w:tab w:leader="none" w:pos="130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Guarantee of a Guarantor shall be released with respect to the Notes automatically upon Legal Defeasance, Covenant Defeasance or satisfaction and discharge of this Indenture pursuant to Articles 8 and 11 hereof.</w:t>
      </w:r>
    </w:p>
    <w:p>
      <w:pPr>
        <w:spacing w:after="0" w:line="170" w:lineRule="exact"/>
        <w:rPr>
          <w:rFonts w:ascii="Arial" w:cs="Arial" w:eastAsia="Arial" w:hAnsi="Arial"/>
          <w:sz w:val="18"/>
          <w:szCs w:val="18"/>
          <w:color w:val="auto"/>
        </w:rPr>
      </w:pPr>
    </w:p>
    <w:p>
      <w:pPr>
        <w:ind w:right="140" w:firstLine="656"/>
        <w:spacing w:after="0" w:line="286" w:lineRule="auto"/>
        <w:tabs>
          <w:tab w:leader="none" w:pos="130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Upon delivery by the Company to the Trustee of an Officers’ Certificate and an Opinion of Counsel to the effect that the action or event giving rise to the applicable release has occurred or was made by the Company in accordance with the provisions of this Indenture the Trustee shall execute any documents reasonably required in order to evidence the release of any Guarantor from its obligations under its Guarantee.</w:t>
      </w:r>
    </w:p>
    <w:p>
      <w:pPr>
        <w:spacing w:after="0" w:line="165" w:lineRule="exact"/>
        <w:rPr>
          <w:rFonts w:ascii="Arial" w:cs="Arial" w:eastAsia="Arial" w:hAnsi="Arial"/>
          <w:sz w:val="17"/>
          <w:szCs w:val="17"/>
          <w:color w:val="auto"/>
        </w:rPr>
      </w:pPr>
    </w:p>
    <w:p>
      <w:pPr>
        <w:ind w:right="20" w:firstLine="656"/>
        <w:spacing w:after="0" w:line="342" w:lineRule="auto"/>
        <w:tabs>
          <w:tab w:leader="none" w:pos="130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Guarantor not released from its obligations under its Guarantee as provided in this Section 10.05 will remain liable for the full amount of principal of, premium, if any, and interest on, the Notes and for the other obligations of any Guarantor under this Indenture as provided in this Article 10.</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For purposes of the Notes, Article 11 hereof provides the terms upon which satisfaction and discharge can occur. For purposes of any Additional Securities issued under this Indenture, the Supplemental Indenture in respect of such Additional Securities will specify the terms upon which satisfaction and discharge can occur for such Additional Securities, which may include some, all or none of the terms contained in this Article 11 hereof.</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1960" w:hanging="655"/>
        <w:spacing w:after="0"/>
        <w:tabs>
          <w:tab w:leader="none" w:pos="1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660" w:right="240" w:firstLine="1293"/>
        <w:spacing w:after="0" w:line="264" w:lineRule="auto"/>
        <w:tabs>
          <w:tab w:leader="none" w:pos="227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such Notes for cancellation; or</w:t>
      </w:r>
    </w:p>
    <w:p>
      <w:pPr>
        <w:sectPr>
          <w:pgSz w:w="11900" w:h="16838" w:orient="portrait"/>
          <w:cols w:equalWidth="0" w:num="1">
            <w:col w:w="11360"/>
          </w:cols>
          <w:pgMar w:left="240" w:top="341" w:right="299" w:bottom="0" w:gutter="0" w:footer="0" w:header="0"/>
        </w:sectPr>
      </w:pPr>
    </w:p>
    <w:bookmarkStart w:id="44" w:name="page45"/>
    <w:bookmarkEnd w:id="44"/>
    <w:p>
      <w:pPr>
        <w:ind w:left="660" w:right="60" w:firstLine="1293"/>
        <w:spacing w:after="0" w:line="273" w:lineRule="auto"/>
        <w:tabs>
          <w:tab w:leader="none" w:pos="228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distribution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such amounts as will be sufficient, without consideration of any reinvestment of interest, to pay and discharge the entire Indebtedness on the Notes not delivered to the Trustee for cancellation for principal, premium, if any, and interest to the date of maturity or redemption;</w:t>
      </w:r>
    </w:p>
    <w:p>
      <w:pPr>
        <w:spacing w:after="0" w:line="178" w:lineRule="exact"/>
        <w:rPr>
          <w:rFonts w:ascii="Arial" w:cs="Arial" w:eastAsia="Arial" w:hAnsi="Arial"/>
          <w:sz w:val="17"/>
          <w:szCs w:val="17"/>
          <w:color w:val="auto"/>
        </w:rPr>
      </w:pPr>
    </w:p>
    <w:p>
      <w:pPr>
        <w:jc w:val="both"/>
        <w:ind w:left="660" w:right="60" w:firstLine="645"/>
        <w:spacing w:after="0" w:line="259" w:lineRule="auto"/>
        <w:tabs>
          <w:tab w:leader="none" w:pos="196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respect of subclause (b) of clause (1) of this Section 11.01, 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225" w:lineRule="exact"/>
        <w:rPr>
          <w:rFonts w:ascii="Arial" w:cs="Arial" w:eastAsia="Arial" w:hAnsi="Arial"/>
          <w:sz w:val="18"/>
          <w:szCs w:val="18"/>
          <w:color w:val="auto"/>
        </w:rPr>
      </w:pPr>
    </w:p>
    <w:p>
      <w:pPr>
        <w:ind w:left="660" w:right="260" w:firstLine="645"/>
        <w:spacing w:after="0" w:line="277" w:lineRule="auto"/>
        <w:tabs>
          <w:tab w:leader="none" w:pos="196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Notwithstanding the satisfaction and discharge of this Indenture, if money has been deposited with the Trustee pursuant to subclause (b) of clause (1) 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11.01 hereof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the principal, premium, if any, and interest for whose payment such money has been deposited with the Trustee; but such money need not be segregated from other funds except to the extent required by law.</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Securities shall be revived and reinstated as though no deposit had occurred pursuant to Section 11.01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Securities held by the Trustee or Paying Agent.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i w:val="1"/>
          <w:iCs w:val="1"/>
          <w:color w:val="auto"/>
        </w:rPr>
        <w:t>Trust Indenture Act Controls.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provision of this Indenture limits, qualifies or conflicts with the duties imposed by TIA §318(c), the imposed duties will control.</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i w:val="1"/>
          <w:iCs w:val="1"/>
          <w:color w:val="auto"/>
        </w:rPr>
        <w:t>Notices.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mailed by first class mail (registered or certified, return receipt requested), telecopier or overnight air courier guaranteeing next day delivery, to the others’ address: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and/or any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NRG Energy,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804 Carnegie Place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No.: (609) 524-4501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Kirkland &amp; Ellis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North LaSalle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No.: (312) 862-2200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Gerald T. Nowak, Esq. or Paul D. Zier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 Debenture Trust Company of New York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400 Madison Avenue, Suite 4D</w:t>
      </w:r>
    </w:p>
    <w:p>
      <w:pPr>
        <w:sectPr>
          <w:pgSz w:w="11900" w:h="16838" w:orient="portrait"/>
          <w:cols w:equalWidth="0" w:num="1">
            <w:col w:w="11420"/>
          </w:cols>
          <w:pgMar w:left="240" w:top="125" w:right="239" w:bottom="0" w:gutter="0" w:footer="0" w:header="0"/>
        </w:sectPr>
      </w:pPr>
    </w:p>
    <w:bookmarkStart w:id="45" w:name="page46"/>
    <w:bookmarkEnd w:id="45"/>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10017</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No.: (212) 750-1361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Any notice or communication will also be so mailed to any Person described in TIA §313(c), to the extent required by the TIA. Failure to mail a notice or communication to a Holder or any defect in it will not affect its sufficiency with respect to other Holders.</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i w:val="1"/>
          <w:iCs w:val="1"/>
          <w:color w:val="auto"/>
        </w:rPr>
        <w:t>Communication by Holders of Securities with Other Holders of Securities.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Holders may communicate pursuant to TIA §312(b) with other Holders with respect to their rights under this Indenture or the Securities. The Company, the Trustee, the Registrar and anyone else shall have the protection of TIA §312(c).</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jc w:val="both"/>
        <w:ind w:left="660" w:firstLine="645"/>
        <w:spacing w:after="0" w:line="264" w:lineRule="auto"/>
        <w:tabs>
          <w:tab w:leader="none" w:pos="196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12.05 hereof) stating that, in the opinion of the signers, all conditions precedent and covenants, if any, provided for in this Indenture relating to the proposed action have been satisfied; and</w:t>
      </w:r>
    </w:p>
    <w:p>
      <w:pPr>
        <w:spacing w:after="0" w:line="181" w:lineRule="exact"/>
        <w:rPr>
          <w:rFonts w:ascii="Arial" w:cs="Arial" w:eastAsia="Arial" w:hAnsi="Arial"/>
          <w:sz w:val="18"/>
          <w:szCs w:val="18"/>
          <w:color w:val="auto"/>
        </w:rPr>
      </w:pPr>
    </w:p>
    <w:p>
      <w:pPr>
        <w:ind w:left="660" w:right="40" w:firstLine="645"/>
        <w:spacing w:after="0" w:line="308" w:lineRule="auto"/>
        <w:tabs>
          <w:tab w:leader="none" w:pos="196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 Opinion of Counsel in form and substance reasonably satisfactory to the Trustee (which must include the statements set forth in Section 12.05 hereof) stating that, in the opinion of such counsel, all such conditions precedent and covenants have been satisfied.</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§314(a)(4)) must comply with the provisions of TIA §314(e) and must include:</w:t>
      </w:r>
    </w:p>
    <w:p>
      <w:pPr>
        <w:spacing w:after="0" w:line="170" w:lineRule="exact"/>
        <w:rPr>
          <w:sz w:val="20"/>
          <w:szCs w:val="20"/>
          <w:color w:val="auto"/>
        </w:rPr>
      </w:pPr>
    </w:p>
    <w:p>
      <w:pPr>
        <w:ind w:left="5620" w:right="2320" w:hanging="4315"/>
        <w:spacing w:after="0" w:line="528" w:lineRule="auto"/>
        <w:tabs>
          <w:tab w:leader="none" w:pos="195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 69</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40" w:firstLine="645"/>
        <w:spacing w:after="0" w:line="308" w:lineRule="auto"/>
        <w:tabs>
          <w:tab w:leader="none" w:pos="196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-1332865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5"/>
          <w:szCs w:val="15"/>
          <w:i w:val="1"/>
          <w:iCs w:val="1"/>
          <w:color w:val="auto"/>
        </w:rPr>
        <w:t>Rules by Trustee and Agents.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No director, officer, employee, incorporator or stockholder of the Company or any Guarantor, as such, will have any liability for any obligations of the Company or the Guarantors under any Securities, this Indenture, the Guarantees or for any claim based on, in respect of, or by reason of, such obligations or their creation. Each Holder of Securities by accepting any Security waives and releases all such liability. The waiver and release are part of the consideration for issuance of any Securities. The waiver may not be effective to waive liabilities under the federal securities laws.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INTERNAL LAW OF THE STATE OF NEW YORK WILL GOVERN AND BE USED TO CONSTRUE THIS INDENTURE, THE NOTES AND THE GUARANTEES WITHOUT GIVING EFFECT TO APPLICABLE PRINCIPLES OF CONFLICTS OF LAW TO THE EXTENT THAT THE</w:t>
      </w:r>
    </w:p>
    <w:p>
      <w:pPr>
        <w:sectPr>
          <w:pgSz w:w="11900" w:h="16953" w:orient="portrait"/>
          <w:cols w:equalWidth="0" w:num="1">
            <w:col w:w="11400"/>
          </w:cols>
          <w:pgMar w:left="240" w:top="125" w:right="259" w:bottom="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APPLICATION OF THE LAWS OF ANOTHER JURISDICTION WOULD BE REQUIRED THEREBY.</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All agreements of the Company in this Indenture and any Securities will bind its successors. All agreements of the Trustee in this Indenture will bind its successors. All agreements of each Guarantor in this Indenture will bind its successors, except as otherwise provided in Section 10.05 hereof.</w:t>
      </w:r>
    </w:p>
    <w:p>
      <w:pPr>
        <w:spacing w:after="0" w:line="12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case any provision in this Indenture or in any Securities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i w:val="1"/>
          <w:iCs w:val="1"/>
          <w:color w:val="auto"/>
        </w:rPr>
        <w:t>Counterpart Originals.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6"/>
          <w:szCs w:val="16"/>
          <w:i w:val="1"/>
          <w:iCs w:val="1"/>
          <w:color w:val="auto"/>
        </w:rPr>
        <w:t>Table of Contents, Headings, etc.</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i w:val="1"/>
          <w:iCs w:val="1"/>
          <w:color w:val="auto"/>
        </w:rPr>
        <w:t>Compliance with Applicable Anti-Terrorism and Anti-Money Laundering Regulations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order to comply with laws, rules, regulations and executive orders in effect from time to time applicable to banking institutions, including those relating to the funding of terrorist activities and money laundering (</w:t>
      </w:r>
      <w:r>
        <w:rPr>
          <w:rFonts w:ascii="Arial" w:cs="Arial" w:eastAsia="Arial" w:hAnsi="Arial"/>
          <w:sz w:val="18"/>
          <w:szCs w:val="18"/>
          <w:i w:val="1"/>
          <w:iCs w:val="1"/>
          <w:color w:val="auto"/>
        </w:rPr>
        <w:t>“Relevant Law”</w:t>
      </w:r>
      <w:r>
        <w:rPr>
          <w:rFonts w:ascii="Arial" w:cs="Arial" w:eastAsia="Arial" w:hAnsi="Arial"/>
          <w:sz w:val="18"/>
          <w:szCs w:val="18"/>
          <w:color w:val="auto"/>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 on following page]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August 18,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OPERATING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Christopher S. Sotos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Brian Curci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ENERGY CENTER OMAHA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ENERGY CENTER OMAHA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DGPV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UB FUEL CELL, LLC</w:t>
      </w:r>
    </w:p>
    <w:p>
      <w:pPr>
        <w:sectPr>
          <w:pgSz w:w="11900" w:h="16838" w:orient="portrait"/>
          <w:cols w:equalWidth="0" w:num="1">
            <w:col w:w="11260"/>
          </w:cols>
          <w:pgMar w:left="240" w:top="125" w:right="399" w:bottom="4" w:gutter="0" w:footer="0" w:header="0"/>
        </w:sectPr>
      </w:pPr>
    </w:p>
    <w:bookmarkStart w:id="47" w:name="page48"/>
    <w:bookmarkEnd w:id="47"/>
    <w:p>
      <w:pPr>
        <w:spacing w:after="0" w:line="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Christopher S. Sotos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LAW DEBENTURE TRUST COMPANY OF NEW YORK, as Trustee</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James D. Heaney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James D. Heaney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CUSIP/CINS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5.000% Senior Notes due 2026</w:t>
      </w:r>
    </w:p>
    <w:p>
      <w:pPr>
        <w:sectPr>
          <w:pgSz w:w="11900" w:h="16843" w:orient="portrait"/>
          <w:cols w:equalWidth="0" w:num="1">
            <w:col w:w="11420"/>
          </w:cols>
          <w:pgMar w:left="240" w:top="125" w:right="239" w:bottom="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843" w:orient="portrait"/>
          <w:cols w:equalWidth="0" w:num="2">
            <w:col w:w="9400" w:space="720"/>
            <w:col w:w="1300"/>
          </w:cols>
          <w:pgMar w:left="240" w:top="125" w:right="239" w:bottom="0" w:gutter="0" w:footer="0" w:header="0"/>
          <w:type w:val="continuous"/>
        </w:sectPr>
      </w:pP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NRG YIELD OPERATING LLC</w:t>
      </w:r>
    </w:p>
    <w:p>
      <w:pPr>
        <w:sectPr>
          <w:pgSz w:w="11900" w:h="16843" w:orient="portrait"/>
          <w:cols w:equalWidth="0" w:num="1">
            <w:col w:w="11420"/>
          </w:cols>
          <w:pgMar w:left="240" w:top="125" w:right="239" w:bottom="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promises to pay 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or registered assigns,</w:t>
      </w:r>
    </w:p>
    <w:p>
      <w:pPr>
        <w:spacing w:after="0" w:line="211" w:lineRule="exact"/>
        <w:rPr>
          <w:sz w:val="20"/>
          <w:szCs w:val="20"/>
          <w:color w:val="auto"/>
        </w:rPr>
      </w:pPr>
    </w:p>
    <w:p>
      <w:pPr>
        <w:sectPr>
          <w:pgSz w:w="11900" w:h="16843" w:orient="portrait"/>
          <w:cols w:equalWidth="0" w:num="2">
            <w:col w:w="1460" w:space="720"/>
            <w:col w:w="9240"/>
          </w:cols>
          <w:pgMar w:left="240" w:top="125"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principal sum of</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DOLLARS on September 15, 2026.</w:t>
      </w:r>
    </w:p>
    <w:p>
      <w:pPr>
        <w:spacing w:after="0" w:line="200" w:lineRule="exact"/>
        <w:rPr>
          <w:sz w:val="20"/>
          <w:szCs w:val="20"/>
          <w:color w:val="auto"/>
        </w:rPr>
      </w:pPr>
    </w:p>
    <w:p>
      <w:pPr>
        <w:sectPr>
          <w:pgSz w:w="11900" w:h="16843" w:orient="portrait"/>
          <w:cols w:equalWidth="0" w:num="2">
            <w:col w:w="6580" w:space="720"/>
            <w:col w:w="4120"/>
          </w:cols>
          <w:pgMar w:left="240" w:top="125"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15 and September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March 1 and September 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29502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NRG YIELD OPERATING LLC</w:t>
      </w:r>
    </w:p>
    <w:p>
      <w:pPr>
        <w:spacing w:after="0" w:line="200" w:lineRule="exact"/>
        <w:rPr>
          <w:sz w:val="20"/>
          <w:szCs w:val="20"/>
          <w:color w:val="auto"/>
        </w:rPr>
      </w:pPr>
    </w:p>
    <w:p>
      <w:pPr>
        <w:spacing w:after="0" w:line="241"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LAW DEBENTURE TRUST COMPANY OF NEW YORK,</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1127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5.000% Senior Notes due 2026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Original Issue Discount Legend, if applicable pursuant to the provisions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left="1960" w:hanging="655"/>
        <w:spacing w:after="0"/>
        <w:tabs>
          <w:tab w:leader="none" w:pos="1960"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NRG Yield Operating LLC,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promises to pay interest on the</w:t>
      </w:r>
    </w:p>
    <w:p>
      <w:pPr>
        <w:spacing w:after="0" w:line="35" w:lineRule="exact"/>
        <w:rPr>
          <w:sz w:val="20"/>
          <w:szCs w:val="20"/>
          <w:color w:val="auto"/>
        </w:rPr>
      </w:pPr>
    </w:p>
    <w:p>
      <w:pPr>
        <w:ind w:left="660" w:right="40"/>
        <w:spacing w:after="0" w:line="290" w:lineRule="auto"/>
        <w:rPr>
          <w:sz w:val="20"/>
          <w:szCs w:val="20"/>
          <w:color w:val="auto"/>
        </w:rPr>
      </w:pPr>
      <w:r>
        <w:rPr>
          <w:rFonts w:ascii="Arial" w:cs="Arial" w:eastAsia="Arial" w:hAnsi="Arial"/>
          <w:sz w:val="17"/>
          <w:szCs w:val="17"/>
          <w:color w:val="auto"/>
        </w:rPr>
        <w:t>principal amount of this Note at 5.000% per annum from , until maturity. The Company shall pay interest semi-annually in arrears on March 15 and September 15 of each year, or if any such day is not a Business Day, on the next succeeding Business Day (each, an “</w:t>
      </w:r>
      <w:r>
        <w:rPr>
          <w:rFonts w:ascii="Arial" w:cs="Arial" w:eastAsia="Arial" w:hAnsi="Arial"/>
          <w:sz w:val="17"/>
          <w:szCs w:val="17"/>
          <w:i w:val="1"/>
          <w:iCs w:val="1"/>
          <w:color w:val="auto"/>
        </w:rPr>
        <w:t>Interest Payment</w:t>
      </w:r>
    </w:p>
    <w:p>
      <w:pPr>
        <w:sectPr>
          <w:pgSz w:w="11900" w:h="16843" w:orient="portrait"/>
          <w:cols w:equalWidth="0" w:num="1">
            <w:col w:w="11420"/>
          </w:cols>
          <w:pgMar w:left="240" w:top="125" w:right="239" w:bottom="0" w:gutter="0" w:footer="0" w:header="0"/>
          <w:type w:val="continuous"/>
        </w:sectPr>
      </w:pPr>
    </w:p>
    <w:bookmarkStart w:id="48" w:name="page49"/>
    <w:bookmarkEnd w:id="48"/>
    <w:p>
      <w:pPr>
        <w:spacing w:after="0" w:line="288" w:lineRule="auto"/>
        <w:rPr>
          <w:sz w:val="20"/>
          <w:szCs w:val="20"/>
          <w:color w:val="auto"/>
        </w:rPr>
      </w:pPr>
      <w:r>
        <w:rPr>
          <w:rFonts w:ascii="Arial" w:cs="Arial" w:eastAsia="Arial" w:hAnsi="Arial"/>
          <w:sz w:val="16"/>
          <w:szCs w:val="16"/>
          <w:i w:val="1"/>
          <w:iCs w:val="1"/>
          <w:color w:val="auto"/>
        </w:rPr>
        <w:t>Date</w:t>
      </w:r>
      <w:r>
        <w:rPr>
          <w:rFonts w:ascii="Arial" w:cs="Arial" w:eastAsia="Arial" w:hAnsi="Arial"/>
          <w:sz w:val="16"/>
          <w:szCs w:val="16"/>
          <w:color w:val="auto"/>
        </w:rPr>
        <w:t>”). Interest on the Notes will accrue from the most recent date to which interest has been paid or, if no interest has been paid,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w:t>
      </w:r>
    </w:p>
    <w:p>
      <w:pPr>
        <w:spacing w:after="0"/>
        <w:tabs>
          <w:tab w:leader="none" w:pos="4140" w:val="left"/>
        </w:tabs>
        <w:rPr>
          <w:sz w:val="20"/>
          <w:szCs w:val="20"/>
          <w:color w:val="auto"/>
        </w:rPr>
      </w:pPr>
      <w:r>
        <w:rPr>
          <w:rFonts w:ascii="Arial" w:cs="Arial" w:eastAsia="Arial" w:hAnsi="Arial"/>
          <w:sz w:val="18"/>
          <w:szCs w:val="18"/>
          <w:i w:val="1"/>
          <w:iCs w:val="1"/>
          <w:color w:val="auto"/>
        </w:rPr>
        <w:t>further</w:t>
      </w:r>
      <w:r>
        <w:rPr>
          <w:rFonts w:ascii="Arial" w:cs="Arial" w:eastAsia="Arial" w:hAnsi="Arial"/>
          <w:sz w:val="18"/>
          <w:szCs w:val="18"/>
          <w:color w:val="auto"/>
        </w:rPr>
        <w:t>, that the first Interest Payment Date shall be</w:t>
      </w:r>
      <w:r>
        <w:rPr>
          <w:sz w:val="20"/>
          <w:szCs w:val="20"/>
          <w:color w:val="auto"/>
        </w:rPr>
        <w:tab/>
      </w:r>
      <w:r>
        <w:rPr>
          <w:rFonts w:ascii="Arial" w:cs="Arial" w:eastAsia="Arial" w:hAnsi="Arial"/>
          <w:sz w:val="16"/>
          <w:szCs w:val="16"/>
          <w:color w:val="auto"/>
        </w:rPr>
        <w:t>. Interest will be computed on the basis of a 360-day year of twelve 30-day months.</w:t>
      </w:r>
    </w:p>
    <w:p>
      <w:pPr>
        <w:spacing w:after="0" w:line="211" w:lineRule="exact"/>
        <w:rPr>
          <w:sz w:val="20"/>
          <w:szCs w:val="20"/>
          <w:color w:val="auto"/>
        </w:rPr>
      </w:pPr>
    </w:p>
    <w:p>
      <w:pPr>
        <w:ind w:firstLine="645"/>
        <w:spacing w:after="0" w:line="270" w:lineRule="auto"/>
        <w:tabs>
          <w:tab w:leader="none" w:pos="1304"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METHOD OF PAYMENT</w:t>
      </w:r>
      <w:r>
        <w:rPr>
          <w:rFonts w:ascii="Arial" w:cs="Arial" w:eastAsia="Arial" w:hAnsi="Arial"/>
          <w:sz w:val="17"/>
          <w:szCs w:val="17"/>
          <w:color w:val="auto"/>
        </w:rPr>
        <w:t>. The Company shall pay interest on the Notes (except defaulted interest) to the Persons who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registered Holders of Notes at the close of business on the March 1 and September 1 next preceding the Interest Payment Date, even if such Notes are canceled after such record date and on or before such Interest Payment Date, except as provided in Section 2.13 of the Indenture with respect to defaulted interest. The Notes will be payable as to principal, premium, if any, interest at the office or agency of the Paying Agent and Registrar within the City and State of New York, or, at the option of the Company, payment of interest may be made by check mailed to the Holders at their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will be required with respect to principal of, premium, if any, and interest on, all Global Notes and all other Notes the Holders of which will have provided wire transfer instructions to the Company or the Paying Agent. Such payment shall be in such coin or currency of the United States of America as at the time of payment is legal tender for payment of public and private debts.</w:t>
      </w:r>
    </w:p>
    <w:p>
      <w:pPr>
        <w:spacing w:after="0" w:line="181" w:lineRule="exact"/>
        <w:rPr>
          <w:rFonts w:ascii="Arial" w:cs="Arial" w:eastAsia="Arial" w:hAnsi="Arial"/>
          <w:sz w:val="17"/>
          <w:szCs w:val="17"/>
          <w:color w:val="auto"/>
        </w:rPr>
      </w:pPr>
    </w:p>
    <w:p>
      <w:pPr>
        <w:ind w:right="60" w:firstLine="645"/>
        <w:spacing w:after="0" w:line="264" w:lineRule="auto"/>
        <w:tabs>
          <w:tab w:leader="none" w:pos="1304"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Law Debenture Trust Company of New York, the Trustee under the Indenture, will</w:t>
      </w:r>
      <w:r>
        <w:rPr>
          <w:rFonts w:ascii="Arial" w:cs="Arial" w:eastAsia="Arial" w:hAnsi="Arial"/>
          <w:sz w:val="18"/>
          <w:szCs w:val="18"/>
          <w:i w:val="1"/>
          <w:iCs w:val="1"/>
          <w:color w:val="auto"/>
        </w:rPr>
        <w:t xml:space="preserve"> </w:t>
      </w:r>
      <w:r>
        <w:rPr>
          <w:rFonts w:ascii="Arial" w:cs="Arial" w:eastAsia="Arial" w:hAnsi="Arial"/>
          <w:sz w:val="18"/>
          <w:szCs w:val="18"/>
          <w:color w:val="auto"/>
        </w:rPr>
        <w:t>act as Paying Agent and Registrar. The Company may change the Paying Agent or Registrar without prior notice to the Holders of the Notes. The Company or any of its Subsidiaries or parent entities may act as Paying Agent or Registrar.</w:t>
      </w:r>
    </w:p>
    <w:p>
      <w:pPr>
        <w:spacing w:after="0" w:line="181" w:lineRule="exact"/>
        <w:rPr>
          <w:rFonts w:ascii="Arial" w:cs="Arial" w:eastAsia="Arial" w:hAnsi="Arial"/>
          <w:sz w:val="18"/>
          <w:szCs w:val="18"/>
          <w:color w:val="auto"/>
        </w:rPr>
      </w:pPr>
    </w:p>
    <w:p>
      <w:pPr>
        <w:ind w:right="200" w:firstLine="645"/>
        <w:spacing w:after="0" w:line="302" w:lineRule="auto"/>
        <w:tabs>
          <w:tab w:leader="none" w:pos="1304"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INDENTURE</w:t>
      </w:r>
      <w:r>
        <w:rPr>
          <w:rFonts w:ascii="Arial" w:cs="Arial" w:eastAsia="Arial" w:hAnsi="Arial"/>
          <w:sz w:val="16"/>
          <w:szCs w:val="16"/>
          <w:color w:val="auto"/>
        </w:rPr>
        <w:t>. The Company issued the Notes under an Indenture dated as of August 18, 2016 (the “</w:t>
      </w:r>
      <w:r>
        <w:rPr>
          <w:rFonts w:ascii="Arial" w:cs="Arial" w:eastAsia="Arial" w:hAnsi="Arial"/>
          <w:sz w:val="16"/>
          <w:szCs w:val="16"/>
          <w:i w:val="1"/>
          <w:iCs w:val="1"/>
          <w:color w:val="auto"/>
        </w:rPr>
        <w:t>Indenture</w:t>
      </w:r>
      <w:r>
        <w:rPr>
          <w:rFonts w:ascii="Arial" w:cs="Arial" w:eastAsia="Arial" w:hAnsi="Arial"/>
          <w:sz w:val="16"/>
          <w:szCs w:val="16"/>
          <w:color w:val="auto"/>
        </w:rPr>
        <w:t>”)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the Guarantors and the Trustee. The terms of the Notes include those stated in the Indenture and those made part of the Indenture by reference to the TIA. The Notes are subject to all such terms, and Holders are referred to the Indenture and the TIA for a statement of such terms. To the extent any provision of this Note conflicts with the express provisions of the Indenture, the provisions of the Indenture shall govern</w:t>
      </w:r>
    </w:p>
    <w:p>
      <w:pPr>
        <w:spacing w:after="0" w:line="15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and be controlling. The Notes are unsecured obligations of the Company. The Indenture does not limit the aggregate principal amount of Notes that may be issued thereunder.</w:t>
      </w:r>
    </w:p>
    <w:p>
      <w:pPr>
        <w:spacing w:after="0" w:line="170" w:lineRule="exact"/>
        <w:rPr>
          <w:sz w:val="20"/>
          <w:szCs w:val="20"/>
          <w:color w:val="auto"/>
        </w:rPr>
      </w:pPr>
    </w:p>
    <w:p>
      <w:pPr>
        <w:ind w:left="1300" w:hanging="655"/>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OPTIONAL REDEMPTION.</w:t>
      </w:r>
    </w:p>
    <w:p>
      <w:pPr>
        <w:spacing w:after="0" w:line="225" w:lineRule="exact"/>
        <w:rPr>
          <w:rFonts w:ascii="Arial" w:cs="Arial" w:eastAsia="Arial" w:hAnsi="Arial"/>
          <w:sz w:val="18"/>
          <w:szCs w:val="18"/>
          <w:color w:val="auto"/>
        </w:rPr>
      </w:pPr>
    </w:p>
    <w:p>
      <w:pPr>
        <w:ind w:right="380" w:firstLine="1293"/>
        <w:spacing w:after="0" w:line="257" w:lineRule="auto"/>
        <w:tabs>
          <w:tab w:leader="none" w:pos="194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At any time prior to September 15, 2019, the Company may on any one or more occasions redeem up to 35% of the aggregate principal amount of the Notes, upon not less than 30 nor more than 60 days’ notice, at a redemption price equal to 105.000%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8" w:lineRule="exact"/>
        <w:rPr>
          <w:rFonts w:ascii="Arial" w:cs="Arial" w:eastAsia="Arial" w:hAnsi="Arial"/>
          <w:sz w:val="18"/>
          <w:szCs w:val="18"/>
          <w:color w:val="auto"/>
        </w:rPr>
      </w:pPr>
    </w:p>
    <w:p>
      <w:pPr>
        <w:ind w:left="1300" w:right="60" w:firstLine="641"/>
        <w:spacing w:after="0" w:line="264" w:lineRule="auto"/>
        <w:tabs>
          <w:tab w:leader="none" w:pos="2618"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originally issued under this Indenture (excluding Notes held by the Company, its Subsidiaries and parent entities) remains outstanding immediately after the occurrence of such redemption; and</w:t>
      </w:r>
    </w:p>
    <w:p>
      <w:pPr>
        <w:spacing w:after="0" w:line="181" w:lineRule="exact"/>
        <w:rPr>
          <w:rFonts w:ascii="Arial" w:cs="Arial" w:eastAsia="Arial" w:hAnsi="Arial"/>
          <w:sz w:val="18"/>
          <w:szCs w:val="18"/>
          <w:color w:val="auto"/>
        </w:rPr>
      </w:pPr>
    </w:p>
    <w:p>
      <w:pPr>
        <w:ind w:left="2620" w:hanging="679"/>
        <w:spacing w:after="0"/>
        <w:tabs>
          <w:tab w:leader="none" w:pos="262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redemption occurs within 90 days of the date of the closing of such equity offering.</w:t>
      </w:r>
    </w:p>
    <w:p>
      <w:pPr>
        <w:spacing w:after="0" w:line="225" w:lineRule="exact"/>
        <w:rPr>
          <w:rFonts w:ascii="Arial" w:cs="Arial" w:eastAsia="Arial" w:hAnsi="Arial"/>
          <w:sz w:val="18"/>
          <w:szCs w:val="18"/>
          <w:color w:val="auto"/>
        </w:rPr>
      </w:pPr>
    </w:p>
    <w:p>
      <w:pPr>
        <w:ind w:right="180" w:firstLine="1293"/>
        <w:spacing w:after="0" w:line="279" w:lineRule="auto"/>
        <w:tabs>
          <w:tab w:leader="none" w:pos="1952"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At any time prior to September 15, 2021, the Company may on any one or more occasions redeem all or a part of the Notes, upon not less than 30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spacing w:after="0" w:line="171" w:lineRule="exact"/>
        <w:rPr>
          <w:rFonts w:ascii="Arial" w:cs="Arial" w:eastAsia="Arial" w:hAnsi="Arial"/>
          <w:sz w:val="17"/>
          <w:szCs w:val="17"/>
          <w:color w:val="auto"/>
        </w:rPr>
      </w:pPr>
    </w:p>
    <w:p>
      <w:pPr>
        <w:ind w:left="1960" w:hanging="667"/>
        <w:spacing w:after="0"/>
        <w:tabs>
          <w:tab w:leader="none" w:pos="19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September 15, 2021.</w:t>
      </w:r>
    </w:p>
    <w:p>
      <w:pPr>
        <w:spacing w:after="0" w:line="210" w:lineRule="exact"/>
        <w:rPr>
          <w:rFonts w:ascii="Arial" w:cs="Arial" w:eastAsia="Arial" w:hAnsi="Arial"/>
          <w:sz w:val="17"/>
          <w:szCs w:val="17"/>
          <w:color w:val="auto"/>
        </w:rPr>
      </w:pPr>
    </w:p>
    <w:p>
      <w:pPr>
        <w:ind w:right="60" w:firstLine="1293"/>
        <w:spacing w:after="0" w:line="257" w:lineRule="auto"/>
        <w:tabs>
          <w:tab w:leader="none" w:pos="195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On or after September 15, 2021, the Company may on any one or more occasions redeem all or a part of the Notes, upon not less than 30 nor more than 60 days’ prior notice, at the redemption prices (expressed as percentages of principal amount) set forth below, plus accrued and unpaid interest, if any, on the Notes redeemed, to the applicable date of redemption, if redeemed during the twelve-month period beginning on September 15 of the years indicated below, subject to the rights of Holders on the relevant record date to receive interest on the relevant interest payment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Percentage</w:t>
            </w:r>
          </w:p>
        </w:tc>
        <w:tc>
          <w:tcPr>
            <w:tcW w:w="160" w:type="dxa"/>
            <w:vAlign w:val="bottom"/>
            <w:tcBorders>
              <w:bottom w:val="single" w:sz="8" w:color="CCEEFF"/>
            </w:tcBorders>
          </w:tcPr>
          <w:p>
            <w:pPr>
              <w:spacing w:after="0"/>
              <w:rPr>
                <w:sz w:val="14"/>
                <w:szCs w:val="14"/>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102.500%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101.667%</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100.833%</w:t>
            </w:r>
          </w:p>
        </w:tc>
      </w:t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1960" w:hanging="667"/>
        <w:spacing w:after="0"/>
        <w:tabs>
          <w:tab w:leader="none" w:pos="19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redemption pursuant to this Section 5 shall be made pursuant to the provisions of Sections 3.01 through 3.06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360" w:firstLine="1293"/>
        <w:spacing w:after="0" w:line="277" w:lineRule="auto"/>
        <w:tabs>
          <w:tab w:leader="none" w:pos="194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provisions of Article 3 of the Indenture do not prohibit the Company or its affiliates from acquiring the Notes in market transactions by means other than a redemption, whether pursuant to a tender offer or otherwise.</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0"/>
          </w:cols>
          <w:pgMar w:left="900" w:top="125" w:right="299" w:bottom="586" w:gutter="0" w:footer="0" w:header="0"/>
        </w:sectPr>
      </w:pPr>
    </w:p>
    <w:bookmarkStart w:id="49" w:name="page50"/>
    <w:bookmarkEnd w:id="49"/>
    <w:p>
      <w:pPr>
        <w:ind w:left="4" w:right="440" w:firstLine="645"/>
        <w:spacing w:after="0" w:line="277" w:lineRule="auto"/>
        <w:tabs>
          <w:tab w:leader="none" w:pos="1308"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The Company is not required to make mandatory redemption or sinking fund payments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Notes.</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REPURCHASE AT THE OPTION OF HOLDER.</w:t>
      </w:r>
    </w:p>
    <w:p>
      <w:pPr>
        <w:spacing w:after="0" w:line="225" w:lineRule="exact"/>
        <w:rPr>
          <w:rFonts w:ascii="Arial" w:cs="Arial" w:eastAsia="Arial" w:hAnsi="Arial"/>
          <w:sz w:val="18"/>
          <w:szCs w:val="18"/>
          <w:color w:val="auto"/>
        </w:rPr>
      </w:pPr>
    </w:p>
    <w:p>
      <w:pPr>
        <w:ind w:left="4" w:right="60" w:firstLine="1293"/>
        <w:spacing w:after="0" w:line="273" w:lineRule="auto"/>
        <w:tabs>
          <w:tab w:leader="none" w:pos="159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Upon the occurrence of a Change of Control Triggering Event, the Company will make an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7"/>
          <w:szCs w:val="17"/>
          <w:i w:val="1"/>
          <w:iCs w:val="1"/>
          <w:color w:val="auto"/>
        </w:rPr>
        <w:t>Change of Control Payment</w:t>
      </w:r>
      <w:r>
        <w:rPr>
          <w:rFonts w:ascii="Arial" w:cs="Arial" w:eastAsia="Arial" w:hAnsi="Arial"/>
          <w:sz w:val="17"/>
          <w:szCs w:val="17"/>
          <w:color w:val="auto"/>
        </w:rPr>
        <w:t>”). Within 30 days following any Change of Control, the Company will mail a notice to each Holder setting forth the procedures governing the Change of Control Offer as required by the Indenture.</w:t>
      </w:r>
    </w:p>
    <w:p>
      <w:pPr>
        <w:spacing w:after="0" w:line="178" w:lineRule="exact"/>
        <w:rPr>
          <w:rFonts w:ascii="Arial" w:cs="Arial" w:eastAsia="Arial" w:hAnsi="Arial"/>
          <w:sz w:val="17"/>
          <w:szCs w:val="17"/>
          <w:color w:val="auto"/>
        </w:rPr>
      </w:pPr>
    </w:p>
    <w:p>
      <w:pPr>
        <w:ind w:left="4" w:right="160" w:firstLine="645"/>
        <w:spacing w:after="0" w:line="273" w:lineRule="auto"/>
        <w:tabs>
          <w:tab w:leader="none" w:pos="1308"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NOTICE OF REDEMPTION</w:t>
      </w:r>
      <w:r>
        <w:rPr>
          <w:rFonts w:ascii="Arial" w:cs="Arial" w:eastAsia="Arial" w:hAnsi="Arial"/>
          <w:sz w:val="17"/>
          <w:szCs w:val="17"/>
          <w:color w:val="auto"/>
        </w:rPr>
        <w:t>. At least 30 days but not more than 60 days before a redemption date, the Company shall mail 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spacing w:after="0" w:line="178" w:lineRule="exact"/>
        <w:rPr>
          <w:rFonts w:ascii="Arial" w:cs="Arial" w:eastAsia="Arial" w:hAnsi="Arial"/>
          <w:sz w:val="17"/>
          <w:szCs w:val="17"/>
          <w:color w:val="auto"/>
        </w:rPr>
      </w:pPr>
    </w:p>
    <w:p>
      <w:pPr>
        <w:ind w:left="4" w:firstLine="645"/>
        <w:spacing w:after="0" w:line="272" w:lineRule="auto"/>
        <w:tabs>
          <w:tab w:leader="none" w:pos="1308"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DENOMINATIONS, TRANSFER, EXCHANGE</w:t>
      </w:r>
      <w:r>
        <w:rPr>
          <w:rFonts w:ascii="Arial" w:cs="Arial" w:eastAsia="Arial" w:hAnsi="Arial"/>
          <w:sz w:val="17"/>
          <w:szCs w:val="17"/>
          <w:color w:val="auto"/>
        </w:rPr>
        <w:t>. The Notes are in registered form without coupons in denominations of $2,000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77" w:lineRule="exact"/>
        <w:rPr>
          <w:rFonts w:ascii="Arial" w:cs="Arial" w:eastAsia="Arial" w:hAnsi="Arial"/>
          <w:sz w:val="17"/>
          <w:szCs w:val="17"/>
          <w:color w:val="auto"/>
        </w:rPr>
      </w:pPr>
    </w:p>
    <w:p>
      <w:pPr>
        <w:ind w:left="4" w:right="720" w:firstLine="645"/>
        <w:spacing w:after="0" w:line="277" w:lineRule="auto"/>
        <w:tabs>
          <w:tab w:leader="none" w:pos="1303"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the owner of it for all purposes. Only</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Holders have rights under the Indenture.</w:t>
      </w:r>
    </w:p>
    <w:p>
      <w:pPr>
        <w:spacing w:after="0" w:line="170" w:lineRule="exact"/>
        <w:rPr>
          <w:rFonts w:ascii="Arial" w:cs="Arial" w:eastAsia="Arial" w:hAnsi="Arial"/>
          <w:sz w:val="18"/>
          <w:szCs w:val="18"/>
          <w:color w:val="auto"/>
        </w:rPr>
      </w:pPr>
    </w:p>
    <w:p>
      <w:pPr>
        <w:ind w:left="4" w:right="80" w:firstLine="645"/>
        <w:spacing w:after="0" w:line="254" w:lineRule="auto"/>
        <w:tabs>
          <w:tab w:leader="none" w:pos="1296"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 Subject to certain exceptions, the Indenture, the Notes or the Guarantees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or supplemented with the consent of the Holders of at least a majority in aggregate principal amount of the then outstanding Notes including Additional Notes, if any, voting as a single class, and any existing Default or Event of Default or compliance with any provision of the Indenture or the Notes or the Subsidiary Guarantees may be waived with the consent of the Holders of a majority in aggregate principal amount of the then outstanding Notes including Additional Notes, if any, voting as a single class. Without the consent of any Holder of Notes, the Indenture or the Notes may be amended or supplemented (i) to cure any ambiguity, mistake, defect or inconsistency, (ii) to provide for uncertificated Notes in addition to or in place of certificated Notes, (iii) to provide for the assumption of the Company’s Obligations to Holders of the Notes in the case of a merger or</w:t>
      </w:r>
    </w:p>
    <w:p>
      <w:pPr>
        <w:spacing w:after="0" w:line="19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84" w:lineRule="auto"/>
        <w:rPr>
          <w:sz w:val="20"/>
          <w:szCs w:val="20"/>
          <w:color w:val="auto"/>
        </w:rPr>
      </w:pPr>
      <w:r>
        <w:rPr>
          <w:rFonts w:ascii="Arial" w:cs="Arial" w:eastAsia="Arial" w:hAnsi="Arial"/>
          <w:sz w:val="16"/>
          <w:szCs w:val="16"/>
          <w:color w:val="auto"/>
        </w:rPr>
        <w:t>consolidation or sale of all or substantially all of the Company’s assets pursuant to Article 5 of the Indenture, (iv) to make any change that would provide any additional rights or benefits to the Holders of the Notes or that does not adversely affect the legal rights under the Indenture of any such Holder, (v) to comply with the requirements of the SEC in order to effect or maintain the qualification of the Indenture under the TIA, (vi) to conform the text of the Indenture or the Notes to any provision of the “Description of the Notes” section of the Offering Memorandum, relating to the initial offering of the Notes, (vii) to evidence and provide for the acceptance and appointment under the Indenture of a successor trustee pursuant to the requirements thereof, (viii) to provide for the issuance of Additional Notes in accordance with the limitations set forth in the Indenture, or</w:t>
      </w:r>
    </w:p>
    <w:p>
      <w:pPr>
        <w:spacing w:after="0" w:line="5" w:lineRule="exact"/>
        <w:rPr>
          <w:sz w:val="20"/>
          <w:szCs w:val="20"/>
          <w:color w:val="auto"/>
        </w:rPr>
      </w:pPr>
    </w:p>
    <w:p>
      <w:pPr>
        <w:ind w:left="304" w:hanging="304"/>
        <w:spacing w:after="0"/>
        <w:tabs>
          <w:tab w:leader="none" w:pos="30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Guarantee with respect to the Notes.</w:t>
      </w:r>
    </w:p>
    <w:p>
      <w:pPr>
        <w:spacing w:after="0" w:line="210" w:lineRule="exact"/>
        <w:rPr>
          <w:rFonts w:ascii="Arial" w:cs="Arial" w:eastAsia="Arial" w:hAnsi="Arial"/>
          <w:sz w:val="18"/>
          <w:szCs w:val="18"/>
          <w:color w:val="auto"/>
        </w:rPr>
      </w:pPr>
    </w:p>
    <w:p>
      <w:pPr>
        <w:ind w:left="4" w:right="80" w:firstLine="645"/>
        <w:spacing w:after="0" w:line="283" w:lineRule="auto"/>
        <w:tabs>
          <w:tab w:leader="none" w:pos="1303" w:val="left"/>
        </w:tabs>
        <w:numPr>
          <w:ilvl w:val="1"/>
          <w:numId w:val="140"/>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Events of Default include: (i) default for 30 days in the payment when due of interest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(ii) default in the payment when due of the principal of, or premium on, if any, the Notes, (iii) failure by the Company or any Guarantor for 45 days after written notice to the Company by the Trustee or the Holders of at least 25% in aggregate principal amount of the Notes then outstanding to comply with any of the agreements in the Indenture (other than a default referred to in clause (i) or (ii) of Section 6.01 of the Indenture); (iv)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 (A) is caused by a failure to pay principal of, or interest or premium, if any, on such Indebtedness prior to the expiration of the grace period provided in such Indebtedness on the date of such default (a “</w:t>
      </w:r>
      <w:r>
        <w:rPr>
          <w:rFonts w:ascii="Arial" w:cs="Arial" w:eastAsia="Arial" w:hAnsi="Arial"/>
          <w:sz w:val="16"/>
          <w:szCs w:val="16"/>
          <w:i w:val="1"/>
          <w:iCs w:val="1"/>
          <w:color w:val="auto"/>
        </w:rPr>
        <w:t>Payment Default</w:t>
      </w:r>
      <w:r>
        <w:rPr>
          <w:rFonts w:ascii="Arial" w:cs="Arial" w:eastAsia="Arial" w:hAnsi="Arial"/>
          <w:sz w:val="16"/>
          <w:szCs w:val="16"/>
          <w:color w:val="auto"/>
        </w:rPr>
        <w: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(1) 1.5% of Total Assets and</w:t>
      </w:r>
    </w:p>
    <w:p>
      <w:pPr>
        <w:spacing w:after="0" w:line="4" w:lineRule="exact"/>
        <w:rPr>
          <w:rFonts w:ascii="Arial" w:cs="Arial" w:eastAsia="Arial" w:hAnsi="Arial"/>
          <w:sz w:val="16"/>
          <w:szCs w:val="16"/>
          <w:color w:val="auto"/>
        </w:rPr>
      </w:pPr>
    </w:p>
    <w:p>
      <w:pPr>
        <w:ind w:left="4" w:right="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(2) $75.0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(iv) shall not apply to secured Indebtedness that becomes due as a result of the voluntary sale or transfer of the property or assets securing such Indebtedness to a Person that is not an Affiliate of the Company; (v) one or more judgments for the payment of money in an aggregate amount in excess of the greater of (i) 1.5% of Total Assets and (ii) $75.0 million (excluding therefrom any amount reasonably expected to be covered by insurance) shall be rendered against the Company or any Guarantor or Guarantors or any combination thereof and the same shall not have been paid, discharged or stayed for a period of 60 days after such judgment became final and non-appealable; (vi) except as permitted by the Indenture, any Guarantee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Subsidiary Guarantee(s);</w:t>
      </w:r>
    </w:p>
    <w:p>
      <w:pPr>
        <w:spacing w:after="0" w:line="6" w:lineRule="exact"/>
        <w:rPr>
          <w:rFonts w:ascii="Arial" w:cs="Arial" w:eastAsia="Arial" w:hAnsi="Arial"/>
          <w:sz w:val="16"/>
          <w:szCs w:val="16"/>
          <w:color w:val="auto"/>
        </w:rPr>
      </w:pPr>
    </w:p>
    <w:p>
      <w:pPr>
        <w:ind w:left="4" w:right="40" w:hanging="4"/>
        <w:spacing w:after="0" w:line="295" w:lineRule="auto"/>
        <w:tabs>
          <w:tab w:leader="none" w:pos="35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Company or any Guarantor of the Company that, if a Subsidiary of the Company, would constitute a Significant Subsidiary or any group of Guarantors of the Company that, if Subsidiaries of the Company, taken together, would constitute a Significant Subsidiary: (A) commences a voluntary case, (B) consents to the entry of an order for relief against it in an involuntary case, (C) consents to the appointment of a custodian of it or for all or substantially all of its property, (D) makes a general assignment for the benefit of its creditors, or (E) generally is not paying its debts as</w:t>
      </w:r>
    </w:p>
    <w:p>
      <w:pPr>
        <w:sectPr>
          <w:pgSz w:w="11900" w:h="16838" w:orient="portrait"/>
          <w:cols w:equalWidth="0" w:num="1">
            <w:col w:w="10764"/>
          </w:cols>
          <w:pgMar w:left="896" w:top="125" w:right="239" w:bottom="0" w:gutter="0" w:footer="0" w:header="0"/>
        </w:sectPr>
      </w:pPr>
    </w:p>
    <w:bookmarkStart w:id="50" w:name="page51"/>
    <w:bookmarkEnd w:id="50"/>
    <w:p>
      <w:pPr>
        <w:ind w:left="660" w:right="340"/>
        <w:spacing w:after="0" w:line="277" w:lineRule="auto"/>
        <w:rPr>
          <w:sz w:val="20"/>
          <w:szCs w:val="20"/>
          <w:color w:val="auto"/>
        </w:rPr>
      </w:pPr>
      <w:r>
        <w:rPr>
          <w:rFonts w:ascii="Arial" w:cs="Arial" w:eastAsia="Arial" w:hAnsi="Arial"/>
          <w:sz w:val="18"/>
          <w:szCs w:val="18"/>
          <w:color w:val="auto"/>
        </w:rPr>
        <w:t>they become due; or (viii) a court of competent jurisdiction enters an order or decree under any Bankruptcy Law that: (A) is for relief against the Company or any Guarantor of the Company that, if a Subsidiary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2" w:lineRule="auto"/>
        <w:rPr>
          <w:sz w:val="20"/>
          <w:szCs w:val="20"/>
          <w:color w:val="auto"/>
        </w:rPr>
      </w:pPr>
      <w:r>
        <w:rPr>
          <w:rFonts w:ascii="Arial" w:cs="Arial" w:eastAsia="Arial" w:hAnsi="Arial"/>
          <w:sz w:val="17"/>
          <w:szCs w:val="17"/>
          <w:color w:val="auto"/>
        </w:rPr>
        <w:t>would constitute a Significant Subsidiary or any group of Guarantors of the Company that, if Subsidiaries of the Company, taken together, would constitute a Significant Subsidiary; (B) appoints a custodian of the Company or any Guarantor of the Company that, if a Subsidiary of the Company, would constitute a Significant Subsidiary or any group of Guarantors of the Company that, if Subsidiaries of the Company, taken together, would constitute a Significant Subsidiary, for all or substantially all of the property of the Company or any such Guarantor; or (C) orders the liquidation of the Company or any Guarantor of the Company that, if a Subsidiary of the Company, would constitute a Significant Subsidiary or any group of Guarantors of the Company that, if Subsidiaries of the Company, taken together, would constitute a Significant Subsidiary; and the order or decree remains unstayed and in effect for 60 consecutive days.</w:t>
      </w:r>
    </w:p>
    <w:p>
      <w:pPr>
        <w:spacing w:after="0" w:line="178" w:lineRule="exact"/>
        <w:rPr>
          <w:sz w:val="20"/>
          <w:szCs w:val="20"/>
          <w:color w:val="auto"/>
        </w:rPr>
      </w:pPr>
    </w:p>
    <w:p>
      <w:pPr>
        <w:ind w:left="660" w:right="40" w:firstLine="645"/>
        <w:spacing w:after="0" w:line="257" w:lineRule="auto"/>
        <w:tabs>
          <w:tab w:leader="none" w:pos="1959"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r>
        <w:rPr>
          <w:rFonts w:ascii="Arial" w:cs="Arial" w:eastAsia="Arial" w:hAnsi="Arial"/>
          <w:sz w:val="18"/>
          <w:szCs w:val="18"/>
          <w:color w:val="auto"/>
        </w:rPr>
        <w:t>. The Trustee, in its individual or any other capacity, may make loans to, accept deposits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perform services for the Company or its Affiliates, and may otherwise deal with the Company or its Affiliates, as if it were not the Trustee. However, in the event that the Trustee acquires any conflicting interest it must eliminate such conflict within 90 days, apply to the SEC for permission to continue as trustee or resign. Any Agent may do the same with like rights and duties. The Trustee is also subject to and entitled to the benefits of Article 7 of the Indenture.</w:t>
      </w:r>
    </w:p>
    <w:p>
      <w:pPr>
        <w:spacing w:after="0" w:line="188" w:lineRule="exact"/>
        <w:rPr>
          <w:rFonts w:ascii="Arial" w:cs="Arial" w:eastAsia="Arial" w:hAnsi="Arial"/>
          <w:sz w:val="18"/>
          <w:szCs w:val="18"/>
          <w:color w:val="auto"/>
        </w:rPr>
      </w:pPr>
    </w:p>
    <w:p>
      <w:pPr>
        <w:ind w:left="660" w:firstLine="645"/>
        <w:spacing w:after="0" w:line="257" w:lineRule="auto"/>
        <w:tabs>
          <w:tab w:leader="none" w:pos="1959"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 director, officer, employee, incorporator or stockholder of the Company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as such, will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Note will not be valid until authenticated by the manual signature of the Trustee or an authenticating</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agent.</w:t>
      </w:r>
    </w:p>
    <w:p>
      <w:pPr>
        <w:spacing w:after="0" w:line="210" w:lineRule="exact"/>
        <w:rPr>
          <w:rFonts w:ascii="Arial" w:cs="Arial" w:eastAsia="Arial" w:hAnsi="Arial"/>
          <w:sz w:val="17"/>
          <w:szCs w:val="17"/>
          <w:color w:val="auto"/>
        </w:rPr>
      </w:pPr>
    </w:p>
    <w:p>
      <w:pPr>
        <w:ind w:left="660" w:right="120" w:firstLine="645"/>
        <w:spacing w:after="0" w:line="264" w:lineRule="auto"/>
        <w:tabs>
          <w:tab w:leader="none" w:pos="1959"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w:t>
      </w:r>
      <w:r>
        <w:rPr>
          <w:rFonts w:ascii="Arial" w:cs="Arial" w:eastAsia="Arial" w:hAnsi="Arial"/>
          <w:sz w:val="18"/>
          <w:szCs w:val="18"/>
          <w:i w:val="1"/>
          <w:iCs w:val="1"/>
          <w:color w:val="auto"/>
        </w:rPr>
        <w:t xml:space="preserve"> </w:t>
      </w:r>
      <w:r>
        <w:rPr>
          <w:rFonts w:ascii="Arial" w:cs="Arial" w:eastAsia="Arial" w:hAnsi="Arial"/>
          <w:sz w:val="18"/>
          <w:szCs w:val="18"/>
          <w:color w:val="auto"/>
        </w:rPr>
        <w:t>in 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left="660" w:right="20" w:firstLine="645"/>
        <w:spacing w:after="0" w:line="255" w:lineRule="auto"/>
        <w:tabs>
          <w:tab w:leader="none" w:pos="1959"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ADDITIONAL RIGHTS OF HOLDERS OF RESTRICTED GLOBAL NOTES AND RESTRICTED DEFINITIVE NOTES</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rights provided to Holders of Notes under the Indenture, Holders of Restricted Global Notes and Restricted Definitive Notes will have all the rights set forth in the Registration Rights Agreement dated as of August 18, 2016, among the Company, the Guarantors and the other parties named on the signature pages thereof or, in the case of Additional Notes, Holders of Restricted Global Notes and Restricted Definitive Notes will have the rights set forth in one or more registration rights agreements, if any, among the Company, the Guarantors and the other parties thereto, relating to rights given by the Company and the Guarantors to the purchasers of any Additional Notes (collectively, the “</w:t>
      </w:r>
      <w:r>
        <w:rPr>
          <w:rFonts w:ascii="Arial" w:cs="Arial" w:eastAsia="Arial" w:hAnsi="Arial"/>
          <w:sz w:val="18"/>
          <w:szCs w:val="18"/>
          <w:i w:val="1"/>
          <w:iCs w:val="1"/>
          <w:color w:val="auto"/>
        </w:rPr>
        <w:t>Registration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right="40" w:firstLine="645"/>
        <w:spacing w:after="0" w:line="264" w:lineRule="auto"/>
        <w:tabs>
          <w:tab w:leader="none" w:pos="1959"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Pursuant to a recommendation promulgated by the Committee on Uniform Security Identification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caused CUSIP numbers to be printed on the Notes, and the Trustee may use CUSIP numbers in notices of redemption as a convenience to Holders. No representation is made as to the accuracy of such numbers either 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printed on the Notes or as contained in any notice of redemption, and reliance may be placed only on the other identification numbers placed thereon.</w:t>
      </w:r>
    </w:p>
    <w:p>
      <w:pPr>
        <w:spacing w:after="0" w:line="170" w:lineRule="exact"/>
        <w:rPr>
          <w:sz w:val="20"/>
          <w:szCs w:val="20"/>
          <w:color w:val="auto"/>
        </w:rPr>
      </w:pPr>
    </w:p>
    <w:p>
      <w:pPr>
        <w:ind w:left="660" w:right="240" w:firstLine="645"/>
        <w:spacing w:after="0" w:line="259" w:lineRule="auto"/>
        <w:tabs>
          <w:tab w:leader="none" w:pos="1959"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INTERNAL LAW OF THE STATE OF NEW YORK WILL GOVERN AND BE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 THE INDENTURE, THIS NOTE AND THE GUARANTEES WITHOUT GIVING EFFECT TO APPLICABLE PRINCIPLES OF CONFLICTS OF LAW TO THE EXTENT THAT THE APPLICATION OF THE LAWS OF ANOTHER JURISDICTION WOULD BE REQUIRED THEREBY.</w:t>
      </w:r>
    </w:p>
    <w:p>
      <w:pPr>
        <w:spacing w:after="0" w:line="187"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 Company shall furnish to any Holder upon written request and without charge a copy of the Indenture and/or the Registration Rights Agreement. Requests may be made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NRG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ectPr>
          <w:pgSz w:w="11900" w:h="16838" w:orient="portrait"/>
          <w:cols w:equalWidth="0" w:num="1">
            <w:col w:w="11420"/>
          </w:cols>
          <w:pgMar w:left="240" w:top="125" w:right="239" w:bottom="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 or (we) assign and transfer this Note to:</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-130810</wp:posOffset>
            </wp:positionV>
            <wp:extent cx="48450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tabs>
          <w:tab w:leader="none" w:pos="9340" w:val="left"/>
        </w:tabs>
        <w:rPr>
          <w:sz w:val="20"/>
          <w:szCs w:val="20"/>
          <w:color w:val="auto"/>
        </w:rPr>
      </w:pPr>
      <w:r>
        <w:rPr>
          <w:rFonts w:ascii="Arial" w:cs="Arial" w:eastAsia="Arial" w:hAnsi="Arial"/>
          <w:sz w:val="18"/>
          <w:szCs w:val="18"/>
          <w:color w:val="auto"/>
        </w:rPr>
        <w:t>and irrevocably appoint</w:t>
      </w:r>
      <w:r>
        <w:rPr>
          <w:sz w:val="20"/>
          <w:szCs w:val="20"/>
          <w:color w:val="auto"/>
        </w:rPr>
        <w:tab/>
      </w:r>
      <w:r>
        <w:rPr>
          <w:rFonts w:ascii="Arial" w:cs="Arial" w:eastAsia="Arial" w:hAnsi="Arial"/>
          <w:sz w:val="16"/>
          <w:szCs w:val="16"/>
          <w:color w:val="auto"/>
        </w:rPr>
        <w:t>to transfer this Note 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books of the Company. The agent may substitute another to act for him.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2804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-130810</wp:posOffset>
            </wp:positionV>
            <wp:extent cx="30187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14605</wp:posOffset>
            </wp:positionV>
            <wp:extent cx="1912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right="1760" w:hanging="5572"/>
        <w:spacing w:after="0" w:line="528" w:lineRule="auto"/>
        <w:tabs>
          <w:tab w:leader="none" w:pos="73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want to elect to have this Note purchased by the Company pursuant to Section 4.09 of the Indenture, check here: o</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4.09 of the Indenture, state the amount you elect to have purchased:</w:t>
      </w:r>
    </w:p>
    <w:p>
      <w:pPr>
        <w:spacing w:after="0" w:line="17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-130810</wp:posOffset>
            </wp:positionV>
            <wp:extent cx="30099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14605</wp:posOffset>
            </wp:positionV>
            <wp:extent cx="30099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14605</wp:posOffset>
            </wp:positionV>
            <wp:extent cx="19894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89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right="1760" w:hanging="5572"/>
        <w:spacing w:after="0" w:line="528" w:lineRule="auto"/>
        <w:tabs>
          <w:tab w:leader="none" w:pos="73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INTERESTS IN THE GLOBAL NOTE *</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Amount of</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 Amount</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increase in</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of</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decrease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2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this Global Note</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this Global Note</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(or 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Custodian</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125" w:right="239" w:bottom="0" w:gutter="0" w:footer="0" w:header="0"/>
        </w:sectPr>
      </w:pPr>
    </w:p>
    <w:p>
      <w:pPr>
        <w:ind w:left="5520" w:right="5520" w:hanging="5512"/>
        <w:spacing w:after="0" w:line="573" w:lineRule="auto"/>
        <w:tabs>
          <w:tab w:leader="none" w:pos="319"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This schedule should be included only if the Note is issued in global form</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2" w:name="page53"/>
    <w:bookmarkEnd w:id="52"/>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NRG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 Carnegie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Law Debenture Trust Company of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Madison Avenue, Suite 4D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5.000% Senior Notes due 2026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Reference is hereby made to the Indenture, dated as of August 18, 2016 (the “</w:t>
      </w:r>
      <w:r>
        <w:rPr>
          <w:rFonts w:ascii="Arial" w:cs="Arial" w:eastAsia="Arial" w:hAnsi="Arial"/>
          <w:sz w:val="17"/>
          <w:szCs w:val="17"/>
          <w:i w:val="1"/>
          <w:iCs w:val="1"/>
          <w:color w:val="auto"/>
        </w:rPr>
        <w:t>Indenture</w:t>
      </w:r>
      <w:r>
        <w:rPr>
          <w:rFonts w:ascii="Arial" w:cs="Arial" w:eastAsia="Arial" w:hAnsi="Arial"/>
          <w:sz w:val="17"/>
          <w:szCs w:val="17"/>
          <w:color w:val="auto"/>
        </w:rPr>
        <w:t>”), among NRG Yield Operating LLC,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Guarantors party thereto and Law Debenture Trust Company of New York, as trustee. Capitalized terms used but not defined herein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meanings given to them in the Indenture.</w:t>
      </w:r>
    </w:p>
    <w:p>
      <w:pPr>
        <w:spacing w:after="0" w:line="21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 (the “</w:t>
      </w:r>
      <w:r>
        <w:rPr>
          <w:rFonts w:ascii="Arial" w:cs="Arial" w:eastAsia="Arial" w:hAnsi="Arial"/>
          <w:sz w:val="17"/>
          <w:szCs w:val="17"/>
          <w:i w:val="1"/>
          <w:iCs w:val="1"/>
          <w:color w:val="auto"/>
        </w:rPr>
        <w:t>Transferor</w:t>
      </w:r>
      <w:r>
        <w:rPr>
          <w:rFonts w:ascii="Arial" w:cs="Arial" w:eastAsia="Arial" w:hAnsi="Arial"/>
          <w:sz w:val="17"/>
          <w:szCs w:val="17"/>
          <w:color w:val="auto"/>
        </w:rPr>
        <w:t>”) owns and proposes to transfer the Note[s] or interest in such Note[s] specified in Annex A hereto, in the</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principal amount of $ 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 (the “</w:t>
      </w:r>
      <w:r>
        <w:rPr>
          <w:rFonts w:ascii="Arial" w:cs="Arial" w:eastAsia="Arial" w:hAnsi="Arial"/>
          <w:sz w:val="18"/>
          <w:szCs w:val="18"/>
          <w:i w:val="1"/>
          <w:iCs w:val="1"/>
          <w:color w:val="auto"/>
        </w:rPr>
        <w:t>Transferee</w:t>
      </w:r>
      <w:r>
        <w:rPr>
          <w:rFonts w:ascii="Arial" w:cs="Arial" w:eastAsia="Arial" w:hAnsi="Arial"/>
          <w:sz w:val="18"/>
          <w:szCs w:val="18"/>
          <w:color w:val="auto"/>
        </w:rPr>
        <w:t>”), as further specified in Annex A hereto. In connection with the Transfer, the Transferor hereby certifies that: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221" w:lineRule="exact"/>
        <w:rPr>
          <w:sz w:val="20"/>
          <w:szCs w:val="20"/>
          <w:color w:val="auto"/>
        </w:rPr>
      </w:pPr>
    </w:p>
    <w:p>
      <w:pPr>
        <w:ind w:right="20" w:firstLine="656"/>
        <w:spacing w:after="0" w:line="271" w:lineRule="auto"/>
        <w:tabs>
          <w:tab w:leader="none" w:pos="87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 to</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Rule 144A</w:t>
      </w:r>
      <w:r>
        <w:rPr>
          <w:rFonts w:ascii="Arial" w:cs="Arial" w:eastAsia="Arial" w:hAnsi="Arial"/>
          <w:sz w:val="17"/>
          <w:szCs w:val="17"/>
          <w:color w:val="auto"/>
        </w:rPr>
        <w:t>. The Transfer is being effected pursuant to and in accordance with Rule 144A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the Transferor hereby further certifies that the beneficial interest or Definitive Note is being transferred to a Person that the Transferor</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4" w:lineRule="exact"/>
        <w:rPr>
          <w:rFonts w:ascii="Arial" w:cs="Arial" w:eastAsia="Arial" w:hAnsi="Arial"/>
          <w:sz w:val="17"/>
          <w:szCs w:val="17"/>
          <w:color w:val="auto"/>
        </w:rPr>
      </w:pPr>
    </w:p>
    <w:p>
      <w:pPr>
        <w:ind w:right="120" w:firstLine="656"/>
        <w:spacing w:after="0" w:line="273" w:lineRule="auto"/>
        <w:tabs>
          <w:tab w:leader="none" w:pos="87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u w:val="single" w:color="auto"/>
          <w:color w:val="auto"/>
        </w:rPr>
        <w:t>Check if Transferee will take delivery of a beneficial interest in the Regulation S Global Note or a Restricted Definitive Note pursuant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to Regulation S</w:t>
      </w:r>
      <w:r>
        <w:rPr>
          <w:rFonts w:ascii="Arial" w:cs="Arial" w:eastAsia="Arial" w:hAnsi="Arial"/>
          <w:sz w:val="17"/>
          <w:szCs w:val="17"/>
          <w:color w:val="auto"/>
        </w:rPr>
        <w:t>. The Transfer is being effected pursuant to and in accordance with Rule 903 or Rule 904 under the Securities Act and, accordingly,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69" w:lineRule="exact"/>
        <w:rPr>
          <w:sz w:val="20"/>
          <w:szCs w:val="20"/>
          <w:color w:val="auto"/>
        </w:rPr>
      </w:pPr>
    </w:p>
    <w:p>
      <w:pPr>
        <w:ind w:right="80" w:firstLine="656"/>
        <w:spacing w:after="0" w:line="303" w:lineRule="auto"/>
        <w:tabs>
          <w:tab w:leader="none" w:pos="87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b w:val="1"/>
          <w:bCs w:val="1"/>
          <w:u w:val="single" w:color="auto"/>
          <w:color w:val="auto"/>
        </w:rPr>
        <w:t>Check and complete if Transferee will take delivery of a beneficial interest in the IAI Global Note or a Restricted Definitive Note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pursuant to any provision of the Securities Act other than Rule 144A or Regulation S</w:t>
      </w:r>
      <w:r>
        <w:rPr>
          <w:rFonts w:ascii="Arial" w:cs="Arial" w:eastAsia="Arial" w:hAnsi="Arial"/>
          <w:sz w:val="16"/>
          <w:szCs w:val="16"/>
          <w:color w:val="auto"/>
        </w:rPr>
        <w:t>. The Transfer is being effected in compliance with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55" w:lineRule="exact"/>
        <w:rPr>
          <w:rFonts w:ascii="Arial" w:cs="Arial" w:eastAsia="Arial" w:hAnsi="Arial"/>
          <w:sz w:val="16"/>
          <w:szCs w:val="16"/>
          <w:color w:val="auto"/>
        </w:rPr>
      </w:pPr>
    </w:p>
    <w:p>
      <w:pPr>
        <w:ind w:left="2000" w:hanging="689"/>
        <w:spacing w:after="0"/>
        <w:tabs>
          <w:tab w:leader="none" w:pos="20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such Transfer is being effected pursuant to and in accordance with Rule 144 under the Securities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2640" w:right="3660" w:hanging="1329"/>
        <w:spacing w:after="0" w:line="501" w:lineRule="auto"/>
        <w:tabs>
          <w:tab w:leader="none" w:pos="-9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osuch Transfer is being effected to the Company or a subsidiary thereof; or</w:t>
      </w:r>
    </w:p>
    <w:p>
      <w:pPr>
        <w:ind w:left="820" w:right="100" w:firstLine="491"/>
        <w:spacing w:after="0" w:line="277" w:lineRule="auto"/>
        <w:tabs>
          <w:tab w:leader="none" w:pos="200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 such Transfer is being effected pursuant to an effective registration statement under the Securities Act and in compliance with the prospectus delivery requirements of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ind w:left="820" w:right="40" w:firstLine="491"/>
        <w:spacing w:after="0" w:line="342" w:lineRule="auto"/>
        <w:tabs>
          <w:tab w:leader="none" w:pos="201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 such Transfer is being effected to an Institutional Accredited Investor and pursuant to an exemption from the registration requirements of the Securities Act other than Rule 144A, Rule 144, Rule 903 or Rule 904, and the Transferor hereby further certifies that it has not</w:t>
      </w:r>
    </w:p>
    <w:p>
      <w:pPr>
        <w:sectPr>
          <w:pgSz w:w="11900" w:h="16908" w:orient="portrait"/>
          <w:cols w:equalWidth="0" w:num="1">
            <w:col w:w="11420"/>
          </w:cols>
          <w:pgMar w:left="240" w:top="341" w:right="239" w:bottom="0" w:gutter="0" w:footer="0" w:header="0"/>
        </w:sectPr>
      </w:pPr>
    </w:p>
    <w:bookmarkStart w:id="53" w:name="page54"/>
    <w:bookmarkEnd w:id="53"/>
    <w:p>
      <w:pPr>
        <w:ind w:left="820" w:right="240"/>
        <w:spacing w:after="0" w:line="271" w:lineRule="auto"/>
        <w:rPr>
          <w:sz w:val="20"/>
          <w:szCs w:val="20"/>
          <w:color w:val="auto"/>
        </w:rPr>
      </w:pPr>
      <w:r>
        <w:rPr>
          <w:rFonts w:ascii="Arial" w:cs="Arial" w:eastAsia="Arial" w:hAnsi="Arial"/>
          <w:sz w:val="17"/>
          <w:szCs w:val="17"/>
          <w:color w:val="auto"/>
        </w:rPr>
        <w:t xml:space="preserve">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5" w:lineRule="exact"/>
        <w:rPr>
          <w:sz w:val="20"/>
          <w:szCs w:val="20"/>
          <w:color w:val="auto"/>
        </w:rPr>
      </w:pPr>
    </w:p>
    <w:p>
      <w:pPr>
        <w:ind w:left="880" w:hanging="224"/>
        <w:spacing w:after="0"/>
        <w:tabs>
          <w:tab w:leader="none" w:pos="8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7"/>
          <w:szCs w:val="17"/>
          <w:color w:val="auto"/>
        </w:rPr>
        <w:t>.</w:t>
      </w:r>
    </w:p>
    <w:p>
      <w:pPr>
        <w:spacing w:after="0" w:line="237" w:lineRule="exact"/>
        <w:rPr>
          <w:sz w:val="20"/>
          <w:szCs w:val="20"/>
          <w:color w:val="auto"/>
        </w:rPr>
      </w:pPr>
    </w:p>
    <w:p>
      <w:pPr>
        <w:ind w:right="600" w:firstLine="656"/>
        <w:spacing w:after="0" w:line="282" w:lineRule="auto"/>
        <w:tabs>
          <w:tab w:leader="none" w:pos="93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Check if Transfer is pursuant to Rule 144</w:t>
      </w:r>
      <w:r>
        <w:rPr>
          <w:rFonts w:ascii="Arial" w:cs="Arial" w:eastAsia="Arial" w:hAnsi="Arial"/>
          <w:sz w:val="18"/>
          <w:szCs w:val="18"/>
          <w:color w:val="auto"/>
        </w:rPr>
        <w:t>. (i) The Transfer is being effected pursuant to and in accordance with Rule 144 under the Securities Act and in compliance with the transfer restrictions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50" w:lineRule="exact"/>
        <w:rPr>
          <w:sz w:val="20"/>
          <w:szCs w:val="20"/>
          <w:color w:val="auto"/>
        </w:rPr>
      </w:pPr>
    </w:p>
    <w:p>
      <w:pPr>
        <w:ind w:right="80" w:firstLine="656"/>
        <w:spacing w:after="0" w:line="256" w:lineRule="auto"/>
        <w:tabs>
          <w:tab w:leader="none" w:pos="9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Check if Transfer is Pursuant to Regulation S</w:t>
      </w:r>
      <w:r>
        <w:rPr>
          <w:rFonts w:ascii="Arial" w:cs="Arial" w:eastAsia="Arial" w:hAnsi="Arial"/>
          <w:sz w:val="18"/>
          <w:szCs w:val="18"/>
          <w:color w:val="auto"/>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87" w:lineRule="exact"/>
        <w:rPr>
          <w:rFonts w:ascii="Arial" w:cs="Arial" w:eastAsia="Arial" w:hAnsi="Arial"/>
          <w:sz w:val="18"/>
          <w:szCs w:val="18"/>
          <w:color w:val="auto"/>
        </w:rPr>
      </w:pPr>
    </w:p>
    <w:p>
      <w:pPr>
        <w:ind w:firstLine="656"/>
        <w:spacing w:after="0" w:line="295" w:lineRule="auto"/>
        <w:tabs>
          <w:tab w:leader="none" w:pos="93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Check if Transfer is Pursuant to Other Exemption</w:t>
      </w:r>
      <w:r>
        <w:rPr>
          <w:rFonts w:ascii="Arial" w:cs="Arial" w:eastAsia="Arial" w:hAnsi="Arial"/>
          <w:sz w:val="16"/>
          <w:szCs w:val="16"/>
          <w:color w:val="auto"/>
        </w:rPr>
        <w:t>.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5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14605</wp:posOffset>
            </wp:positionV>
            <wp:extent cx="24441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1380" w:hanging="724"/>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 ONE OF (a) OR (b)]</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  o a beneficial interest in the:</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ind w:left="2040"/>
        <w:spacing w:after="0"/>
        <w:tabs>
          <w:tab w:leader="none" w:pos="264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o 144A Global Note (CUSIP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11" w:lineRule="exact"/>
        <w:rPr>
          <w:sz w:val="20"/>
          <w:szCs w:val="20"/>
          <w:color w:val="auto"/>
        </w:rPr>
      </w:pPr>
    </w:p>
    <w:p>
      <w:pPr>
        <w:sectPr>
          <w:pgSz w:w="11900" w:h="16838" w:orient="portrait"/>
          <w:cols w:equalWidth="0" w:num="2">
            <w:col w:w="4780" w:space="440"/>
            <w:col w:w="6180"/>
          </w:cols>
          <w:pgMar w:left="240" w:top="125" w:right="259" w:bottom="0" w:gutter="0" w:footer="0" w:header="0"/>
          <w:type w:val="continuous"/>
        </w:sectPr>
      </w:pPr>
    </w:p>
    <w:p>
      <w:pPr>
        <w:spacing w:after="0" w:line="37" w:lineRule="exact"/>
        <w:rPr>
          <w:sz w:val="20"/>
          <w:szCs w:val="20"/>
          <w:color w:val="auto"/>
        </w:rPr>
      </w:pPr>
    </w:p>
    <w:p>
      <w:pPr>
        <w:ind w:left="2040"/>
        <w:spacing w:after="0"/>
        <w:tabs>
          <w:tab w:leader="none" w:pos="264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o Regulation S Global Note (CUSIP</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ectPr>
          <w:pgSz w:w="11900" w:h="16838" w:orient="portrait"/>
          <w:cols w:equalWidth="0" w:num="2">
            <w:col w:w="5320" w:space="440"/>
            <w:col w:w="5640"/>
          </w:cols>
          <w:pgMar w:left="240" w:top="125" w:right="259" w:bottom="0" w:gutter="0" w:footer="0" w:header="0"/>
          <w:type w:val="continuous"/>
        </w:sectPr>
      </w:pPr>
    </w:p>
    <w:p>
      <w:pPr>
        <w:spacing w:after="0" w:line="48" w:lineRule="exact"/>
        <w:rPr>
          <w:sz w:val="20"/>
          <w:szCs w:val="20"/>
          <w:color w:val="auto"/>
        </w:rPr>
      </w:pPr>
    </w:p>
    <w:p>
      <w:pPr>
        <w:ind w:left="2040"/>
        <w:spacing w:after="0"/>
        <w:tabs>
          <w:tab w:leader="none" w:pos="2640" w:val="left"/>
        </w:tabs>
        <w:rPr>
          <w:sz w:val="20"/>
          <w:szCs w:val="20"/>
          <w:color w:val="auto"/>
        </w:rPr>
      </w:pPr>
      <w:r>
        <w:rPr>
          <w:rFonts w:ascii="Arial" w:cs="Arial" w:eastAsia="Arial" w:hAnsi="Arial"/>
          <w:sz w:val="17"/>
          <w:szCs w:val="17"/>
          <w:color w:val="auto"/>
        </w:rPr>
        <w:t>(iii)</w:t>
      </w:r>
      <w:r>
        <w:rPr>
          <w:sz w:val="20"/>
          <w:szCs w:val="20"/>
          <w:color w:val="auto"/>
        </w:rPr>
        <w:tab/>
      </w:r>
      <w:r>
        <w:rPr>
          <w:rFonts w:ascii="Arial" w:cs="Arial" w:eastAsia="Arial" w:hAnsi="Arial"/>
          <w:sz w:val="17"/>
          <w:szCs w:val="17"/>
          <w:color w:val="auto"/>
        </w:rPr>
        <w:t>o IAI Global Note (CUSIP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 or</w:t>
      </w:r>
    </w:p>
    <w:p>
      <w:pPr>
        <w:spacing w:after="0" w:line="200" w:lineRule="exact"/>
        <w:rPr>
          <w:sz w:val="20"/>
          <w:szCs w:val="20"/>
          <w:color w:val="auto"/>
        </w:rPr>
      </w:pPr>
    </w:p>
    <w:p>
      <w:pPr>
        <w:sectPr>
          <w:pgSz w:w="11900" w:h="16838" w:orient="portrait"/>
          <w:cols w:equalWidth="0" w:num="2">
            <w:col w:w="4640" w:space="440"/>
            <w:col w:w="6320"/>
          </w:cols>
          <w:pgMar w:left="240" w:top="125" w:right="259" w:bottom="0" w:gutter="0" w:footer="0" w:header="0"/>
          <w:type w:val="continuous"/>
        </w:sectPr>
      </w:pPr>
    </w:p>
    <w:p>
      <w:pPr>
        <w:spacing w:after="0" w:line="37" w:lineRule="exact"/>
        <w:rPr>
          <w:sz w:val="20"/>
          <w:szCs w:val="20"/>
          <w:color w:val="auto"/>
        </w:rPr>
      </w:pPr>
    </w:p>
    <w:p>
      <w:pPr>
        <w:ind w:left="2000" w:hanging="290"/>
        <w:spacing w:after="0"/>
        <w:tabs>
          <w:tab w:leader="none" w:pos="20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o a Restricted Definitive Note.</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[CHECK ONE]</w:t>
      </w:r>
    </w:p>
    <w:p>
      <w:pPr>
        <w:spacing w:after="0" w:line="23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  o a beneficial interest in the:</w:t>
      </w:r>
    </w:p>
    <w:p>
      <w:pPr>
        <w:spacing w:after="0" w:line="225" w:lineRule="exact"/>
        <w:rPr>
          <w:sz w:val="20"/>
          <w:szCs w:val="20"/>
          <w:color w:val="auto"/>
        </w:rPr>
      </w:pPr>
    </w:p>
    <w:p>
      <w:pPr>
        <w:ind w:left="2040"/>
        <w:spacing w:after="0"/>
        <w:tabs>
          <w:tab w:leader="none" w:pos="2640" w:val="left"/>
          <w:tab w:leader="none" w:pos="52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o 144A Global Note (CUSIP</w:t>
      </w:r>
      <w:r>
        <w:rPr>
          <w:sz w:val="20"/>
          <w:szCs w:val="20"/>
          <w:color w:val="auto"/>
        </w:rPr>
        <w:tab/>
      </w:r>
      <w:r>
        <w:rPr>
          <w:rFonts w:ascii="Arial" w:cs="Arial" w:eastAsia="Arial" w:hAnsi="Arial"/>
          <w:sz w:val="16"/>
          <w:szCs w:val="16"/>
          <w:color w:val="auto"/>
        </w:rPr>
        <w:t>), or</w:t>
      </w:r>
    </w:p>
    <w:p>
      <w:pPr>
        <w:sectPr>
          <w:pgSz w:w="11900" w:h="16838" w:orient="portrait"/>
          <w:cols w:equalWidth="0" w:num="1">
            <w:col w:w="11400"/>
          </w:cols>
          <w:pgMar w:left="240" w:top="125" w:right="259" w:bottom="0" w:gutter="0" w:footer="0" w:header="0"/>
          <w:type w:val="continuous"/>
        </w:sectPr>
      </w:pPr>
    </w:p>
    <w:bookmarkStart w:id="54" w:name="page55"/>
    <w:bookmarkEnd w:id="54"/>
    <w:p>
      <w:pPr>
        <w:spacing w:after="0" w:line="105" w:lineRule="exact"/>
        <w:rPr>
          <w:sz w:val="20"/>
          <w:szCs w:val="20"/>
          <w:color w:val="auto"/>
        </w:rPr>
      </w:pPr>
    </w:p>
    <w:tbl>
      <w:tblPr>
        <w:tblLayout w:type="fixed"/>
        <w:tblInd w:w="204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(ii)</w:t>
            </w:r>
          </w:p>
        </w:tc>
        <w:tc>
          <w:tcPr>
            <w:tcW w:w="320" w:type="dxa"/>
            <w:vAlign w:val="bottom"/>
          </w:tcPr>
          <w:p>
            <w:pPr>
              <w:ind w:left="180"/>
              <w:spacing w:after="0"/>
              <w:rPr>
                <w:sz w:val="20"/>
                <w:szCs w:val="20"/>
                <w:color w:val="auto"/>
              </w:rPr>
            </w:pPr>
            <w:r>
              <w:rPr>
                <w:rFonts w:ascii="Arial" w:cs="Arial" w:eastAsia="Arial" w:hAnsi="Arial"/>
                <w:sz w:val="18"/>
                <w:szCs w:val="18"/>
                <w:color w:val="auto"/>
              </w:rPr>
              <w:t>o</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Regulation S Global Note (CUSIP</w:t>
            </w:r>
          </w:p>
        </w:tc>
        <w:tc>
          <w:tcPr>
            <w:tcW w:w="500" w:type="dxa"/>
            <w:vAlign w:val="bottom"/>
          </w:tcPr>
          <w:p>
            <w:pPr>
              <w:ind w:left="200"/>
              <w:spacing w:after="0"/>
              <w:rPr>
                <w:sz w:val="20"/>
                <w:szCs w:val="20"/>
                <w:color w:val="auto"/>
              </w:rPr>
            </w:pPr>
            <w:r>
              <w:rPr>
                <w:rFonts w:ascii="Arial" w:cs="Arial" w:eastAsia="Arial" w:hAnsi="Arial"/>
                <w:sz w:val="18"/>
                <w:szCs w:val="18"/>
                <w:color w:val="auto"/>
                <w:w w:val="87"/>
              </w:rPr>
              <w:t>), or</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(iii)</w:t>
            </w:r>
          </w:p>
        </w:tc>
        <w:tc>
          <w:tcPr>
            <w:tcW w:w="320" w:type="dxa"/>
            <w:vAlign w:val="bottom"/>
          </w:tcPr>
          <w:p>
            <w:pPr>
              <w:ind w:left="180"/>
              <w:spacing w:after="0"/>
              <w:rPr>
                <w:sz w:val="20"/>
                <w:szCs w:val="20"/>
                <w:color w:val="auto"/>
              </w:rPr>
            </w:pPr>
            <w:r>
              <w:rPr>
                <w:rFonts w:ascii="Arial" w:cs="Arial" w:eastAsia="Arial" w:hAnsi="Arial"/>
                <w:sz w:val="18"/>
                <w:szCs w:val="18"/>
                <w:color w:val="auto"/>
              </w:rPr>
              <w:t>o</w:t>
            </w:r>
          </w:p>
        </w:tc>
        <w:tc>
          <w:tcPr>
            <w:tcW w:w="2060" w:type="dxa"/>
            <w:vAlign w:val="bottom"/>
          </w:tcPr>
          <w:p>
            <w:pPr>
              <w:ind w:left="40"/>
              <w:spacing w:after="0"/>
              <w:rPr>
                <w:sz w:val="20"/>
                <w:szCs w:val="20"/>
                <w:color w:val="auto"/>
              </w:rPr>
            </w:pPr>
            <w:r>
              <w:rPr>
                <w:rFonts w:ascii="Arial" w:cs="Arial" w:eastAsia="Arial" w:hAnsi="Arial"/>
                <w:sz w:val="18"/>
                <w:szCs w:val="18"/>
                <w:color w:val="auto"/>
              </w:rPr>
              <w:t>IAI Global Note (CUSIP</w:t>
            </w:r>
          </w:p>
        </w:tc>
        <w:tc>
          <w:tcPr>
            <w:tcW w:w="700" w:type="dxa"/>
            <w:vAlign w:val="bottom"/>
          </w:tcPr>
          <w:p>
            <w:pPr>
              <w:ind w:left="220"/>
              <w:spacing w:after="0"/>
              <w:rPr>
                <w:sz w:val="20"/>
                <w:szCs w:val="20"/>
                <w:color w:val="auto"/>
              </w:rPr>
            </w:pPr>
            <w:r>
              <w:rPr>
                <w:rFonts w:ascii="Arial" w:cs="Arial" w:eastAsia="Arial" w:hAnsi="Arial"/>
                <w:sz w:val="18"/>
                <w:szCs w:val="18"/>
                <w:color w:val="auto"/>
              </w:rPr>
              <w:t>); or</w:t>
            </w:r>
          </w:p>
        </w:tc>
        <w:tc>
          <w:tcPr>
            <w:tcW w:w="500" w:type="dxa"/>
            <w:vAlign w:val="bottom"/>
          </w:tcPr>
          <w:p>
            <w:pPr>
              <w:spacing w:after="0"/>
              <w:rPr>
                <w:sz w:val="24"/>
                <w:szCs w:val="24"/>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(iv)</w:t>
            </w:r>
          </w:p>
        </w:tc>
        <w:tc>
          <w:tcPr>
            <w:tcW w:w="320" w:type="dxa"/>
            <w:vAlign w:val="bottom"/>
          </w:tcPr>
          <w:p>
            <w:pPr>
              <w:ind w:left="180"/>
              <w:spacing w:after="0"/>
              <w:rPr>
                <w:sz w:val="20"/>
                <w:szCs w:val="20"/>
                <w:color w:val="auto"/>
              </w:rPr>
            </w:pPr>
            <w:r>
              <w:rPr>
                <w:rFonts w:ascii="Arial" w:cs="Arial" w:eastAsia="Arial" w:hAnsi="Arial"/>
                <w:sz w:val="18"/>
                <w:szCs w:val="18"/>
                <w:color w:val="auto"/>
              </w:rPr>
              <w:t>o</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Unrestricted Global Note (CUSIP</w:t>
            </w:r>
          </w:p>
        </w:tc>
        <w:tc>
          <w:tcPr>
            <w:tcW w:w="500" w:type="dxa"/>
            <w:vAlign w:val="bottom"/>
          </w:tcPr>
          <w:p>
            <w:pPr>
              <w:ind w:left="160"/>
              <w:spacing w:after="0"/>
              <w:rPr>
                <w:sz w:val="20"/>
                <w:szCs w:val="20"/>
                <w:color w:val="auto"/>
              </w:rPr>
            </w:pPr>
            <w:r>
              <w:rPr>
                <w:rFonts w:ascii="Arial" w:cs="Arial" w:eastAsia="Arial" w:hAnsi="Arial"/>
                <w:sz w:val="18"/>
                <w:szCs w:val="18"/>
                <w:color w:val="auto"/>
                <w:w w:val="99"/>
              </w:rPr>
              <w:t>); or</w:t>
            </w:r>
          </w:p>
        </w:tc>
      </w:tr>
    </w:tbl>
    <w:p>
      <w:pPr>
        <w:spacing w:after="0" w:line="202" w:lineRule="exact"/>
        <w:rPr>
          <w:sz w:val="20"/>
          <w:szCs w:val="20"/>
          <w:color w:val="auto"/>
        </w:rPr>
      </w:pPr>
    </w:p>
    <w:p>
      <w:pPr>
        <w:ind w:left="2000" w:hanging="290"/>
        <w:spacing w:after="0"/>
        <w:tabs>
          <w:tab w:leader="none" w:pos="2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 a Restricted Definitive Note; or</w:t>
      </w:r>
    </w:p>
    <w:p>
      <w:pPr>
        <w:spacing w:after="0" w:line="225" w:lineRule="exact"/>
        <w:rPr>
          <w:rFonts w:ascii="Arial" w:cs="Arial" w:eastAsia="Arial" w:hAnsi="Arial"/>
          <w:sz w:val="18"/>
          <w:szCs w:val="18"/>
          <w:color w:val="auto"/>
        </w:rPr>
      </w:pPr>
    </w:p>
    <w:p>
      <w:pPr>
        <w:ind w:left="2000" w:hanging="290"/>
        <w:spacing w:after="0"/>
        <w:tabs>
          <w:tab w:leader="none" w:pos="2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 an Unrestricted Definitive Note,</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in accordance with the terms of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NRG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 Carnegie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Law Debenture Trust Company of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Madison Avenue, Suite 4D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5.000% Senior Notes due 2026</w:t>
      </w:r>
    </w:p>
    <w:p>
      <w:pPr>
        <w:spacing w:after="0" w:line="225" w:lineRule="exact"/>
        <w:rPr>
          <w:sz w:val="20"/>
          <w:szCs w:val="20"/>
          <w:color w:val="auto"/>
        </w:rPr>
      </w:pPr>
    </w:p>
    <w:p>
      <w:pPr>
        <w:ind w:left="5120"/>
        <w:spacing w:after="0"/>
        <w:tabs>
          <w:tab w:leader="none" w:pos="6180" w:val="left"/>
        </w:tabs>
        <w:rPr>
          <w:sz w:val="20"/>
          <w:szCs w:val="20"/>
          <w:color w:val="auto"/>
        </w:rPr>
      </w:pPr>
      <w:r>
        <w:rPr>
          <w:rFonts w:ascii="Arial" w:cs="Arial" w:eastAsia="Arial" w:hAnsi="Arial"/>
          <w:sz w:val="18"/>
          <w:szCs w:val="18"/>
          <w:color w:val="auto"/>
        </w:rPr>
        <w:t>(CUSIP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Reference is hereby made to the Indenture, dated as of August 18, 2016 (the “</w:t>
      </w:r>
      <w:r>
        <w:rPr>
          <w:rFonts w:ascii="Arial" w:cs="Arial" w:eastAsia="Arial" w:hAnsi="Arial"/>
          <w:sz w:val="17"/>
          <w:szCs w:val="17"/>
          <w:i w:val="1"/>
          <w:iCs w:val="1"/>
          <w:color w:val="auto"/>
        </w:rPr>
        <w:t>Indenture</w:t>
      </w:r>
      <w:r>
        <w:rPr>
          <w:rFonts w:ascii="Arial" w:cs="Arial" w:eastAsia="Arial" w:hAnsi="Arial"/>
          <w:sz w:val="17"/>
          <w:szCs w:val="17"/>
          <w:color w:val="auto"/>
        </w:rPr>
        <w:t>”), among NRG Yield Operating LLC,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Guarantors party thereto and Law Debenture Trust Company of New York, as trustee. Capitalized terms used but not defined herein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meanings given to them in the Indenture.</w:t>
      </w:r>
    </w:p>
    <w:p>
      <w:pPr>
        <w:spacing w:after="0" w:line="21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 principal amount of</w:t>
      </w:r>
    </w:p>
    <w:p>
      <w:pPr>
        <w:spacing w:after="0" w:line="46" w:lineRule="exact"/>
        <w:rPr>
          <w:sz w:val="20"/>
          <w:szCs w:val="20"/>
          <w:color w:val="auto"/>
        </w:rPr>
      </w:pPr>
    </w:p>
    <w:p>
      <w:pPr>
        <w:ind w:left="680" w:hanging="672"/>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such 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p>
      <w:pPr>
        <w:spacing w:after="0" w:line="206" w:lineRule="exact"/>
        <w:rPr>
          <w:rFonts w:ascii="Arial" w:cs="Arial" w:eastAsia="Arial" w:hAnsi="Arial"/>
          <w:sz w:val="18"/>
          <w:szCs w:val="18"/>
          <w:color w:val="auto"/>
        </w:rPr>
      </w:pPr>
    </w:p>
    <w:p>
      <w:pPr>
        <w:ind w:right="360" w:firstLine="656"/>
        <w:spacing w:after="0" w:line="282" w:lineRule="auto"/>
        <w:tabs>
          <w:tab w:leader="none" w:pos="1368" w:val="left"/>
        </w:tabs>
        <w:numPr>
          <w:ilvl w:val="1"/>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62" w:lineRule="exact"/>
        <w:rPr>
          <w:sz w:val="20"/>
          <w:szCs w:val="20"/>
          <w:color w:val="auto"/>
        </w:rPr>
      </w:pPr>
    </w:p>
    <w:p>
      <w:pPr>
        <w:ind w:right="120" w:firstLine="656"/>
        <w:spacing w:after="0" w:line="273" w:lineRule="auto"/>
        <w:tabs>
          <w:tab w:leader="none" w:pos="93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beneficial interest in a Restricted Global Note to beneficial interest in an Unrestricted Global Note</w:t>
      </w:r>
      <w:r>
        <w:rPr>
          <w:rFonts w:ascii="Arial" w:cs="Arial" w:eastAsia="Arial" w:hAnsi="Arial"/>
          <w:sz w:val="17"/>
          <w:szCs w:val="17"/>
          <w:color w:val="auto"/>
        </w:rPr>
        <w:t>.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2" w:lineRule="exact"/>
        <w:rPr>
          <w:rFonts w:ascii="Arial" w:cs="Arial" w:eastAsia="Arial" w:hAnsi="Arial"/>
          <w:sz w:val="17"/>
          <w:szCs w:val="17"/>
          <w:color w:val="auto"/>
        </w:rPr>
      </w:pPr>
    </w:p>
    <w:p>
      <w:pPr>
        <w:ind w:firstLine="656"/>
        <w:spacing w:after="0" w:line="256" w:lineRule="auto"/>
        <w:tabs>
          <w:tab w:leader="none" w:pos="94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Check if Exchange is from beneficial interest in a Restricted Global Note to Unrestricted Definitive Note</w:t>
      </w:r>
      <w:r>
        <w:rPr>
          <w:rFonts w:ascii="Arial" w:cs="Arial" w:eastAsia="Arial" w:hAnsi="Arial"/>
          <w:sz w:val="18"/>
          <w:szCs w:val="18"/>
          <w:color w:val="auto"/>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56"/>
        <w:spacing w:after="0" w:line="274" w:lineRule="auto"/>
        <w:tabs>
          <w:tab w:leader="none" w:pos="93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Restricted Definitive Note to beneficial interest in an Unrestricted Global Note</w:t>
      </w:r>
      <w:r>
        <w:rPr>
          <w:rFonts w:ascii="Arial" w:cs="Arial" w:eastAsia="Arial" w:hAnsi="Arial"/>
          <w:sz w:val="17"/>
          <w:szCs w:val="17"/>
          <w:color w:val="auto"/>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3" w:lineRule="exact"/>
        <w:rPr>
          <w:rFonts w:ascii="Arial" w:cs="Arial" w:eastAsia="Arial" w:hAnsi="Arial"/>
          <w:sz w:val="17"/>
          <w:szCs w:val="17"/>
          <w:color w:val="auto"/>
        </w:rPr>
      </w:pPr>
    </w:p>
    <w:p>
      <w:pPr>
        <w:ind w:right="80" w:firstLine="656"/>
        <w:spacing w:after="0" w:line="303" w:lineRule="auto"/>
        <w:tabs>
          <w:tab w:leader="none" w:pos="94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Check if Exchange is from Restricted Definitive Note to Unrestricted Definitive Note</w:t>
      </w:r>
      <w:r>
        <w:rPr>
          <w:rFonts w:ascii="Arial" w:cs="Arial" w:eastAsia="Arial" w:hAnsi="Arial"/>
          <w:sz w:val="16"/>
          <w:szCs w:val="16"/>
          <w:color w:val="auto"/>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w:t>
      </w:r>
    </w:p>
    <w:p>
      <w:pPr>
        <w:sectPr>
          <w:pgSz w:w="11900" w:h="16944" w:orient="portrait"/>
          <w:cols w:equalWidth="0" w:num="1">
            <w:col w:w="11420"/>
          </w:cols>
          <w:pgMar w:left="240" w:top="341" w:right="239" w:bottom="0" w:gutter="0" w:footer="0" w:header="0"/>
        </w:sectPr>
      </w:pPr>
    </w:p>
    <w:bookmarkStart w:id="55" w:name="page56"/>
    <w:bookmarkEnd w:id="55"/>
    <w:p>
      <w:pPr>
        <w:ind w:right="260"/>
        <w:spacing w:after="0" w:line="277" w:lineRule="auto"/>
        <w:rPr>
          <w:sz w:val="20"/>
          <w:szCs w:val="20"/>
          <w:color w:val="auto"/>
        </w:rPr>
      </w:pPr>
      <w:r>
        <w:rPr>
          <w:rFonts w:ascii="Arial" w:cs="Arial" w:eastAsia="Arial" w:hAnsi="Arial"/>
          <w:sz w:val="18"/>
          <w:szCs w:val="18"/>
          <w:color w:val="auto"/>
        </w:rPr>
        <w:t>are not required in order to maintain compliance with the Securities Act and (iv) the Unrestricted Definitive Note is being acquired in compliance with any applicable blue sky securities laws of any state of the United States.</w:t>
      </w:r>
    </w:p>
    <w:p>
      <w:pPr>
        <w:spacing w:after="0" w:line="166" w:lineRule="exact"/>
        <w:rPr>
          <w:sz w:val="20"/>
          <w:szCs w:val="20"/>
          <w:color w:val="auto"/>
        </w:rPr>
      </w:pPr>
    </w:p>
    <w:p>
      <w:pPr>
        <w:ind w:right="600" w:firstLine="656"/>
        <w:spacing w:after="0" w:line="282" w:lineRule="auto"/>
        <w:tabs>
          <w:tab w:leader="none" w:pos="1368"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62" w:lineRule="exact"/>
        <w:rPr>
          <w:sz w:val="20"/>
          <w:szCs w:val="20"/>
          <w:color w:val="auto"/>
        </w:rPr>
      </w:pPr>
    </w:p>
    <w:p>
      <w:pPr>
        <w:ind w:firstLine="656"/>
        <w:spacing w:after="0" w:line="277" w:lineRule="auto"/>
        <w:tabs>
          <w:tab w:leader="none" w:pos="93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beneficial interest in a Restricted Global Note to Restricted Definitive Note.</w:t>
      </w:r>
      <w:r>
        <w:rPr>
          <w:rFonts w:ascii="Arial" w:cs="Arial" w:eastAsia="Arial" w:hAnsi="Arial"/>
          <w:sz w:val="17"/>
          <w:szCs w:val="17"/>
          <w:color w:val="auto"/>
        </w:rPr>
        <w:t xml:space="preserv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68" w:lineRule="exact"/>
        <w:rPr>
          <w:rFonts w:ascii="Arial" w:cs="Arial" w:eastAsia="Arial" w:hAnsi="Arial"/>
          <w:sz w:val="17"/>
          <w:szCs w:val="17"/>
          <w:color w:val="auto"/>
        </w:rPr>
      </w:pPr>
    </w:p>
    <w:p>
      <w:pPr>
        <w:ind w:right="20" w:firstLine="656"/>
        <w:spacing w:after="0" w:line="273" w:lineRule="auto"/>
        <w:tabs>
          <w:tab w:leader="none" w:pos="94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Check if Exchange is from Restricted Definitive Note to beneficial interest in a Restricted Global Note</w:t>
      </w:r>
      <w:r>
        <w:rPr>
          <w:rFonts w:ascii="Arial" w:cs="Arial" w:eastAsia="Arial" w:hAnsi="Arial"/>
          <w:sz w:val="17"/>
          <w:szCs w:val="17"/>
          <w:color w:val="auto"/>
        </w:rPr>
        <w:t>. In connection with the Exchange of the Owner’s Restricted Definitive Note for a beneficial interest in the [CHECK ONE] o 144A Global Note, o Regulation S Global Note, o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-130810</wp:posOffset>
            </wp:positionV>
            <wp:extent cx="3353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29330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NRG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 Carnegie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Law Debenture Trust Company of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Madison Avenue, Suite 4D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5.000% Senior Notes due 2026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Reference is hereby made to the Indenture, dated as of August 18, 2016 (the “</w:t>
      </w:r>
      <w:r>
        <w:rPr>
          <w:rFonts w:ascii="Arial" w:cs="Arial" w:eastAsia="Arial" w:hAnsi="Arial"/>
          <w:sz w:val="17"/>
          <w:szCs w:val="17"/>
          <w:i w:val="1"/>
          <w:iCs w:val="1"/>
          <w:color w:val="auto"/>
        </w:rPr>
        <w:t>Indenture</w:t>
      </w:r>
      <w:r>
        <w:rPr>
          <w:rFonts w:ascii="Arial" w:cs="Arial" w:eastAsia="Arial" w:hAnsi="Arial"/>
          <w:sz w:val="17"/>
          <w:szCs w:val="17"/>
          <w:color w:val="auto"/>
        </w:rPr>
        <w:t>”), among NRG Yield Operating LLC,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Guarantors party thereto and [Law Debenture Trust Company of New York], as trustee. Capitalized terms used but not defined herein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meanings given to them in the Indenture.</w:t>
      </w:r>
    </w:p>
    <w:p>
      <w:pPr>
        <w:spacing w:after="0" w:line="211" w:lineRule="exact"/>
        <w:rPr>
          <w:sz w:val="20"/>
          <w:szCs w:val="20"/>
          <w:color w:val="auto"/>
        </w:rPr>
      </w:pPr>
    </w:p>
    <w:p>
      <w:pPr>
        <w:ind w:left="660"/>
        <w:spacing w:after="0"/>
        <w:tabs>
          <w:tab w:leader="none" w:pos="484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6"/>
          <w:szCs w:val="16"/>
          <w:color w:val="auto"/>
        </w:rPr>
        <w:t>aggregate principal amount of:</w:t>
      </w:r>
    </w:p>
    <w:p>
      <w:pPr>
        <w:spacing w:after="0" w:line="225" w:lineRule="exact"/>
        <w:rPr>
          <w:sz w:val="20"/>
          <w:szCs w:val="20"/>
          <w:color w:val="auto"/>
        </w:rPr>
      </w:pPr>
    </w:p>
    <w:p>
      <w:pPr>
        <w:ind w:left="940" w:hanging="284"/>
        <w:spacing w:after="0"/>
        <w:tabs>
          <w:tab w:leader="none" w:pos="9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 a beneficial interest in a Global Note, or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 a Definitive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ind w:right="80" w:firstLine="656"/>
        <w:spacing w:after="0" w:line="286" w:lineRule="auto"/>
        <w:tabs>
          <w:tab w:leader="none" w:pos="129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p>
    <w:p>
      <w:pPr>
        <w:sectPr>
          <w:pgSz w:w="11900" w:h="16838" w:orient="portrait"/>
          <w:cols w:equalWidth="0" w:num="1">
            <w:col w:w="11420"/>
          </w:cols>
          <w:pgMar w:left="240" w:top="125" w:right="239" w:bottom="148" w:gutter="0" w:footer="0" w:header="0"/>
        </w:sectPr>
      </w:pPr>
    </w:p>
    <w:bookmarkStart w:id="56" w:name="page57"/>
    <w:bookmarkEnd w:id="56"/>
    <w:p>
      <w:pPr>
        <w:ind w:right="20" w:firstLine="656"/>
        <w:spacing w:after="0" w:line="284" w:lineRule="auto"/>
        <w:tabs>
          <w:tab w:leader="none" w:pos="1296" w:val="left"/>
        </w:tabs>
        <w:numPr>
          <w:ilvl w:val="1"/>
          <w:numId w:val="165"/>
        </w:numPr>
        <w:rPr>
          <w:rFonts w:ascii="Arial" w:cs="Arial" w:eastAsia="Arial" w:hAnsi="Arial"/>
          <w:sz w:val="16"/>
          <w:szCs w:val="16"/>
          <w:color w:val="auto"/>
        </w:rPr>
      </w:pPr>
      <w:r>
        <w:rPr>
          <w:rFonts w:ascii="Arial" w:cs="Arial" w:eastAsia="Arial" w:hAnsi="Arial"/>
          <w:sz w:val="16"/>
          <w:szCs w:val="16"/>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 under the Securities Act or</w:t>
      </w:r>
    </w:p>
    <w:p>
      <w:pPr>
        <w:spacing w:after="0" w:line="1" w:lineRule="exact"/>
        <w:rPr>
          <w:rFonts w:ascii="Arial" w:cs="Arial" w:eastAsia="Arial" w:hAnsi="Arial"/>
          <w:sz w:val="16"/>
          <w:szCs w:val="16"/>
          <w:color w:val="auto"/>
        </w:rPr>
      </w:pPr>
    </w:p>
    <w:p>
      <w:pPr>
        <w:ind w:right="240" w:firstLine="8"/>
        <w:spacing w:after="0" w:line="255" w:lineRule="auto"/>
        <w:tabs>
          <w:tab w:leader="none" w:pos="26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60" w:firstLine="656"/>
        <w:spacing w:after="0" w:line="312" w:lineRule="auto"/>
        <w:tabs>
          <w:tab w:leader="none" w:pos="129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46" w:lineRule="exact"/>
        <w:rPr>
          <w:rFonts w:ascii="Arial" w:cs="Arial" w:eastAsia="Arial" w:hAnsi="Arial"/>
          <w:sz w:val="16"/>
          <w:szCs w:val="16"/>
          <w:color w:val="auto"/>
        </w:rPr>
      </w:pPr>
    </w:p>
    <w:p>
      <w:pPr>
        <w:ind w:firstLine="656"/>
        <w:spacing w:after="0" w:line="264" w:lineRule="auto"/>
        <w:tabs>
          <w:tab w:leader="none" w:pos="129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1" w:lineRule="exact"/>
        <w:rPr>
          <w:rFonts w:ascii="Arial" w:cs="Arial" w:eastAsia="Arial" w:hAnsi="Arial"/>
          <w:sz w:val="18"/>
          <w:szCs w:val="18"/>
          <w:color w:val="auto"/>
        </w:rPr>
      </w:pPr>
    </w:p>
    <w:p>
      <w:pPr>
        <w:ind w:right="60" w:firstLine="656"/>
        <w:spacing w:after="0" w:line="277" w:lineRule="auto"/>
        <w:tabs>
          <w:tab w:leader="none" w:pos="129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29241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NOTATION OF GUARANTEE</w:t>
      </w:r>
    </w:p>
    <w:p>
      <w:pPr>
        <w:spacing w:after="0" w:line="225"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For value received, each Guarantor (which term includes any successor Person under the Indenture) has, jointly and severally, fully and unconditionally guaranteed on a senior basis, to the extent set forth in the Indenture and subject to the provisions in the Indenture dated as of August 18, 2016 (the “</w:t>
      </w:r>
      <w:r>
        <w:rPr>
          <w:rFonts w:ascii="Arial" w:cs="Arial" w:eastAsia="Arial" w:hAnsi="Arial"/>
          <w:sz w:val="16"/>
          <w:szCs w:val="16"/>
          <w:i w:val="1"/>
          <w:iCs w:val="1"/>
          <w:color w:val="auto"/>
        </w:rPr>
        <w:t>Indenture</w:t>
      </w:r>
      <w:r>
        <w:rPr>
          <w:rFonts w:ascii="Arial" w:cs="Arial" w:eastAsia="Arial" w:hAnsi="Arial"/>
          <w:sz w:val="16"/>
          <w:szCs w:val="16"/>
          <w:color w:val="auto"/>
        </w:rPr>
        <w:t xml:space="preserve">”) among NRG Yield Operating LLC, (the </w:t>
      </w:r>
      <w:r>
        <w:rPr>
          <w:rFonts w:ascii="Arial" w:cs="Arial" w:eastAsia="Arial" w:hAnsi="Arial"/>
          <w:sz w:val="16"/>
          <w:szCs w:val="16"/>
          <w:i w:val="1"/>
          <w:iCs w:val="1"/>
          <w:color w:val="auto"/>
        </w:rPr>
        <w:t>“Company”</w:t>
      </w:r>
      <w:r>
        <w:rPr>
          <w:rFonts w:ascii="Arial" w:cs="Arial" w:eastAsia="Arial" w:hAnsi="Arial"/>
          <w:sz w:val="16"/>
          <w:szCs w:val="16"/>
          <w:color w:val="auto"/>
        </w:rPr>
        <w:t>), the Guarantors party thereto and Law Debenture Trust Company of New York, as trustee (the “</w:t>
      </w:r>
      <w:r>
        <w:rPr>
          <w:rFonts w:ascii="Arial" w:cs="Arial" w:eastAsia="Arial" w:hAnsi="Arial"/>
          <w:sz w:val="16"/>
          <w:szCs w:val="16"/>
          <w:i w:val="1"/>
          <w:iCs w:val="1"/>
          <w:color w:val="auto"/>
        </w:rPr>
        <w:t>Trustee</w:t>
      </w:r>
      <w:r>
        <w:rPr>
          <w:rFonts w:ascii="Arial" w:cs="Arial" w:eastAsia="Arial" w:hAnsi="Arial"/>
          <w:sz w:val="16"/>
          <w:szCs w:val="16"/>
          <w:color w:val="auto"/>
        </w:rPr>
        <w:t>”), (a) the due and punctual payment of the principal of, premium, if any, and interest on, the Notes, whether at maturity, by acceleration, redemption or otherwise, the due and punctual payment of interest on overdue principal of, premium, if any, and interest on, the Notes, if any, if lawful, and the due and punctual performance of all other obligations of the Company to the Holders or the Trustee all in accordance with the terms of the Indenture and</w:t>
      </w:r>
    </w:p>
    <w:p>
      <w:pPr>
        <w:spacing w:after="0" w:line="5" w:lineRule="exact"/>
        <w:rPr>
          <w:sz w:val="20"/>
          <w:szCs w:val="20"/>
          <w:color w:val="auto"/>
        </w:rPr>
      </w:pPr>
    </w:p>
    <w:p>
      <w:pPr>
        <w:ind w:right="40" w:firstLine="8"/>
        <w:spacing w:after="0" w:line="271" w:lineRule="auto"/>
        <w:tabs>
          <w:tab w:leader="none" w:pos="25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The obligations of the Guarantors to the Holders of Notes and to the Trustee pursuant to the Guarantee and the Indenture are expressly set forth in Article 10 of the Indenture and reference is hereby made to the Indenture for the precise terms of the Guarantee. Each Holder of a Note, by accepting the same, (a) agrees to and shall be bound by such provisions, and (b) appoints the Trustee attorney-in-fact of such Holder for such purpose.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but not defined herein have the meanings given to them in the Indenture.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GUARANTOR(S)]</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-130810</wp:posOffset>
            </wp:positionV>
            <wp:extent cx="3353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EXHIBIT F</w:t>
      </w:r>
    </w:p>
    <w:p>
      <w:pPr>
        <w:sectPr>
          <w:pgSz w:w="11900" w:h="16838" w:orient="portrait"/>
          <w:cols w:equalWidth="0" w:num="1">
            <w:col w:w="11420"/>
          </w:cols>
          <w:pgMar w:left="240" w:top="125" w:right="239" w:bottom="0" w:gutter="0" w:footer="0" w:header="0"/>
          <w:type w:val="continuous"/>
        </w:sectPr>
      </w:pPr>
    </w:p>
    <w:bookmarkStart w:id="57" w:name="page58"/>
    <w:bookmarkEnd w:id="57"/>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 among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4" w:lineRule="exact"/>
        <w:rPr>
          <w:sz w:val="20"/>
          <w:szCs w:val="20"/>
          <w:color w:val="auto"/>
        </w:rPr>
      </w:pPr>
    </w:p>
    <w:p>
      <w:pPr>
        <w:ind w:left="1300" w:hanging="644"/>
        <w:spacing w:after="0"/>
        <w:tabs>
          <w:tab w:leader="none" w:pos="13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80" w:firstLine="656"/>
        <w:spacing w:after="0" w:line="259" w:lineRule="auto"/>
        <w:tabs>
          <w:tab w:leader="none" w:pos="129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7" w:lineRule="exact"/>
        <w:rPr>
          <w:sz w:val="20"/>
          <w:szCs w:val="20"/>
          <w:color w:val="auto"/>
        </w:rPr>
      </w:pPr>
    </w:p>
    <w:p>
      <w:pPr>
        <w:ind w:firstLine="656"/>
        <w:spacing w:after="0" w:line="257" w:lineRule="auto"/>
        <w:tabs>
          <w:tab w:leader="none" w:pos="129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ind w:right="60" w:firstLine="656"/>
        <w:spacing w:after="0" w:line="264" w:lineRule="auto"/>
        <w:tabs>
          <w:tab w:leader="none" w:pos="129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77"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right="440" w:firstLine="656"/>
        <w:spacing w:after="0" w:line="264"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firstLine="656"/>
        <w:spacing w:after="0" w:line="259"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OPERATING LLC</w:t>
      </w:r>
    </w:p>
    <w:p>
      <w:pPr>
        <w:sectPr>
          <w:pgSz w:w="11900" w:h="16888" w:orient="portrait"/>
          <w:cols w:equalWidth="0" w:num="1">
            <w:col w:w="11400"/>
          </w:cols>
          <w:pgMar w:left="240" w:top="341" w:right="259" w:bottom="0" w:gutter="0" w:footer="0" w:header="0"/>
        </w:sectPr>
      </w:pPr>
    </w:p>
    <w:bookmarkStart w:id="58" w:name="page59"/>
    <w:bookmarkEnd w:id="58"/>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[EXISTING GUARANTORS]</w:t>
      </w: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[TRUSTEE],</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OPERATING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$350,000,000 5.000% Senior Notes Due 2026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OPERATING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 Senior Notes due 2026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 AGREEMENT</w:t>
      </w:r>
    </w:p>
    <w:p>
      <w:pPr>
        <w:spacing w:after="0" w:line="225"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August 18,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Representative of the Initial Purchasers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NRG Yield Operating LLC, a limited liability company organized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parties in Schedule I hereto (each, an “</w:t>
      </w:r>
      <w:r>
        <w:rPr>
          <w:rFonts w:ascii="Arial" w:cs="Arial" w:eastAsia="Arial" w:hAnsi="Arial"/>
          <w:sz w:val="16"/>
          <w:szCs w:val="16"/>
          <w:b w:val="1"/>
          <w:bCs w:val="1"/>
          <w:color w:val="auto"/>
        </w:rPr>
        <w:t>Initial Purchaser</w:t>
      </w:r>
      <w:r>
        <w:rPr>
          <w:rFonts w:ascii="Arial" w:cs="Arial" w:eastAsia="Arial" w:hAnsi="Arial"/>
          <w:sz w:val="16"/>
          <w:szCs w:val="16"/>
          <w:color w:val="auto"/>
        </w:rPr>
        <w:t>” and collectively, the “</w:t>
      </w:r>
      <w:r>
        <w:rPr>
          <w:rFonts w:ascii="Arial" w:cs="Arial" w:eastAsia="Arial" w:hAnsi="Arial"/>
          <w:sz w:val="16"/>
          <w:szCs w:val="16"/>
          <w:b w:val="1"/>
          <w:bCs w:val="1"/>
          <w:color w:val="auto"/>
        </w:rPr>
        <w:t>Initial Purchasers</w:t>
      </w:r>
      <w:r>
        <w:rPr>
          <w:rFonts w:ascii="Arial" w:cs="Arial" w:eastAsia="Arial" w:hAnsi="Arial"/>
          <w:sz w:val="16"/>
          <w:szCs w:val="16"/>
          <w:color w:val="auto"/>
        </w:rPr>
        <w:t>”) for whom you (the “</w:t>
      </w:r>
      <w:r>
        <w:rPr>
          <w:rFonts w:ascii="Arial" w:cs="Arial" w:eastAsia="Arial" w:hAnsi="Arial"/>
          <w:sz w:val="16"/>
          <w:szCs w:val="16"/>
          <w:b w:val="1"/>
          <w:bCs w:val="1"/>
          <w:color w:val="auto"/>
        </w:rPr>
        <w:t>Representative</w:t>
      </w:r>
      <w:r>
        <w:rPr>
          <w:rFonts w:ascii="Arial" w:cs="Arial" w:eastAsia="Arial" w:hAnsi="Arial"/>
          <w:sz w:val="16"/>
          <w:szCs w:val="16"/>
          <w:color w:val="auto"/>
        </w:rPr>
        <w:t>”) are acting as representative, $350,000,000 principal amount of its 5.000% Senior Notes due 2026 (the “</w:t>
      </w:r>
      <w:r>
        <w:rPr>
          <w:rFonts w:ascii="Arial" w:cs="Arial" w:eastAsia="Arial" w:hAnsi="Arial"/>
          <w:sz w:val="16"/>
          <w:szCs w:val="16"/>
          <w:b w:val="1"/>
          <w:bCs w:val="1"/>
          <w:color w:val="auto"/>
        </w:rPr>
        <w:t>Notes</w:t>
      </w:r>
      <w:r>
        <w:rPr>
          <w:rFonts w:ascii="Arial" w:cs="Arial" w:eastAsia="Arial" w:hAnsi="Arial"/>
          <w:sz w:val="16"/>
          <w:szCs w:val="16"/>
          <w:color w:val="auto"/>
        </w:rPr>
        <w:t>”), upon the terms set forth in a purchase agreement (the “</w:t>
      </w:r>
      <w:r>
        <w:rPr>
          <w:rFonts w:ascii="Arial" w:cs="Arial" w:eastAsia="Arial" w:hAnsi="Arial"/>
          <w:sz w:val="16"/>
          <w:szCs w:val="16"/>
          <w:b w:val="1"/>
          <w:bCs w:val="1"/>
          <w:color w:val="auto"/>
        </w:rPr>
        <w:t>Purchase Agreement</w:t>
      </w:r>
      <w:r>
        <w:rPr>
          <w:rFonts w:ascii="Arial" w:cs="Arial" w:eastAsia="Arial" w:hAnsi="Arial"/>
          <w:sz w:val="16"/>
          <w:szCs w:val="16"/>
          <w:color w:val="auto"/>
        </w:rPr>
        <w:t>”) dated as of August 15, 2016, among the Representative, the Company, NRG Yield LLC (“</w:t>
      </w:r>
      <w:r>
        <w:rPr>
          <w:rFonts w:ascii="Arial" w:cs="Arial" w:eastAsia="Arial" w:hAnsi="Arial"/>
          <w:sz w:val="16"/>
          <w:szCs w:val="16"/>
          <w:b w:val="1"/>
          <w:bCs w:val="1"/>
          <w:color w:val="auto"/>
        </w:rPr>
        <w:t>Yield LLC</w:t>
      </w:r>
      <w:r>
        <w:rPr>
          <w:rFonts w:ascii="Arial" w:cs="Arial" w:eastAsia="Arial" w:hAnsi="Arial"/>
          <w:sz w:val="16"/>
          <w:szCs w:val="16"/>
          <w:color w:val="auto"/>
        </w:rPr>
        <w:t>”) and the other guarantors listed on the signature pages thereto (the “</w:t>
      </w:r>
      <w:r>
        <w:rPr>
          <w:rFonts w:ascii="Arial" w:cs="Arial" w:eastAsia="Arial" w:hAnsi="Arial"/>
          <w:sz w:val="16"/>
          <w:szCs w:val="16"/>
          <w:b w:val="1"/>
          <w:bCs w:val="1"/>
          <w:color w:val="auto"/>
        </w:rPr>
        <w:t>Subsidiary Guarantors</w:t>
      </w:r>
      <w:r>
        <w:rPr>
          <w:rFonts w:ascii="Arial" w:cs="Arial" w:eastAsia="Arial" w:hAnsi="Arial"/>
          <w:sz w:val="16"/>
          <w:szCs w:val="16"/>
          <w:color w:val="auto"/>
        </w:rPr>
        <w:t>” and together with the Company and Yield LLC, the “</w:t>
      </w:r>
      <w:r>
        <w:rPr>
          <w:rFonts w:ascii="Arial" w:cs="Arial" w:eastAsia="Arial" w:hAnsi="Arial"/>
          <w:sz w:val="16"/>
          <w:szCs w:val="16"/>
          <w:b w:val="1"/>
          <w:bCs w:val="1"/>
          <w:color w:val="auto"/>
        </w:rPr>
        <w:t>Issuers</w:t>
      </w:r>
      <w:r>
        <w:rPr>
          <w:rFonts w:ascii="Arial" w:cs="Arial" w:eastAsia="Arial" w:hAnsi="Arial"/>
          <w:sz w:val="16"/>
          <w:szCs w:val="16"/>
          <w:color w:val="auto"/>
        </w:rPr>
        <w:t>”) relating to the initial placement of the Notes (the “</w:t>
      </w:r>
      <w:r>
        <w:rPr>
          <w:rFonts w:ascii="Arial" w:cs="Arial" w:eastAsia="Arial" w:hAnsi="Arial"/>
          <w:sz w:val="16"/>
          <w:szCs w:val="16"/>
          <w:b w:val="1"/>
          <w:bCs w:val="1"/>
          <w:color w:val="auto"/>
        </w:rPr>
        <w:t>Initial Placement</w:t>
      </w:r>
      <w:r>
        <w:rPr>
          <w:rFonts w:ascii="Arial" w:cs="Arial" w:eastAsia="Arial" w:hAnsi="Arial"/>
          <w:sz w:val="16"/>
          <w:szCs w:val="16"/>
          <w:color w:val="auto"/>
        </w:rPr>
        <w:t>”). The Company’s obligations under the Notes and the Indenture (as defined below) will be jointly and severally, unconditionally guaranteed (the “</w:t>
      </w:r>
      <w:r>
        <w:rPr>
          <w:rFonts w:ascii="Arial" w:cs="Arial" w:eastAsia="Arial" w:hAnsi="Arial"/>
          <w:sz w:val="16"/>
          <w:szCs w:val="16"/>
          <w:b w:val="1"/>
          <w:bCs w:val="1"/>
          <w:color w:val="auto"/>
        </w:rPr>
        <w:t>Guarantees</w:t>
      </w:r>
      <w:r>
        <w:rPr>
          <w:rFonts w:ascii="Arial" w:cs="Arial" w:eastAsia="Arial" w:hAnsi="Arial"/>
          <w:sz w:val="16"/>
          <w:szCs w:val="16"/>
          <w:color w:val="auto"/>
        </w:rPr>
        <w:t>”), on a senior basis, by Yield LLC and the Subsidiary Guarantors. The Notes and the Guarantees are herein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are to be issued under an indenture, dated the date hereof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Yield LLC, the Subsidiary Guarantors and Law Debenture Trust Company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To induce the Representative to enter into the Purchase Agreement and to satisfy a condition of your obligations thereunder, the Issuers agree with you for your benefit and the benefit of the holders from time to time of the Securities and Exchange Notes (including the Initial Purchasers) (each a “</w:t>
      </w:r>
      <w:r>
        <w:rPr>
          <w:rFonts w:ascii="Arial" w:cs="Arial" w:eastAsia="Arial" w:hAnsi="Arial"/>
          <w:sz w:val="16"/>
          <w:szCs w:val="16"/>
          <w:b w:val="1"/>
          <w:bCs w:val="1"/>
          <w:color w:val="auto"/>
        </w:rPr>
        <w:t>Holder</w:t>
      </w:r>
      <w:r>
        <w:rPr>
          <w:rFonts w:ascii="Arial" w:cs="Arial" w:eastAsia="Arial" w:hAnsi="Arial"/>
          <w:sz w:val="16"/>
          <w:szCs w:val="16"/>
          <w:color w:val="auto"/>
        </w:rPr>
        <w:t>” and, together, the “</w:t>
      </w:r>
      <w:r>
        <w:rPr>
          <w:rFonts w:ascii="Arial" w:cs="Arial" w:eastAsia="Arial" w:hAnsi="Arial"/>
          <w:sz w:val="16"/>
          <w:szCs w:val="16"/>
          <w:b w:val="1"/>
          <w:bCs w:val="1"/>
          <w:color w:val="auto"/>
        </w:rPr>
        <w:t>Holders</w:t>
      </w:r>
      <w:r>
        <w:rPr>
          <w:rFonts w:ascii="Arial" w:cs="Arial" w:eastAsia="Arial" w:hAnsi="Arial"/>
          <w:sz w:val="16"/>
          <w:szCs w:val="16"/>
          <w:color w:val="auto"/>
        </w:rPr>
        <w:t>”), as follows:</w:t>
      </w:r>
    </w:p>
    <w:p>
      <w:pPr>
        <w:spacing w:after="0" w:line="168" w:lineRule="exact"/>
        <w:rPr>
          <w:sz w:val="20"/>
          <w:szCs w:val="20"/>
          <w:color w:val="auto"/>
        </w:rPr>
      </w:pPr>
    </w:p>
    <w:p>
      <w:pPr>
        <w:ind w:right="900" w:firstLine="1305"/>
        <w:spacing w:after="0" w:line="277" w:lineRule="auto"/>
        <w:tabs>
          <w:tab w:leader="none" w:pos="1657"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their respective meanings set forth in the Purchase Agreement. As used in this Agreement, the following capitalized defined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pacing w:after="0" w:line="237"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have the meaning specified in Rule 405 under the Act and the terms “controlling” and “controlled” shall have meanings correlative thereto.</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Broker-Dealer</w:t>
      </w:r>
      <w:r>
        <w:rPr>
          <w:rFonts w:ascii="Arial" w:cs="Arial" w:eastAsia="Arial" w:hAnsi="Arial"/>
          <w:sz w:val="18"/>
          <w:szCs w:val="18"/>
          <w:color w:val="auto"/>
        </w:rPr>
        <w:t>” shall mean any broker or dealer registered as such under the Exchange Act.</w:t>
      </w:r>
    </w:p>
    <w:p>
      <w:pPr>
        <w:spacing w:after="0" w:line="225" w:lineRule="exact"/>
        <w:rPr>
          <w:sz w:val="20"/>
          <w:szCs w:val="20"/>
          <w:color w:val="auto"/>
        </w:rPr>
      </w:pPr>
    </w:p>
    <w:p>
      <w:pPr>
        <w:ind w:right="5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of the first issuance of the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Deferral Period</w:t>
      </w:r>
      <w:r>
        <w:rPr>
          <w:rFonts w:ascii="Arial" w:cs="Arial" w:eastAsia="Arial" w:hAnsi="Arial"/>
          <w:sz w:val="18"/>
          <w:szCs w:val="18"/>
          <w:color w:val="auto"/>
        </w:rPr>
        <w:t>” shall have the meaning indicated in Section 4(l) hereof.</w:t>
      </w:r>
    </w:p>
    <w:p>
      <w:pPr>
        <w:spacing w:after="0" w:line="225" w:lineRule="exact"/>
        <w:rPr>
          <w:sz w:val="20"/>
          <w:szCs w:val="20"/>
          <w:color w:val="auto"/>
        </w:rPr>
      </w:pPr>
    </w:p>
    <w:p>
      <w:pPr>
        <w:ind w:right="8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jc w:val="both"/>
        <w:ind w:right="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Exchanging Dealer</w:t>
      </w:r>
      <w:r>
        <w:rPr>
          <w:rFonts w:ascii="Arial" w:cs="Arial" w:eastAsia="Arial" w:hAnsi="Arial"/>
          <w:sz w:val="18"/>
          <w:szCs w:val="18"/>
          <w:color w:val="auto"/>
        </w:rPr>
        <w:t>” shall mean any Holder (which may include any Initial Purchaser) that is a Broker-Dealer and elects to exchange for Exchange Notes any Securities that it acquired for its own account as a result of market-making activities or other trading activities (but not directly from any Issuer or any Affiliate of any Issuer) for Exchange Notes.</w:t>
      </w:r>
    </w:p>
    <w:p>
      <w:pPr>
        <w:spacing w:after="0" w:line="176"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Notes</w:t>
      </w:r>
      <w:r>
        <w:rPr>
          <w:rFonts w:ascii="Arial" w:cs="Arial" w:eastAsia="Arial" w:hAnsi="Arial"/>
          <w:sz w:val="18"/>
          <w:szCs w:val="18"/>
          <w:color w:val="auto"/>
        </w:rPr>
        <w:t>” shall mean debt securities of the Issuers identical in all material respects to the Securities (except that the transfer restrictions shall be modified or eliminated, as appropriate) to be issued under the Exchange Notes Indenture.</w:t>
      </w:r>
    </w:p>
    <w:p>
      <w:pPr>
        <w:spacing w:after="0" w:line="162"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Notes Indenture</w:t>
      </w:r>
      <w:r>
        <w:rPr>
          <w:rFonts w:ascii="Arial" w:cs="Arial" w:eastAsia="Arial" w:hAnsi="Arial"/>
          <w:sz w:val="18"/>
          <w:szCs w:val="18"/>
          <w:color w:val="auto"/>
        </w:rPr>
        <w:t>” shall mean an indenture among the Issuers and the Exchange Notes Trustee, identical in all material respects to the Indenture (except that the transfer restrictions shall be modified or eliminated, as appropriate), which may be the Indenture if in the terms thereof appropriate provision is made for the Exchange Notes.</w:t>
      </w:r>
    </w:p>
    <w:p>
      <w:pPr>
        <w:sectPr>
          <w:pgSz w:w="11900" w:h="16838" w:orient="portrait"/>
          <w:cols w:equalWidth="0" w:num="1">
            <w:col w:w="11420"/>
          </w:cols>
          <w:pgMar w:left="240" w:top="121" w:right="239" w:bottom="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Notes Trustee</w:t>
      </w:r>
      <w:r>
        <w:rPr>
          <w:rFonts w:ascii="Arial" w:cs="Arial" w:eastAsia="Arial" w:hAnsi="Arial"/>
          <w:sz w:val="18"/>
          <w:szCs w:val="18"/>
          <w:color w:val="auto"/>
        </w:rPr>
        <w:t>” shall mean a bank or trust company reasonably satisfactory to the Representative, as trustee with respect to the Exchange Notes under the Exchange Notes Indenture.</w:t>
      </w:r>
    </w:p>
    <w:p>
      <w:pPr>
        <w:spacing w:after="0" w:line="162" w:lineRule="exact"/>
        <w:rPr>
          <w:sz w:val="20"/>
          <w:szCs w:val="20"/>
          <w:color w:val="auto"/>
        </w:rPr>
      </w:pPr>
    </w:p>
    <w:p>
      <w:pPr>
        <w:jc w:val="both"/>
        <w:ind w:right="2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Offer</w:t>
      </w:r>
      <w:r>
        <w:rPr>
          <w:rFonts w:ascii="Arial" w:cs="Arial" w:eastAsia="Arial" w:hAnsi="Arial"/>
          <w:sz w:val="18"/>
          <w:szCs w:val="18"/>
          <w:color w:val="auto"/>
        </w:rPr>
        <w:t>” shall mean the proposed offer of the Issuers to issue and deliver to the Holders of the Securities that are not prohibited by any law or policy of the Commission from participating in such offer, in exchange for the Securities, a like aggregate principal amount of the Exchange Notes.</w:t>
      </w:r>
    </w:p>
    <w:p>
      <w:pPr>
        <w:spacing w:after="0" w:line="176" w:lineRule="exact"/>
        <w:rPr>
          <w:sz w:val="20"/>
          <w:szCs w:val="20"/>
          <w:color w:val="auto"/>
        </w:rPr>
      </w:pPr>
    </w:p>
    <w:p>
      <w:pPr>
        <w:ind w:right="32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Offer Registration Period</w:t>
      </w:r>
      <w:r>
        <w:rPr>
          <w:rFonts w:ascii="Arial" w:cs="Arial" w:eastAsia="Arial" w:hAnsi="Arial"/>
          <w:sz w:val="16"/>
          <w:szCs w:val="16"/>
          <w:color w:val="auto"/>
        </w:rPr>
        <w:t>” shall mean the one-year period following the consummation of the Registered Exchange Offer, exclusive of any period during which any stop order shall be in effect suspending the effectiveness of the Exchange Offer Registration Statement.</w:t>
      </w:r>
    </w:p>
    <w:p>
      <w:pPr>
        <w:spacing w:after="0" w:line="116" w:lineRule="exact"/>
        <w:rPr>
          <w:sz w:val="20"/>
          <w:szCs w:val="20"/>
          <w:color w:val="auto"/>
        </w:rPr>
      </w:pPr>
    </w:p>
    <w:p>
      <w:pPr>
        <w:jc w:val="both"/>
        <w:ind w:right="280" w:firstLine="12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Offer Registration Statement</w:t>
      </w:r>
      <w:r>
        <w:rPr>
          <w:rFonts w:ascii="Arial" w:cs="Arial" w:eastAsia="Arial" w:hAnsi="Arial"/>
          <w:sz w:val="17"/>
          <w:szCs w:val="17"/>
          <w:color w:val="auto"/>
        </w:rPr>
        <w:t>” shall mean a registration statement of the Issuers on an appropriate form under the Act with respect to the Registered Exchange Offer, all amendments and supplements to such registration statement, including post-effective amendments thereto, in each case including the Prospectus contained therein, all exhibits thereto and all material incorporated by reference therein.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Offering Memorandum</w:t>
      </w:r>
      <w:r>
        <w:rPr>
          <w:rFonts w:ascii="Arial" w:cs="Arial" w:eastAsia="Arial" w:hAnsi="Arial"/>
          <w:sz w:val="18"/>
          <w:szCs w:val="18"/>
          <w:color w:val="auto"/>
        </w:rPr>
        <w:t>” shall have the meaning set forth in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FINRA Rules</w:t>
      </w:r>
      <w:r>
        <w:rPr>
          <w:rFonts w:ascii="Arial" w:cs="Arial" w:eastAsia="Arial" w:hAnsi="Arial"/>
          <w:sz w:val="18"/>
          <w:szCs w:val="18"/>
          <w:color w:val="auto"/>
        </w:rPr>
        <w:t>” shall mean the Conduct Rules and the By-Laws of the Financial Industry Regulatory Authority.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Placement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Issuers</w:t>
      </w:r>
      <w:r>
        <w:rPr>
          <w:rFonts w:ascii="Arial" w:cs="Arial" w:eastAsia="Arial" w:hAnsi="Arial"/>
          <w:sz w:val="18"/>
          <w:szCs w:val="18"/>
          <w:color w:val="auto"/>
        </w:rPr>
        <w:t>” shall have the meaning set forth in the preamble hereto.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have the meaning set forth in Section 6(d) hereof.</w:t>
      </w:r>
    </w:p>
    <w:p>
      <w:pPr>
        <w:spacing w:after="0" w:line="225"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Holders</w:t>
      </w:r>
      <w:r>
        <w:rPr>
          <w:rFonts w:ascii="Arial" w:cs="Arial" w:eastAsia="Arial" w:hAnsi="Arial"/>
          <w:sz w:val="18"/>
          <w:szCs w:val="18"/>
          <w:color w:val="auto"/>
        </w:rPr>
        <w:t>” shall mean, the Holders of a majority of the aggregate principal amount of Securities and Exchange Notes registered under a Registration Statement.</w:t>
      </w:r>
    </w:p>
    <w:p>
      <w:pPr>
        <w:spacing w:after="0" w:line="162" w:lineRule="exact"/>
        <w:rPr>
          <w:sz w:val="20"/>
          <w:szCs w:val="20"/>
          <w:color w:val="auto"/>
        </w:rPr>
      </w:pPr>
    </w:p>
    <w:p>
      <w:pPr>
        <w:ind w:right="7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Managing Underwriters</w:t>
      </w:r>
      <w:r>
        <w:rPr>
          <w:rFonts w:ascii="Arial" w:cs="Arial" w:eastAsia="Arial" w:hAnsi="Arial"/>
          <w:sz w:val="18"/>
          <w:szCs w:val="18"/>
          <w:color w:val="auto"/>
        </w:rPr>
        <w:t>” shall mean the investment banker or investment bankers and manager or managers that administer an underwritten offering, if any, under a Registration Statement.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9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62"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shall mean the prospectus included in any Registration Statement (including, without limitation, a prospectus that discloses information previously omitted from a prospectus filed as part of an effective registration statement in reliance upon Rule 430A under the Act), as amended or supplemented by any prospectus supplement, with respect to the terms of the offering of any portion of the Securities or the Exchange Notes covered by such Registration Statement, and all amendments and supplements thereto, including any and all exhibits thereto and any information incorporated by reference therein.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40" w:firstLine="1337"/>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shall mean each of the Notes (and the related Guarantee) until the earliest to occur of: (A) the date on which such Note (and the related Guarantee) has been exchanged by a Person other than a Broker-Dealer for an Exchange Note in the Exchange Offer; (B) following the exchange by a Broker-Dealer in the Exchange Offer of a Note (and the related Guarantee) for an Exchange Note, the date on which such Exchange Note is sold to a purchaser who receives from such Broker-Dealer on or prior to the date of such sale a copy of the Prospectus contained in the Exchange Offer Registration Statement; (C) the date on which such Note (and the related Guarantee) has been effectively registered under the Act and disposed of in accordance with the Shelf Registration Statement; or (D) the date on which such Note (and the related Guarantee) is actually sold pursuant to Rule 144 under the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Note will not cease to be a Registrable Security for purposes of the Exchange Offer by virtue of this clause (D).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mean any Exchange Offer Registration Statement or Shelf Registration Statement that covers any of the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61" w:name="page62"/>
    <w:bookmarkEnd w:id="61"/>
    <w:p>
      <w:pPr>
        <w:spacing w:after="0" w:line="36"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Securities or the Exchange Notes pursuant to the provisions of this Agreement, any amendments and supplements to such registration statement, including post-effective amendments (in each case including the Prospectus contained therein), all exhibits thereto and all material incorporated by reference therein.</w:t>
      </w:r>
    </w:p>
    <w:p>
      <w:pPr>
        <w:spacing w:after="0" w:line="1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w:t>
      </w:r>
      <w:r>
        <w:rPr>
          <w:rFonts w:ascii="Arial" w:cs="Arial" w:eastAsia="Arial" w:hAnsi="Arial"/>
          <w:sz w:val="18"/>
          <w:szCs w:val="18"/>
          <w:color w:val="auto"/>
        </w:rPr>
        <w:t>” shall mean a registration effected pursuant to Section 3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 Period</w:t>
      </w:r>
      <w:r>
        <w:rPr>
          <w:rFonts w:ascii="Arial" w:cs="Arial" w:eastAsia="Arial" w:hAnsi="Arial"/>
          <w:sz w:val="18"/>
          <w:szCs w:val="18"/>
          <w:color w:val="auto"/>
        </w:rPr>
        <w:t>” shall have the meaning set forth in Section 3(c) hereof.</w:t>
      </w:r>
    </w:p>
    <w:p>
      <w:pPr>
        <w:spacing w:after="0" w:line="225" w:lineRule="exact"/>
        <w:rPr>
          <w:sz w:val="20"/>
          <w:szCs w:val="20"/>
          <w:color w:val="auto"/>
        </w:rPr>
      </w:pPr>
    </w:p>
    <w:p>
      <w:pPr>
        <w:ind w:right="280"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Shelf Registration Statement</w:t>
      </w:r>
      <w:r>
        <w:rPr>
          <w:rFonts w:ascii="Arial" w:cs="Arial" w:eastAsia="Arial" w:hAnsi="Arial"/>
          <w:sz w:val="17"/>
          <w:szCs w:val="17"/>
          <w:color w:val="auto"/>
        </w:rPr>
        <w:t>” shall mean a “shelf” registration statement of the Issuers pursuant to the provisions of Section 3 hereof which covers some or all of the Securities or Exchange Notes, as applicable,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w:t>
      </w:r>
      <w:r>
        <w:rPr>
          <w:rFonts w:ascii="Arial" w:cs="Arial" w:eastAsia="Arial" w:hAnsi="Arial"/>
          <w:sz w:val="18"/>
          <w:szCs w:val="18"/>
          <w:color w:val="auto"/>
        </w:rPr>
        <w:t>” shall have the meaning set forth in Section 8 hereof.</w:t>
      </w:r>
    </w:p>
    <w:p>
      <w:pPr>
        <w:spacing w:after="0" w:line="225" w:lineRule="exact"/>
        <w:rPr>
          <w:sz w:val="20"/>
          <w:szCs w:val="20"/>
          <w:color w:val="auto"/>
        </w:rPr>
      </w:pPr>
    </w:p>
    <w:p>
      <w:pPr>
        <w:ind w:right="7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shall mean the Trust Indenture Act of 1939, as amended, and the rules and regulations of the Commission promulgated thereunder.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w:t>
      </w:r>
      <w:r>
        <w:rPr>
          <w:rFonts w:ascii="Arial" w:cs="Arial" w:eastAsia="Arial" w:hAnsi="Arial"/>
          <w:sz w:val="17"/>
          <w:szCs w:val="17"/>
          <w:color w:val="auto"/>
        </w:rPr>
        <w:t>” shall mean any underwriter of Securities in connection with an offering thereof under a Shelf Registration Statement.</w:t>
      </w:r>
    </w:p>
    <w:p>
      <w:pPr>
        <w:spacing w:after="0" w:line="241" w:lineRule="exact"/>
        <w:rPr>
          <w:sz w:val="20"/>
          <w:szCs w:val="20"/>
          <w:color w:val="auto"/>
        </w:rPr>
      </w:pPr>
    </w:p>
    <w:p>
      <w:pPr>
        <w:ind w:left="1660" w:hanging="355"/>
        <w:spacing w:after="0"/>
        <w:tabs>
          <w:tab w:leader="none" w:pos="166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Exchange Offer</w:t>
      </w:r>
      <w:r>
        <w:rPr>
          <w:rFonts w:ascii="Arial" w:cs="Arial" w:eastAsia="Arial" w:hAnsi="Arial"/>
          <w:sz w:val="18"/>
          <w:szCs w:val="18"/>
          <w:color w:val="auto"/>
        </w:rPr>
        <w:t>.</w:t>
      </w:r>
    </w:p>
    <w:p>
      <w:pPr>
        <w:spacing w:after="0" w:line="225" w:lineRule="exact"/>
        <w:rPr>
          <w:sz w:val="20"/>
          <w:szCs w:val="20"/>
          <w:color w:val="auto"/>
        </w:rPr>
      </w:pPr>
    </w:p>
    <w:p>
      <w:pPr>
        <w:ind w:left="1640" w:hanging="335"/>
        <w:spacing w:after="0"/>
        <w:tabs>
          <w:tab w:leader="none" w:pos="1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Unless the Exchange Offer would not be permitted by applicable law or Commission policy, the Issuers will:</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use all commercially reasonable efforts to cause to be filed with the Commission, after the Closing Date, a Registration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Statement;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20" w:firstLine="653"/>
        <w:spacing w:after="0" w:line="277" w:lineRule="auto"/>
        <w:tabs>
          <w:tab w:leader="none" w:pos="266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use all commercially reasonable efforts to cause such Registration Statement to become effective under the Act within 365 days of the Closing Date.</w:t>
      </w:r>
    </w:p>
    <w:p>
      <w:pPr>
        <w:spacing w:after="0" w:line="170" w:lineRule="exact"/>
        <w:rPr>
          <w:rFonts w:ascii="Arial" w:cs="Arial" w:eastAsia="Arial" w:hAnsi="Arial"/>
          <w:sz w:val="18"/>
          <w:szCs w:val="18"/>
          <w:color w:val="auto"/>
        </w:rPr>
      </w:pPr>
    </w:p>
    <w:p>
      <w:pPr>
        <w:ind w:right="40" w:firstLine="1305"/>
        <w:spacing w:after="0" w:line="277" w:lineRule="auto"/>
        <w:tabs>
          <w:tab w:leader="none" w:pos="164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Upon the effectiveness of the Exchange Offer Registration Statement, unless the Exchange Offer would not be permitted by applicable law or Commission policy, the Issuers shall promptly commence the Exchange Offer.</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connection with the Exchange Offer, the Issuers shall:</w:t>
      </w:r>
    </w:p>
    <w:p>
      <w:pPr>
        <w:spacing w:after="0" w:line="225" w:lineRule="exact"/>
        <w:rPr>
          <w:rFonts w:ascii="Arial" w:cs="Arial" w:eastAsia="Arial" w:hAnsi="Arial"/>
          <w:sz w:val="18"/>
          <w:szCs w:val="18"/>
          <w:color w:val="auto"/>
        </w:rPr>
      </w:pPr>
    </w:p>
    <w:p>
      <w:pPr>
        <w:ind w:left="1300" w:right="180" w:firstLine="653"/>
        <w:spacing w:after="0" w:line="277" w:lineRule="auto"/>
        <w:tabs>
          <w:tab w:leader="none" w:pos="265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mail to each Holder a copy of the Prospectus forming part of the Exchange Offer Registration Statement, together with an appropriate letter of transmittal and related documents;</w:t>
      </w:r>
    </w:p>
    <w:p>
      <w:pPr>
        <w:spacing w:after="0" w:line="170" w:lineRule="exact"/>
        <w:rPr>
          <w:sz w:val="20"/>
          <w:szCs w:val="20"/>
          <w:color w:val="auto"/>
        </w:rPr>
      </w:pPr>
    </w:p>
    <w:p>
      <w:pPr>
        <w:ind w:left="1300" w:right="360" w:firstLine="653"/>
        <w:spacing w:after="0" w:line="277" w:lineRule="auto"/>
        <w:tabs>
          <w:tab w:leader="none" w:pos="266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keep the Exchange Offer open for not less than 20 Business Days and not more than 30 Business Days after the date notice thereof is mailed to the Holders (or, in each case, longer if required by applicable law);</w:t>
      </w:r>
    </w:p>
    <w:p>
      <w:pPr>
        <w:spacing w:after="0" w:line="170" w:lineRule="exact"/>
        <w:rPr>
          <w:rFonts w:ascii="Arial" w:cs="Arial" w:eastAsia="Arial" w:hAnsi="Arial"/>
          <w:sz w:val="18"/>
          <w:szCs w:val="18"/>
          <w:color w:val="auto"/>
        </w:rPr>
      </w:pPr>
    </w:p>
    <w:p>
      <w:pPr>
        <w:ind w:left="1300" w:right="340" w:firstLine="653"/>
        <w:spacing w:after="0" w:line="264" w:lineRule="auto"/>
        <w:tabs>
          <w:tab w:leader="none" w:pos="266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use their best efforts to keep the Exchange Offer Registration Statement continuously effective, supplemented and amended as required, under the Act in order to ensure that it is available for sales of Exchange Notes by Exchanging Dealers during the Exchange Offer Registration Period;</w:t>
      </w:r>
    </w:p>
    <w:p>
      <w:pPr>
        <w:spacing w:after="0" w:line="181" w:lineRule="exact"/>
        <w:rPr>
          <w:rFonts w:ascii="Arial" w:cs="Arial" w:eastAsia="Arial" w:hAnsi="Arial"/>
          <w:sz w:val="18"/>
          <w:szCs w:val="18"/>
          <w:color w:val="auto"/>
        </w:rPr>
      </w:pPr>
    </w:p>
    <w:p>
      <w:pPr>
        <w:ind w:left="1300" w:right="320" w:firstLine="653"/>
        <w:spacing w:after="0" w:line="277" w:lineRule="auto"/>
        <w:tabs>
          <w:tab w:leader="none" w:pos="265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utilize the services of a depositary for the Exchange Offer with an address in the Borough of Manhattan in New York City, which may be the Trustee, the Exchange Notes Trustee or an Affiliate of either of them;</w:t>
      </w:r>
    </w:p>
    <w:p>
      <w:pPr>
        <w:spacing w:after="0" w:line="170" w:lineRule="exact"/>
        <w:rPr>
          <w:rFonts w:ascii="Arial" w:cs="Arial" w:eastAsia="Arial" w:hAnsi="Arial"/>
          <w:sz w:val="18"/>
          <w:szCs w:val="18"/>
          <w:color w:val="auto"/>
        </w:rPr>
      </w:pPr>
    </w:p>
    <w:p>
      <w:pPr>
        <w:ind w:left="1300" w:right="360" w:firstLine="653"/>
        <w:spacing w:after="0" w:line="277" w:lineRule="auto"/>
        <w:tabs>
          <w:tab w:leader="none" w:pos="265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permit Holders to withdraw tendered Securities at any time prior to the close of business, New York time, on the last Business Day on which the Exchange Offer is open;</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prior to effectiveness of the Exchange Offer Registration Statement, provide a supplemental letter to the Commission</w:t>
      </w:r>
    </w:p>
    <w:p>
      <w:pPr>
        <w:spacing w:after="0" w:line="46" w:lineRule="exact"/>
        <w:rPr>
          <w:rFonts w:ascii="Arial" w:cs="Arial" w:eastAsia="Arial" w:hAnsi="Arial"/>
          <w:sz w:val="16"/>
          <w:szCs w:val="16"/>
          <w:color w:val="auto"/>
        </w:rPr>
      </w:pPr>
    </w:p>
    <w:p>
      <w:pPr>
        <w:ind w:left="1300" w:firstLine="5"/>
        <w:spacing w:after="0" w:line="254" w:lineRule="auto"/>
        <w:tabs>
          <w:tab w:leader="none" w:pos="15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stating that the Issuers are conducting the Exchange Offer in reliance on the position of the Commission in </w:t>
      </w:r>
      <w:r>
        <w:rPr>
          <w:rFonts w:ascii="Arial" w:cs="Arial" w:eastAsia="Arial" w:hAnsi="Arial"/>
          <w:sz w:val="18"/>
          <w:szCs w:val="18"/>
          <w:i w:val="1"/>
          <w:iCs w:val="1"/>
          <w:u w:val="single" w:color="auto"/>
          <w:color w:val="auto"/>
        </w:rPr>
        <w:t>Exxon Capital Holdings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(pub. avail. May 13, 1988) 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Morgan Stanley and Co., Inc</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(pub. avail. June 5, 1991); and (B) including a representation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Issuers have not entered into any arrangement or understanding with any Person to distribute the Exchange Notes to be received in the Exchange Offer and that, to the best of the Issuers’ information and belief, each Holder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760"/>
        <w:spacing w:after="0" w:line="277" w:lineRule="auto"/>
        <w:rPr>
          <w:sz w:val="20"/>
          <w:szCs w:val="20"/>
          <w:color w:val="auto"/>
        </w:rPr>
      </w:pPr>
      <w:r>
        <w:rPr>
          <w:rFonts w:ascii="Arial" w:cs="Arial" w:eastAsia="Arial" w:hAnsi="Arial"/>
          <w:sz w:val="18"/>
          <w:szCs w:val="18"/>
          <w:color w:val="auto"/>
        </w:rPr>
        <w:t>participating in the Exchange Offer is acquiring the Exchange Notes in the ordinary course of business and has no arrangement or understanding with any Person to participate in the distribution of the Exchange Notes; and</w:t>
      </w:r>
    </w:p>
    <w:p>
      <w:pPr>
        <w:spacing w:after="0" w:line="170" w:lineRule="exact"/>
        <w:rPr>
          <w:sz w:val="20"/>
          <w:szCs w:val="20"/>
          <w:color w:val="auto"/>
        </w:rPr>
      </w:pPr>
    </w:p>
    <w:p>
      <w:pPr>
        <w:ind w:left="2660" w:hanging="707"/>
        <w:spacing w:after="0"/>
        <w:tabs>
          <w:tab w:leader="none" w:pos="26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comply in all respects with all applicable laws.</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As soon as practicable after the close of the Exchange Offer, the Issuers shall:</w:t>
      </w:r>
    </w:p>
    <w:p>
      <w:pPr>
        <w:sectPr>
          <w:pgSz w:w="11900" w:h="16874" w:orient="portrait"/>
          <w:cols w:equalWidth="0" w:num="1">
            <w:col w:w="11400"/>
          </w:cols>
          <w:pgMar w:left="240" w:top="125" w:right="259" w:bottom="0" w:gutter="0" w:footer="0" w:header="0"/>
        </w:sectPr>
      </w:pPr>
    </w:p>
    <w:bookmarkStart w:id="62" w:name="page63"/>
    <w:bookmarkEnd w:id="62"/>
    <w:p>
      <w:pPr>
        <w:spacing w:after="0" w:line="106" w:lineRule="exact"/>
        <w:rPr>
          <w:sz w:val="20"/>
          <w:szCs w:val="20"/>
          <w:color w:val="auto"/>
        </w:rPr>
      </w:pPr>
    </w:p>
    <w:p>
      <w:pPr>
        <w:ind w:left="2660" w:hanging="707"/>
        <w:spacing w:after="0"/>
        <w:tabs>
          <w:tab w:leader="none" w:pos="26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accept for exchange all Securities tendered and not validly withdrawn pursuant to the Exchange Offer;</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deliver to the Trustee for cancellation in accordance with Section 4(s) all Securities so accepted for exchange; and</w:t>
      </w:r>
    </w:p>
    <w:p>
      <w:pPr>
        <w:spacing w:after="0" w:line="236" w:lineRule="exact"/>
        <w:rPr>
          <w:rFonts w:ascii="Arial" w:cs="Arial" w:eastAsia="Arial" w:hAnsi="Arial"/>
          <w:sz w:val="17"/>
          <w:szCs w:val="17"/>
          <w:color w:val="auto"/>
        </w:rPr>
      </w:pPr>
    </w:p>
    <w:p>
      <w:pPr>
        <w:ind w:left="1300" w:right="180" w:firstLine="653"/>
        <w:spacing w:after="0" w:line="308" w:lineRule="auto"/>
        <w:tabs>
          <w:tab w:leader="none" w:pos="2668" w:val="left"/>
        </w:tabs>
        <w:numPr>
          <w:ilvl w:val="1"/>
          <w:numId w:val="181"/>
        </w:numPr>
        <w:rPr>
          <w:rFonts w:ascii="Arial" w:cs="Arial" w:eastAsia="Arial" w:hAnsi="Arial"/>
          <w:sz w:val="17"/>
          <w:szCs w:val="17"/>
          <w:color w:val="auto"/>
        </w:rPr>
      </w:pPr>
      <w:r>
        <w:rPr>
          <w:rFonts w:ascii="Arial" w:cs="Arial" w:eastAsia="Arial" w:hAnsi="Arial"/>
          <w:sz w:val="17"/>
          <w:szCs w:val="17"/>
          <w:color w:val="auto"/>
        </w:rPr>
        <w:t>cause the Exchange Notes Trustee promptly to authenticate and deliver to each Holder of Securities a principal amount of Exchange Notes equal to the principal amount of the Securities of such Holder so accepted for exchange.</w:t>
      </w:r>
    </w:p>
    <w:p>
      <w:pPr>
        <w:spacing w:after="0" w:line="146" w:lineRule="exact"/>
        <w:rPr>
          <w:rFonts w:ascii="Arial" w:cs="Arial" w:eastAsia="Arial" w:hAnsi="Arial"/>
          <w:sz w:val="17"/>
          <w:szCs w:val="17"/>
          <w:color w:val="auto"/>
        </w:rPr>
      </w:pPr>
    </w:p>
    <w:p>
      <w:pPr>
        <w:ind w:right="40" w:firstLine="1305"/>
        <w:spacing w:after="0" w:line="290" w:lineRule="auto"/>
        <w:tabs>
          <w:tab w:leader="none" w:pos="163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Each Holder hereby acknowledges and agrees that any Broker-Dealer and any such Holder using the Exchange Offer to participate in a distribution of the Exchange Notes (x) could not under Commission policy as in effect on the date of this Agreement rely on the position of the Commission in </w:t>
      </w:r>
      <w:r>
        <w:rPr>
          <w:rFonts w:ascii="Arial" w:cs="Arial" w:eastAsia="Arial" w:hAnsi="Arial"/>
          <w:sz w:val="16"/>
          <w:szCs w:val="16"/>
          <w:i w:val="1"/>
          <w:iCs w:val="1"/>
          <w:u w:val="single" w:color="auto"/>
          <w:color w:val="auto"/>
        </w:rPr>
        <w:t>Exxon Capital Holdings Corporation</w:t>
      </w:r>
      <w:r>
        <w:rPr>
          <w:rFonts w:ascii="Arial" w:cs="Arial" w:eastAsia="Arial" w:hAnsi="Arial"/>
          <w:sz w:val="16"/>
          <w:szCs w:val="16"/>
          <w:color w:val="auto"/>
        </w:rPr>
        <w:t xml:space="preserve"> (pub. avail. May 13, 1988) and </w:t>
      </w:r>
      <w:r>
        <w:rPr>
          <w:rFonts w:ascii="Arial" w:cs="Arial" w:eastAsia="Arial" w:hAnsi="Arial"/>
          <w:sz w:val="16"/>
          <w:szCs w:val="16"/>
          <w:i w:val="1"/>
          <w:iCs w:val="1"/>
          <w:u w:val="single" w:color="auto"/>
          <w:color w:val="auto"/>
        </w:rPr>
        <w:t>Morgan Stanley and Co., Inc</w:t>
      </w:r>
      <w:r>
        <w:rPr>
          <w:rFonts w:ascii="Arial" w:cs="Arial" w:eastAsia="Arial" w:hAnsi="Arial"/>
          <w:sz w:val="16"/>
          <w:szCs w:val="16"/>
          <w:u w:val="single" w:color="auto"/>
          <w:color w:val="auto"/>
        </w:rPr>
        <w:t>.</w:t>
      </w:r>
      <w:r>
        <w:rPr>
          <w:rFonts w:ascii="Arial" w:cs="Arial" w:eastAsia="Arial" w:hAnsi="Arial"/>
          <w:sz w:val="16"/>
          <w:szCs w:val="16"/>
          <w:color w:val="auto"/>
        </w:rPr>
        <w:t xml:space="preserve"> (pub. avail. June 5, 1991), as interpreted in the Commission’s letter to Shearman &amp; Sterling dated July 2, 1993 and similar no-action letters; and (y) must comply with the registration and prospectus delivery requirements of the Act in connection with any secondary resale transaction, which must be covered by an effective registration statement containing the selling security holder information required by Item 507 or 508, as applicable, of Regulation S-K under the Act if the resales are of Exchange Notes obtained by such Holder in exchange for Securities acquired by such Holder directly from any Issuer or one of its Affiliates. Accordingly, each Holder participating in the Exchange Offer shall be required to represent to the Issuers that, at the time of the consummation of the Exchange Offer:</w:t>
      </w:r>
    </w:p>
    <w:p>
      <w:pPr>
        <w:spacing w:after="0" w:line="166" w:lineRule="exact"/>
        <w:rPr>
          <w:rFonts w:ascii="Arial" w:cs="Arial" w:eastAsia="Arial" w:hAnsi="Arial"/>
          <w:sz w:val="16"/>
          <w:szCs w:val="16"/>
          <w:color w:val="auto"/>
        </w:rPr>
      </w:pPr>
    </w:p>
    <w:p>
      <w:pPr>
        <w:ind w:left="2660" w:hanging="707"/>
        <w:spacing w:after="0"/>
        <w:tabs>
          <w:tab w:leader="none" w:pos="26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Exchange Notes received by such Holder will be acquired in the ordinary course of business;</w:t>
      </w:r>
    </w:p>
    <w:p>
      <w:pPr>
        <w:spacing w:after="0" w:line="225" w:lineRule="exact"/>
        <w:rPr>
          <w:rFonts w:ascii="Arial" w:cs="Arial" w:eastAsia="Arial" w:hAnsi="Arial"/>
          <w:sz w:val="18"/>
          <w:szCs w:val="18"/>
          <w:color w:val="auto"/>
        </w:rPr>
      </w:pPr>
    </w:p>
    <w:p>
      <w:pPr>
        <w:ind w:left="1300" w:firstLine="653"/>
        <w:spacing w:after="0" w:line="277" w:lineRule="auto"/>
        <w:tabs>
          <w:tab w:leader="none" w:pos="266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such Holder will have no arrangement or understanding with any Person to participate in the distribution of the Securities or the Exchange Notes within the meaning of the Act;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80" w:hanging="727"/>
        <w:spacing w:after="0"/>
        <w:tabs>
          <w:tab w:leader="none" w:pos="26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such Holder is not an Affiliate of any Issuer.</w:t>
      </w:r>
    </w:p>
    <w:p>
      <w:pPr>
        <w:spacing w:after="0" w:line="225" w:lineRule="exact"/>
        <w:rPr>
          <w:rFonts w:ascii="Arial" w:cs="Arial" w:eastAsia="Arial" w:hAnsi="Arial"/>
          <w:sz w:val="18"/>
          <w:szCs w:val="18"/>
          <w:color w:val="auto"/>
        </w:rPr>
      </w:pPr>
    </w:p>
    <w:p>
      <w:pPr>
        <w:ind w:right="120" w:firstLine="1305"/>
        <w:spacing w:after="0" w:line="276" w:lineRule="auto"/>
        <w:tabs>
          <w:tab w:leader="none" w:pos="165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any Initial Purchaser determines that it is not eligible to participate in the Exchange Offer with respect to the exchange of Securities constituting any portion of an unsold allotment, at the request of such Initial Purchaser, the Issuers shall issue and deliver to such Initial Purchaser or the Person purchasing Exchange Notes registered under a Shelf Registration Statement as contemplated by Section 3 hereof from such Initial Purchaser, in exchange for such Securities, a like principal amount of Exchange Notes. The Issuers shall use their best efforts to cause the CUSIP Service Bureau to issue the same CUSIP number for such Exchange Notes as for Exchange Notes issued pursuant to the Exchange Offer.</w:t>
      </w:r>
    </w:p>
    <w:p>
      <w:pPr>
        <w:spacing w:after="0" w:line="173" w:lineRule="exact"/>
        <w:rPr>
          <w:sz w:val="20"/>
          <w:szCs w:val="20"/>
          <w:color w:val="auto"/>
        </w:rPr>
      </w:pPr>
    </w:p>
    <w:p>
      <w:pPr>
        <w:ind w:left="1660" w:hanging="355"/>
        <w:spacing w:after="0"/>
        <w:tabs>
          <w:tab w:leader="none" w:pos="166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right="100" w:firstLine="1305"/>
        <w:spacing w:after="0" w:line="243" w:lineRule="auto"/>
        <w:tabs>
          <w:tab w:leader="none" w:pos="163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(i) the Issuers are not (A) required to file the Exchange Offer Registration Statement or (B) permitted to consummate the Exchange Offer because the Exchange Offer is not permitted by applicable law or Commission policy or (ii) any Holder of Registrable Securities notifies the Company prior to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following consummation of the Exchange Offer that (A) it is prohibited by law or Commission policy from participating in the Exchange Offer; (B) it may not resell the Exchange Notes acquired by it in the Exchange Offer to the public without delivering a prospectus and the Prospectus contained in the Exchange Offer Registration Statement is not appropriate or available for such resales; or (C) it is a Broker-Dealer and owns Securities acquired directly from the Company or an Affiliate of the Company, the Issuers shall effect a Shelf Registration Statement in accordance with subsection (b) below.</w:t>
      </w:r>
    </w:p>
    <w:p>
      <w:pPr>
        <w:spacing w:after="0" w:line="203" w:lineRule="exact"/>
        <w:rPr>
          <w:rFonts w:ascii="Arial" w:cs="Arial" w:eastAsia="Arial" w:hAnsi="Arial"/>
          <w:sz w:val="18"/>
          <w:szCs w:val="18"/>
          <w:color w:val="auto"/>
        </w:rPr>
      </w:pPr>
    </w:p>
    <w:p>
      <w:pPr>
        <w:ind w:firstLine="1305"/>
        <w:spacing w:after="0" w:line="270" w:lineRule="auto"/>
        <w:tabs>
          <w:tab w:leader="none" w:pos="164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If obligated to file the Shelf Registration Statement, as applicable, the Issuers shall use all commercially reasonable efforts to file the Shelf Registration Statement with the Commission on or prior to 30 days after such obligation arises and shall use all commercially reasonable efforts to cause the Shelf Registration Statement to be declared effective by the Commission on or prior to 90 days after such obligation arises; such Shelf Registration Statement shall relate to the offer and sale of the Securities or the Exchange Notes, as applicable, by the Holders thereof from time to time in accordance with the methods of distribution elected by such Holders and set forth in such Shelf Registration Statement;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Holder (other than an Initial Purchaser) shall be entitled to have the Securities held by it covered by such Shelf Registration Statement unless such Holder agrees in writing to be bound by all of the provisions of this Agreement applicable to such Holder;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with respect to Exchange Notes received by an Initial Purchaser in exchange for Securities constituting any portion of an unsold allotment, the Issuers may, if permitted by current interpretations by the Commission’s staff, file a post-effective amendment to the Exchange Offer Registration Statement containing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information required by Item 507 or 508 of Regulation S-K, as applicable, in satisfaction of their obligations under this subsection with respect thereto, and any such Exchange Offer Registration Statement, as so amended, shall be referred to herein as, and governed by the provisions herein applicable to, a Shelf Registration Statement.</w:t>
      </w:r>
    </w:p>
    <w:p>
      <w:pPr>
        <w:spacing w:after="0" w:line="181" w:lineRule="exact"/>
        <w:rPr>
          <w:sz w:val="20"/>
          <w:szCs w:val="20"/>
          <w:color w:val="auto"/>
        </w:rPr>
      </w:pPr>
    </w:p>
    <w:p>
      <w:pPr>
        <w:ind w:right="140" w:firstLine="1305"/>
        <w:spacing w:after="0" w:line="284" w:lineRule="auto"/>
        <w:tabs>
          <w:tab w:leader="none" w:pos="1631"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Issuers shall use their best efforts to keep the Shelf Registration Statement continuously effective, supplemented and amended as required by the Act, in order to permit the Prospectus forming part thereof to be usable by Holders for a period (the “</w:t>
      </w:r>
      <w:r>
        <w:rPr>
          <w:rFonts w:ascii="Arial" w:cs="Arial" w:eastAsia="Arial" w:hAnsi="Arial"/>
          <w:sz w:val="16"/>
          <w:szCs w:val="16"/>
          <w:b w:val="1"/>
          <w:bCs w:val="1"/>
          <w:color w:val="auto"/>
        </w:rPr>
        <w:t>Shelf Registration Period</w:t>
      </w:r>
      <w:r>
        <w:rPr>
          <w:rFonts w:ascii="Arial" w:cs="Arial" w:eastAsia="Arial" w:hAnsi="Arial"/>
          <w:sz w:val="16"/>
          <w:szCs w:val="16"/>
          <w:color w:val="auto"/>
        </w:rPr>
        <w:t>”) from the date the Shelf Registration Statement is declared effective by the Commission until (A) the second anniversary thereof or (B) the date upon which all the Securities or Exchange Notes, as applicable, covered by the Shelf Registration Statement have been sold pursuant to the Shelf Registration Statement. The Issuers shall be deemed not to have used their best efforts to keep the Shelf Registration Statement effective during the Shelf Registration Period if any of them voluntarily takes any action that would result in Holders of Securities covered thereby not being able to offer and sell such Securities during the Shelf Registration Period, unless such action is (x) required by applicable law or otherwise undertaken by the Issuers in good faith and for valid business reasons (not including avoidance of such Issuer’s obligations hereunder), including the acquisition or divestiture of assets, and (y) permitted pursuant to Section 4(k)</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hereof.</w:t>
      </w:r>
    </w:p>
    <w:p>
      <w:pPr>
        <w:spacing w:after="0" w:line="210" w:lineRule="exact"/>
        <w:rPr>
          <w:rFonts w:ascii="Arial" w:cs="Arial" w:eastAsia="Arial" w:hAnsi="Arial"/>
          <w:sz w:val="18"/>
          <w:szCs w:val="18"/>
          <w:color w:val="auto"/>
        </w:rPr>
      </w:pPr>
    </w:p>
    <w:p>
      <w:pPr>
        <w:ind w:right="20" w:firstLine="1305"/>
        <w:spacing w:after="0" w:line="302" w:lineRule="auto"/>
        <w:tabs>
          <w:tab w:leader="none" w:pos="1641"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Issuers shall cause the Shelf Registration Statement and the related Prospectus and any amendment or supplement thereto, as of the effective date of the Shelf Registration Statement or such amendment or supplement, (A) to comply in all material respects with the applicable requirements of the Act; and (B) not to contain any untrue statement of a material fact or omit to state a material fact required to be stated therein or necessary in order to make the statements therein (in the case of the Prospectus, in the light of the circumstances under which they were made), not misleading.</w:t>
      </w:r>
    </w:p>
    <w:p>
      <w:pPr>
        <w:sectPr>
          <w:pgSz w:w="11900" w:h="16945" w:orient="portrait"/>
          <w:cols w:equalWidth="0" w:num="1">
            <w:col w:w="11420"/>
          </w:cols>
          <w:pgMar w:left="240" w:top="341" w:right="239" w:bottom="0" w:gutter="0" w:footer="0" w:header="0"/>
        </w:sectPr>
      </w:pPr>
    </w:p>
    <w:bookmarkStart w:id="63" w:name="page64"/>
    <w:bookmarkEnd w:id="63"/>
    <w:p>
      <w:pPr>
        <w:ind w:left="-8" w:right="120" w:firstLine="1305"/>
        <w:spacing w:after="0" w:line="277" w:lineRule="auto"/>
        <w:tabs>
          <w:tab w:leader="none" w:pos="1649"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Additional Registration Procedures</w:t>
      </w:r>
      <w:r>
        <w:rPr>
          <w:rFonts w:ascii="Arial" w:cs="Arial" w:eastAsia="Arial" w:hAnsi="Arial"/>
          <w:sz w:val="18"/>
          <w:szCs w:val="18"/>
          <w:color w:val="auto"/>
        </w:rPr>
        <w:t>. In connection with any Exchange Offer Registration Statement and, to the extent applicable, any Shelf Registration Statement, the following provisions shall apply.</w:t>
      </w:r>
    </w:p>
    <w:p>
      <w:pPr>
        <w:spacing w:after="0" w:line="170" w:lineRule="exact"/>
        <w:rPr>
          <w:sz w:val="20"/>
          <w:szCs w:val="20"/>
          <w:color w:val="auto"/>
        </w:rPr>
      </w:pPr>
    </w:p>
    <w:p>
      <w:pPr>
        <w:ind w:left="1632" w:hanging="335"/>
        <w:spacing w:after="0"/>
        <w:tabs>
          <w:tab w:leader="none" w:pos="163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Issuers shall:</w:t>
      </w:r>
    </w:p>
    <w:p>
      <w:pPr>
        <w:spacing w:after="0" w:line="225" w:lineRule="exact"/>
        <w:rPr>
          <w:rFonts w:ascii="Arial" w:cs="Arial" w:eastAsia="Arial" w:hAnsi="Arial"/>
          <w:sz w:val="18"/>
          <w:szCs w:val="18"/>
          <w:color w:val="auto"/>
        </w:rPr>
      </w:pPr>
    </w:p>
    <w:p>
      <w:pPr>
        <w:ind w:left="1292" w:right="200" w:firstLine="653"/>
        <w:spacing w:after="0" w:line="259" w:lineRule="auto"/>
        <w:tabs>
          <w:tab w:leader="none" w:pos="265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furnish to the Representative and to counsel for the Holders, not less than five Business Days prior to the filing thereof with the Commission, a copy of the Exchange Offer Registration Statement or the Shelf Registration Statement, as the case may be, and each amendment thereto and each amendment or supplement, if any, to the Prospectus included therein (including all documents incorporated by reference therein after the initial filing) and shall</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line="277" w:lineRule="auto"/>
        <w:rPr>
          <w:sz w:val="20"/>
          <w:szCs w:val="20"/>
          <w:color w:val="auto"/>
        </w:rPr>
      </w:pPr>
      <w:r>
        <w:rPr>
          <w:rFonts w:ascii="Arial" w:cs="Arial" w:eastAsia="Arial" w:hAnsi="Arial"/>
          <w:sz w:val="18"/>
          <w:szCs w:val="18"/>
          <w:color w:val="auto"/>
        </w:rPr>
        <w:t>use their best efforts to reflect in each such document, when so filed with the Commission, such comments as the Representative reasonably proposes;</w:t>
      </w:r>
    </w:p>
    <w:p>
      <w:pPr>
        <w:spacing w:after="0" w:line="170" w:lineRule="exact"/>
        <w:rPr>
          <w:sz w:val="20"/>
          <w:szCs w:val="20"/>
          <w:color w:val="auto"/>
        </w:rPr>
      </w:pPr>
    </w:p>
    <w:p>
      <w:pPr>
        <w:ind w:left="1292" w:right="80" w:firstLine="653"/>
        <w:spacing w:after="0" w:line="279" w:lineRule="auto"/>
        <w:tabs>
          <w:tab w:leader="none" w:pos="2655" w:val="left"/>
        </w:tabs>
        <w:numPr>
          <w:ilvl w:val="2"/>
          <w:numId w:val="191"/>
        </w:numPr>
        <w:rPr>
          <w:rFonts w:ascii="Arial" w:cs="Arial" w:eastAsia="Arial" w:hAnsi="Arial"/>
          <w:sz w:val="17"/>
          <w:szCs w:val="17"/>
          <w:color w:val="auto"/>
        </w:rPr>
      </w:pPr>
      <w:r>
        <w:rPr>
          <w:rFonts w:ascii="Arial" w:cs="Arial" w:eastAsia="Arial" w:hAnsi="Arial"/>
          <w:sz w:val="17"/>
          <w:szCs w:val="17"/>
          <w:color w:val="auto"/>
        </w:rPr>
        <w:t>include the information set forth in Annex A hereto on the facing page of the Exchange Offer Registration Statement; in Annex B hereto in the forepart of the Exchange Offer Registration Statement in a section setting forth details of the Exchange Offer; in Annex C hereto in the underwriting or plan of distribution section of the Prospectus contained in the Exchange Offer Registration Statement; and in Annex D hereto in the letter of transmittal delivered pursuant to the Exchange Offer;</w:t>
      </w:r>
    </w:p>
    <w:p>
      <w:pPr>
        <w:spacing w:after="0" w:line="171" w:lineRule="exact"/>
        <w:rPr>
          <w:rFonts w:ascii="Arial" w:cs="Arial" w:eastAsia="Arial" w:hAnsi="Arial"/>
          <w:sz w:val="17"/>
          <w:szCs w:val="17"/>
          <w:color w:val="auto"/>
        </w:rPr>
      </w:pPr>
    </w:p>
    <w:p>
      <w:pPr>
        <w:ind w:left="1292" w:right="760" w:firstLine="653"/>
        <w:spacing w:after="0" w:line="277" w:lineRule="auto"/>
        <w:tabs>
          <w:tab w:leader="none" w:pos="266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if requested by an Initial Purchaser, include the information required by Item 507 or 508 of Regulation S-K, as applicable, in the Prospectus contained in the Exchange Offer Registration Statement; and</w:t>
      </w:r>
    </w:p>
    <w:p>
      <w:pPr>
        <w:spacing w:after="0" w:line="170" w:lineRule="exact"/>
        <w:rPr>
          <w:rFonts w:ascii="Arial" w:cs="Arial" w:eastAsia="Arial" w:hAnsi="Arial"/>
          <w:sz w:val="18"/>
          <w:szCs w:val="18"/>
          <w:color w:val="auto"/>
        </w:rPr>
      </w:pPr>
    </w:p>
    <w:p>
      <w:pPr>
        <w:ind w:left="1292" w:right="60" w:firstLine="653"/>
        <w:spacing w:after="0" w:line="277" w:lineRule="auto"/>
        <w:tabs>
          <w:tab w:leader="none" w:pos="265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in the case of a Shelf Registration Statement, include the names of the Holders that propose to sell Securities pursuant to the Shelf Registration Statement as selling security holders.</w:t>
      </w:r>
    </w:p>
    <w:p>
      <w:pPr>
        <w:spacing w:after="0" w:line="170" w:lineRule="exact"/>
        <w:rPr>
          <w:rFonts w:ascii="Arial" w:cs="Arial" w:eastAsia="Arial" w:hAnsi="Arial"/>
          <w:sz w:val="18"/>
          <w:szCs w:val="18"/>
          <w:color w:val="auto"/>
        </w:rPr>
      </w:pPr>
    </w:p>
    <w:p>
      <w:pPr>
        <w:ind w:left="1632" w:hanging="335"/>
        <w:spacing w:after="0"/>
        <w:tabs>
          <w:tab w:leader="none" w:pos="163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Issuers shall ensure that:</w:t>
      </w:r>
    </w:p>
    <w:p>
      <w:pPr>
        <w:spacing w:after="0" w:line="225" w:lineRule="exact"/>
        <w:rPr>
          <w:rFonts w:ascii="Arial" w:cs="Arial" w:eastAsia="Arial" w:hAnsi="Arial"/>
          <w:sz w:val="18"/>
          <w:szCs w:val="18"/>
          <w:color w:val="auto"/>
        </w:rPr>
      </w:pPr>
    </w:p>
    <w:p>
      <w:pPr>
        <w:ind w:left="1292" w:right="640" w:firstLine="653"/>
        <w:spacing w:after="0" w:line="277" w:lineRule="auto"/>
        <w:tabs>
          <w:tab w:leader="none" w:pos="265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any Registration Statement, any amendment thereto, any Prospectus forming part thereof and any amendment or supplement thereto complies in all material respects with the Act; and</w:t>
      </w:r>
    </w:p>
    <w:p>
      <w:pPr>
        <w:spacing w:after="0" w:line="170" w:lineRule="exact"/>
        <w:rPr>
          <w:rFonts w:ascii="Arial" w:cs="Arial" w:eastAsia="Arial" w:hAnsi="Arial"/>
          <w:sz w:val="18"/>
          <w:szCs w:val="18"/>
          <w:color w:val="auto"/>
        </w:rPr>
      </w:pPr>
    </w:p>
    <w:p>
      <w:pPr>
        <w:ind w:left="1292" w:right="40" w:firstLine="653"/>
        <w:spacing w:after="0" w:line="342" w:lineRule="auto"/>
        <w:tabs>
          <w:tab w:leader="none" w:pos="2655" w:val="left"/>
        </w:tabs>
        <w:numPr>
          <w:ilvl w:val="2"/>
          <w:numId w:val="192"/>
        </w:numPr>
        <w:rPr>
          <w:rFonts w:ascii="Arial" w:cs="Arial" w:eastAsia="Arial" w:hAnsi="Arial"/>
          <w:sz w:val="16"/>
          <w:szCs w:val="16"/>
          <w:color w:val="auto"/>
        </w:rPr>
      </w:pPr>
      <w:r>
        <w:rPr>
          <w:rFonts w:ascii="Arial" w:cs="Arial" w:eastAsia="Arial" w:hAnsi="Arial"/>
          <w:sz w:val="16"/>
          <w:szCs w:val="16"/>
          <w:color w:val="auto"/>
        </w:rPr>
        <w:t>any Registration Statement and any amendment thereto does not, when it becomes effective, contain an untrue statement of a material fact or omit to state a material fact required to be stated therein or necessary to make the statements therein not misleading.</w:t>
      </w:r>
    </w:p>
    <w:p>
      <w:pPr>
        <w:spacing w:after="0" w:line="123" w:lineRule="exact"/>
        <w:rPr>
          <w:rFonts w:ascii="Arial" w:cs="Arial" w:eastAsia="Arial" w:hAnsi="Arial"/>
          <w:sz w:val="16"/>
          <w:szCs w:val="16"/>
          <w:color w:val="auto"/>
        </w:rPr>
      </w:pPr>
    </w:p>
    <w:p>
      <w:pPr>
        <w:ind w:left="-8" w:right="20" w:firstLine="1305"/>
        <w:spacing w:after="0" w:line="288" w:lineRule="auto"/>
        <w:tabs>
          <w:tab w:leader="none" w:pos="1623"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Issuers shall advise the Representative, the Holders of Securities covered by any Shelf Registration Statement and any Exchanging Dealer under any Exchange Offer Registration Statement that has provided in writing to the Issuers a telephone or facsimile number and address for notices, and, if requested by the Representative or any such Holder or Exchanging Dealer, shall confirm such advice in writing (which notice pursuant to clauses (ii)-</w:t>
      </w:r>
    </w:p>
    <w:p>
      <w:pPr>
        <w:ind w:left="-8" w:right="300" w:firstLine="8"/>
        <w:spacing w:after="0" w:line="261" w:lineRule="auto"/>
        <w:tabs>
          <w:tab w:leader="none" w:pos="2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of this Section 4(c) shall be accompanied by an instruction to suspend the use of the Prospectus until the Issuers shall have remedied the basis for such suspension):</w:t>
      </w:r>
    </w:p>
    <w:p>
      <w:pPr>
        <w:spacing w:after="0" w:line="18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40" w:firstLine="653"/>
        <w:spacing w:after="0" w:line="277" w:lineRule="auto"/>
        <w:tabs>
          <w:tab w:leader="none" w:pos="265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the Registration Statement or any post-effective amendment thereto has become effective;</w:t>
      </w:r>
    </w:p>
    <w:p>
      <w:pPr>
        <w:spacing w:after="0" w:line="170" w:lineRule="exact"/>
        <w:rPr>
          <w:rFonts w:ascii="Arial" w:cs="Arial" w:eastAsia="Arial" w:hAnsi="Arial"/>
          <w:sz w:val="18"/>
          <w:szCs w:val="18"/>
          <w:color w:val="auto"/>
        </w:rPr>
      </w:pPr>
    </w:p>
    <w:p>
      <w:pPr>
        <w:ind w:left="1292" w:right="140" w:firstLine="653"/>
        <w:spacing w:after="0" w:line="277" w:lineRule="auto"/>
        <w:tabs>
          <w:tab w:leader="none" w:pos="265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of any request by the Commission for any amendment or supplement to the Registration Statement or the Prospectus or for additional information;</w:t>
      </w:r>
    </w:p>
    <w:p>
      <w:pPr>
        <w:spacing w:after="0" w:line="170" w:lineRule="exact"/>
        <w:rPr>
          <w:rFonts w:ascii="Arial" w:cs="Arial" w:eastAsia="Arial" w:hAnsi="Arial"/>
          <w:sz w:val="18"/>
          <w:szCs w:val="18"/>
          <w:color w:val="auto"/>
        </w:rPr>
      </w:pPr>
    </w:p>
    <w:p>
      <w:pPr>
        <w:ind w:left="1292" w:right="240" w:firstLine="653"/>
        <w:spacing w:after="0" w:line="277" w:lineRule="auto"/>
        <w:tabs>
          <w:tab w:leader="none" w:pos="26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the Registration Statement or the initiation or threatening of any proceedings for that purpose;</w:t>
      </w:r>
    </w:p>
    <w:p>
      <w:pPr>
        <w:spacing w:after="0" w:line="170" w:lineRule="exact"/>
        <w:rPr>
          <w:rFonts w:ascii="Arial" w:cs="Arial" w:eastAsia="Arial" w:hAnsi="Arial"/>
          <w:sz w:val="18"/>
          <w:szCs w:val="18"/>
          <w:color w:val="auto"/>
        </w:rPr>
      </w:pPr>
    </w:p>
    <w:p>
      <w:pPr>
        <w:ind w:left="1292" w:right="600" w:firstLine="653"/>
        <w:spacing w:after="0" w:line="308" w:lineRule="auto"/>
        <w:tabs>
          <w:tab w:leader="none" w:pos="265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of the receipt by any Issuer of any notification with respect to the suspension of the qualification of the securities included therein for sale in any jurisdiction or the initiation or threatening of any proceedings for such purpose; and</w:t>
      </w:r>
    </w:p>
    <w:p>
      <w:pPr>
        <w:spacing w:after="0" w:line="146" w:lineRule="exact"/>
        <w:rPr>
          <w:rFonts w:ascii="Arial" w:cs="Arial" w:eastAsia="Arial" w:hAnsi="Arial"/>
          <w:sz w:val="17"/>
          <w:szCs w:val="17"/>
          <w:color w:val="auto"/>
        </w:rPr>
      </w:pPr>
    </w:p>
    <w:p>
      <w:pPr>
        <w:jc w:val="both"/>
        <w:ind w:left="1292" w:right="40" w:firstLine="653"/>
        <w:spacing w:after="0" w:line="259" w:lineRule="auto"/>
        <w:tabs>
          <w:tab w:leader="none" w:pos="264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of the happening of any event that requires any change in the Registration Statement or the Prospectus so that, as of such date, they (A) do not contain any untrue statement of a material fact and (B) do not omit to state a material fact required to be stated therein or necessary to make the statements therein (in the case of the Prospectus, in the light of the circumstances under which they were made) not misleading.</w:t>
      </w:r>
    </w:p>
    <w:p>
      <w:pPr>
        <w:spacing w:after="0" w:line="186" w:lineRule="exact"/>
        <w:rPr>
          <w:rFonts w:ascii="Arial" w:cs="Arial" w:eastAsia="Arial" w:hAnsi="Arial"/>
          <w:sz w:val="18"/>
          <w:szCs w:val="18"/>
          <w:color w:val="auto"/>
        </w:rPr>
      </w:pPr>
    </w:p>
    <w:p>
      <w:pPr>
        <w:ind w:left="-8" w:right="120" w:firstLine="1305"/>
        <w:spacing w:after="0" w:line="308" w:lineRule="auto"/>
        <w:tabs>
          <w:tab w:leader="none" w:pos="163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Issuers shall use their best efforts to prevent the issuance of any order suspending the effectiveness of any Registration Statement or the qualification of the securities therein for sale in any jurisdiction and, if issued, to obtain as soon as possible the withdrawal thereof.</w:t>
      </w:r>
    </w:p>
    <w:p>
      <w:pPr>
        <w:spacing w:after="0" w:line="146" w:lineRule="exact"/>
        <w:rPr>
          <w:rFonts w:ascii="Arial" w:cs="Arial" w:eastAsia="Arial" w:hAnsi="Arial"/>
          <w:sz w:val="17"/>
          <w:szCs w:val="17"/>
          <w:color w:val="auto"/>
        </w:rPr>
      </w:pPr>
    </w:p>
    <w:p>
      <w:pPr>
        <w:ind w:left="-8" w:right="40" w:firstLine="1305"/>
        <w:spacing w:after="0" w:line="264" w:lineRule="auto"/>
        <w:tabs>
          <w:tab w:leader="none" w:pos="162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Issuers shall furnish to each Holder of Securities covered by any Shelf Registration Statement, without charge, at least one copy of such Shelf Registration Statement and any post-effective amendment thereto, including all material incorporated therein by reference, and, if the Holder so requests in writing, all exhibits thereto (including exhibits incorporated by reference therein).</w:t>
      </w:r>
    </w:p>
    <w:p>
      <w:pPr>
        <w:spacing w:after="0" w:line="181" w:lineRule="exact"/>
        <w:rPr>
          <w:rFonts w:ascii="Arial" w:cs="Arial" w:eastAsia="Arial" w:hAnsi="Arial"/>
          <w:sz w:val="18"/>
          <w:szCs w:val="18"/>
          <w:color w:val="auto"/>
        </w:rPr>
      </w:pPr>
    </w:p>
    <w:p>
      <w:pPr>
        <w:ind w:left="-8" w:right="40" w:firstLine="1305"/>
        <w:spacing w:after="0" w:line="279" w:lineRule="auto"/>
        <w:tabs>
          <w:tab w:leader="none" w:pos="164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Issuers shall, during the Shelf Registration Period, deliver to each Holder of Securities covered by any Shelf Registration Statement, without charge, as many copies of the Prospectus (including any preliminary Prospectus) included in such Shelf Registration Statement and any amendment or supplement thereto as such Holder may reasonably request. The Issuers consent to the use of the Prospectus or any amendment or supplement thereto by each of the selling Holders of Securities in connection with the offering and sale of the Securities</w:t>
      </w:r>
    </w:p>
    <w:p>
      <w:pPr>
        <w:sectPr>
          <w:pgSz w:w="11900" w:h="16838" w:orient="portrait"/>
          <w:cols w:equalWidth="0" w:num="1">
            <w:col w:w="11392"/>
          </w:cols>
          <w:pgMar w:left="248" w:top="341" w:right="259" w:bottom="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covered by the Prospectus, or any amendment or supplement thereto, included in the Shelf Registration Statement.</w:t>
      </w:r>
    </w:p>
    <w:p>
      <w:pPr>
        <w:spacing w:after="0" w:line="225" w:lineRule="exact"/>
        <w:rPr>
          <w:sz w:val="20"/>
          <w:szCs w:val="20"/>
          <w:color w:val="auto"/>
        </w:rPr>
      </w:pPr>
    </w:p>
    <w:p>
      <w:pPr>
        <w:ind w:right="180" w:firstLine="1305"/>
        <w:spacing w:after="0" w:line="264" w:lineRule="auto"/>
        <w:tabs>
          <w:tab w:leader="none" w:pos="164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Issuers shall furnish to each Exchanging Dealer which so requests, without charge, at least one copy of the Exchange Offer Registration Statement and any post-effective amendment thereto, including all material incorporated by reference therein, and, if the Exchanging Dealer so requests in writing, all exhibits thereto (including exhibits incorporated by reference therein).</w:t>
      </w:r>
    </w:p>
    <w:p>
      <w:pPr>
        <w:spacing w:after="0" w:line="181" w:lineRule="exact"/>
        <w:rPr>
          <w:rFonts w:ascii="Arial" w:cs="Arial" w:eastAsia="Arial" w:hAnsi="Arial"/>
          <w:sz w:val="18"/>
          <w:szCs w:val="18"/>
          <w:color w:val="auto"/>
        </w:rPr>
      </w:pPr>
    </w:p>
    <w:p>
      <w:pPr>
        <w:ind w:right="260" w:firstLine="1305"/>
        <w:spacing w:after="0" w:line="273" w:lineRule="auto"/>
        <w:tabs>
          <w:tab w:leader="none" w:pos="164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Issuers shall promptly deliver to each Initial Purchaser, each Exchanging Dealer and each other Person required to deliver a Prospectus during the Exchange Offer Registration Period, without charge, as many copies of the Prospectus included in such Exchange Offer Registration Statement and any amendment or supplement thereto as any such Person may reasonably request. The Issuers consent to the use of the Prospectus or any amendment or supplement thereto by any Initial Purchaser, any Exchanging Dealer and any such other Person that may be required to deliver a Prospectus following the Exchange Offer in connection with the offering and sale of the Exchange Notes covered by the Prospectus, or any amendment or supplement thereto, included in the Exchange Offer Registration Statement.</w:t>
      </w:r>
    </w:p>
    <w:p>
      <w:pPr>
        <w:spacing w:after="0" w:line="178" w:lineRule="exact"/>
        <w:rPr>
          <w:rFonts w:ascii="Arial" w:cs="Arial" w:eastAsia="Arial" w:hAnsi="Arial"/>
          <w:sz w:val="17"/>
          <w:szCs w:val="17"/>
          <w:color w:val="auto"/>
        </w:rPr>
      </w:pPr>
    </w:p>
    <w:p>
      <w:pPr>
        <w:ind w:firstLine="1305"/>
        <w:spacing w:after="0" w:line="297" w:lineRule="auto"/>
        <w:tabs>
          <w:tab w:leader="none" w:pos="164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Prior to the Exchange Offer or any other offering of Securities pursuant to any Registration Statement, the Issuers shall arrange, if necessary, for the qualification of the Securities or the Exchange Notes for sale under the laws of such jurisdictions as any Holder shall reasonably request and shall maintain such qualification in effect so long as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any issuer be obligated to qualify to do business in any jurisdiction where it is not then so qualified or to take any action that would subject it to service of process in suits, other than those arising out of the Initial Placement, the Exchange Offer or any offering pursuant to a Shelf Registration Statement, in any such jurisdiction where it is not then so subject.</w:t>
      </w:r>
    </w:p>
    <w:p>
      <w:pPr>
        <w:spacing w:after="0" w:line="158" w:lineRule="exact"/>
        <w:rPr>
          <w:rFonts w:ascii="Arial" w:cs="Arial" w:eastAsia="Arial" w:hAnsi="Arial"/>
          <w:sz w:val="16"/>
          <w:szCs w:val="16"/>
          <w:color w:val="auto"/>
        </w:rPr>
      </w:pPr>
    </w:p>
    <w:p>
      <w:pPr>
        <w:jc w:val="both"/>
        <w:ind w:right="360" w:firstLine="1305"/>
        <w:spacing w:after="0" w:line="264" w:lineRule="auto"/>
        <w:tabs>
          <w:tab w:leader="none" w:pos="16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Issuers shall cooperate with the Holders to facilitate the timely preparation and delivery of certificates representing Exchange Notes or Securities to be issued or sold pursuant to any Registration Statement free of any restrictive legends and in such denominations and registered in such names as Holders may request.</w:t>
      </w:r>
    </w:p>
    <w:p>
      <w:pPr>
        <w:spacing w:after="0" w:line="181" w:lineRule="exact"/>
        <w:rPr>
          <w:rFonts w:ascii="Arial" w:cs="Arial" w:eastAsia="Arial" w:hAnsi="Arial"/>
          <w:sz w:val="18"/>
          <w:szCs w:val="18"/>
          <w:color w:val="auto"/>
        </w:rPr>
      </w:pPr>
    </w:p>
    <w:p>
      <w:pPr>
        <w:ind w:left="1300" w:right="160" w:firstLine="5"/>
        <w:spacing w:after="0" w:line="259" w:lineRule="auto"/>
        <w:tabs>
          <w:tab w:leader="none" w:pos="200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Upon the occurrence of any event contemplated by subsections (c)(ii) through (v) above, the Issuers shall promptly (or within the time period provided for by clause (ii) hereof, if applicable) prepare a post-effective amendment to the applicable Registration Statement or an amendment or supplement to the related Prospectus or file any other required document so that, as thereafter delivered to initial purchasers of the securities included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spacing w:after="0" w:line="297" w:lineRule="auto"/>
        <w:rPr>
          <w:sz w:val="20"/>
          <w:szCs w:val="20"/>
          <w:color w:val="auto"/>
        </w:rPr>
      </w:pPr>
      <w:r>
        <w:rPr>
          <w:rFonts w:ascii="Arial" w:cs="Arial" w:eastAsia="Arial" w:hAnsi="Arial"/>
          <w:sz w:val="16"/>
          <w:szCs w:val="16"/>
          <w:color w:val="auto"/>
        </w:rPr>
        <w:t>therein, the Prospectus will not include an untrue statement of a material fact or omit to state any material fact necessary to make the statements therein, in the light of the circumstances under which they were made, not misleading. In such circumstances, the period of effectiveness of the Exchange Offer Registration Statement provided for in Section 2 shall be extended by the number of days from and including the date of the giving of a notice of suspension pursuant to Section 4(c) to and including the date when the Initial Purchasers, the Holders and any known Exchanging Dealer shall have received such amended or supplemented Prospectus pursuant to this Section 4.</w:t>
      </w:r>
    </w:p>
    <w:p>
      <w:pPr>
        <w:spacing w:after="0" w:line="158" w:lineRule="exact"/>
        <w:rPr>
          <w:sz w:val="20"/>
          <w:szCs w:val="20"/>
          <w:color w:val="auto"/>
        </w:rPr>
      </w:pPr>
    </w:p>
    <w:p>
      <w:pPr>
        <w:ind w:left="1300" w:firstLine="653"/>
        <w:spacing w:after="0" w:line="270" w:lineRule="auto"/>
        <w:tabs>
          <w:tab w:leader="none" w:pos="2663" w:val="left"/>
        </w:tabs>
        <w:numPr>
          <w:ilvl w:val="1"/>
          <w:numId w:val="197"/>
        </w:numPr>
        <w:rPr>
          <w:rFonts w:ascii="Arial" w:cs="Arial" w:eastAsia="Arial" w:hAnsi="Arial"/>
          <w:sz w:val="17"/>
          <w:szCs w:val="17"/>
          <w:color w:val="auto"/>
        </w:rPr>
      </w:pPr>
      <w:r>
        <w:rPr>
          <w:rFonts w:ascii="Arial" w:cs="Arial" w:eastAsia="Arial" w:hAnsi="Arial"/>
          <w:sz w:val="17"/>
          <w:szCs w:val="17"/>
          <w:color w:val="auto"/>
        </w:rPr>
        <w:t>Upon the occurrence or existence of any pending corporate development or any other material event that, in the reasonable judgment of any Issuer, makes it appropriate to suspend the availability of a Shelf Registration Statement and the related Prospectus, the Issuer shall give notice (without notice of the nature or details of such events) to the Holders that the availability of the Shelf Registration is suspended and, upon actual receipt of any such notice, each Holder agrees not to sell any Registrable Securities pursuant to the Shelf Registration until such Holder’s receipt of copies of the supplemented or amended Prospectus provided for in clause (i) of this Section 4(k), or until it is advised in writing by any Issuer that the Prospectus may be used, and has received copies of any additional or supplemental filings that are incorporated or deemed incorporated by reference in such Prospectus. The period during which the availability of the Shelf Registration and any Prospectus is suspended (the “</w:t>
      </w:r>
      <w:r>
        <w:rPr>
          <w:rFonts w:ascii="Arial" w:cs="Arial" w:eastAsia="Arial" w:hAnsi="Arial"/>
          <w:sz w:val="17"/>
          <w:szCs w:val="17"/>
          <w:b w:val="1"/>
          <w:bCs w:val="1"/>
          <w:color w:val="auto"/>
        </w:rPr>
        <w:t>Deferral Period</w:t>
      </w:r>
      <w:r>
        <w:rPr>
          <w:rFonts w:ascii="Arial" w:cs="Arial" w:eastAsia="Arial" w:hAnsi="Arial"/>
          <w:sz w:val="17"/>
          <w:szCs w:val="17"/>
          <w:color w:val="auto"/>
        </w:rPr>
        <w:t>”) shall not exceed 45 days in any three-month period or 90 days in any 12-month period.</w:t>
      </w:r>
    </w:p>
    <w:p>
      <w:pPr>
        <w:spacing w:after="0" w:line="181" w:lineRule="exact"/>
        <w:rPr>
          <w:rFonts w:ascii="Arial" w:cs="Arial" w:eastAsia="Arial" w:hAnsi="Arial"/>
          <w:sz w:val="17"/>
          <w:szCs w:val="17"/>
          <w:color w:val="auto"/>
        </w:rPr>
      </w:pPr>
    </w:p>
    <w:p>
      <w:pPr>
        <w:jc w:val="both"/>
        <w:ind w:right="420" w:firstLine="1305"/>
        <w:spacing w:after="0" w:line="264" w:lineRule="auto"/>
        <w:tabs>
          <w:tab w:leader="none" w:pos="164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 later than the effective date of any Registration Statement, the Issuers shall provide a CUSIP number for the Securities or the Exchange Notes, as the case may be, registered under such Registration Statement and provide the Trustee with printed certificates for such Securities or Exchange Notes, in a form eligible for deposit with The Depository Trust Company.</w:t>
      </w:r>
    </w:p>
    <w:p>
      <w:pPr>
        <w:spacing w:after="0" w:line="181" w:lineRule="exact"/>
        <w:rPr>
          <w:rFonts w:ascii="Arial" w:cs="Arial" w:eastAsia="Arial" w:hAnsi="Arial"/>
          <w:sz w:val="18"/>
          <w:szCs w:val="18"/>
          <w:color w:val="auto"/>
        </w:rPr>
      </w:pPr>
    </w:p>
    <w:p>
      <w:pPr>
        <w:ind w:right="20" w:firstLine="1305"/>
        <w:spacing w:after="0" w:line="279" w:lineRule="auto"/>
        <w:tabs>
          <w:tab w:leader="none" w:pos="1646"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Issuers shall comply with all applicable rules and regulations of the Commission and shall make generally available to their security holders an earnings statement satisfying the provisions of Section 11(a) of the Act as soon as practicable after the effective date of the applicable Registration Statement and in any event no later than 45 days after the end of a 12-month period (or 90 days, if such period is a fiscal year) beginning with the first month of the Company’s first fiscal quarter commencing after the effective date of the applicable Registration Statement.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1305"/>
        <w:spacing w:after="0" w:line="277" w:lineRule="auto"/>
        <w:tabs>
          <w:tab w:leader="none" w:pos="164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Issuers shall cause the Indenture or the Exchange Notes Indenture, as the case may be, to be qualified under the Trust Indenture Act in a timely manner.</w:t>
      </w:r>
    </w:p>
    <w:p>
      <w:pPr>
        <w:spacing w:after="0" w:line="170" w:lineRule="exact"/>
        <w:rPr>
          <w:rFonts w:ascii="Arial" w:cs="Arial" w:eastAsia="Arial" w:hAnsi="Arial"/>
          <w:sz w:val="18"/>
          <w:szCs w:val="18"/>
          <w:color w:val="auto"/>
        </w:rPr>
      </w:pPr>
    </w:p>
    <w:p>
      <w:pPr>
        <w:ind w:right="80" w:firstLine="1305"/>
        <w:spacing w:after="0" w:line="259" w:lineRule="auto"/>
        <w:tabs>
          <w:tab w:leader="none" w:pos="164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Issuers may require each Holder of securities to be sold pursuant to any Shelf Registration Statement to furnish to the Issuers such information regarding the Holder and the distribution of such securities as the Issuers may from time to time reasonably require for inclusion in such Registration Statement. The Issuers may exclude from such Shelf Registration Statement the Securities of any Holder that unreasonably fails to furnish such information within a reasonable time after receiving such request.</w:t>
      </w:r>
    </w:p>
    <w:p>
      <w:pPr>
        <w:spacing w:after="0" w:line="186" w:lineRule="exact"/>
        <w:rPr>
          <w:rFonts w:ascii="Arial" w:cs="Arial" w:eastAsia="Arial" w:hAnsi="Arial"/>
          <w:sz w:val="18"/>
          <w:szCs w:val="18"/>
          <w:color w:val="auto"/>
        </w:rPr>
      </w:pPr>
    </w:p>
    <w:p>
      <w:pPr>
        <w:ind w:right="340" w:firstLine="1305"/>
        <w:spacing w:after="0" w:line="342" w:lineRule="auto"/>
        <w:tabs>
          <w:tab w:leader="none" w:pos="164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 the case of any Shelf Registration Statement, the Issuers shall enter into customary agreements (including if requested, an underwriting agreement in customary form) and take all other appropriate actions in order to expedite or facilitate the registration or the disposition of the</w:t>
      </w:r>
    </w:p>
    <w:p>
      <w:pPr>
        <w:sectPr>
          <w:pgSz w:w="11900" w:h="16838" w:orient="portrait"/>
          <w:cols w:equalWidth="0" w:num="1">
            <w:col w:w="11420"/>
          </w:cols>
          <w:pgMar w:left="240" w:top="125" w:right="239" w:bottom="0" w:gutter="0" w:footer="0" w:header="0"/>
        </w:sectPr>
      </w:pPr>
    </w:p>
    <w:bookmarkStart w:id="65" w:name="page66"/>
    <w:bookmarkEnd w:id="65"/>
    <w:p>
      <w:pPr>
        <w:ind w:right="60"/>
        <w:spacing w:after="0" w:line="277" w:lineRule="auto"/>
        <w:rPr>
          <w:sz w:val="20"/>
          <w:szCs w:val="20"/>
          <w:color w:val="auto"/>
        </w:rPr>
      </w:pPr>
      <w:r>
        <w:rPr>
          <w:rFonts w:ascii="Arial" w:cs="Arial" w:eastAsia="Arial" w:hAnsi="Arial"/>
          <w:sz w:val="18"/>
          <w:szCs w:val="18"/>
          <w:color w:val="auto"/>
        </w:rPr>
        <w:t>Securities, and in connection therewith, if an underwriting agreement is entered into, cause the same to contain indemnification provisions and procedures no less favorable than those set forth in Section 6 hereof.</w:t>
      </w:r>
    </w:p>
    <w:p>
      <w:pPr>
        <w:spacing w:after="0" w:line="170" w:lineRule="exact"/>
        <w:rPr>
          <w:sz w:val="20"/>
          <w:szCs w:val="20"/>
          <w:color w:val="auto"/>
        </w:rPr>
      </w:pPr>
    </w:p>
    <w:p>
      <w:pPr>
        <w:ind w:left="1640" w:hanging="335"/>
        <w:spacing w:after="0"/>
        <w:tabs>
          <w:tab w:leader="none" w:pos="1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case of any Shelf Registration Statement, the Issuers shall:</w:t>
      </w:r>
    </w:p>
    <w:p>
      <w:pPr>
        <w:spacing w:after="0" w:line="225" w:lineRule="exact"/>
        <w:rPr>
          <w:rFonts w:ascii="Arial" w:cs="Arial" w:eastAsia="Arial" w:hAnsi="Arial"/>
          <w:sz w:val="18"/>
          <w:szCs w:val="18"/>
          <w:color w:val="auto"/>
        </w:rPr>
      </w:pPr>
    </w:p>
    <w:p>
      <w:pPr>
        <w:ind w:left="1300" w:right="260" w:firstLine="653"/>
        <w:spacing w:after="0" w:line="259" w:lineRule="auto"/>
        <w:tabs>
          <w:tab w:leader="none" w:pos="265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make reasonably available for inspection by the Holders of Securities to be registered thereunder, any underwriter participating in any disposition pursuant to such Shelf Registration Statement and any attorney, accountant or other agent retained by the Holders or any such underwriter all relevant financial and other records and pertinent corporate documents of the Issuers and their subsidiaries;</w:t>
      </w:r>
    </w:p>
    <w:p>
      <w:pPr>
        <w:spacing w:after="0" w:line="186" w:lineRule="exact"/>
        <w:rPr>
          <w:rFonts w:ascii="Arial" w:cs="Arial" w:eastAsia="Arial" w:hAnsi="Arial"/>
          <w:sz w:val="18"/>
          <w:szCs w:val="18"/>
          <w:color w:val="auto"/>
        </w:rPr>
      </w:pPr>
    </w:p>
    <w:p>
      <w:pPr>
        <w:ind w:left="1300" w:right="140" w:firstLine="653"/>
        <w:spacing w:after="0" w:line="264" w:lineRule="auto"/>
        <w:tabs>
          <w:tab w:leader="none" w:pos="266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cause the officers, directors, employees, accountants and auditors of any Issuer to supply all relevant information reasonably requested by the Holders or any such underwriter, attorney, accountant or agent in connection with any such Shelf Registration Statement as is customary for similar due diligence examinations;</w:t>
      </w:r>
    </w:p>
    <w:p>
      <w:pPr>
        <w:spacing w:after="0" w:line="181" w:lineRule="exact"/>
        <w:rPr>
          <w:rFonts w:ascii="Arial" w:cs="Arial" w:eastAsia="Arial" w:hAnsi="Arial"/>
          <w:sz w:val="18"/>
          <w:szCs w:val="18"/>
          <w:color w:val="auto"/>
        </w:rPr>
      </w:pPr>
    </w:p>
    <w:p>
      <w:pPr>
        <w:ind w:left="1300" w:right="80" w:firstLine="653"/>
        <w:spacing w:after="0" w:line="264" w:lineRule="auto"/>
        <w:tabs>
          <w:tab w:leader="none" w:pos="266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make such representations and warranties to the Holders of Securities registered thereunder and the underwriters, if any, in form, substance and scope as are customarily made by issuers to underwriters in primary underwritten offerings and covering matters including, but not limited to, those set forth in the Purchase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firstLine="653"/>
        <w:spacing w:after="0" w:line="259" w:lineRule="auto"/>
        <w:tabs>
          <w:tab w:leader="none" w:pos="265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obtain opinions of counsel to the Issuers and updates thereof (which counsel and opinions (in form, scope and substance) shall be reasonably satisfactory to the Managing Underwriters, if any) addressed to each selling Holder and the underwriters, if any, covering such matters as are customarily covered in opinions requested in primary underwritten offerings and such other matters as may be reasonably requested by such Holders and underwriters;</w:t>
      </w:r>
    </w:p>
    <w:p>
      <w:pPr>
        <w:spacing w:after="0" w:line="186" w:lineRule="exact"/>
        <w:rPr>
          <w:rFonts w:ascii="Arial" w:cs="Arial" w:eastAsia="Arial" w:hAnsi="Arial"/>
          <w:sz w:val="18"/>
          <w:szCs w:val="18"/>
          <w:color w:val="auto"/>
        </w:rPr>
      </w:pPr>
    </w:p>
    <w:p>
      <w:pPr>
        <w:ind w:left="1300" w:firstLine="653"/>
        <w:spacing w:after="0" w:line="276" w:lineRule="auto"/>
        <w:tabs>
          <w:tab w:leader="none" w:pos="2653" w:val="left"/>
        </w:tabs>
        <w:numPr>
          <w:ilvl w:val="0"/>
          <w:numId w:val="201"/>
        </w:numPr>
        <w:rPr>
          <w:rFonts w:ascii="Arial" w:cs="Arial" w:eastAsia="Arial" w:hAnsi="Arial"/>
          <w:sz w:val="17"/>
          <w:szCs w:val="17"/>
          <w:color w:val="auto"/>
        </w:rPr>
      </w:pPr>
      <w:r>
        <w:rPr>
          <w:rFonts w:ascii="Arial" w:cs="Arial" w:eastAsia="Arial" w:hAnsi="Arial"/>
          <w:sz w:val="17"/>
          <w:szCs w:val="17"/>
          <w:color w:val="auto"/>
        </w:rPr>
        <w:t>obtain “comfort” letters and updates thereof from the independent certified public accountants of Yield LLC (and, if necessary, any other independent certified public accountants of any subsidiary of Yield LLC or of any business acquired by Yield LLC for which financial statements and financial data are, or are required to be, included in the Shelf Registration Statement), addressed to each selling Holder registered thereunder and the underwriters, if any, in customary form and covering matters of the type customarily covered in “comfort” letters in connection with primary underwritten offerings; and</w:t>
      </w:r>
    </w:p>
    <w:p>
      <w:pPr>
        <w:spacing w:after="0" w:line="172" w:lineRule="exact"/>
        <w:rPr>
          <w:rFonts w:ascii="Arial" w:cs="Arial" w:eastAsia="Arial" w:hAnsi="Arial"/>
          <w:sz w:val="17"/>
          <w:szCs w:val="17"/>
          <w:color w:val="auto"/>
        </w:rPr>
      </w:pPr>
    </w:p>
    <w:p>
      <w:pPr>
        <w:ind w:left="1300" w:right="160" w:firstLine="653"/>
        <w:spacing w:after="0" w:line="264" w:lineRule="auto"/>
        <w:tabs>
          <w:tab w:leader="none" w:pos="265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deliver such documents and certificates as may be reasonably requested by the Majority Holders or the Managing Underwriters, if any, including those to evidence compliance with Section 4(k) hereof and with any customary conditions contained in the underwriting agreement or other agreement entered into by the Issuers.</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actions set forth in clauses (iii), (iv), (v) and (vi) of this Section 4(q) shall be performed at (A) the effectiveness of such Registration Statement and each post-effective amendment thereto; and (B) each closing under any underwriting or similar agreement as and to the extent required thereunder.</w:t>
      </w:r>
    </w:p>
    <w:p>
      <w:pPr>
        <w:spacing w:after="0" w:line="147" w:lineRule="exact"/>
        <w:rPr>
          <w:sz w:val="20"/>
          <w:szCs w:val="20"/>
          <w:color w:val="auto"/>
        </w:rPr>
      </w:pPr>
    </w:p>
    <w:p>
      <w:pPr>
        <w:ind w:right="120" w:firstLine="1305"/>
        <w:spacing w:after="0" w:line="277" w:lineRule="auto"/>
        <w:tabs>
          <w:tab w:leader="none" w:pos="165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case of any Exchange Offer Registration Statement, the Issuers shall, if requested by an Initial Purchaser or by a Broker-Dealer that holds Securities that were acquired as a result of market-making or other trading activities:</w:t>
      </w:r>
    </w:p>
    <w:p>
      <w:pPr>
        <w:spacing w:after="0" w:line="170" w:lineRule="exact"/>
        <w:rPr>
          <w:rFonts w:ascii="Arial" w:cs="Arial" w:eastAsia="Arial" w:hAnsi="Arial"/>
          <w:sz w:val="18"/>
          <w:szCs w:val="18"/>
          <w:color w:val="auto"/>
        </w:rPr>
      </w:pPr>
    </w:p>
    <w:p>
      <w:pPr>
        <w:ind w:left="1300" w:right="60" w:firstLine="653"/>
        <w:spacing w:after="0" w:line="264" w:lineRule="auto"/>
        <w:tabs>
          <w:tab w:leader="none" w:pos="265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make reasonably available for inspection by the requesting party, and any attorney, accountant or other agent retained by the requesting party, all relevant financial and other records, pertinent corporate documents and properties of the Issuers and their subsidiaries;</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cause the officers, directors, employees, accountants and auditors of any Issuer to supply all relevant information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reasonably requested by the requesting party or any such attorney, accountant or agent in connection with any such Registration Statement as is customary for similar due diligence examinations;</w:t>
      </w:r>
    </w:p>
    <w:p>
      <w:pPr>
        <w:spacing w:after="0" w:line="170" w:lineRule="exact"/>
        <w:rPr>
          <w:sz w:val="20"/>
          <w:szCs w:val="20"/>
          <w:color w:val="auto"/>
        </w:rPr>
      </w:pPr>
    </w:p>
    <w:p>
      <w:pPr>
        <w:ind w:left="1300" w:right="120" w:firstLine="653"/>
        <w:spacing w:after="0" w:line="264" w:lineRule="auto"/>
        <w:tabs>
          <w:tab w:leader="none" w:pos="26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make such representations and warranties to the requesting party, in form, substance and scope as are customarily made by issuers to underwriters in primary underwritten offerings and covering matters including, but not limited to, those set forth in the Purchase Agreement;</w:t>
      </w:r>
    </w:p>
    <w:p>
      <w:pPr>
        <w:spacing w:after="0" w:line="181" w:lineRule="exact"/>
        <w:rPr>
          <w:rFonts w:ascii="Arial" w:cs="Arial" w:eastAsia="Arial" w:hAnsi="Arial"/>
          <w:sz w:val="18"/>
          <w:szCs w:val="18"/>
          <w:color w:val="auto"/>
        </w:rPr>
      </w:pPr>
    </w:p>
    <w:p>
      <w:pPr>
        <w:ind w:left="1300" w:right="20" w:firstLine="653"/>
        <w:spacing w:after="0" w:line="259" w:lineRule="auto"/>
        <w:tabs>
          <w:tab w:leader="none" w:pos="265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obtain opinions of counsel to the Issuers and updates thereof (which counsel and opinions (in form, scope and substance) shall be reasonably satisfactory to the requesting party and its counsel), addressed to the requesting party, covering such matters as are customarily covered in opinions requested in primary underwritten offerings and such other matters as may be reasonably requested by the requesting party or its counsel;</w:t>
      </w:r>
    </w:p>
    <w:p>
      <w:pPr>
        <w:spacing w:after="0" w:line="186" w:lineRule="exact"/>
        <w:rPr>
          <w:rFonts w:ascii="Arial" w:cs="Arial" w:eastAsia="Arial" w:hAnsi="Arial"/>
          <w:sz w:val="18"/>
          <w:szCs w:val="18"/>
          <w:color w:val="auto"/>
        </w:rPr>
      </w:pPr>
    </w:p>
    <w:p>
      <w:pPr>
        <w:ind w:left="1300" w:right="40" w:firstLine="653"/>
        <w:spacing w:after="0" w:line="293" w:lineRule="auto"/>
        <w:tabs>
          <w:tab w:leader="none" w:pos="265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obtain “comfort” letters and updates thereof from the independent certified public accountants of Yield LLC (and, if necessary, any other independent certified public accountants of any subsidiary of Yield LLC or of any business acquired by Yield LLC for which financial statements and financial data are, or are required to be, included in the Registration Statement), addressed to the requesting party, in customary form and covering matters of the type customarily covered in “comfort” letters in connection with primary underwritten offerings, or if requested by the requesting party or its counsel in lieu of a “comfort” letter, an agreed-upon procedures letter under AT section 201, </w:t>
      </w:r>
      <w:r>
        <w:rPr>
          <w:rFonts w:ascii="Arial" w:cs="Arial" w:eastAsia="Arial" w:hAnsi="Arial"/>
          <w:sz w:val="16"/>
          <w:szCs w:val="16"/>
          <w:i w:val="1"/>
          <w:iCs w:val="1"/>
          <w:color w:val="auto"/>
        </w:rPr>
        <w:t>Agreed-Upon Procedures Engagements</w:t>
      </w:r>
      <w:r>
        <w:rPr>
          <w:rFonts w:ascii="Arial" w:cs="Arial" w:eastAsia="Arial" w:hAnsi="Arial"/>
          <w:sz w:val="16"/>
          <w:szCs w:val="16"/>
          <w:color w:val="auto"/>
        </w:rPr>
        <w:t>, covering matters requested by the requesting party or its counsel; and</w:t>
      </w:r>
    </w:p>
    <w:p>
      <w:pPr>
        <w:spacing w:after="0" w:line="164" w:lineRule="exact"/>
        <w:rPr>
          <w:rFonts w:ascii="Arial" w:cs="Arial" w:eastAsia="Arial" w:hAnsi="Arial"/>
          <w:sz w:val="16"/>
          <w:szCs w:val="16"/>
          <w:color w:val="auto"/>
        </w:rPr>
      </w:pPr>
    </w:p>
    <w:p>
      <w:pPr>
        <w:ind w:left="1300" w:right="100" w:firstLine="653"/>
        <w:spacing w:after="0" w:line="308" w:lineRule="auto"/>
        <w:tabs>
          <w:tab w:leader="none" w:pos="265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deliver such documents and certificates as may be reasonably requested by the requesting party or its counsel, including those to evidence compliance with Section 4(k) and with conditions customarily contained in underwriting agreements.</w:t>
      </w:r>
    </w:p>
    <w:p>
      <w:pPr>
        <w:sectPr>
          <w:pgSz w:w="11900" w:h="16838" w:orient="portrait"/>
          <w:cols w:equalWidth="0" w:num="1">
            <w:col w:w="11400"/>
          </w:cols>
          <w:pgMar w:left="240" w:top="125" w:right="259" w:bottom="0" w:gutter="0" w:footer="0" w:header="0"/>
        </w:sectPr>
      </w:pPr>
    </w:p>
    <w:bookmarkStart w:id="66" w:name="page67"/>
    <w:bookmarkEnd w:id="66"/>
    <w:p>
      <w:pPr>
        <w:ind w:right="340"/>
        <w:spacing w:after="0" w:line="277" w:lineRule="auto"/>
        <w:rPr>
          <w:sz w:val="20"/>
          <w:szCs w:val="20"/>
          <w:color w:val="auto"/>
        </w:rPr>
      </w:pPr>
      <w:r>
        <w:rPr>
          <w:rFonts w:ascii="Arial" w:cs="Arial" w:eastAsia="Arial" w:hAnsi="Arial"/>
          <w:sz w:val="18"/>
          <w:szCs w:val="18"/>
          <w:color w:val="auto"/>
        </w:rPr>
        <w:t>The foregoing actions set forth in clauses (iii), (iv), (v) and (vi) of this Section 4(r) shall be performed at the close of the Exchange Offer and the effective date of any post-effective amendment to the Exchange Offer Registration Statement.</w:t>
      </w:r>
    </w:p>
    <w:p>
      <w:pPr>
        <w:spacing w:after="0" w:line="170" w:lineRule="exact"/>
        <w:rPr>
          <w:sz w:val="20"/>
          <w:szCs w:val="20"/>
          <w:color w:val="auto"/>
        </w:rPr>
      </w:pPr>
    </w:p>
    <w:p>
      <w:pPr>
        <w:ind w:right="520" w:firstLine="1305"/>
        <w:spacing w:after="0" w:line="264" w:lineRule="auto"/>
        <w:tabs>
          <w:tab w:leader="none" w:pos="166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an Exchange Offer is to be consummated, upon delivery of the Securities by Holders to the Issuers (or to such other Person as directed by the Issuers) in exchange for the Exchange Notes, the Issuers shall mark, or caused to be marked, on the Securities so exchanged that such Securities are being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cancelled in exchange for the Exchange Notes. In no event shall the Securities be marked as paid or otherwise satisfied.</w:t>
      </w:r>
    </w:p>
    <w:p>
      <w:pPr>
        <w:spacing w:after="0" w:line="225" w:lineRule="exact"/>
        <w:rPr>
          <w:sz w:val="20"/>
          <w:szCs w:val="20"/>
          <w:color w:val="auto"/>
        </w:rPr>
      </w:pPr>
    </w:p>
    <w:p>
      <w:pPr>
        <w:ind w:right="520" w:firstLine="1305"/>
        <w:spacing w:after="0" w:line="277" w:lineRule="auto"/>
        <w:tabs>
          <w:tab w:leader="none" w:pos="164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Issuers shall use their best efforts if the Securities have been rated prior to the initial sale of such Securities, to confirm such ratings will apply to the Securities or the Exchange Notes, as the case may be, covered by a Registration Statement.</w:t>
      </w:r>
    </w:p>
    <w:p>
      <w:pPr>
        <w:spacing w:after="0" w:line="170" w:lineRule="exact"/>
        <w:rPr>
          <w:rFonts w:ascii="Arial" w:cs="Arial" w:eastAsia="Arial" w:hAnsi="Arial"/>
          <w:sz w:val="18"/>
          <w:szCs w:val="18"/>
          <w:color w:val="auto"/>
        </w:rPr>
      </w:pPr>
    </w:p>
    <w:p>
      <w:pPr>
        <w:ind w:right="80" w:firstLine="1305"/>
        <w:spacing w:after="0" w:line="286" w:lineRule="auto"/>
        <w:tabs>
          <w:tab w:leader="none" w:pos="164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In the event that any Broker-Dealer shall underwrite any Securities or participate as a member of an underwriting syndicate or selling group or “assist in the distribution” (within the meaning of the FINRA Rules) thereof, whether as a Holder or as an underwriter, a placement or sales agent or a broker or dealer in respect thereof, or otherwise, the Issuers shall assist such Broker-Dealer in complying with the FINRA Rules.</w:t>
      </w:r>
    </w:p>
    <w:p>
      <w:pPr>
        <w:spacing w:after="0" w:line="165" w:lineRule="exact"/>
        <w:rPr>
          <w:rFonts w:ascii="Arial" w:cs="Arial" w:eastAsia="Arial" w:hAnsi="Arial"/>
          <w:sz w:val="17"/>
          <w:szCs w:val="17"/>
          <w:color w:val="auto"/>
        </w:rPr>
      </w:pPr>
    </w:p>
    <w:p>
      <w:pPr>
        <w:ind w:right="40" w:firstLine="1305"/>
        <w:spacing w:after="0" w:line="277" w:lineRule="auto"/>
        <w:tabs>
          <w:tab w:leader="none" w:pos="164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Issuers shall use their best efforts to take all other steps necessary to effect the registration of the Securities or the Exchange Notes, as the case may be, covered by a Registration Statement.</w:t>
      </w:r>
    </w:p>
    <w:p>
      <w:pPr>
        <w:spacing w:after="0" w:line="170" w:lineRule="exact"/>
        <w:rPr>
          <w:sz w:val="20"/>
          <w:szCs w:val="20"/>
          <w:color w:val="auto"/>
        </w:rPr>
      </w:pPr>
    </w:p>
    <w:p>
      <w:pPr>
        <w:ind w:right="120" w:firstLine="1305"/>
        <w:spacing w:after="0" w:line="302" w:lineRule="auto"/>
        <w:tabs>
          <w:tab w:leader="none" w:pos="1657"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Issuers shall bear all expenses incurred in connection with the performance of their obligations under Sections 2, 3 and 4 hereof and, in the event of any Shelf Registration Statement, will reimburse the Holders for the reasonable fees and disbursements of one firm or counsel designated by the Majority Holders to act as counsel for the Holders in connection therewith, and, in the case of any Exchange Offer Registration Statement, will reimburse the Initial Purchasers for the reasonable fees and disbursements of counsel acting in connection therewith.</w:t>
      </w:r>
    </w:p>
    <w:p>
      <w:pPr>
        <w:spacing w:after="0" w:line="154" w:lineRule="exact"/>
        <w:rPr>
          <w:rFonts w:ascii="Arial" w:cs="Arial" w:eastAsia="Arial" w:hAnsi="Arial"/>
          <w:sz w:val="16"/>
          <w:szCs w:val="16"/>
          <w:color w:val="auto"/>
        </w:rPr>
      </w:pPr>
    </w:p>
    <w:p>
      <w:pPr>
        <w:ind w:left="1660" w:hanging="355"/>
        <w:spacing w:after="0"/>
        <w:tabs>
          <w:tab w:leader="none" w:pos="166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right="280" w:firstLine="1305"/>
        <w:spacing w:after="0" w:line="274" w:lineRule="auto"/>
        <w:tabs>
          <w:tab w:leader="none" w:pos="163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Each of the Issuers jointly and severally agrees to indemnify and hold harmless each Holder of Securities or Exchange Notes, as the case may be, covered by any Registration Statement, each Initial Purchaser and, with respect to any Prospectus delivery as contemplated in</w:t>
      </w:r>
    </w:p>
    <w:p>
      <w:pPr>
        <w:ind w:right="20"/>
        <w:spacing w:after="0" w:line="290" w:lineRule="auto"/>
        <w:rPr>
          <w:rFonts w:ascii="Arial" w:cs="Arial" w:eastAsia="Arial" w:hAnsi="Arial"/>
          <w:sz w:val="17"/>
          <w:szCs w:val="17"/>
          <w:color w:val="auto"/>
        </w:rPr>
      </w:pPr>
      <w:r>
        <w:rPr>
          <w:rFonts w:ascii="Arial" w:cs="Arial" w:eastAsia="Arial" w:hAnsi="Arial"/>
          <w:sz w:val="16"/>
          <w:szCs w:val="16"/>
          <w:color w:val="auto"/>
        </w:rPr>
        <w:t>Section 4(h) hereof, each Exchanging Dealer, and their respective affiliates and each Person who controls any such Holder, Initial Purchaser, Exchanging Dealer or affiliate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any preliminary Prospectus or the Prospectus, or in any amendment thereof or supplement thereto, or arise out of or are based upon the omission or alleged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omission to state therein a material fact required to be stated therein or necessary to make the statements therein (in the case of any preliminary Prospectus or the Prospectus, in the light of the circumstances under which they were made) not misleading, and agrees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Issuers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Issuers by or on behalf of the party claiming indemnification specifically for inclusion therein. This indemnity agreement shall be in addition to any liability that the Issuers may otherwise have.</w:t>
      </w:r>
    </w:p>
    <w:p>
      <w:pPr>
        <w:spacing w:after="0" w:line="178"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Each of the Issuers also jointly and severally agrees to indemnify as provided in this Section 6(a) or contribute as provided in Section 6(d) to Losses, as defined below, of each underwriter, if any, of Securities or Exchange Notes, as the case may be, registered under a Shelf Registration Statement, their respective affiliates and each Person who controls such underwriter or affiliate on substantially the same basis as that of the indemnification of the Initial Purchasers and the selling Holders provided in this Section 6(a) and shall, if requested by any Holder, enter into an underwriting agreement reflecting such agreement, as provided in Section 4(q) hereof.</w:t>
      </w:r>
    </w:p>
    <w:p>
      <w:pPr>
        <w:spacing w:after="0" w:line="188" w:lineRule="exact"/>
        <w:rPr>
          <w:sz w:val="20"/>
          <w:szCs w:val="20"/>
          <w:color w:val="auto"/>
        </w:rPr>
      </w:pPr>
    </w:p>
    <w:p>
      <w:pPr>
        <w:ind w:right="20" w:firstLine="1305"/>
        <w:spacing w:after="0" w:line="255" w:lineRule="auto"/>
        <w:tabs>
          <w:tab w:leader="none" w:pos="164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Each Holder of Securities covered by a Registration Statement (including each Initial Purchaser that is a Holder, in such capacity) severally and not jointly agrees to indemnify and hold harmless the Issuers, each of their respective directors, each of their respective officers who signs such Registration Statement and each Person who controls any Issuer within the meaning of either the Act or the Exchange Act, to the same extent as the foregoing indemnity from the Issuers to each such Holder, but only with reference to written information relating to such Holder furnished to the Issuers by or on behalf of such Holder specifically for inclusion in the documents referred to in the foregoing indemnity. This indemnity agreement will be in addition to any liability that any such Holder may otherwise have.</w:t>
      </w:r>
    </w:p>
    <w:p>
      <w:pPr>
        <w:spacing w:after="0" w:line="193" w:lineRule="exact"/>
        <w:rPr>
          <w:rFonts w:ascii="Arial" w:cs="Arial" w:eastAsia="Arial" w:hAnsi="Arial"/>
          <w:sz w:val="18"/>
          <w:szCs w:val="18"/>
          <w:color w:val="auto"/>
        </w:rPr>
      </w:pPr>
    </w:p>
    <w:p>
      <w:pPr>
        <w:ind w:right="180" w:firstLine="1305"/>
        <w:spacing w:after="0" w:line="286" w:lineRule="auto"/>
        <w:tabs>
          <w:tab w:leader="none" w:pos="163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6 or notice of the commencement of any action, such indemnified party will, if a claim in respect thereof is to be made against the indemnifying party under this Section,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will not, in any event, relieve the indemnifying party from any obligations to any indemnified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0" w:gutter="0" w:footer="0" w:header="0"/>
        </w:sectPr>
      </w:pPr>
    </w:p>
    <w:bookmarkStart w:id="67" w:name="page68"/>
    <w:bookmarkEnd w:id="67"/>
    <w:p>
      <w:pPr>
        <w:ind w:right="60"/>
        <w:spacing w:after="0" w:line="285" w:lineRule="auto"/>
        <w:rPr>
          <w:sz w:val="20"/>
          <w:szCs w:val="20"/>
          <w:color w:val="auto"/>
        </w:rPr>
      </w:pPr>
      <w:r>
        <w:rPr>
          <w:rFonts w:ascii="Arial" w:cs="Arial" w:eastAsia="Arial" w:hAnsi="Arial"/>
          <w:sz w:val="16"/>
          <w:szCs w:val="16"/>
          <w:color w:val="auto"/>
        </w:rPr>
        <w:t xml:space="preserve">party other than the indemnification obligation provided in paragraph (a) or (b) above.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counsel shall be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that are different from or additional to those available to the indemnifying party; (iii) the indemnifying party shall not have employed counsel satisfactory to the indemnified party to represent the indemnified party within a reasonable time after notice of the initiation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178" w:lineRule="exact"/>
        <w:rPr>
          <w:sz w:val="20"/>
          <w:szCs w:val="20"/>
          <w:color w:val="auto"/>
        </w:rPr>
      </w:pPr>
    </w:p>
    <w:p>
      <w:pPr>
        <w:ind w:right="120" w:firstLine="1305"/>
        <w:spacing w:after="0" w:line="272" w:lineRule="auto"/>
        <w:tabs>
          <w:tab w:leader="none" w:pos="164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In the event that the indemnity provided in paragraph (a) or (b) of this Section is unavailable to or insufficient to hold harmless an indemnified party for any reason, then each applicable indemnifying party shall have a joint and several obligation to contribute to the aggregate losses, claims, damages and liabilities (including legal or other expenses reasonably incurred in connection with investigating or defending any loss, claim, liability, damage or action) (collectively “</w:t>
      </w:r>
      <w:r>
        <w:rPr>
          <w:rFonts w:ascii="Arial" w:cs="Arial" w:eastAsia="Arial" w:hAnsi="Arial"/>
          <w:sz w:val="17"/>
          <w:szCs w:val="17"/>
          <w:b w:val="1"/>
          <w:bCs w:val="1"/>
          <w:color w:val="auto"/>
        </w:rPr>
        <w:t>Losses</w:t>
      </w:r>
      <w:r>
        <w:rPr>
          <w:rFonts w:ascii="Arial" w:cs="Arial" w:eastAsia="Arial" w:hAnsi="Arial"/>
          <w:sz w:val="17"/>
          <w:szCs w:val="17"/>
          <w:color w:val="auto"/>
        </w:rPr>
        <w:t xml:space="preserve">”) to which such indemnified party may be subject in such proportion as is appropriate to reflect the relative benefits received by such indemnifying party, on the one hand, and such indemnified party, on the other hand, from the Initial Placement and the Registration Statement which resulted in such Losses;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case shall any Initial Purchaser be responsible, in the aggregate, for any amount in excess of the purchase discount or commission applicable to such Security, or in the case of an Exchange Note,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applicable to the Security that was exchangeable into such Exchange Note, as set forth in the Final Offering Memorandum, nor shall any underwriter be responsible for any amount in excess of the underwriting discount or commission applicable to the securities purchased by such underwriter under the Registration Statement which resulted in such Losses. If the allocation provided by the immediately preceding sentence is unavailable for any reason, the indemnifying party and the indemnified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 any other relevant equitable considerations. Benefits received by the Issuers shall be deemed to be equal to the total net proceeds from the Initial Placement (before deducting expenses) as set forth in the Final Offering Memorandum. Benefits received by the Initial Purchasers shall be deemed to be equal to the total purchase discounts and commissions as set forth on the cover page of the Final Offering Memorandum, and benefits received by any other Holders shall be deemed to be equal to the value of receiving Securities or Exchange Notes, as applicable, registered under the Act. Benefits received by any underwriter shall be deemed to be equal to the total underwriting discounts and commissions, as set forth on the cover page of the Prospectus forming a part of the Registration Statement which resulted in such Losses. Relative fault shall be determined by reference to, among other things, whether any untrue or any alleged untrue statement of a material fact or omission or alleged omission to state a material fact relates to information provided by the indemnifying party, on the one hand, or by the indemnified party, on the other hand, the intent of the parties and their relative knowledge, access to information and opportunity to correct or prevent such untrue statement or omission. The parties agree that it would not be just and equitable if contribution were determined by pro rata allocation (even if the Holders were treated as one entity for such purpose)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each Person who controls a Holder within the meaning of either the Act or the Exchange Act and each director, officer, employee and agent of such Holder shall have the same rights to contribution as such Holder, and each Person who controls any Issuer within the meaning of either the Act or the Exchange Act, each officer of any Issuer who shall have signed the Registration Statement and each director of any Issuer shall have the same rights to contribution as the Issuers, subject in each case to the applicable terms and conditions of this paragraph (d).</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  The provisions of this Section will remain in full force and effect, regardless of any investigation made by or on behalf of any 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Issuers or any of the indemnified Persons referred to in this Section 6, and will survive the sale by a Holder of securities covered by a Registration Statement.</w:t>
      </w:r>
    </w:p>
    <w:p>
      <w:pPr>
        <w:spacing w:after="0" w:line="248" w:lineRule="exact"/>
        <w:rPr>
          <w:sz w:val="20"/>
          <w:szCs w:val="20"/>
          <w:color w:val="auto"/>
        </w:rPr>
      </w:pPr>
    </w:p>
    <w:p>
      <w:pPr>
        <w:ind w:left="1660" w:hanging="355"/>
        <w:spacing w:after="0"/>
        <w:tabs>
          <w:tab w:leader="none" w:pos="166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Underwritten Registrations</w:t>
      </w:r>
      <w:r>
        <w:rPr>
          <w:rFonts w:ascii="Arial" w:cs="Arial" w:eastAsia="Arial" w:hAnsi="Arial"/>
          <w:sz w:val="18"/>
          <w:szCs w:val="18"/>
          <w:color w:val="auto"/>
        </w:rPr>
        <w:t>.</w:t>
      </w:r>
    </w:p>
    <w:p>
      <w:pPr>
        <w:spacing w:after="0" w:line="225" w:lineRule="exact"/>
        <w:rPr>
          <w:sz w:val="20"/>
          <w:szCs w:val="20"/>
          <w:color w:val="auto"/>
        </w:rPr>
      </w:pPr>
    </w:p>
    <w:p>
      <w:pPr>
        <w:ind w:right="580" w:firstLine="1305"/>
        <w:spacing w:after="0" w:line="277" w:lineRule="auto"/>
        <w:tabs>
          <w:tab w:leader="none" w:pos="163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any of the Securities or Exchange Notes, as the case may be, covered by any Shelf Registration Statement are to be sold in an underwritten offering, the Managing Underwriters shall be selected by the Majority Holders.</w:t>
      </w:r>
    </w:p>
    <w:p>
      <w:pPr>
        <w:spacing w:after="0" w:line="170" w:lineRule="exact"/>
        <w:rPr>
          <w:rFonts w:ascii="Arial" w:cs="Arial" w:eastAsia="Arial" w:hAnsi="Arial"/>
          <w:sz w:val="18"/>
          <w:szCs w:val="18"/>
          <w:color w:val="auto"/>
        </w:rPr>
      </w:pPr>
    </w:p>
    <w:p>
      <w:pPr>
        <w:ind w:right="160" w:firstLine="1305"/>
        <w:spacing w:after="0" w:line="279" w:lineRule="auto"/>
        <w:tabs>
          <w:tab w:leader="none" w:pos="1641"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 Person may participate in any underwritten offering pursuant to any Shelf Registration Statement, unless such Person (i) agrees to sell such Person’s Securities or Exchange Notes, as the case may be,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w:t>
      </w:r>
    </w:p>
    <w:p>
      <w:pPr>
        <w:spacing w:after="0" w:line="167" w:lineRule="exact"/>
        <w:rPr>
          <w:sz w:val="20"/>
          <w:szCs w:val="20"/>
          <w:color w:val="auto"/>
        </w:rPr>
      </w:pPr>
    </w:p>
    <w:p>
      <w:pPr>
        <w:ind w:right="40" w:firstLine="1305"/>
        <w:spacing w:after="0" w:line="282" w:lineRule="auto"/>
        <w:tabs>
          <w:tab w:leader="none" w:pos="1657"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Registration Defaults</w:t>
      </w:r>
      <w:r>
        <w:rPr>
          <w:rFonts w:ascii="Arial" w:cs="Arial" w:eastAsia="Arial" w:hAnsi="Arial"/>
          <w:sz w:val="18"/>
          <w:szCs w:val="18"/>
          <w:color w:val="auto"/>
        </w:rPr>
        <w:t>. If any of the following events (each, a “</w:t>
      </w:r>
      <w:r>
        <w:rPr>
          <w:rFonts w:ascii="Arial" w:cs="Arial" w:eastAsia="Arial" w:hAnsi="Arial"/>
          <w:sz w:val="18"/>
          <w:szCs w:val="18"/>
          <w:b w:val="1"/>
          <w:bCs w:val="1"/>
          <w:color w:val="auto"/>
        </w:rPr>
        <w:t>Registration Default</w:t>
      </w:r>
      <w:r>
        <w:rPr>
          <w:rFonts w:ascii="Arial" w:cs="Arial" w:eastAsia="Arial" w:hAnsi="Arial"/>
          <w:sz w:val="18"/>
          <w:szCs w:val="18"/>
          <w:color w:val="auto"/>
        </w:rPr>
        <w:t>”) shall occur, then the Issuers shall pay liquidated damages (the “</w:t>
      </w:r>
      <w:r>
        <w:rPr>
          <w:rFonts w:ascii="Arial" w:cs="Arial" w:eastAsia="Arial" w:hAnsi="Arial"/>
          <w:sz w:val="18"/>
          <w:szCs w:val="18"/>
          <w:b w:val="1"/>
          <w:bCs w:val="1"/>
          <w:color w:val="auto"/>
        </w:rPr>
        <w:t>Special Interest</w:t>
      </w:r>
      <w:r>
        <w:rPr>
          <w:rFonts w:ascii="Arial" w:cs="Arial" w:eastAsia="Arial" w:hAnsi="Arial"/>
          <w:sz w:val="18"/>
          <w:szCs w:val="18"/>
          <w:color w:val="auto"/>
        </w:rPr>
        <w:t>”) to the Holders of Securities in respect of the Securities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if the Issuers fail to consummate the Exchange Offer within 365 Business Days following the Closing Date; or</w:t>
      </w:r>
    </w:p>
    <w:p>
      <w:pPr>
        <w:sectPr>
          <w:pgSz w:w="11900" w:h="16838" w:orient="portrait"/>
          <w:cols w:equalWidth="0" w:num="1">
            <w:col w:w="11420"/>
          </w:cols>
          <w:pgMar w:left="240" w:top="125" w:right="239" w:bottom="32" w:gutter="0" w:footer="0" w:header="0"/>
        </w:sectPr>
      </w:pPr>
    </w:p>
    <w:bookmarkStart w:id="68" w:name="page69"/>
    <w:bookmarkEnd w:id="68"/>
    <w:p>
      <w:pPr>
        <w:ind w:right="40" w:firstLine="1305"/>
        <w:spacing w:after="0" w:line="270" w:lineRule="auto"/>
        <w:tabs>
          <w:tab w:leader="none" w:pos="164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if the Shelf Registration Statement or the Exchange Offer Registration Statement is declared effective but thereafter ceases to be effective or usable in connection with resales of Registrable Securities during the periods specified in this Agreement, then, in each case, as of the date any such event occurs, Special Interest shall accrue on the Registrable Securities at a rate of 0.25% per annum of the principal amount of Registrable Securities outstanding for the first 90 days from and including such date; thereafter, the Special Interest will increase by an additional 0.25% per annum with respect to each subsequent 90-day period until all Registration Defaults have been cured, up to a maximum amount of 1.0% per annum of the principal amount of the Registrable Securities outstanding. All accrued Special Interest will be paid by the Issuers on the next scheduled interest payment date to DTC or its nominee by wire transfer of immediately available funds or by federal funds check and to Holders of certificated notes by wire transfer to the accounts specified by them or by mailing checks to their registered addresses if no such accounts have been specified. A Registration Default shall have been cured for purposes hereof (1) upon consummation of the Exchange Offer (in the case of paragraph (a) above) or (2) upon the effectiveness of the Registration Statement which had ceased to remain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effective (in the case of paragraph (b) above). Immediately upon the cure of all Registration Defaults, the accrual of Special Interest will cease.</w:t>
      </w:r>
    </w:p>
    <w:p>
      <w:pPr>
        <w:spacing w:after="0" w:line="225" w:lineRule="exact"/>
        <w:rPr>
          <w:sz w:val="20"/>
          <w:szCs w:val="20"/>
          <w:color w:val="auto"/>
        </w:rPr>
      </w:pPr>
    </w:p>
    <w:p>
      <w:pPr>
        <w:ind w:right="140" w:firstLine="1305"/>
        <w:spacing w:after="0" w:line="342" w:lineRule="auto"/>
        <w:tabs>
          <w:tab w:leader="none" w:pos="1657"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No Inconsistent Agreements</w:t>
      </w:r>
      <w:r>
        <w:rPr>
          <w:rFonts w:ascii="Arial" w:cs="Arial" w:eastAsia="Arial" w:hAnsi="Arial"/>
          <w:sz w:val="16"/>
          <w:szCs w:val="16"/>
          <w:color w:val="auto"/>
        </w:rPr>
        <w:t>. No Issuer has, as of the date hereof, entered into, nor shall it, on or after the date hereof, any agreement with respect to its Securities that is inconsistent with the rights granted to the Holders herein or that otherwise conflicts with the provisions hereof.</w:t>
      </w:r>
    </w:p>
    <w:p>
      <w:pPr>
        <w:spacing w:after="0" w:line="123" w:lineRule="exact"/>
        <w:rPr>
          <w:rFonts w:ascii="Arial" w:cs="Arial" w:eastAsia="Arial" w:hAnsi="Arial"/>
          <w:sz w:val="16"/>
          <w:szCs w:val="16"/>
          <w:color w:val="auto"/>
        </w:rPr>
      </w:pPr>
    </w:p>
    <w:p>
      <w:pPr>
        <w:ind w:right="80" w:firstLine="1305"/>
        <w:spacing w:after="0" w:line="287" w:lineRule="auto"/>
        <w:tabs>
          <w:tab w:leader="none" w:pos="1611"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may not be amended, qualified, modified or supplemented, and waivers or consents to departures from the provisions hereof may not be given, unless the Issuers have obtained the written consent of the Majority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matter that directly or indirectly affects the rights of any Initial Purchaser hereunder, the Issuers shall obtain the written consent of each such Initial Purchaser against which such amendment, qualification, supplement, waiver or consent is to be effective;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amendment, qualification, supplement, waiver or consent with respect to Section 8 hereof shall be effective as against any Holder of Registrable Securities unless consented to in writing by such Holder;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provisions of this Section 10 may not be amended, qualified, modified or supplemented, and waivers or consents to departures from the provisions hereof may not be given, unless the Issuers have obtained the written consent of the Representative and each Holder. Notwithstanding the foregoing (except the foregoing provisos), a waiver or consent to departure from the provisions hereof with respect to a matter that relates exclusively to the rights of Holders whose Securities or Exchange Notes, as the case may be, are being sold pursuant to a Registration Statement and that does not directly or indirectly affect the rights of other Holders may be given by the Majority Holders, determined on the basis of Securities or Exchange Notes, as the case may be, being sold rather than registered under such Registration Statement.</w:t>
      </w:r>
    </w:p>
    <w:p>
      <w:pPr>
        <w:spacing w:after="0" w:line="172" w:lineRule="exact"/>
        <w:rPr>
          <w:rFonts w:ascii="Arial" w:cs="Arial" w:eastAsia="Arial" w:hAnsi="Arial"/>
          <w:sz w:val="16"/>
          <w:szCs w:val="16"/>
          <w:color w:val="auto"/>
        </w:rPr>
      </w:pPr>
    </w:p>
    <w:p>
      <w:pPr>
        <w:ind w:right="260" w:firstLine="1305"/>
        <w:spacing w:after="0" w:line="277" w:lineRule="auto"/>
        <w:tabs>
          <w:tab w:leader="none" w:pos="1605"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in writing by hand-delivery, first-class mail, telex, telecopier or air courier guaranteeing overnight delivery:</w:t>
      </w:r>
    </w:p>
    <w:p>
      <w:pPr>
        <w:spacing w:after="0" w:line="170" w:lineRule="exact"/>
        <w:rPr>
          <w:sz w:val="20"/>
          <w:szCs w:val="20"/>
          <w:color w:val="auto"/>
        </w:rPr>
      </w:pPr>
    </w:p>
    <w:p>
      <w:pPr>
        <w:ind w:right="400" w:firstLine="1305"/>
        <w:spacing w:after="0" w:line="308" w:lineRule="auto"/>
        <w:tabs>
          <w:tab w:leader="none" w:pos="163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if to a Holder, at the most current address given by such Holder to the Issuers in accordance with the provisions of this Section 11, which address initially is, with respect to each Holder, the address of such Holder maintained by the Registrar under the Indenture;</w:t>
      </w:r>
    </w:p>
    <w:p>
      <w:pPr>
        <w:spacing w:after="0" w:line="146" w:lineRule="exact"/>
        <w:rPr>
          <w:rFonts w:ascii="Arial" w:cs="Arial" w:eastAsia="Arial" w:hAnsi="Arial"/>
          <w:sz w:val="17"/>
          <w:szCs w:val="17"/>
          <w:color w:val="auto"/>
        </w:rPr>
      </w:pPr>
    </w:p>
    <w:p>
      <w:pPr>
        <w:ind w:left="1640" w:hanging="335"/>
        <w:spacing w:after="0"/>
        <w:tabs>
          <w:tab w:leader="none" w:pos="1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to the Representative, initially at the address set forth in the Purchase Agreement; and</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to the Issuers, initially at the address of the Company set forth in the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All such notices and communications shall be deemed to have been duly given when received. The Representative or the Issuers by notice to the other parties may designate additional or different addresses for subsequent notices or communications.</w:t>
      </w:r>
    </w:p>
    <w:p>
      <w:pPr>
        <w:spacing w:after="0" w:line="170" w:lineRule="exact"/>
        <w:rPr>
          <w:sz w:val="20"/>
          <w:szCs w:val="20"/>
          <w:color w:val="auto"/>
        </w:rPr>
      </w:pPr>
    </w:p>
    <w:p>
      <w:pPr>
        <w:ind w:right="200" w:firstLine="1305"/>
        <w:spacing w:after="0" w:line="302" w:lineRule="auto"/>
        <w:tabs>
          <w:tab w:leader="none" w:pos="1611"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Each Holder, in addition to being entitled to exercise all rights provided to it herein, in the Indenture or in the Purchase Agreement or granted by law, including recovery of liquidated or other damages, will be entitled to specific performance of its rights under this Agreement. The Issuers agree that monetary damages would not be adequate compensation for any loss incurred by reason of a breach by them of the provisions of this Agreement and hereby agree to waive in any action for specific performance the defense that a remedy at law would be adequate.</w:t>
      </w:r>
    </w:p>
    <w:p>
      <w:pPr>
        <w:spacing w:after="0" w:line="154" w:lineRule="exact"/>
        <w:rPr>
          <w:rFonts w:ascii="Arial" w:cs="Arial" w:eastAsia="Arial" w:hAnsi="Arial"/>
          <w:sz w:val="16"/>
          <w:szCs w:val="16"/>
          <w:color w:val="auto"/>
        </w:rPr>
      </w:pPr>
    </w:p>
    <w:p>
      <w:pPr>
        <w:jc w:val="both"/>
        <w:ind w:firstLine="1305"/>
        <w:spacing w:after="0" w:line="302" w:lineRule="auto"/>
        <w:tabs>
          <w:tab w:leader="none" w:pos="1611"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inure to the benefit of and be binding upon the parties hereto, their respective successors and assigns, including, without the need for an express assignment or any consent by the Issuers thereto, subsequent Holders of Securities and the Exchange Notes, and the indemnified Persons referred to in Section 6 hereof. The Issuers hereby agree to extend the benefits of this Agreement to any Holder of Securities or the Exchange Notes, and any such Holder may specifically enforce the provisions of this Agreement as if an original party hereto.</w:t>
      </w:r>
    </w:p>
    <w:p>
      <w:pPr>
        <w:spacing w:after="0" w:line="154" w:lineRule="exact"/>
        <w:rPr>
          <w:rFonts w:ascii="Arial" w:cs="Arial" w:eastAsia="Arial" w:hAnsi="Arial"/>
          <w:sz w:val="16"/>
          <w:szCs w:val="16"/>
          <w:color w:val="auto"/>
        </w:rPr>
      </w:pPr>
    </w:p>
    <w:p>
      <w:pPr>
        <w:ind w:right="80" w:firstLine="1305"/>
        <w:spacing w:after="0" w:line="277" w:lineRule="auto"/>
        <w:tabs>
          <w:tab w:leader="none" w:pos="1611"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in signed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herein are for convenience only and shall not affect the construction hereof.</w:t>
      </w:r>
    </w:p>
    <w:p>
      <w:pPr>
        <w:spacing w:after="0" w:line="225" w:lineRule="exact"/>
        <w:rPr>
          <w:rFonts w:ascii="Arial" w:cs="Arial" w:eastAsia="Arial" w:hAnsi="Arial"/>
          <w:sz w:val="18"/>
          <w:szCs w:val="18"/>
          <w:color w:val="auto"/>
        </w:rPr>
      </w:pPr>
    </w:p>
    <w:p>
      <w:pPr>
        <w:ind w:right="80" w:firstLine="1305"/>
        <w:spacing w:after="0" w:line="264" w:lineRule="auto"/>
        <w:tabs>
          <w:tab w:leader="none" w:pos="1611"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the State of New York applicable to contracts made and to be performed in the State of New York. The parties hereto each hereby waive any right to trial by jury in any action, proceeding or counterclaim arising out of or relating to this Agreement.</w:t>
      </w:r>
    </w:p>
    <w:p>
      <w:pPr>
        <w:spacing w:after="0" w:line="181" w:lineRule="exact"/>
        <w:rPr>
          <w:rFonts w:ascii="Arial" w:cs="Arial" w:eastAsia="Arial" w:hAnsi="Arial"/>
          <w:sz w:val="18"/>
          <w:szCs w:val="18"/>
          <w:color w:val="auto"/>
        </w:rPr>
      </w:pPr>
    </w:p>
    <w:p>
      <w:pPr>
        <w:ind w:right="60" w:firstLine="1305"/>
        <w:spacing w:after="0" w:line="259" w:lineRule="auto"/>
        <w:tabs>
          <w:tab w:leader="none" w:pos="1611"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of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sectPr>
          <w:pgSz w:w="11900" w:h="16838" w:orient="portrait"/>
          <w:cols w:equalWidth="0" w:num="1">
            <w:col w:w="11420"/>
          </w:cols>
          <w:pgMar w:left="240" w:top="125" w:right="239" w:bottom="55"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69" w:name="page70"/>
    <w:bookmarkEnd w:id="69"/>
    <w:p>
      <w:pPr>
        <w:ind w:right="280" w:firstLine="1305"/>
        <w:spacing w:after="0" w:line="302" w:lineRule="auto"/>
        <w:tabs>
          <w:tab w:leader="none" w:pos="1611"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Securities Held by the Issuers</w:t>
      </w:r>
      <w:r>
        <w:rPr>
          <w:rFonts w:ascii="Arial" w:cs="Arial" w:eastAsia="Arial" w:hAnsi="Arial"/>
          <w:sz w:val="16"/>
          <w:szCs w:val="16"/>
          <w:color w:val="auto"/>
        </w:rPr>
        <w:t>. Whenever the consent or approval of Holders of a specified percentage of principal amount of Securities or Exchange Notes is required hereunder, Securities or Exchange Notes, as applicable, held by any Issuer or its Affiliates (other than subsequent Holders of Securities or Exchange Notes if such subsequent Holders are deemed to be Affiliates solely by reason of their holdings of such Securities or Exchange Notes) shall not be counted in determining whether such consent or approval was given by the Holders of such required percentage.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Agreement and your acceptance shall represent a binding agreement between the Issuers and the several Initial Purchasers.</w:t>
      </w:r>
    </w:p>
    <w:p>
      <w:pPr>
        <w:spacing w:after="0" w:line="3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OPERATING LLC</w:t>
      </w:r>
      <w:r>
        <w:rPr>
          <w:rFonts w:ascii="Arial" w:cs="Arial" w:eastAsia="Arial" w:hAnsi="Arial"/>
          <w:sz w:val="18"/>
          <w:szCs w:val="18"/>
          <w:color w:val="auto"/>
        </w:rPr>
        <w:t>, as Issuer</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Sotos</w:t>
            </w:r>
          </w:p>
        </w:tc>
      </w:tr>
      <w:tr>
        <w:trPr>
          <w:trHeight w:val="195"/>
        </w:trPr>
        <w:tc>
          <w:tcPr>
            <w:tcW w:w="480" w:type="dxa"/>
            <w:vAlign w:val="bottom"/>
          </w:tcPr>
          <w:p>
            <w:pPr>
              <w:spacing w:after="0"/>
              <w:rPr>
                <w:sz w:val="16"/>
                <w:szCs w:val="16"/>
                <w:color w:val="auto"/>
              </w:rPr>
            </w:pPr>
          </w:p>
        </w:tc>
        <w:tc>
          <w:tcPr>
            <w:tcW w:w="11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ind w:left="80"/>
              <w:spacing w:after="0" w:line="195" w:lineRule="exact"/>
              <w:rPr>
                <w:sz w:val="20"/>
                <w:szCs w:val="20"/>
                <w:color w:val="auto"/>
              </w:rPr>
            </w:pPr>
            <w:r>
              <w:rPr>
                <w:rFonts w:ascii="Arial" w:cs="Arial" w:eastAsia="Arial" w:hAnsi="Arial"/>
                <w:sz w:val="18"/>
                <w:szCs w:val="18"/>
                <w:color w:val="auto"/>
              </w:rPr>
              <w:t>Christopher S. Sotos</w:t>
            </w:r>
          </w:p>
        </w:tc>
      </w:tr>
      <w:tr>
        <w:trPr>
          <w:trHeight w:val="230"/>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864"/>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NRG YIELD LLC</w:t>
            </w:r>
            <w:r>
              <w:rPr>
                <w:rFonts w:ascii="Arial" w:cs="Arial" w:eastAsia="Arial" w:hAnsi="Arial"/>
                <w:sz w:val="18"/>
                <w:szCs w:val="18"/>
                <w:color w:val="auto"/>
              </w:rPr>
              <w:t>, as Parent Guarantor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Brian Curci</w:t>
            </w:r>
          </w:p>
        </w:tc>
        <w:tc>
          <w:tcPr>
            <w:tcW w:w="4100" w:type="dxa"/>
            <w:vAlign w:val="bottom"/>
            <w:tcBorders>
              <w:bottom w:val="single" w:sz="8" w:color="auto"/>
            </w:tcBorders>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11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ind w:left="80"/>
              <w:spacing w:after="0" w:line="195" w:lineRule="exact"/>
              <w:rPr>
                <w:sz w:val="20"/>
                <w:szCs w:val="20"/>
                <w:color w:val="auto"/>
              </w:rPr>
            </w:pPr>
            <w:r>
              <w:rPr>
                <w:rFonts w:ascii="Arial" w:cs="Arial" w:eastAsia="Arial" w:hAnsi="Arial"/>
                <w:sz w:val="18"/>
                <w:szCs w:val="18"/>
                <w:color w:val="auto"/>
              </w:rPr>
              <w:t>Brian Curci</w:t>
            </w:r>
          </w:p>
        </w:tc>
      </w:tr>
      <w:tr>
        <w:trPr>
          <w:trHeight w:val="230"/>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ALTA WIND 1-5 HOLDING COMPANY,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ALTA WIND COMPANY,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ENERGY CENTER OMAHA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ENERGY CENTER OMAHA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NYLD FUEL CELL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SOUTH TRENT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DGPV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RPV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UB FUEL CELL, LLC</w:t>
      </w:r>
      <w:r>
        <w:rPr>
          <w:rFonts w:ascii="Arial" w:cs="Arial" w:eastAsia="Arial" w:hAnsi="Arial"/>
          <w:sz w:val="18"/>
          <w:szCs w:val="18"/>
          <w:color w:val="auto"/>
        </w:rPr>
        <w:t>, as Subsidiary Guarantors</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Sotos</w:t>
            </w:r>
          </w:p>
        </w:tc>
      </w:tr>
      <w:tr>
        <w:trPr>
          <w:trHeight w:val="195"/>
        </w:trPr>
        <w:tc>
          <w:tcPr>
            <w:tcW w:w="12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Christopher S. Sotos</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8"/>
          <w:szCs w:val="18"/>
          <w:b w:val="1"/>
          <w:bCs w:val="1"/>
          <w:color w:val="auto"/>
        </w:rPr>
        <w:t>.P. MORGAN SECURITIES LLC</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Acting on behalf of itself</w:t>
      </w:r>
    </w:p>
    <w:p>
      <w:pPr>
        <w:spacing w:after="0" w:line="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and as the Representative of</w:t>
      </w:r>
    </w:p>
    <w:p>
      <w:pPr>
        <w:spacing w:after="0" w:line="9" w:lineRule="exact"/>
        <w:rPr>
          <w:sz w:val="20"/>
          <w:szCs w:val="20"/>
          <w:color w:val="auto"/>
        </w:rPr>
      </w:pPr>
    </w:p>
    <w:p>
      <w:pPr>
        <w:jc w:val="center"/>
        <w:ind w:right="8980"/>
        <w:spacing w:after="0"/>
        <w:rPr>
          <w:sz w:val="20"/>
          <w:szCs w:val="20"/>
          <w:color w:val="auto"/>
        </w:rPr>
      </w:pPr>
      <w:r>
        <w:rPr>
          <w:rFonts w:ascii="Arial" w:cs="Arial" w:eastAsia="Arial" w:hAnsi="Arial"/>
          <w:sz w:val="18"/>
          <w:szCs w:val="18"/>
          <w:color w:val="auto"/>
        </w:rPr>
        <w:t>the several Initial Purchasers</w:t>
      </w:r>
    </w:p>
    <w:p>
      <w:pPr>
        <w:spacing w:after="0" w:line="9" w:lineRule="exact"/>
        <w:rPr>
          <w:sz w:val="20"/>
          <w:szCs w:val="20"/>
          <w:color w:val="auto"/>
        </w:rPr>
      </w:pPr>
    </w:p>
    <w:p>
      <w:pPr>
        <w:jc w:val="center"/>
        <w:ind w:right="9080"/>
        <w:spacing w:after="0"/>
        <w:rPr>
          <w:sz w:val="20"/>
          <w:szCs w:val="20"/>
          <w:color w:val="auto"/>
        </w:rPr>
      </w:pPr>
      <w:r>
        <w:rPr>
          <w:rFonts w:ascii="Arial" w:cs="Arial" w:eastAsia="Arial" w:hAnsi="Arial"/>
          <w:sz w:val="16"/>
          <w:szCs w:val="16"/>
          <w:color w:val="auto"/>
        </w:rPr>
        <w:t>By: J.P. Morgan Securities LLC</w:t>
      </w:r>
    </w:p>
    <w:p>
      <w:pPr>
        <w:spacing w:after="0" w:line="200" w:lineRule="exact"/>
        <w:rPr>
          <w:sz w:val="20"/>
          <w:szCs w:val="20"/>
          <w:color w:val="auto"/>
        </w:rPr>
      </w:pPr>
    </w:p>
    <w:p>
      <w:pPr>
        <w:spacing w:after="0" w:line="25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Brian A. Tramontozzi</w:t>
      </w:r>
    </w:p>
    <w:p>
      <w:pPr>
        <w:spacing w:after="0" w:line="23" w:lineRule="exact"/>
        <w:rPr>
          <w:sz w:val="20"/>
          <w:szCs w:val="20"/>
          <w:color w:val="auto"/>
        </w:rPr>
      </w:pPr>
    </w:p>
    <w:p>
      <w:pPr>
        <w:ind w:left="500"/>
        <w:spacing w:after="0"/>
        <w:tabs>
          <w:tab w:leader="none" w:pos="1220" w:val="left"/>
        </w:tabs>
        <w:rPr>
          <w:sz w:val="20"/>
          <w:szCs w:val="20"/>
          <w:color w:val="auto"/>
        </w:rPr>
      </w:pPr>
      <w:r>
        <w:rPr>
          <w:rFonts w:ascii="Arial" w:cs="Arial" w:eastAsia="Arial" w:hAnsi="Arial"/>
          <w:sz w:val="18"/>
          <w:szCs w:val="18"/>
          <w:color w:val="auto"/>
        </w:rPr>
        <w:t>Name:</w:t>
        <w:tab/>
        <w:t>Brian A. Tramontozzi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tabs>
          <w:tab w:leader="none" w:pos="1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Initial Purchasers</w:t>
      </w:r>
    </w:p>
    <w:p>
      <w:pPr>
        <w:sectPr>
          <w:pgSz w:w="11900" w:h="16838" w:orient="portrait"/>
          <w:cols w:equalWidth="0" w:num="1">
            <w:col w:w="11420"/>
          </w:cols>
          <w:pgMar w:left="240" w:top="584" w:right="239" w:bottom="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Each Broker-Dealer that receives Exchange Notes for its own account pursuant to the Exchange Offer must acknowledge that it will deliver a Prospectus in connection with any resale of such Exchange Notes. The Letter of Transmittal states that by so acknowledging and by delivering a Prospectus, a Broker-Dealer will not be deemed to admit that it is an “underwriter” within the meaning of the Act. This Prospectus, as it may be amended or supplemented from time to time, may be used by a Broker-Dealer in connection with resales of Exchange Notes received in exchange for Securities where such Securities were acquired by such Broker-Dealer as a result of market-making activities or other trading activities. Each of the Company, Yield LLC and the Subsidiary Guarantors has agreed that, starting on the expiration date and ending on the close of business one year after the expiration date, it will make this Prospectus available, as amended or supplemented, to any Broker-Dealer for use in connection with any such resale. See “Plan of Distribution”.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Each broker-dealer that receives new securities for its own account in exchange for securities, where such securities were acquired by such broker-dealer as a result of market-making activities or other trading activities, must acknowledge that it will deliver a prospectus in connection with any resale of such new securities. See “Plan of Distribution”.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Securities where such Securities were acquired as a result of market-making activities or other trading activities. The Company, Yield LLC and each of the Subsidiary Guarantors has agreed that, starting on the expiration date and ending on the close of business one year after the expiration date, they will make this Prospectus, as amended or supplemented, available</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to any Broker-Dealer for use in connection with any such resale. In addition, until , 20 , all dealers effecting transactions in the Exchange Notes may be required to deliver a Prospectus.</w:t>
      </w:r>
    </w:p>
    <w:p>
      <w:pPr>
        <w:spacing w:after="0" w:line="184" w:lineRule="exact"/>
        <w:rPr>
          <w:sz w:val="20"/>
          <w:szCs w:val="20"/>
          <w:color w:val="auto"/>
        </w:rPr>
      </w:pPr>
    </w:p>
    <w:p>
      <w:pPr>
        <w:ind w:right="160" w:firstLine="1297"/>
        <w:spacing w:after="0" w:line="288" w:lineRule="auto"/>
        <w:rPr>
          <w:sz w:val="20"/>
          <w:szCs w:val="20"/>
          <w:color w:val="auto"/>
        </w:rPr>
      </w:pPr>
      <w:r>
        <w:rPr>
          <w:rFonts w:ascii="Arial" w:cs="Arial" w:eastAsia="Arial" w:hAnsi="Arial"/>
          <w:sz w:val="16"/>
          <w:szCs w:val="16"/>
          <w:color w:val="auto"/>
        </w:rPr>
        <w:t>The Company, Yield LLC and the Subsidiary Guarantors will not receive any proceeds from any sale of Exchange Notes by brokers-dealers.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Act and any profit of any such resale of Exchange Notes and any commissions or concessions received by any such Persons may be deemed to be underwriting compensation under the Act. The Letter of Transmittal states that by acknowledging that it will deliver and by delivering a Prospectus, a Broker-Dealer will not be deemed to admit that it is an “underwriter” within the meaning of the Act.</w:t>
      </w:r>
    </w:p>
    <w:p>
      <w:pPr>
        <w:spacing w:after="0" w:line="169"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For a period of one year after the expiration date, each of the Company, Yield LLC and the Subsidiary Guarantors will promptly send additional copies of this Prospectus and any amendment or supplement to this Prospectus to any Broker-Dealer that requests such documents in the Letter of Transmittal. Each of the company and the guarantors has agreed to pay all expenses incident to the Exchange Offer (including the expenses of one counsel for the Holders of the Securities) other than commissions or concessions of any brokers or dealers and will indemnify the Holders of the Securities (including any Broker-Dealers) against certain liabilities, including liabilities under the Act.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applicable, add information required by Regulation S-K Items 507 and/or 508.]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71" w:name="page72"/>
    <w:bookmarkEnd w:id="71"/>
    <w:p>
      <w:pPr>
        <w:jc w:val="center"/>
        <w:ind w:right="-79"/>
        <w:spacing w:after="0"/>
        <w:rPr>
          <w:sz w:val="20"/>
          <w:szCs w:val="20"/>
          <w:color w:val="auto"/>
        </w:rPr>
      </w:pPr>
      <w:r>
        <w:rPr>
          <w:rFonts w:ascii="Arial" w:cs="Arial" w:eastAsia="Arial" w:hAnsi="Arial"/>
          <w:sz w:val="18"/>
          <w:szCs w:val="18"/>
          <w:b w:val="1"/>
          <w:bCs w:val="1"/>
          <w:color w:val="auto"/>
        </w:rPr>
        <w:t>ANNEX 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Rider A</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PLEASE FILL IN YOUR NAME AND ADDRESS BELOW IF YOU ARE A BROKER-DEALER AND WISH TO RECEIVE 10 ADDITIONAL COPIES OF THE PROSPECTUS AND 10 COPIES OF ANY AMENDMENTS OR SUPPLEMENTS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Rider B</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the undersigned is not a Broker-Dealer, the undersigned represents that it acquired the Exchange Notes in the ordinary course of its business, it is not engaged in, and does not intend to engage in, a distribution of Exchange Notes and it has no arrangements or understandings with any Person to participate in a distribution of the Exchange Notes. If the undersigned is a Broker-Dealer that will receive Exchange Notes for its own account in exchange for Securities, it represents that the Securities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the undersigned will not be deemed to admit that it is an “underwriter” within the meaning of the Act.</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72" w:name="page73"/>
    <w:bookmarkEnd w:id="72"/>
    <w:p>
      <w:pPr>
        <w:ind w:left="10480"/>
        <w:spacing w:after="0"/>
        <w:rPr>
          <w:sz w:val="20"/>
          <w:szCs w:val="20"/>
          <w:color w:val="auto"/>
        </w:rPr>
      </w:pPr>
      <w:r>
        <w:rPr>
          <w:rFonts w:ascii="Arial" w:cs="Arial" w:eastAsia="Arial" w:hAnsi="Arial"/>
          <w:sz w:val="17"/>
          <w:szCs w:val="17"/>
          <w:b w:val="1"/>
          <w:bCs w:val="1"/>
          <w:color w:val="auto"/>
        </w:rPr>
        <w:t>Exhibit 99.1</w:t>
      </w:r>
    </w:p>
    <w:p>
      <w:pPr>
        <w:spacing w:after="0" w:line="241" w:lineRule="exact"/>
        <w:rPr>
          <w:sz w:val="20"/>
          <w:szCs w:val="20"/>
          <w:color w:val="auto"/>
        </w:rPr>
      </w:pPr>
    </w:p>
    <w:p>
      <w:pPr>
        <w:ind w:left="10640"/>
        <w:spacing w:after="0"/>
        <w:rPr>
          <w:sz w:val="20"/>
          <w:szCs w:val="20"/>
          <w:color w:val="auto"/>
        </w:rPr>
      </w:pPr>
      <w:r>
        <w:rPr>
          <w:rFonts w:ascii="Arial" w:cs="Arial" w:eastAsia="Arial" w:hAnsi="Arial"/>
          <w:sz w:val="18"/>
          <w:szCs w:val="18"/>
          <w:color w:val="auto"/>
        </w:rPr>
        <w:t>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955165" cy="514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55165" cy="514350"/>
                    </a:xfrm>
                    <a:prstGeom prst="rect">
                      <a:avLst/>
                    </a:prstGeom>
                    <a:noFill/>
                  </pic:spPr>
                </pic:pic>
              </a:graphicData>
            </a:graphic>
          </wp:anchor>
        </w:drawing>
      </w:r>
    </w:p>
    <w:p>
      <w:pPr>
        <w:spacing w:after="0" w:line="3" w:lineRule="exact"/>
        <w:rPr>
          <w:sz w:val="20"/>
          <w:szCs w:val="20"/>
          <w:color w:val="auto"/>
        </w:rPr>
      </w:pPr>
    </w:p>
    <w:p>
      <w:pPr>
        <w:ind w:left="10640"/>
        <w:spacing w:after="0"/>
        <w:rPr>
          <w:sz w:val="20"/>
          <w:szCs w:val="20"/>
          <w:color w:val="auto"/>
        </w:rPr>
      </w:pPr>
      <w:r>
        <w:rPr>
          <w:rFonts w:ascii="Arial" w:cs="Arial" w:eastAsia="Arial" w:hAnsi="Arial"/>
          <w:sz w:val="17"/>
          <w:szCs w:val="17"/>
          <w:color w:val="auto"/>
        </w:rPr>
        <w:t>RELEASE</w:t>
      </w:r>
    </w:p>
    <w:p>
      <w:pPr>
        <w:spacing w:after="0" w:line="200" w:lineRule="exact"/>
        <w:rPr>
          <w:sz w:val="20"/>
          <w:szCs w:val="20"/>
          <w:color w:val="auto"/>
        </w:rPr>
      </w:pPr>
    </w:p>
    <w:p>
      <w:pPr>
        <w:spacing w:after="0" w:line="39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NRG Yield Operating LLC, a Subsidiary of NRG Yield,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Announces Closing of Offering of $350.0 Million Senior Notes</w:t>
      </w:r>
    </w:p>
    <w:p>
      <w:pPr>
        <w:spacing w:after="0" w:line="207"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color w:val="auto"/>
        </w:rPr>
        <w:t xml:space="preserve">PRINCETON, NJ; August 18, 2016 </w:t>
      </w:r>
      <w:r>
        <w:rPr>
          <w:rFonts w:ascii="Arial" w:cs="Arial" w:eastAsia="Arial" w:hAnsi="Arial"/>
          <w:sz w:val="16"/>
          <w:szCs w:val="16"/>
          <w:b w:val="1"/>
          <w:bCs w:val="1"/>
          <w:color w:val="auto"/>
        </w:rPr>
        <w:t>—</w:t>
      </w:r>
      <w:r>
        <w:rPr>
          <w:rFonts w:ascii="Arial" w:cs="Arial" w:eastAsia="Arial" w:hAnsi="Arial"/>
          <w:sz w:val="16"/>
          <w:szCs w:val="16"/>
          <w:color w:val="auto"/>
        </w:rPr>
        <w:t xml:space="preserve"> NRG Yield Operating LLC (“Yield Operating”), a subsidiary of NRG Yield, Inc. (NYSE: NYLD, NYLD.A) (“NRG Yield”), today announced that it has closed its previously announced offering of $350.0 million in aggregate principal amount of senior 5.000% notes due 2026 (the “Notes”). The Notes are senior unsecured obligations of Yield Operating and are guaranteed by NRG Yield LLC, Yield Operating’s parent company, and by each of Yield Operating’s wholly owned current and future subsidiaries that guarantees indebtedness under its credit agreement.</w:t>
      </w:r>
    </w:p>
    <w:p>
      <w:pPr>
        <w:spacing w:after="0" w:line="15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Yield Operating intends to use the proceeds of the offering to repay all outstanding borrowings under its revolving credit facility, and the remaining net proceeds will be used for general corporate purposes, including the funding of acquisitions and investments.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Notes and related guarantees were offered only to qualified institutional buyers in reliance on Rule 144A under the Securities Act of 1933, as amended (the “Securities Act”), or outside the United States to persons other than “U.S. persons” in compliance with Regulation S under the Securities Act. The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nor a solicitation for an offer to purchase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Our thermal infrastructure assets provide steam, hot and/or chilled water, and in some instances electricity, to commercial businesses, universities, hospitals and governmental units in multiple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locations. NRG Yield’s Class C and Class A common stock are traded on the New York Stock Exchange under the symbols NYLD and NYLD.A,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“believe” and similar terms. Although NRG Yield believes that its expectations are reasonable, it can give no assurance that these expectations will prove to be correct, and actual results may vary materially. Factors that could cause actual results to differ materially from those contemplated herein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 the condition of capital markets generally, our ability to access capital markets, unanticipated outages at our generation facilities, adverse results in current and future litigation, failure to identify or successfully execute acquisitions, our ability to enter into new contracts as existing contracts expire, our ability to acquire assets from NRG Energy, Inc. or third parties, our ability to maintain or create successful partnering relationships with NRG Energy, Inc. and other third parties, our ability to close drop-down transactions, and our ability to maintain and grow our quarterly dividends. Furthermore, any dividends are subject to available capital, market conditions, and compliance with associated laws and regulations.</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NRG Yield undertakes no obligation to update or revise any forward-looking statements, whether as a result of new information, future events or otherwise. The foregoing review of factors that could cause NRG Yield’s actual results to differ materially from those contemplated in the forward-looking statements included in this news release should be considered in connection with information regarding risks and uncertainties that may affect NRG Yield’s future results included in NRG Yield’s filings with the Securities and Exchange Commission at www.sec.gov.</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500" w:type="dxa"/>
            <w:vAlign w:val="bottom"/>
          </w:tcPr>
          <w:p>
            <w:pPr>
              <w:jc w:val="right"/>
              <w:ind w:right="5530"/>
              <w:spacing w:after="0"/>
              <w:rPr>
                <w:sz w:val="20"/>
                <w:szCs w:val="20"/>
                <w:color w:val="auto"/>
              </w:rPr>
            </w:pPr>
            <w:r>
              <w:rPr>
                <w:rFonts w:ascii="Arial" w:cs="Arial" w:eastAsia="Arial" w:hAnsi="Arial"/>
                <w:sz w:val="18"/>
                <w:szCs w:val="18"/>
                <w:color w:val="auto"/>
              </w:rPr>
              <w:t>###</w:t>
            </w:r>
          </w:p>
        </w:tc>
      </w:tr>
      <w:tr>
        <w:trPr>
          <w:trHeight w:val="432"/>
        </w:trPr>
        <w:tc>
          <w:tcPr>
            <w:tcW w:w="39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7500" w:type="dxa"/>
            <w:vAlign w:val="bottom"/>
          </w:tcPr>
          <w:p>
            <w:pPr>
              <w:spacing w:after="0"/>
              <w:rPr>
                <w:sz w:val="24"/>
                <w:szCs w:val="24"/>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w:t>
            </w:r>
          </w:p>
        </w:tc>
        <w:tc>
          <w:tcPr>
            <w:tcW w:w="7500" w:type="dxa"/>
            <w:vAlign w:val="bottom"/>
          </w:tcPr>
          <w:p>
            <w:pPr>
              <w:ind w:left="2200"/>
              <w:spacing w:after="0"/>
              <w:rPr>
                <w:sz w:val="20"/>
                <w:szCs w:val="20"/>
                <w:color w:val="auto"/>
              </w:rPr>
            </w:pPr>
            <w:r>
              <w:rPr>
                <w:rFonts w:ascii="Arial" w:cs="Arial" w:eastAsia="Arial" w:hAnsi="Arial"/>
                <w:sz w:val="18"/>
                <w:szCs w:val="18"/>
                <w:b w:val="1"/>
                <w:bCs w:val="1"/>
                <w:color w:val="auto"/>
              </w:rPr>
              <w:t>Investors</w:t>
            </w:r>
            <w:r>
              <w:rPr>
                <w:rFonts w:ascii="Arial" w:cs="Arial" w:eastAsia="Arial" w:hAnsi="Arial"/>
                <w:sz w:val="18"/>
                <w:szCs w:val="18"/>
                <w:color w:val="auto"/>
              </w:rPr>
              <w:t>:</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Karen Cleeve, 609-524-4608</w:t>
            </w:r>
          </w:p>
        </w:tc>
        <w:tc>
          <w:tcPr>
            <w:tcW w:w="7500" w:type="dxa"/>
            <w:vAlign w:val="bottom"/>
          </w:tcPr>
          <w:p>
            <w:pPr>
              <w:ind w:left="2200"/>
              <w:spacing w:after="0"/>
              <w:rPr>
                <w:sz w:val="20"/>
                <w:szCs w:val="20"/>
                <w:color w:val="auto"/>
              </w:rPr>
            </w:pPr>
            <w:r>
              <w:rPr>
                <w:rFonts w:ascii="Arial" w:cs="Arial" w:eastAsia="Arial" w:hAnsi="Arial"/>
                <w:sz w:val="18"/>
                <w:szCs w:val="18"/>
                <w:color w:val="auto"/>
              </w:rPr>
              <w:t>Kevin L. Cole, CFA, 609-524-4526</w:t>
            </w:r>
          </w:p>
        </w:tc>
      </w:tr>
      <w:tr>
        <w:trPr>
          <w:trHeight w:val="432"/>
        </w:trPr>
        <w:tc>
          <w:tcPr>
            <w:tcW w:w="3960" w:type="dxa"/>
            <w:vAlign w:val="bottom"/>
          </w:tcPr>
          <w:p>
            <w:pPr>
              <w:spacing w:after="0"/>
              <w:rPr>
                <w:sz w:val="24"/>
                <w:szCs w:val="24"/>
                <w:color w:val="auto"/>
              </w:rPr>
            </w:pPr>
          </w:p>
        </w:tc>
        <w:tc>
          <w:tcPr>
            <w:tcW w:w="7500" w:type="dxa"/>
            <w:vAlign w:val="bottom"/>
          </w:tcPr>
          <w:p>
            <w:pPr>
              <w:jc w:val="right"/>
              <w:ind w:right="5610"/>
              <w:spacing w:after="0"/>
              <w:rPr>
                <w:sz w:val="20"/>
                <w:szCs w:val="20"/>
                <w:color w:val="auto"/>
              </w:rPr>
            </w:pPr>
            <w:r>
              <w:rPr>
                <w:rFonts w:ascii="Arial" w:cs="Arial" w:eastAsia="Arial" w:hAnsi="Arial"/>
                <w:sz w:val="18"/>
                <w:szCs w:val="18"/>
                <w:color w:val="auto"/>
              </w:rPr>
              <w:t>2</w:t>
            </w:r>
          </w:p>
        </w:tc>
      </w:tr>
      <w:tr>
        <w:trPr>
          <w:trHeight w:val="132"/>
        </w:trPr>
        <w:tc>
          <w:tcPr>
            <w:tcW w:w="3960" w:type="dxa"/>
            <w:vAlign w:val="bottom"/>
            <w:tcBorders>
              <w:bottom w:val="single" w:sz="8" w:color="808080"/>
            </w:tcBorders>
          </w:tcPr>
          <w:p>
            <w:pPr>
              <w:spacing w:after="0"/>
              <w:rPr>
                <w:sz w:val="11"/>
                <w:szCs w:val="11"/>
                <w:color w:val="auto"/>
              </w:rPr>
            </w:pPr>
          </w:p>
        </w:tc>
        <w:tc>
          <w:tcPr>
            <w:tcW w:w="7500" w:type="dxa"/>
            <w:vAlign w:val="bottom"/>
            <w:tcBorders>
              <w:bottom w:val="single" w:sz="8" w:color="808080"/>
            </w:tcBorders>
          </w:tcPr>
          <w:p>
            <w:pPr>
              <w:spacing w:after="0"/>
              <w:rPr>
                <w:sz w:val="11"/>
                <w:szCs w:val="11"/>
                <w:color w:val="auto"/>
              </w:rPr>
            </w:pPr>
          </w:p>
        </w:tc>
      </w:tr>
      <w:tr>
        <w:trPr>
          <w:trHeight w:val="780"/>
        </w:trPr>
        <w:tc>
          <w:tcPr>
            <w:tcW w:w="3960" w:type="dxa"/>
            <w:vAlign w:val="bottom"/>
          </w:tcPr>
          <w:p>
            <w:pPr>
              <w:spacing w:after="0"/>
              <w:rPr>
                <w:sz w:val="20"/>
                <w:szCs w:val="20"/>
                <w:color w:val="auto"/>
              </w:rPr>
            </w:pPr>
            <w:r>
              <w:rPr>
                <w:rFonts w:ascii="Arial" w:cs="Arial" w:eastAsia="Arial" w:hAnsi="Arial"/>
                <w:sz w:val="18"/>
                <w:szCs w:val="18"/>
                <w:color w:val="auto"/>
              </w:rPr>
              <w:t>Marijke Shugrue, 609-524-5262</w:t>
            </w:r>
          </w:p>
        </w:tc>
        <w:tc>
          <w:tcPr>
            <w:tcW w:w="7500" w:type="dxa"/>
            <w:vAlign w:val="bottom"/>
          </w:tcPr>
          <w:p>
            <w:pPr>
              <w:ind w:left="2200"/>
              <w:spacing w:after="0"/>
              <w:rPr>
                <w:sz w:val="20"/>
                <w:szCs w:val="20"/>
                <w:color w:val="auto"/>
              </w:rPr>
            </w:pPr>
            <w:r>
              <w:rPr>
                <w:rFonts w:ascii="Arial" w:cs="Arial" w:eastAsia="Arial" w:hAnsi="Arial"/>
                <w:sz w:val="18"/>
                <w:szCs w:val="18"/>
                <w:color w:val="auto"/>
              </w:rPr>
              <w:t>Lindsey Puchyr, 609-524-4527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530" w:gutter="0" w:footer="0" w:header="0"/>
        </w:sect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5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7E1B4E"/>
    <w:multiLevelType w:val="hybridMultilevel"/>
    <w:lvl w:ilvl="0">
      <w:lvlJc w:val="left"/>
      <w:lvlText w:val="o"/>
      <w:numFmt w:val="bullet"/>
      <w:start w:val="1"/>
    </w:lvl>
  </w:abstractNum>
  <w:abstractNum w:abstractNumId="1">
    <w:nsid w:val="51088277"/>
    <w:multiLevelType w:val="hybridMultilevel"/>
    <w:lvl w:ilvl="0">
      <w:lvlJc w:val="left"/>
      <w:lvlText w:val="(%1)"/>
      <w:numFmt w:val="lowerLetter"/>
      <w:start w:val="4"/>
    </w:lvl>
  </w:abstractNum>
  <w:abstractNum w:abstractNumId="2">
    <w:nsid w:val="1CA0C5FA"/>
    <w:multiLevelType w:val="hybridMultilevel"/>
    <w:lvl w:ilvl="0">
      <w:lvlJc w:val="left"/>
      <w:lvlText w:val="(%1)"/>
      <w:numFmt w:val="decimal"/>
      <w:start w:val="1"/>
    </w:lvl>
  </w:abstractNum>
  <w:abstractNum w:abstractNumId="3">
    <w:nsid w:val="53584BCB"/>
    <w:multiLevelType w:val="hybridMultilevel"/>
    <w:lvl w:ilvl="0">
      <w:lvlJc w:val="left"/>
      <w:lvlText w:val="(%1)"/>
      <w:numFmt w:val="decimal"/>
      <w:start w:val="4"/>
    </w:lvl>
  </w:abstractNum>
  <w:abstractNum w:abstractNumId="4">
    <w:nsid w:val="415E286C"/>
    <w:multiLevelType w:val="hybridMultilevel"/>
    <w:lvl w:ilvl="0">
      <w:lvlJc w:val="left"/>
      <w:lvlText w:val="(%1)"/>
      <w:numFmt w:val="decimal"/>
      <w:start w:val="6"/>
    </w:lvl>
  </w:abstractNum>
  <w:abstractNum w:abstractNumId="5">
    <w:nsid w:val="7C58FD05"/>
    <w:multiLevelType w:val="hybridMultilevel"/>
    <w:lvl w:ilvl="0">
      <w:lvlJc w:val="left"/>
      <w:lvlText w:val="(%1)"/>
      <w:numFmt w:val="decimal"/>
      <w:start w:val="1"/>
    </w:lvl>
  </w:abstractNum>
  <w:abstractNum w:abstractNumId="6">
    <w:nsid w:val="23D86AAC"/>
    <w:multiLevelType w:val="hybridMultilevel"/>
    <w:lvl w:ilvl="0">
      <w:lvlJc w:val="left"/>
      <w:lvlText w:val="(%1)"/>
      <w:numFmt w:val="decimal"/>
      <w:start w:val="4"/>
    </w:lvl>
  </w:abstractNum>
  <w:abstractNum w:abstractNumId="7">
    <w:nsid w:val="45E6D486"/>
    <w:multiLevelType w:val="hybridMultilevel"/>
    <w:lvl w:ilvl="0">
      <w:lvlJc w:val="left"/>
      <w:lvlText w:val="(%1)"/>
      <w:numFmt w:val="decimal"/>
      <w:start w:val="1"/>
    </w:lvl>
    <w:lvl w:ilvl="1">
      <w:lvlJc w:val="left"/>
      <w:lvlText w:val="(%2)"/>
      <w:numFmt w:val="lowerLetter"/>
      <w:start w:val="1"/>
    </w:lvl>
  </w:abstractNum>
  <w:abstractNum w:abstractNumId="8">
    <w:nsid w:val="5C10FE21"/>
    <w:multiLevelType w:val="hybridMultilevel"/>
    <w:lvl w:ilvl="0">
      <w:lvlJc w:val="left"/>
      <w:lvlText w:val="(%1)"/>
      <w:numFmt w:val="decimal"/>
      <w:start w:val="1"/>
    </w:lvl>
  </w:abstractNum>
  <w:abstractNum w:abstractNumId="9">
    <w:nsid w:val="E7FFA2B"/>
    <w:multiLevelType w:val="hybridMultilevel"/>
    <w:lvl w:ilvl="0">
      <w:lvlJc w:val="left"/>
      <w:lvlText w:val="(%1)"/>
      <w:numFmt w:val="decimal"/>
      <w:start w:val="2"/>
    </w:lvl>
  </w:abstractNum>
  <w:abstractNum w:abstractNumId="10">
    <w:nsid w:val="3C5991AA"/>
    <w:multiLevelType w:val="hybridMultilevel"/>
    <w:lvl w:ilvl="0">
      <w:lvlJc w:val="left"/>
      <w:lvlText w:val="(%1)"/>
      <w:numFmt w:val="decimal"/>
      <w:start w:val="1"/>
    </w:lvl>
  </w:abstractNum>
  <w:abstractNum w:abstractNumId="11">
    <w:nsid w:val="4BD8591A"/>
    <w:multiLevelType w:val="hybridMultilevel"/>
    <w:lvl w:ilvl="0">
      <w:lvlJc w:val="left"/>
      <w:lvlText w:val="(%1)"/>
      <w:numFmt w:val="decimal"/>
      <w:start w:val="1"/>
    </w:lvl>
  </w:abstractNum>
  <w:abstractNum w:abstractNumId="12">
    <w:nsid w:val="78DF6A55"/>
    <w:multiLevelType w:val="hybridMultilevel"/>
    <w:lvl w:ilvl="0">
      <w:lvlJc w:val="left"/>
      <w:lvlText w:val="(%1)"/>
      <w:numFmt w:val="decimal"/>
      <w:start w:val="3"/>
    </w:lvl>
  </w:abstractNum>
  <w:abstractNum w:abstractNumId="13">
    <w:nsid w:val="39B7AAA2"/>
    <w:multiLevelType w:val="hybridMultilevel"/>
    <w:lvl w:ilvl="0">
      <w:lvlJc w:val="left"/>
      <w:lvlText w:val="(%1)"/>
      <w:numFmt w:val="decimal"/>
      <w:start w:val="1"/>
    </w:lvl>
  </w:abstractNum>
  <w:abstractNum w:abstractNumId="14">
    <w:nsid w:val="2B0D8DBE"/>
    <w:multiLevelType w:val="hybridMultilevel"/>
    <w:lvl w:ilvl="0">
      <w:lvlJc w:val="left"/>
      <w:lvlText w:val="(%1)"/>
      <w:numFmt w:val="decimal"/>
      <w:start w:val="1"/>
    </w:lvl>
  </w:abstractNum>
  <w:abstractNum w:abstractNumId="15">
    <w:nsid w:val="6C80EC70"/>
    <w:multiLevelType w:val="hybridMultilevel"/>
    <w:lvl w:ilvl="0">
      <w:lvlJc w:val="left"/>
      <w:lvlText w:val="(%1)"/>
      <w:numFmt w:val="decimal"/>
      <w:start w:val="1"/>
    </w:lvl>
  </w:abstractNum>
  <w:abstractNum w:abstractNumId="16">
    <w:nsid w:val="379E21B5"/>
    <w:multiLevelType w:val="hybridMultilevel"/>
    <w:lvl w:ilvl="0">
      <w:lvlJc w:val="left"/>
      <w:lvlText w:val="(%1)"/>
      <w:numFmt w:val="decimal"/>
      <w:start w:val="1"/>
    </w:lvl>
  </w:abstractNum>
  <w:abstractNum w:abstractNumId="17">
    <w:nsid w:val="69E373"/>
    <w:multiLevelType w:val="hybridMultilevel"/>
    <w:lvl w:ilvl="0">
      <w:lvlJc w:val="left"/>
      <w:lvlText w:val="(%1)"/>
      <w:numFmt w:val="decimal"/>
      <w:start w:val="3"/>
    </w:lvl>
  </w:abstractNum>
  <w:abstractNum w:abstractNumId="18">
    <w:nsid w:val="2C27173B"/>
    <w:multiLevelType w:val="hybridMultilevel"/>
    <w:lvl w:ilvl="0">
      <w:lvlJc w:val="left"/>
      <w:lvlText w:val="(%1)"/>
      <w:numFmt w:val="decimal"/>
      <w:start w:val="1"/>
    </w:lvl>
  </w:abstractNum>
  <w:abstractNum w:abstractNumId="19">
    <w:nsid w:val="4C9B0904"/>
    <w:multiLevelType w:val="hybridMultilevel"/>
    <w:lvl w:ilvl="0">
      <w:lvlJc w:val="left"/>
      <w:lvlText w:val="(%1)"/>
      <w:numFmt w:val="lowerLetter"/>
      <w:start w:val="1"/>
    </w:lvl>
  </w:abstractNum>
  <w:abstractNum w:abstractNumId="20">
    <w:nsid w:val="6AA7B75C"/>
    <w:multiLevelType w:val="hybridMultilevel"/>
    <w:lvl w:ilvl="0">
      <w:lvlJc w:val="left"/>
      <w:lvlText w:val="(%1)"/>
      <w:numFmt w:val="decimal"/>
      <w:start w:val="1"/>
    </w:lvl>
  </w:abstractNum>
  <w:abstractNum w:abstractNumId="21">
    <w:nsid w:val="1DF029D3"/>
    <w:multiLevelType w:val="hybridMultilevel"/>
    <w:lvl w:ilvl="0">
      <w:lvlJc w:val="left"/>
      <w:lvlText w:val="(%1)"/>
      <w:numFmt w:val="decimal"/>
      <w:start w:val="1"/>
    </w:lvl>
  </w:abstractNum>
  <w:abstractNum w:abstractNumId="22">
    <w:nsid w:val="5675FF36"/>
    <w:multiLevelType w:val="hybridMultilevel"/>
    <w:lvl w:ilvl="0">
      <w:lvlJc w:val="left"/>
      <w:lvlText w:val="(%1)"/>
      <w:numFmt w:val="decimal"/>
      <w:start w:val="1"/>
    </w:lvl>
  </w:abstractNum>
  <w:abstractNum w:abstractNumId="23">
    <w:nsid w:val="3DD15094"/>
    <w:multiLevelType w:val="hybridMultilevel"/>
    <w:lvl w:ilvl="0">
      <w:lvlJc w:val="left"/>
      <w:lvlText w:val="(%1)"/>
      <w:numFmt w:val="decimal"/>
      <w:start w:val="7"/>
    </w:lvl>
  </w:abstractNum>
  <w:abstractNum w:abstractNumId="24">
    <w:nsid w:val="3DB012B3"/>
    <w:multiLevelType w:val="hybridMultilevel"/>
    <w:lvl w:ilvl="0">
      <w:lvlJc w:val="left"/>
      <w:lvlText w:val="(%1)"/>
      <w:numFmt w:val="lowerLetter"/>
      <w:start w:val="1"/>
    </w:lvl>
  </w:abstractNum>
  <w:abstractNum w:abstractNumId="25">
    <w:nsid w:val="2708C9AF"/>
    <w:multiLevelType w:val="hybridMultilevel"/>
    <w:lvl w:ilvl="0">
      <w:lvlJc w:val="left"/>
      <w:lvlText w:val="(%1)"/>
      <w:numFmt w:val="decimal"/>
      <w:start w:val="1"/>
    </w:lvl>
  </w:abstractNum>
  <w:abstractNum w:abstractNumId="26">
    <w:nsid w:val="5B25ACE2"/>
    <w:multiLevelType w:val="hybridMultilevel"/>
    <w:lvl w:ilvl="0">
      <w:lvlJc w:val="left"/>
      <w:lvlText w:val="(%1)"/>
      <w:numFmt w:val="decimal"/>
      <w:start w:val="5"/>
    </w:lvl>
  </w:abstractNum>
  <w:abstractNum w:abstractNumId="27">
    <w:nsid w:val="175DFCF0"/>
    <w:multiLevelType w:val="hybridMultilevel"/>
    <w:lvl w:ilvl="0">
      <w:lvlJc w:val="left"/>
      <w:lvlText w:val="(%1)"/>
      <w:numFmt w:val="decimal"/>
      <w:start w:val="6"/>
    </w:lvl>
  </w:abstractNum>
  <w:abstractNum w:abstractNumId="28">
    <w:nsid w:val="4F97E3E4"/>
    <w:multiLevelType w:val="hybridMultilevel"/>
    <w:lvl w:ilvl="0">
      <w:lvlJc w:val="left"/>
      <w:lvlText w:val="(%1)"/>
      <w:numFmt w:val="decimal"/>
      <w:start w:val="18"/>
    </w:lvl>
  </w:abstractNum>
  <w:abstractNum w:abstractNumId="29">
    <w:nsid w:val="53B0A9E"/>
    <w:multiLevelType w:val="hybridMultilevel"/>
    <w:lvl w:ilvl="0">
      <w:lvlJc w:val="left"/>
      <w:lvlText w:val="(%1)"/>
      <w:numFmt w:val="lowerLetter"/>
      <w:start w:val="2"/>
    </w:lvl>
  </w:abstractNum>
  <w:abstractNum w:abstractNumId="30">
    <w:nsid w:val="34FD6B4F"/>
    <w:multiLevelType w:val="hybridMultilevel"/>
    <w:lvl w:ilvl="0">
      <w:lvlJc w:val="left"/>
      <w:lvlText w:val="(%1)"/>
      <w:numFmt w:val="lowerLetter"/>
      <w:start w:val="3"/>
    </w:lvl>
  </w:abstractNum>
  <w:abstractNum w:abstractNumId="31">
    <w:nsid w:val="5915FF32"/>
    <w:multiLevelType w:val="hybridMultilevel"/>
    <w:lvl w:ilvl="0">
      <w:lvlJc w:val="left"/>
      <w:lvlText w:val="(%1)"/>
      <w:numFmt w:val="lowerLetter"/>
      <w:start w:val="4"/>
    </w:lvl>
  </w:abstractNum>
  <w:abstractNum w:abstractNumId="32">
    <w:nsid w:val="56438D15"/>
    <w:multiLevelType w:val="hybridMultilevel"/>
    <w:lvl w:ilvl="0">
      <w:lvlJc w:val="left"/>
      <w:lvlText w:val="(%1)"/>
      <w:numFmt w:val="lowerLetter"/>
      <w:start w:val="1"/>
    </w:lvl>
    <w:lvl w:ilvl="1">
      <w:lvlJc w:val="left"/>
      <w:lvlText w:val="(%2)"/>
      <w:numFmt w:val="decimal"/>
      <w:start w:val="1"/>
    </w:lvl>
  </w:abstractNum>
  <w:abstractNum w:abstractNumId="33">
    <w:nsid w:val="519E3149"/>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34">
    <w:nsid w:val="2C6E4AFD"/>
    <w:multiLevelType w:val="hybridMultilevel"/>
    <w:lvl w:ilvl="0">
      <w:lvlJc w:val="left"/>
      <w:lvlText w:val="(%1)"/>
      <w:numFmt w:val="decimal"/>
      <w:start w:val="3"/>
    </w:lvl>
    <w:lvl w:ilvl="1">
      <w:lvlJc w:val="left"/>
      <w:lvlText w:val="(%2)"/>
      <w:numFmt w:val="upperLetter"/>
      <w:start w:val="1"/>
    </w:lvl>
  </w:abstractNum>
  <w:abstractNum w:abstractNumId="35">
    <w:nsid w:val="17A1B582"/>
    <w:multiLevelType w:val="hybridMultilevel"/>
    <w:lvl w:ilvl="0">
      <w:lvlJc w:val="left"/>
      <w:lvlText w:val="(%1)"/>
      <w:numFmt w:val="decimal"/>
      <w:start w:val="3"/>
    </w:lvl>
    <w:lvl w:ilvl="1">
      <w:lvlJc w:val="left"/>
      <w:lvlText w:val="(%2)"/>
      <w:numFmt w:val="upperLetter"/>
      <w:start w:val="1"/>
    </w:lvl>
  </w:abstractNum>
  <w:abstractNum w:abstractNumId="36">
    <w:nsid w:val="4DF72E4E"/>
    <w:multiLevelType w:val="hybridMultilevel"/>
    <w:lvl w:ilvl="0">
      <w:lvlJc w:val="left"/>
      <w:lvlText w:val="(%1)"/>
      <w:numFmt w:val="lowerRoman"/>
      <w:start w:val="1"/>
    </w:lvl>
  </w:abstractNum>
  <w:abstractNum w:abstractNumId="37">
    <w:nsid w:val="5046B5A9"/>
    <w:multiLevelType w:val="hybridMultilevel"/>
    <w:lvl w:ilvl="0">
      <w:lvlJc w:val="left"/>
      <w:lvlText w:val="(%1)"/>
      <w:numFmt w:val="lowerLetter"/>
      <w:start w:val="1"/>
    </w:lvl>
    <w:lvl w:ilvl="1">
      <w:lvlJc w:val="left"/>
      <w:lvlText w:val="(%2)"/>
      <w:numFmt w:val="lowerLetter"/>
      <w:start w:val="35"/>
    </w:lvl>
  </w:abstractNum>
  <w:abstractNum w:abstractNumId="38">
    <w:nsid w:val="5D888A08"/>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9">
    <w:nsid w:val="2A082C70"/>
    <w:multiLevelType w:val="hybridMultilevel"/>
    <w:lvl w:ilvl="0">
      <w:lvlJc w:val="left"/>
      <w:lvlText w:val="(%1)"/>
      <w:numFmt w:val="upperLetter"/>
      <w:start w:val="3"/>
    </w:lvl>
  </w:abstractNum>
  <w:abstractNum w:abstractNumId="40">
    <w:nsid w:val="5EC6AFD4"/>
    <w:multiLevelType w:val="hybridMultilevel"/>
    <w:lvl w:ilvl="0">
      <w:lvlJc w:val="left"/>
      <w:lvlText w:val="%1"/>
      <w:numFmt w:val="lowerLetter"/>
      <w:start w:val="1"/>
    </w:lvl>
    <w:lvl w:ilvl="1">
      <w:lvlJc w:val="left"/>
      <w:lvlText w:val="(%2)"/>
      <w:numFmt w:val="upperLetter"/>
      <w:start w:val="4"/>
    </w:lvl>
  </w:abstractNum>
  <w:abstractNum w:abstractNumId="41">
    <w:nsid w:val="19E21BB2"/>
    <w:multiLevelType w:val="hybridMultilevel"/>
    <w:lvl w:ilvl="0">
      <w:lvlJc w:val="left"/>
      <w:lvlText w:val="(%1)"/>
      <w:numFmt w:val="lowerLetter"/>
      <w:start w:val="1"/>
    </w:lvl>
    <w:lvl w:ilvl="1">
      <w:lvlJc w:val="left"/>
      <w:lvlText w:val="(%2)"/>
      <w:numFmt w:val="upperLetter"/>
      <w:start w:val="5"/>
    </w:lvl>
  </w:abstractNum>
  <w:abstractNum w:abstractNumId="42">
    <w:nsid w:val="75E0858A"/>
    <w:multiLevelType w:val="hybridMultilevel"/>
    <w:lvl w:ilvl="0">
      <w:lvlJc w:val="left"/>
      <w:lvlText w:val="(%1)"/>
      <w:numFmt w:val="decimal"/>
      <w:start w:val="2"/>
    </w:lvl>
    <w:lvl w:ilvl="1">
      <w:lvlJc w:val="left"/>
      <w:lvlText w:val="(%2)"/>
      <w:numFmt w:val="upperLetter"/>
      <w:start w:val="1"/>
    </w:lvl>
  </w:abstractNum>
  <w:abstractNum w:abstractNumId="43">
    <w:nsid w:val="57A61A29"/>
    <w:multiLevelType w:val="hybridMultilevel"/>
    <w:lvl w:ilvl="0">
      <w:lvlJc w:val="left"/>
      <w:lvlText w:val="(%1)"/>
      <w:numFmt w:val="lowerRoman"/>
      <w:start w:val="1"/>
    </w:lvl>
  </w:abstractNum>
  <w:abstractNum w:abstractNumId="44">
    <w:nsid w:val="5399C654"/>
    <w:multiLevelType w:val="hybridMultilevel"/>
    <w:lvl w:ilvl="0">
      <w:lvlJc w:val="left"/>
      <w:lvlText w:val="%1"/>
      <w:numFmt w:val="lowerLetter"/>
      <w:start w:val="1"/>
    </w:lvl>
    <w:lvl w:ilvl="1">
      <w:lvlJc w:val="left"/>
      <w:lvlText w:val="(%2)"/>
      <w:numFmt w:val="decimal"/>
      <w:start w:val="3"/>
    </w:lvl>
  </w:abstractNum>
  <w:abstractNum w:abstractNumId="45">
    <w:nsid w:val="20EE1348"/>
    <w:multiLevelType w:val="hybridMultilevel"/>
    <w:lvl w:ilvl="0">
      <w:lvlJc w:val="left"/>
      <w:lvlText w:val="(%1)"/>
      <w:numFmt w:val="lowerLetter"/>
      <w:start w:val="4"/>
    </w:lvl>
    <w:lvl w:ilvl="1">
      <w:lvlJc w:val="left"/>
      <w:lvlText w:val="%2"/>
      <w:numFmt w:val="decimal"/>
      <w:start w:val="1"/>
    </w:lvl>
  </w:abstractNum>
  <w:abstractNum w:abstractNumId="46">
    <w:nsid w:val="4427069A"/>
    <w:multiLevelType w:val="hybridMultilevel"/>
    <w:lvl w:ilvl="0">
      <w:lvlJc w:val="left"/>
      <w:lvlText w:val="(%1)"/>
      <w:numFmt w:val="decimal"/>
      <w:start w:val="1"/>
    </w:lvl>
    <w:lvl w:ilvl="1">
      <w:lvlJc w:val="left"/>
      <w:lvlText w:val="(%2)"/>
      <w:numFmt w:val="upperLetter"/>
      <w:start w:val="1"/>
    </w:lvl>
  </w:abstractNum>
  <w:abstractNum w:abstractNumId="47">
    <w:nsid w:val="B37E80A"/>
    <w:multiLevelType w:val="hybridMultilevel"/>
    <w:lvl w:ilvl="0">
      <w:lvlJc w:val="left"/>
      <w:lvlText w:val="%1"/>
      <w:numFmt w:val="lowerLetter"/>
      <w:start w:val="1"/>
    </w:lvl>
    <w:lvl w:ilvl="1">
      <w:lvlJc w:val="left"/>
      <w:lvlText w:val="(%2)"/>
      <w:numFmt w:val="upperLetter"/>
      <w:start w:val="3"/>
    </w:lvl>
  </w:abstractNum>
  <w:abstractNum w:abstractNumId="48">
    <w:nsid w:val="2157F6BC"/>
    <w:multiLevelType w:val="hybridMultilevel"/>
    <w:lvl w:ilvl="0">
      <w:lvlJc w:val="left"/>
      <w:lvlText w:val="(%1)"/>
      <w:numFmt w:val="lowerLetter"/>
      <w:start w:val="1"/>
    </w:lvl>
    <w:lvl w:ilvl="1">
      <w:lvlJc w:val="left"/>
      <w:lvlText w:val="(%2)"/>
      <w:numFmt w:val="upperLetter"/>
      <w:start w:val="5"/>
    </w:lvl>
  </w:abstractNum>
  <w:abstractNum w:abstractNumId="49">
    <w:nsid w:val="704E1DD5"/>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1"/>
    </w:lvl>
  </w:abstractNum>
  <w:abstractNum w:abstractNumId="50">
    <w:nsid w:val="57D2F10E"/>
    <w:multiLevelType w:val="hybridMultilevel"/>
    <w:lvl w:ilvl="0">
      <w:lvlJc w:val="left"/>
      <w:lvlText w:val="(%1)"/>
      <w:numFmt w:val="lowerRoman"/>
      <w:start w:val="1"/>
    </w:lvl>
  </w:abstractNum>
  <w:abstractNum w:abstractNumId="51">
    <w:nsid w:val="BFFAE18"/>
    <w:multiLevelType w:val="hybridMultilevel"/>
    <w:lvl w:ilvl="0">
      <w:lvlJc w:val="left"/>
      <w:lvlText w:val="(%1)"/>
      <w:numFmt w:val="decimal"/>
      <w:start w:val="3"/>
    </w:lvl>
  </w:abstractNum>
  <w:abstractNum w:abstractNumId="52">
    <w:nsid w:val="E3E47A8"/>
    <w:multiLevelType w:val="hybridMultilevel"/>
    <w:lvl w:ilvl="0">
      <w:lvlJc w:val="left"/>
      <w:lvlText w:val="(%1)"/>
      <w:numFmt w:val="lowerLetter"/>
      <w:start w:val="5"/>
    </w:lvl>
    <w:lvl w:ilvl="1">
      <w:lvlJc w:val="left"/>
      <w:lvlText w:val="(%2)"/>
      <w:numFmt w:val="decimal"/>
      <w:start w:val="1"/>
    </w:lvl>
  </w:abstractNum>
  <w:abstractNum w:abstractNumId="53">
    <w:nsid w:val="2E48F044"/>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54">
    <w:nsid w:val="49D0FEAC"/>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9"/>
    </w:lvl>
  </w:abstractNum>
  <w:abstractNum w:abstractNumId="55">
    <w:nsid w:val="4BEE5A5B"/>
    <w:multiLevelType w:val="hybridMultilevel"/>
    <w:lvl w:ilvl="0">
      <w:lvlJc w:val="left"/>
      <w:lvlText w:val="(%1)"/>
      <w:numFmt w:val="lowerRoman"/>
      <w:start w:val="2"/>
    </w:lvl>
  </w:abstractNum>
  <w:abstractNum w:abstractNumId="56">
    <w:nsid w:val="5551B9F3"/>
    <w:multiLevelType w:val="hybridMultilevel"/>
    <w:lvl w:ilvl="0">
      <w:lvlJc w:val="left"/>
      <w:lvlText w:val="%1"/>
      <w:numFmt w:val="lowerLetter"/>
      <w:start w:val="1"/>
    </w:lvl>
    <w:lvl w:ilvl="1">
      <w:lvlJc w:val="left"/>
      <w:lvlText w:val="(%2)"/>
      <w:numFmt w:val="decimal"/>
      <w:start w:val="3"/>
    </w:lvl>
  </w:abstractNum>
  <w:abstractNum w:abstractNumId="57">
    <w:nsid w:val="24F6AB8E"/>
    <w:multiLevelType w:val="hybridMultilevel"/>
    <w:lvl w:ilvl="0">
      <w:lvlJc w:val="left"/>
      <w:lvlText w:val="(%1)"/>
      <w:numFmt w:val="lowerLetter"/>
      <w:start w:val="6"/>
    </w:lvl>
    <w:lvl w:ilvl="1">
      <w:lvlJc w:val="left"/>
      <w:lvlText w:val="%2"/>
      <w:numFmt w:val="decimal"/>
      <w:start w:val="1"/>
    </w:lvl>
  </w:abstractNum>
  <w:abstractNum w:abstractNumId="58">
    <w:nsid w:val="634C574C"/>
    <w:multiLevelType w:val="hybridMultilevel"/>
    <w:lvl w:ilvl="0">
      <w:lvlJc w:val="left"/>
      <w:lvlText w:val="%1"/>
      <w:numFmt w:val="upperLetter"/>
      <w:start w:val="1"/>
    </w:lvl>
    <w:lvl w:ilvl="1">
      <w:lvlJc w:val="left"/>
      <w:lvlText w:val="(%2)"/>
      <w:numFmt w:val="decimal"/>
      <w:start w:val="1"/>
    </w:lvl>
  </w:abstractNum>
  <w:abstractNum w:abstractNumId="59">
    <w:nsid w:val="24E99DD7"/>
    <w:multiLevelType w:val="hybridMultilevel"/>
    <w:lvl w:ilvl="0">
      <w:lvlJc w:val="left"/>
      <w:lvlText w:val="(%1)"/>
      <w:numFmt w:val="upperLetter"/>
      <w:start w:val="2"/>
    </w:lvl>
    <w:lvl w:ilvl="1">
      <w:lvlJc w:val="left"/>
      <w:lvlText w:val="%2"/>
      <w:numFmt w:val="decimal"/>
      <w:start w:val="1"/>
    </w:lvl>
  </w:abstractNum>
  <w:abstractNum w:abstractNumId="60">
    <w:nsid w:val="2A31B62D"/>
    <w:multiLevelType w:val="hybridMultilevel"/>
    <w:lvl w:ilvl="0">
      <w:lvlJc w:val="left"/>
      <w:lvlText w:val="(%1)"/>
      <w:numFmt w:val="lowerLetter"/>
      <w:start w:val="7"/>
    </w:lvl>
    <w:lvl w:ilvl="1">
      <w:lvlJc w:val="left"/>
      <w:lvlText w:val="(%2)"/>
      <w:numFmt w:val="decimal"/>
      <w:start w:val="1"/>
    </w:lvl>
  </w:abstractNum>
  <w:abstractNum w:abstractNumId="61">
    <w:nsid w:val="1849C29B"/>
    <w:multiLevelType w:val="hybridMultilevel"/>
    <w:lvl w:ilvl="0">
      <w:lvlJc w:val="left"/>
      <w:lvlText w:val="(%1)"/>
      <w:numFmt w:val="upperLetter"/>
      <w:start w:val="1"/>
    </w:lvl>
  </w:abstractNum>
  <w:abstractNum w:abstractNumId="62">
    <w:nsid w:val="7DFF9D09"/>
    <w:multiLevelType w:val="hybridMultilevel"/>
    <w:lvl w:ilvl="0">
      <w:lvlJc w:val="left"/>
      <w:lvlText w:val="(%1)"/>
      <w:numFmt w:val="upperLetter"/>
      <w:start w:val="3"/>
    </w:lvl>
    <w:lvl w:ilvl="1">
      <w:lvlJc w:val="left"/>
      <w:lvlText w:val="(%2)"/>
      <w:numFmt w:val="decimal"/>
      <w:start w:val="1"/>
    </w:lvl>
    <w:lvl w:ilvl="2">
      <w:lvlJc w:val="left"/>
      <w:lvlText w:val="(%3)"/>
      <w:numFmt w:val="upperLetter"/>
      <w:start w:val="2"/>
    </w:lvl>
  </w:abstractNum>
  <w:abstractNum w:abstractNumId="63">
    <w:nsid w:val="754342"/>
    <w:multiLevelType w:val="hybridMultilevel"/>
    <w:lvl w:ilvl="0">
      <w:lvlJc w:val="left"/>
      <w:lvlText w:val="(%1)"/>
      <w:numFmt w:val="decimal"/>
      <w:start w:val="3"/>
    </w:lvl>
  </w:abstractNum>
  <w:abstractNum w:abstractNumId="64">
    <w:nsid w:val="69E7F3E5"/>
    <w:multiLevelType w:val="hybridMultilevel"/>
    <w:lvl w:ilvl="0">
      <w:lvlJc w:val="left"/>
      <w:lvlText w:val="(%1)"/>
      <w:numFmt w:val="lowerLetter"/>
      <w:start w:val="8"/>
    </w:lvl>
    <w:lvl w:ilvl="1">
      <w:lvlJc w:val="left"/>
      <w:lvlText w:val="(%2)"/>
      <w:numFmt w:val="decimal"/>
      <w:start w:val="1"/>
    </w:lvl>
  </w:abstractNum>
  <w:abstractNum w:abstractNumId="65">
    <w:nsid w:val="2A6DE806"/>
    <w:multiLevelType w:val="hybridMultilevel"/>
    <w:lvl w:ilvl="0">
      <w:lvlJc w:val="left"/>
      <w:lvlText w:val="%1"/>
      <w:numFmt w:val="decimal"/>
      <w:start w:val="1"/>
    </w:lvl>
    <w:lvl w:ilvl="1">
      <w:lvlJc w:val="left"/>
      <w:lvlText w:val="(%2)"/>
      <w:numFmt w:val="upperLetter"/>
      <w:start w:val="1"/>
    </w:lvl>
  </w:abstractNum>
  <w:abstractNum w:abstractNumId="66">
    <w:nsid w:val="1816F8C4"/>
    <w:multiLevelType w:val="hybridMultilevel"/>
    <w:lvl w:ilvl="0">
      <w:lvlJc w:val="left"/>
      <w:lvlText w:val="(%1)"/>
      <w:numFmt w:val="decimal"/>
      <w:start w:val="6"/>
    </w:lvl>
    <w:lvl w:ilvl="1">
      <w:lvlJc w:val="left"/>
      <w:lvlText w:val="%2"/>
      <w:numFmt w:val="upperLetter"/>
      <w:start w:val="1"/>
    </w:lvl>
  </w:abstractNum>
  <w:abstractNum w:abstractNumId="67">
    <w:nsid w:val="37DF2233"/>
    <w:multiLevelType w:val="hybridMultilevel"/>
    <w:lvl w:ilvl="0">
      <w:lvlJc w:val="left"/>
      <w:lvlText w:val="(%1)"/>
      <w:numFmt w:val="lowerLetter"/>
      <w:start w:val="1"/>
    </w:lvl>
  </w:abstractNum>
  <w:abstractNum w:abstractNumId="68">
    <w:nsid w:val="7AB49DAF"/>
    <w:multiLevelType w:val="hybridMultilevel"/>
    <w:lvl w:ilvl="0">
      <w:lvlJc w:val="left"/>
      <w:lvlText w:val="(%1)"/>
      <w:numFmt w:val="decimal"/>
      <w:start w:val="1"/>
    </w:lvl>
  </w:abstractNum>
  <w:abstractNum w:abstractNumId="69">
    <w:nsid w:val="759F82CD"/>
    <w:multiLevelType w:val="hybridMultilevel"/>
    <w:lvl w:ilvl="0">
      <w:lvlJc w:val="left"/>
      <w:lvlText w:val="(%1)"/>
      <w:numFmt w:val="decimal"/>
      <w:start w:val="1"/>
    </w:lvl>
  </w:abstractNum>
  <w:abstractNum w:abstractNumId="70">
    <w:nsid w:val="61E74EA3"/>
    <w:multiLevelType w:val="hybridMultilevel"/>
    <w:lvl w:ilvl="0">
      <w:lvlJc w:val="left"/>
      <w:lvlText w:val="(%1)"/>
      <w:numFmt w:val="decimal"/>
      <w:start w:val="6"/>
    </w:lvl>
  </w:abstractNum>
  <w:abstractNum w:abstractNumId="71">
    <w:nsid w:val="597B4D84"/>
    <w:multiLevelType w:val="hybridMultilevel"/>
    <w:lvl w:ilvl="0">
      <w:lvlJc w:val="left"/>
      <w:lvlText w:val="(%1)"/>
      <w:numFmt w:val="decimal"/>
      <w:start w:val="7"/>
    </w:lvl>
  </w:abstractNum>
  <w:abstractNum w:abstractNumId="72">
    <w:nsid w:val="F819E7F"/>
    <w:multiLevelType w:val="hybridMultilevel"/>
    <w:lvl w:ilvl="0">
      <w:lvlJc w:val="left"/>
      <w:lvlText w:val="(%1)"/>
      <w:numFmt w:val="decimal"/>
      <w:start w:val="8"/>
    </w:lvl>
  </w:abstractNum>
  <w:abstractNum w:abstractNumId="73">
    <w:nsid w:val="57C7D42D"/>
    <w:multiLevelType w:val="hybridMultilevel"/>
    <w:lvl w:ilvl="0">
      <w:lvlJc w:val="left"/>
      <w:lvlText w:val="(%1)"/>
      <w:numFmt w:val="lowerLetter"/>
      <w:start w:val="1"/>
    </w:lvl>
    <w:lvl w:ilvl="1">
      <w:lvlJc w:val="left"/>
      <w:lvlText w:val="(%2)"/>
      <w:numFmt w:val="decimal"/>
      <w:start w:val="1"/>
    </w:lvl>
  </w:abstractNum>
  <w:abstractNum w:abstractNumId="74">
    <w:nsid w:val="312167AD"/>
    <w:multiLevelType w:val="hybridMultilevel"/>
    <w:lvl w:ilvl="0">
      <w:lvlJc w:val="left"/>
      <w:lvlText w:val="(%1)"/>
      <w:numFmt w:val="lowerLetter"/>
      <w:start w:val="5"/>
    </w:lvl>
  </w:abstractNum>
  <w:abstractNum w:abstractNumId="75">
    <w:nsid w:val="631B64D4"/>
    <w:multiLevelType w:val="hybridMultilevel"/>
    <w:lvl w:ilvl="0">
      <w:lvlJc w:val="left"/>
      <w:lvlText w:val="(%1)"/>
      <w:numFmt w:val="lowerLetter"/>
      <w:start w:val="1"/>
    </w:lvl>
    <w:lvl w:ilvl="1">
      <w:lvlJc w:val="left"/>
      <w:lvlText w:val="(%2)"/>
      <w:numFmt w:val="decimal"/>
      <w:start w:val="1"/>
    </w:lvl>
  </w:abstractNum>
  <w:abstractNum w:abstractNumId="76">
    <w:nsid w:val="78B5E776"/>
    <w:multiLevelType w:val="hybridMultilevel"/>
    <w:lvl w:ilvl="0">
      <w:lvlJc w:val="left"/>
      <w:lvlText w:val="(%1)"/>
      <w:numFmt w:val="lowerLetter"/>
      <w:start w:val="2"/>
    </w:lvl>
  </w:abstractNum>
  <w:abstractNum w:abstractNumId="77">
    <w:nsid w:val="75486E47"/>
    <w:multiLevelType w:val="hybridMultilevel"/>
    <w:lvl w:ilvl="0">
      <w:lvlJc w:val="left"/>
      <w:lvlText w:val="(%1)"/>
      <w:numFmt w:val="lowerLetter"/>
      <w:start w:val="1"/>
    </w:lvl>
  </w:abstractNum>
  <w:abstractNum w:abstractNumId="78">
    <w:nsid w:val="6E534CDE"/>
    <w:multiLevelType w:val="hybridMultilevel"/>
    <w:lvl w:ilvl="0">
      <w:lvlJc w:val="left"/>
      <w:lvlText w:val="(%1)"/>
      <w:numFmt w:val="decimal"/>
      <w:start w:val="1"/>
    </w:lvl>
  </w:abstractNum>
  <w:abstractNum w:abstractNumId="79">
    <w:nsid w:val="1A0DDE32"/>
    <w:multiLevelType w:val="hybridMultilevel"/>
    <w:lvl w:ilvl="0">
      <w:lvlJc w:val="left"/>
      <w:lvlText w:val="(%1)"/>
      <w:numFmt w:val="decimal"/>
      <w:start w:val="5"/>
    </w:lvl>
  </w:abstractNum>
  <w:abstractNum w:abstractNumId="80">
    <w:nsid w:val="65968C1C"/>
    <w:multiLevelType w:val="hybridMultilevel"/>
    <w:lvl w:ilvl="0">
      <w:lvlJc w:val="left"/>
      <w:lvlText w:val="(%1)"/>
      <w:numFmt w:val="decimal"/>
      <w:start w:val="13"/>
    </w:lvl>
  </w:abstractNum>
  <w:abstractNum w:abstractNumId="81">
    <w:nsid w:val="46263DEC"/>
    <w:multiLevelType w:val="hybridMultilevel"/>
    <w:lvl w:ilvl="0">
      <w:lvlJc w:val="left"/>
      <w:lvlText w:val="(%1)"/>
      <w:numFmt w:val="decimal"/>
      <w:start w:val="1"/>
    </w:lvl>
  </w:abstractNum>
  <w:abstractNum w:abstractNumId="82">
    <w:nsid w:val="260D8C4A"/>
    <w:multiLevelType w:val="hybridMultilevel"/>
    <w:lvl w:ilvl="0">
      <w:lvlJc w:val="left"/>
      <w:lvlText w:val="(%1)"/>
      <w:numFmt w:val="lowerLetter"/>
      <w:start w:val="1"/>
    </w:lvl>
  </w:abstractNum>
  <w:abstractNum w:abstractNumId="83">
    <w:nsid w:val="73D4D3C4"/>
    <w:multiLevelType w:val="hybridMultilevel"/>
    <w:lvl w:ilvl="0">
      <w:lvlJc w:val="left"/>
      <w:lvlText w:val="(%1)"/>
      <w:numFmt w:val="decimal"/>
      <w:start w:val="1"/>
    </w:lvl>
  </w:abstractNum>
  <w:abstractNum w:abstractNumId="84">
    <w:nsid w:val="746F2E30"/>
    <w:multiLevelType w:val="hybridMultilevel"/>
    <w:lvl w:ilvl="0">
      <w:lvlJc w:val="left"/>
      <w:lvlText w:val="(%1)"/>
      <w:numFmt w:val="lowerLetter"/>
      <w:start w:val="2"/>
    </w:lvl>
    <w:lvl w:ilvl="1">
      <w:lvlJc w:val="left"/>
      <w:lvlText w:val="(%2)"/>
      <w:numFmt w:val="decimal"/>
      <w:start w:val="1"/>
    </w:lvl>
  </w:abstractNum>
  <w:abstractNum w:abstractNumId="85">
    <w:nsid w:val="6FDE8AF6"/>
    <w:multiLevelType w:val="hybridMultilevel"/>
    <w:lvl w:ilvl="0">
      <w:lvlJc w:val="left"/>
      <w:lvlText w:val="(%1)"/>
      <w:numFmt w:val="decimal"/>
      <w:start w:val="3"/>
    </w:lvl>
  </w:abstractNum>
  <w:abstractNum w:abstractNumId="86">
    <w:nsid w:val="3FC32E20"/>
    <w:multiLevelType w:val="hybridMultilevel"/>
    <w:lvl w:ilvl="0">
      <w:lvlJc w:val="left"/>
      <w:lvlText w:val="(%1)"/>
      <w:numFmt w:val="lowerLetter"/>
      <w:start w:val="3"/>
    </w:lvl>
  </w:abstractNum>
  <w:abstractNum w:abstractNumId="87">
    <w:nsid w:val="49C0E823"/>
    <w:multiLevelType w:val="hybridMultilevel"/>
    <w:lvl w:ilvl="0">
      <w:lvlJc w:val="left"/>
      <w:lvlText w:val="(%1)"/>
      <w:numFmt w:val="decimal"/>
      <w:start w:val="1"/>
    </w:lvl>
  </w:abstractNum>
  <w:abstractNum w:abstractNumId="88">
    <w:nsid w:val="14D53685"/>
    <w:multiLevelType w:val="hybridMultilevel"/>
    <w:lvl w:ilvl="0">
      <w:lvlJc w:val="left"/>
      <w:lvlText w:val="(%1)"/>
      <w:numFmt w:val="decimal"/>
      <w:start w:val="1"/>
    </w:lvl>
  </w:abstractNum>
  <w:abstractNum w:abstractNumId="89">
    <w:nsid w:val="230F856C"/>
    <w:multiLevelType w:val="hybridMultilevel"/>
    <w:lvl w:ilvl="0">
      <w:lvlJc w:val="left"/>
      <w:lvlText w:val="(%1)"/>
      <w:numFmt w:val="decimal"/>
      <w:start w:val="1"/>
    </w:lvl>
  </w:abstractNum>
  <w:abstractNum w:abstractNumId="90">
    <w:nsid w:val="6EAA85FB"/>
    <w:multiLevelType w:val="hybridMultilevel"/>
    <w:lvl w:ilvl="0">
      <w:lvlJc w:val="left"/>
      <w:lvlText w:val="%1"/>
      <w:numFmt w:val="decimal"/>
      <w:start w:val="1"/>
    </w:lvl>
    <w:lvl w:ilvl="1">
      <w:lvlJc w:val="left"/>
      <w:lvlText w:val="(%2)"/>
      <w:numFmt w:val="upperLetter"/>
      <w:start w:val="1"/>
    </w:lvl>
  </w:abstractNum>
  <w:abstractNum w:abstractNumId="91">
    <w:nsid w:val="3F06ECB2"/>
    <w:multiLevelType w:val="hybridMultilevel"/>
    <w:lvl w:ilvl="0">
      <w:lvlJc w:val="left"/>
      <w:lvlText w:val="(%1)"/>
      <w:numFmt w:val="decimal"/>
      <w:start w:val="2"/>
    </w:lvl>
    <w:lvl w:ilvl="1">
      <w:lvlJc w:val="left"/>
      <w:lvlText w:val="%2"/>
      <w:numFmt w:val="upperLetter"/>
      <w:start w:val="1"/>
    </w:lvl>
  </w:abstractNum>
  <w:abstractNum w:abstractNumId="92">
    <w:nsid w:val="3B594807"/>
    <w:multiLevelType w:val="hybridMultilevel"/>
    <w:lvl w:ilvl="0">
      <w:lvlJc w:val="left"/>
      <w:lvlText w:val="(%1)"/>
      <w:numFmt w:val="decimal"/>
      <w:start w:val="1"/>
    </w:lvl>
  </w:abstractNum>
  <w:abstractNum w:abstractNumId="93">
    <w:nsid w:val="6CAA2304"/>
    <w:multiLevelType w:val="hybridMultilevel"/>
    <w:lvl w:ilvl="0">
      <w:lvlJc w:val="left"/>
      <w:lvlText w:val="(%1)"/>
      <w:numFmt w:val="decimal"/>
      <w:start w:val="2"/>
    </w:lvl>
  </w:abstractNum>
  <w:abstractNum w:abstractNumId="94">
    <w:nsid w:val="3F7C2FF4"/>
    <w:multiLevelType w:val="hybridMultilevel"/>
    <w:lvl w:ilvl="0">
      <w:lvlJc w:val="left"/>
      <w:lvlText w:val="(%1)"/>
      <w:numFmt w:val="decimal"/>
      <w:start w:val="1"/>
    </w:lvl>
    <w:lvl w:ilvl="1">
      <w:lvlJc w:val="left"/>
      <w:lvlText w:val="(%2)"/>
      <w:numFmt w:val="upperLetter"/>
      <w:start w:val="1"/>
    </w:lvl>
  </w:abstractNum>
  <w:abstractNum w:abstractNumId="95">
    <w:nsid w:val="25413BEC"/>
    <w:multiLevelType w:val="hybridMultilevel"/>
    <w:lvl w:ilvl="0">
      <w:lvlJc w:val="left"/>
      <w:lvlText w:val="%1"/>
      <w:numFmt w:val="lowerRoman"/>
      <w:start w:val="1"/>
    </w:lvl>
    <w:lvl w:ilvl="1">
      <w:lvlJc w:val="left"/>
      <w:lvlText w:val="(%2)"/>
      <w:numFmt w:val="decimal"/>
      <w:start w:val="5"/>
    </w:lvl>
  </w:abstractNum>
  <w:abstractNum w:abstractNumId="96">
    <w:nsid w:val="17180B0B"/>
    <w:multiLevelType w:val="hybridMultilevel"/>
    <w:lvl w:ilvl="0">
      <w:lvlJc w:val="left"/>
      <w:lvlText w:val="(%1)"/>
      <w:numFmt w:val="lowerRoman"/>
      <w:start w:val="2"/>
    </w:lvl>
    <w:lvl w:ilvl="1">
      <w:lvlJc w:val="left"/>
      <w:lvlText w:val="%2"/>
      <w:numFmt w:val="decimal"/>
      <w:start w:val="1"/>
    </w:lvl>
  </w:abstractNum>
  <w:abstractNum w:abstractNumId="97">
    <w:nsid w:val="579328B9"/>
    <w:multiLevelType w:val="hybridMultilevel"/>
    <w:lvl w:ilvl="0">
      <w:lvlJc w:val="left"/>
      <w:lvlText w:val="(%1)"/>
      <w:numFmt w:val="decimal"/>
      <w:start w:val="6"/>
    </w:lvl>
  </w:abstractNum>
  <w:abstractNum w:abstractNumId="98">
    <w:nsid w:val="5D205E20"/>
    <w:multiLevelType w:val="hybridMultilevel"/>
    <w:lvl w:ilvl="0">
      <w:lvlJc w:val="left"/>
      <w:lvlText w:val="%1"/>
      <w:numFmt w:val="decimal"/>
      <w:start w:val="1"/>
    </w:lvl>
    <w:lvl w:ilvl="1">
      <w:lvlJc w:val="left"/>
      <w:lvlText w:val="(%2)"/>
      <w:numFmt w:val="upperLetter"/>
      <w:start w:val="1"/>
    </w:lvl>
  </w:abstractNum>
  <w:abstractNum w:abstractNumId="99">
    <w:nsid w:val="11CCA8BA"/>
    <w:multiLevelType w:val="hybridMultilevel"/>
    <w:lvl w:ilvl="0">
      <w:lvlJc w:val="left"/>
      <w:lvlText w:val="(%1)"/>
      <w:numFmt w:val="decimal"/>
      <w:start w:val="8"/>
    </w:lvl>
    <w:lvl w:ilvl="1">
      <w:lvlJc w:val="left"/>
      <w:lvlText w:val="(%2)"/>
      <w:numFmt w:val="upperLetter"/>
      <w:start w:val="1"/>
    </w:lvl>
  </w:abstractNum>
  <w:abstractNum w:abstractNumId="100">
    <w:nsid w:val="4D32AB86"/>
    <w:multiLevelType w:val="hybridMultilevel"/>
    <w:lvl w:ilvl="0">
      <w:lvlJc w:val="left"/>
      <w:lvlText w:val="(%1)"/>
      <w:numFmt w:val="decimal"/>
      <w:start w:val="1"/>
    </w:lvl>
  </w:abstractNum>
  <w:abstractNum w:abstractNumId="101">
    <w:nsid w:val="3F07ACC3"/>
    <w:multiLevelType w:val="hybridMultilevel"/>
    <w:lvl w:ilvl="0">
      <w:lvlJc w:val="left"/>
      <w:lvlText w:val="(%1)"/>
      <w:numFmt w:val="decimal"/>
      <w:start w:val="3"/>
    </w:lvl>
  </w:abstractNum>
  <w:abstractNum w:abstractNumId="102">
    <w:nsid w:val="6B47F63E"/>
    <w:multiLevelType w:val="hybridMultilevel"/>
    <w:lvl w:ilvl="0">
      <w:lvlJc w:val="left"/>
      <w:lvlText w:val="(%1)"/>
      <w:numFmt w:val="lowerLetter"/>
      <w:start w:val="1"/>
    </w:lvl>
    <w:lvl w:ilvl="1">
      <w:lvlJc w:val="left"/>
      <w:lvlText w:val="(%2)"/>
      <w:numFmt w:val="decimal"/>
      <w:start w:val="1"/>
    </w:lvl>
  </w:abstractNum>
  <w:abstractNum w:abstractNumId="103">
    <w:nsid w:val="5CB44A05"/>
    <w:multiLevelType w:val="hybridMultilevel"/>
    <w:lvl w:ilvl="0">
      <w:lvlJc w:val="left"/>
      <w:lvlText w:val="%1"/>
      <w:numFmt w:val="lowerLetter"/>
      <w:start w:val="1"/>
    </w:lvl>
    <w:lvl w:ilvl="1">
      <w:lvlJc w:val="left"/>
      <w:lvlText w:val="(%2)"/>
      <w:numFmt w:val="decimal"/>
      <w:start w:val="2"/>
    </w:lvl>
  </w:abstractNum>
  <w:abstractNum w:abstractNumId="104">
    <w:nsid w:val="16CF80F1"/>
    <w:multiLevelType w:val="hybridMultilevel"/>
    <w:lvl w:ilvl="0">
      <w:lvlJc w:val="left"/>
      <w:lvlText w:val="(%1)"/>
      <w:numFmt w:val="lowerLetter"/>
      <w:start w:val="3"/>
    </w:lvl>
    <w:lvl w:ilvl="1">
      <w:lvlJc w:val="left"/>
      <w:lvlText w:val="(%2)"/>
      <w:numFmt w:val="decimal"/>
      <w:start w:val="1"/>
    </w:lvl>
  </w:abstractNum>
  <w:abstractNum w:abstractNumId="105">
    <w:nsid w:val="1C695DEC"/>
    <w:multiLevelType w:val="hybridMultilevel"/>
    <w:lvl w:ilvl="0">
      <w:lvlJc w:val="left"/>
      <w:lvlText w:val="(%1)"/>
      <w:numFmt w:val="lowerLetter"/>
      <w:start w:val="1"/>
    </w:lvl>
  </w:abstractNum>
  <w:abstractNum w:abstractNumId="106">
    <w:nsid w:val="3FCFAED9"/>
    <w:multiLevelType w:val="hybridMultilevel"/>
    <w:lvl w:ilvl="0">
      <w:lvlJc w:val="left"/>
      <w:lvlText w:val="(%1)"/>
      <w:numFmt w:val="lowerLetter"/>
      <w:start w:val="4"/>
    </w:lvl>
  </w:abstractNum>
  <w:abstractNum w:abstractNumId="107">
    <w:nsid w:val="F856867"/>
    <w:multiLevelType w:val="hybridMultilevel"/>
    <w:lvl w:ilvl="0">
      <w:lvlJc w:val="left"/>
      <w:lvlText w:val="(%1)"/>
      <w:numFmt w:val="lowerLetter"/>
      <w:start w:val="9"/>
    </w:lvl>
  </w:abstractNum>
  <w:abstractNum w:abstractNumId="108">
    <w:nsid w:val="11B1CC33"/>
    <w:multiLevelType w:val="hybridMultilevel"/>
    <w:lvl w:ilvl="0">
      <w:lvlJc w:val="left"/>
      <w:lvlText w:val="(%1)"/>
      <w:numFmt w:val="lowerLetter"/>
      <w:start w:val="1"/>
    </w:lvl>
  </w:abstractNum>
  <w:abstractNum w:abstractNumId="109">
    <w:nsid w:val="2E22FBB7"/>
    <w:multiLevelType w:val="hybridMultilevel"/>
    <w:lvl w:ilvl="0">
      <w:lvlJc w:val="left"/>
      <w:lvlText w:val="(%1)"/>
      <w:numFmt w:val="lowerLetter"/>
      <w:start w:val="1"/>
    </w:lvl>
  </w:abstractNum>
  <w:abstractNum w:abstractNumId="110">
    <w:nsid w:val="29934699"/>
    <w:multiLevelType w:val="hybridMultilevel"/>
    <w:lvl w:ilvl="0">
      <w:lvlJc w:val="left"/>
      <w:lvlText w:val="(%1)"/>
      <w:numFmt w:val="lowerLetter"/>
      <w:start w:val="3"/>
    </w:lvl>
  </w:abstractNum>
  <w:abstractNum w:abstractNumId="111">
    <w:nsid w:val="77485850"/>
    <w:multiLevelType w:val="hybridMultilevel"/>
    <w:lvl w:ilvl="0">
      <w:lvlJc w:val="left"/>
      <w:lvlText w:val="(%1)"/>
      <w:numFmt w:val="lowerLetter"/>
      <w:start w:val="1"/>
    </w:lvl>
    <w:lvl w:ilvl="1">
      <w:lvlJc w:val="left"/>
      <w:lvlText w:val="(%2)"/>
      <w:numFmt w:val="decimal"/>
      <w:start w:val="1"/>
    </w:lvl>
  </w:abstractNum>
  <w:abstractNum w:abstractNumId="112">
    <w:nsid w:val="744939A3"/>
    <w:multiLevelType w:val="hybridMultilevel"/>
    <w:lvl w:ilvl="0">
      <w:lvlJc w:val="left"/>
      <w:lvlText w:val="(%1)"/>
      <w:numFmt w:val="lowerLetter"/>
      <w:start w:val="4"/>
    </w:lvl>
  </w:abstractNum>
  <w:abstractNum w:abstractNumId="113">
    <w:nsid w:val="4FA0D2E3"/>
    <w:multiLevelType w:val="hybridMultilevel"/>
    <w:lvl w:ilvl="0">
      <w:lvlJc w:val="left"/>
      <w:lvlText w:val="(%1)"/>
      <w:numFmt w:val="decimal"/>
      <w:start w:val="1"/>
    </w:lvl>
  </w:abstractNum>
  <w:abstractNum w:abstractNumId="114">
    <w:nsid w:val="6B1D2C14"/>
    <w:multiLevelType w:val="hybridMultilevel"/>
    <w:lvl w:ilvl="0">
      <w:lvlJc w:val="left"/>
      <w:lvlText w:val="(%1)"/>
      <w:numFmt w:val="decimal"/>
      <w:start w:val="1"/>
    </w:lvl>
  </w:abstractNum>
  <w:abstractNum w:abstractNumId="115">
    <w:nsid w:val="68B867D3"/>
    <w:multiLevelType w:val="hybridMultilevel"/>
    <w:lvl w:ilvl="0">
      <w:lvlJc w:val="left"/>
      <w:lvlText w:val="(%1)"/>
      <w:numFmt w:val="decimal"/>
      <w:start w:val="2"/>
    </w:lvl>
    <w:lvl w:ilvl="1">
      <w:lvlJc w:val="left"/>
      <w:lvlText w:val="(%2)"/>
      <w:numFmt w:val="upperLetter"/>
      <w:start w:val="1"/>
    </w:lvl>
  </w:abstractNum>
  <w:abstractNum w:abstractNumId="116">
    <w:nsid w:val="3F7F5DD9"/>
    <w:multiLevelType w:val="hybridMultilevel"/>
    <w:lvl w:ilvl="0">
      <w:lvlJc w:val="left"/>
      <w:lvlText w:val="(%1)"/>
      <w:numFmt w:val="decimal"/>
      <w:start w:val="3"/>
    </w:lvl>
  </w:abstractNum>
  <w:abstractNum w:abstractNumId="117">
    <w:nsid w:val="2AE05A34"/>
    <w:multiLevelType w:val="hybridMultilevel"/>
    <w:lvl w:ilvl="0">
      <w:lvlJc w:val="left"/>
      <w:lvlText w:val="(%1)"/>
      <w:numFmt w:val="decimal"/>
      <w:start w:val="6"/>
    </w:lvl>
  </w:abstractNum>
  <w:abstractNum w:abstractNumId="118">
    <w:nsid w:val="32794FF7"/>
    <w:multiLevelType w:val="hybridMultilevel"/>
    <w:lvl w:ilvl="0">
      <w:lvlJc w:val="left"/>
      <w:lvlText w:val="(%1)"/>
      <w:numFmt w:val="decimal"/>
      <w:start w:val="1"/>
    </w:lvl>
  </w:abstractNum>
  <w:abstractNum w:abstractNumId="119">
    <w:nsid w:val="5454945E"/>
    <w:multiLevelType w:val="hybridMultilevel"/>
    <w:lvl w:ilvl="0">
      <w:lvlJc w:val="left"/>
      <w:lvlText w:val="(%1)"/>
      <w:numFmt w:val="decimal"/>
      <w:start w:val="1"/>
    </w:lvl>
  </w:abstractNum>
  <w:abstractNum w:abstractNumId="120">
    <w:nsid w:val="4DEFDFA0"/>
    <w:multiLevelType w:val="hybridMultilevel"/>
    <w:lvl w:ilvl="0">
      <w:lvlJc w:val="left"/>
      <w:lvlText w:val="(%1)"/>
      <w:numFmt w:val="decimal"/>
      <w:start w:val="2"/>
    </w:lvl>
  </w:abstractNum>
  <w:abstractNum w:abstractNumId="121">
    <w:nsid w:val="2123D5F2"/>
    <w:multiLevelType w:val="hybridMultilevel"/>
    <w:lvl w:ilvl="0">
      <w:lvlJc w:val="left"/>
      <w:lvlText w:val="(%1)"/>
      <w:numFmt w:val="lowerLetter"/>
      <w:start w:val="1"/>
    </w:lvl>
    <w:lvl w:ilvl="1">
      <w:lvlJc w:val="left"/>
      <w:lvlText w:val="(%2)"/>
      <w:numFmt w:val="decimal"/>
      <w:start w:val="1"/>
    </w:lvl>
  </w:abstractNum>
  <w:abstractNum w:abstractNumId="122">
    <w:nsid w:val="135B8110"/>
    <w:multiLevelType w:val="hybridMultilevel"/>
    <w:lvl w:ilvl="0">
      <w:lvlJc w:val="left"/>
      <w:lvlText w:val="(%1)"/>
      <w:numFmt w:val="lowerLetter"/>
      <w:start w:val="2"/>
    </w:lvl>
  </w:abstractNum>
  <w:abstractNum w:abstractNumId="123">
    <w:nsid w:val="94927A8"/>
    <w:multiLevelType w:val="hybridMultilevel"/>
    <w:lvl w:ilvl="0">
      <w:lvlJc w:val="left"/>
      <w:lvlText w:val="(%1)"/>
      <w:numFmt w:val="lowerLetter"/>
      <w:start w:val="3"/>
    </w:lvl>
  </w:abstractNum>
  <w:abstractNum w:abstractNumId="124">
    <w:nsid w:val="DCDF8F6"/>
    <w:multiLevelType w:val="hybridMultilevel"/>
    <w:lvl w:ilvl="0">
      <w:lvlJc w:val="left"/>
      <w:lvlText w:val="(%1)"/>
      <w:numFmt w:val="decimal"/>
      <w:start w:val="1"/>
    </w:lvl>
  </w:abstractNum>
  <w:abstractNum w:abstractNumId="125">
    <w:nsid w:val="52D7B105"/>
    <w:multiLevelType w:val="hybridMultilevel"/>
    <w:lvl w:ilvl="0">
      <w:lvlJc w:val="left"/>
      <w:lvlText w:val="(%1)"/>
      <w:numFmt w:val="lowerLetter"/>
      <w:start w:val="1"/>
    </w:lvl>
    <w:lvl w:ilvl="1">
      <w:lvlJc w:val="left"/>
      <w:lvlText w:val="(%2)"/>
      <w:numFmt w:val="decimal"/>
      <w:start w:val="1"/>
    </w:lvl>
  </w:abstractNum>
  <w:abstractNum w:abstractNumId="126">
    <w:nsid w:val="2E8A6394"/>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127">
    <w:nsid w:val="24E60401"/>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28">
    <w:nsid w:val="2A6AD9BE"/>
    <w:multiLevelType w:val="hybridMultilevel"/>
    <w:lvl w:ilvl="0">
      <w:lvlJc w:val="left"/>
      <w:lvlText w:val="(%1)"/>
      <w:numFmt w:val="decimal"/>
      <w:start w:val="1"/>
    </w:lvl>
    <w:lvl w:ilvl="1">
      <w:lvlJc w:val="left"/>
      <w:lvlText w:val="(%2)"/>
      <w:numFmt w:val="lowerLetter"/>
      <w:start w:val="1"/>
    </w:lvl>
  </w:abstractNum>
  <w:abstractNum w:abstractNumId="129">
    <w:nsid w:val="BAAC1B4"/>
    <w:multiLevelType w:val="hybridMultilevel"/>
    <w:lvl w:ilvl="0">
      <w:lvlJc w:val="left"/>
      <w:lvlText w:val="%1"/>
      <w:numFmt w:val="decimal"/>
      <w:start w:val="1"/>
    </w:lvl>
    <w:lvl w:ilvl="1">
      <w:lvlJc w:val="left"/>
      <w:lvlText w:val="(%2)"/>
      <w:numFmt w:val="lowerLetter"/>
      <w:start w:val="2"/>
    </w:lvl>
  </w:abstractNum>
  <w:abstractNum w:abstractNumId="130">
    <w:nsid w:val="36B2ACBC"/>
    <w:multiLevelType w:val="hybridMultilevel"/>
    <w:lvl w:ilvl="0">
      <w:lvlJc w:val="left"/>
      <w:lvlText w:val="(%1)"/>
      <w:numFmt w:val="decimal"/>
      <w:start w:val="2"/>
    </w:lvl>
    <w:lvl w:ilvl="1">
      <w:lvlJc w:val="left"/>
      <w:lvlText w:val="%2"/>
      <w:numFmt w:val="lowerLetter"/>
      <w:start w:val="1"/>
    </w:lvl>
  </w:abstractNum>
  <w:abstractNum w:abstractNumId="131">
    <w:nsid w:val="779D8544"/>
    <w:multiLevelType w:val="hybridMultilevel"/>
    <w:lvl w:ilvl="0">
      <w:lvlJc w:val="left"/>
      <w:lvlText w:val="(%1)"/>
      <w:numFmt w:val="decimal"/>
      <w:start w:val="1"/>
    </w:lvl>
  </w:abstractNum>
  <w:abstractNum w:abstractNumId="132">
    <w:nsid w:val="4AB26E78"/>
    <w:multiLevelType w:val="hybridMultilevel"/>
    <w:lvl w:ilvl="0">
      <w:lvlJc w:val="left"/>
      <w:lvlText w:val="(%1)"/>
      <w:numFmt w:val="decimal"/>
      <w:start w:val="1"/>
    </w:lvl>
  </w:abstractNum>
  <w:abstractNum w:abstractNumId="133">
    <w:nsid w:val="21FAA2FA"/>
    <w:multiLevelType w:val="hybridMultilevel"/>
    <w:lvl w:ilvl="0">
      <w:lvlJc w:val="left"/>
      <w:lvlText w:val="(%1)"/>
      <w:numFmt w:val="decimal"/>
      <w:start w:val="1"/>
    </w:lvl>
  </w:abstractNum>
  <w:abstractNum w:abstractNumId="134">
    <w:nsid w:val="5451CF49"/>
    <w:multiLevelType w:val="hybridMultilevel"/>
    <w:lvl w:ilvl="0">
      <w:lvlJc w:val="left"/>
      <w:lvlText w:val="(%1)"/>
      <w:numFmt w:val="decimal"/>
      <w:start w:val="2"/>
    </w:lvl>
  </w:abstractNum>
  <w:abstractNum w:abstractNumId="135">
    <w:nsid w:val="6181EF6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6">
    <w:nsid w:val="3E6400E6"/>
    <w:multiLevelType w:val="hybridMultilevel"/>
    <w:lvl w:ilvl="0">
      <w:lvlJc w:val="left"/>
      <w:lvlText w:val="(%1)"/>
      <w:numFmt w:val="lowerLetter"/>
      <w:start w:val="5"/>
    </w:lvl>
  </w:abstractNum>
  <w:abstractNum w:abstractNumId="137">
    <w:nsid w:val="14217E23"/>
    <w:multiLevelType w:val="hybridMultilevel"/>
    <w:lvl w:ilvl="0">
      <w:lvlJc w:val="left"/>
      <w:lvlText w:val="(%1)"/>
      <w:numFmt w:val="lowerLetter"/>
      <w:start w:val="6"/>
    </w:lvl>
  </w:abstractNum>
  <w:abstractNum w:abstractNumId="138">
    <w:nsid w:val="710757D0"/>
    <w:multiLevelType w:val="hybridMultilevel"/>
    <w:lvl w:ilvl="0">
      <w:lvlJc w:val="left"/>
      <w:lvlText w:val="(%1)"/>
      <w:numFmt w:val="decimal"/>
      <w:start w:val="6"/>
    </w:lvl>
    <w:lvl w:ilvl="1">
      <w:lvlJc w:val="left"/>
      <w:lvlText w:val="(%2)"/>
      <w:numFmt w:val="lowerLetter"/>
      <w:start w:val="1"/>
    </w:lvl>
  </w:abstractNum>
  <w:abstractNum w:abstractNumId="139">
    <w:nsid w:val="5015CD1A"/>
    <w:multiLevelType w:val="hybridMultilevel"/>
    <w:lvl w:ilvl="0">
      <w:lvlJc w:val="left"/>
      <w:lvlText w:val="(%1)"/>
      <w:numFmt w:val="lowerRoman"/>
      <w:start w:val="9"/>
    </w:lvl>
    <w:lvl w:ilvl="1">
      <w:lvlJc w:val="left"/>
      <w:lvlText w:val="(%2)"/>
      <w:numFmt w:val="decimal"/>
      <w:start w:val="12"/>
    </w:lvl>
  </w:abstractNum>
  <w:abstractNum w:abstractNumId="140">
    <w:nsid w:val="424479DA"/>
    <w:multiLevelType w:val="hybridMultilevel"/>
    <w:lvl w:ilvl="0">
      <w:lvlJc w:val="left"/>
      <w:lvlText w:val="(%1)"/>
      <w:numFmt w:val="lowerRoman"/>
      <w:start w:val="7"/>
    </w:lvl>
    <w:lvl w:ilvl="1">
      <w:lvlJc w:val="left"/>
      <w:lvlText w:val="%2"/>
      <w:numFmt w:val="decimal"/>
      <w:start w:val="1"/>
    </w:lvl>
  </w:abstractNum>
  <w:abstractNum w:abstractNumId="141">
    <w:nsid w:val="1A9A9E69"/>
    <w:multiLevelType w:val="hybridMultilevel"/>
    <w:lvl w:ilvl="0">
      <w:lvlJc w:val="left"/>
      <w:lvlText w:val="(%1)"/>
      <w:numFmt w:val="decimal"/>
      <w:start w:val="13"/>
    </w:lvl>
  </w:abstractNum>
  <w:abstractNum w:abstractNumId="142">
    <w:nsid w:val="475E256A"/>
    <w:multiLevelType w:val="hybridMultilevel"/>
    <w:lvl w:ilvl="0">
      <w:lvlJc w:val="left"/>
      <w:lvlText w:val="(%1)"/>
      <w:numFmt w:val="decimal"/>
      <w:start w:val="19"/>
    </w:lvl>
  </w:abstractNum>
  <w:abstractNum w:abstractNumId="143">
    <w:nsid w:val="368DB37E"/>
    <w:multiLevelType w:val="hybridMultilevel"/>
    <w:lvl w:ilvl="0">
      <w:lvlJc w:val="left"/>
      <w:lvlText w:val="*"/>
      <w:numFmt w:val="bullet"/>
      <w:start w:val="1"/>
    </w:lvl>
  </w:abstractNum>
  <w:abstractNum w:abstractNumId="144">
    <w:nsid w:val="6A3B714C"/>
    <w:multiLevelType w:val="hybridMultilevel"/>
    <w:lvl w:ilvl="0">
      <w:lvlJc w:val="left"/>
      <w:lvlText w:val="*"/>
      <w:numFmt w:val="bullet"/>
      <w:start w:val="1"/>
    </w:lvl>
  </w:abstractNum>
  <w:abstractNum w:abstractNumId="145">
    <w:nsid w:val="327B517E"/>
    <w:multiLevelType w:val="hybridMultilevel"/>
    <w:lvl w:ilvl="0">
      <w:lvlJc w:val="left"/>
      <w:lvlText w:val="*"/>
      <w:numFmt w:val="bullet"/>
      <w:start w:val="1"/>
    </w:lvl>
  </w:abstractNum>
  <w:abstractNum w:abstractNumId="146">
    <w:nsid w:val="1F461B51"/>
    <w:multiLevelType w:val="hybridMultilevel"/>
    <w:lvl w:ilvl="0">
      <w:lvlJc w:val="left"/>
      <w:lvlText w:val="%1."/>
      <w:numFmt w:val="decimal"/>
      <w:start w:val="1"/>
    </w:lvl>
  </w:abstractNum>
  <w:abstractNum w:abstractNumId="147">
    <w:nsid w:val="29BACF25"/>
    <w:multiLevelType w:val="hybridMultilevel"/>
    <w:lvl w:ilvl="0">
      <w:lvlJc w:val="left"/>
      <w:lvlText w:val="%1."/>
      <w:numFmt w:val="decimal"/>
      <w:start w:val="3"/>
    </w:lvl>
    <w:lvl w:ilvl="1">
      <w:lvlJc w:val="left"/>
      <w:lvlText w:val="(%2)"/>
      <w:numFmt w:val="lowerLetter"/>
      <w:start w:val="1"/>
    </w:lvl>
  </w:abstractNum>
  <w:abstractNum w:abstractNumId="148">
    <w:nsid w:val="5D5BABB3"/>
    <w:multiLevelType w:val="hybridMultilevel"/>
    <w:lvl w:ilvl="0">
      <w:lvlJc w:val="left"/>
      <w:lvlText w:val="(%1)"/>
      <w:numFmt w:val="lowerLetter"/>
      <w:start w:val="2"/>
    </w:lvl>
  </w:abstractNum>
  <w:abstractNum w:abstractNumId="149">
    <w:nsid w:val="51BF6B48"/>
    <w:multiLevelType w:val="hybridMultilevel"/>
    <w:lvl w:ilvl="0">
      <w:lvlJc w:val="left"/>
      <w:lvlText w:val="(%1)"/>
      <w:numFmt w:val="lowerLetter"/>
      <w:start w:val="4"/>
    </w:lvl>
  </w:abstractNum>
  <w:abstractNum w:abstractNumId="150">
    <w:nsid w:val="7E0F6384"/>
    <w:multiLevelType w:val="hybridMultilevel"/>
    <w:lvl w:ilvl="0">
      <w:lvlJc w:val="left"/>
      <w:lvlText w:val="%1."/>
      <w:numFmt w:val="decimal"/>
      <w:start w:val="4"/>
    </w:lvl>
  </w:abstractNum>
  <w:abstractNum w:abstractNumId="151">
    <w:nsid w:val="2B4B8B53"/>
    <w:multiLevelType w:val="hybridMultilevel"/>
    <w:lvl w:ilvl="0">
      <w:lvlJc w:val="left"/>
      <w:lvlText w:val="(%1)"/>
      <w:numFmt w:val="lowerLetter"/>
      <w:start w:val="1"/>
    </w:lvl>
  </w:abstractNum>
  <w:abstractNum w:abstractNumId="152">
    <w:nsid w:val="72E3413A"/>
    <w:multiLevelType w:val="hybridMultilevel"/>
    <w:lvl w:ilvl="0">
      <w:lvlJc w:val="left"/>
      <w:lvlText w:val="(%1)"/>
      <w:numFmt w:val="lowerLetter"/>
      <w:start w:val="2"/>
    </w:lvl>
  </w:abstractNum>
  <w:abstractNum w:abstractNumId="153">
    <w:nsid w:val="116AE494"/>
    <w:multiLevelType w:val="hybridMultilevel"/>
    <w:lvl w:ilvl="0">
      <w:lvlJc w:val="left"/>
      <w:lvlText w:val="%1."/>
      <w:numFmt w:val="decimal"/>
      <w:start w:val="1"/>
    </w:lvl>
  </w:abstractNum>
  <w:abstractNum w:abstractNumId="154">
    <w:nsid w:val="3494B2FB"/>
    <w:multiLevelType w:val="hybridMultilevel"/>
    <w:lvl w:ilvl="0">
      <w:lvlJc w:val="left"/>
      <w:lvlText w:val="%1"/>
      <w:numFmt w:val="decimal"/>
      <w:start w:val="1"/>
    </w:lvl>
    <w:lvl w:ilvl="1">
      <w:lvlJc w:val="left"/>
      <w:lvlText w:val="(%2)"/>
      <w:numFmt w:val="lowerLetter"/>
      <w:start w:val="2"/>
    </w:lvl>
  </w:abstractNum>
  <w:abstractNum w:abstractNumId="155">
    <w:nsid w:val="B13A31"/>
    <w:multiLevelType w:val="hybridMultilevel"/>
    <w:lvl w:ilvl="0">
      <w:lvlJc w:val="left"/>
      <w:lvlText w:val="%1."/>
      <w:numFmt w:val="decimal"/>
      <w:start w:val="2"/>
    </w:lvl>
    <w:lvl w:ilvl="1">
      <w:lvlJc w:val="left"/>
      <w:lvlText w:val="%2"/>
      <w:numFmt w:val="lowerLetter"/>
      <w:start w:val="1"/>
    </w:lvl>
  </w:abstractNum>
  <w:abstractNum w:abstractNumId="156">
    <w:nsid w:val="64429599"/>
    <w:multiLevelType w:val="hybridMultilevel"/>
    <w:lvl w:ilvl="0">
      <w:lvlJc w:val="left"/>
      <w:lvlText w:val="(%1)"/>
      <w:numFmt w:val="lowerLetter"/>
      <w:start w:val="2"/>
    </w:lvl>
  </w:abstractNum>
  <w:abstractNum w:abstractNumId="157">
    <w:nsid w:val="631F1690"/>
    <w:multiLevelType w:val="hybridMultilevel"/>
    <w:lvl w:ilvl="0">
      <w:lvlJc w:val="left"/>
      <w:lvlText w:val="$"/>
      <w:numFmt w:val="bullet"/>
      <w:start w:val="1"/>
    </w:lvl>
    <w:lvl w:ilvl="1">
      <w:lvlJc w:val="left"/>
      <w:lvlText w:val="%2."/>
      <w:numFmt w:val="decimal"/>
      <w:start w:val="1"/>
    </w:lvl>
  </w:abstractNum>
  <w:abstractNum w:abstractNumId="158">
    <w:nsid w:val="25973E32"/>
    <w:multiLevelType w:val="hybridMultilevel"/>
    <w:lvl w:ilvl="0">
      <w:lvlJc w:val="left"/>
      <w:lvlText w:val="(%1)"/>
      <w:numFmt w:val="lowerLetter"/>
      <w:start w:val="1"/>
    </w:lvl>
  </w:abstractNum>
  <w:abstractNum w:abstractNumId="159">
    <w:nsid w:val="EAD6F57"/>
    <w:multiLevelType w:val="hybridMultilevel"/>
    <w:lvl w:ilvl="0">
      <w:lvlJc w:val="left"/>
      <w:lvlText w:val="(%1)"/>
      <w:numFmt w:val="lowerLetter"/>
      <w:start w:val="3"/>
    </w:lvl>
  </w:abstractNum>
  <w:abstractNum w:abstractNumId="160">
    <w:nsid w:val="6EC9D844"/>
    <w:multiLevelType w:val="hybridMultilevel"/>
    <w:lvl w:ilvl="0">
      <w:lvlJc w:val="left"/>
      <w:lvlText w:val="%1."/>
      <w:numFmt w:val="decimal"/>
      <w:start w:val="2"/>
    </w:lvl>
  </w:abstractNum>
  <w:abstractNum w:abstractNumId="161">
    <w:nsid w:val="5C49EAEE"/>
    <w:multiLevelType w:val="hybridMultilevel"/>
    <w:lvl w:ilvl="0">
      <w:lvlJc w:val="left"/>
      <w:lvlText w:val="(%1)"/>
      <w:numFmt w:val="lowerLetter"/>
      <w:start w:val="1"/>
    </w:lvl>
  </w:abstractNum>
  <w:abstractNum w:abstractNumId="162">
    <w:nsid w:val="64AF49B"/>
    <w:multiLevelType w:val="hybridMultilevel"/>
    <w:lvl w:ilvl="0">
      <w:lvlJc w:val="left"/>
      <w:lvlText w:val="(%1)"/>
      <w:numFmt w:val="lowerLetter"/>
      <w:start w:val="1"/>
    </w:lvl>
  </w:abstractNum>
  <w:abstractNum w:abstractNumId="163">
    <w:nsid w:val="397C46BC"/>
    <w:multiLevelType w:val="hybridMultilevel"/>
    <w:lvl w:ilvl="0">
      <w:lvlJc w:val="left"/>
      <w:lvlText w:val="%1."/>
      <w:numFmt w:val="decimal"/>
      <w:start w:val="1"/>
    </w:lvl>
  </w:abstractNum>
  <w:abstractNum w:abstractNumId="164">
    <w:nsid w:val="7E448DE9"/>
    <w:multiLevelType w:val="hybridMultilevel"/>
    <w:lvl w:ilvl="0">
      <w:lvlJc w:val="left"/>
      <w:lvlText w:val="%1"/>
      <w:numFmt w:val="upperLetter"/>
      <w:start w:val="1"/>
    </w:lvl>
    <w:lvl w:ilvl="1">
      <w:lvlJc w:val="left"/>
      <w:lvlText w:val="%2."/>
      <w:numFmt w:val="decimal"/>
      <w:start w:val="2"/>
    </w:lvl>
  </w:abstractNum>
  <w:abstractNum w:abstractNumId="165">
    <w:nsid w:val="5A9CC3E5"/>
    <w:multiLevelType w:val="hybridMultilevel"/>
    <w:lvl w:ilvl="0">
      <w:lvlJc w:val="left"/>
      <w:lvlText w:val="(%1)"/>
      <w:numFmt w:val="upperLetter"/>
      <w:start w:val="6"/>
    </w:lvl>
    <w:lvl w:ilvl="1">
      <w:lvlJc w:val="left"/>
      <w:lvlText w:val="%2"/>
      <w:numFmt w:val="decimal"/>
      <w:start w:val="1"/>
    </w:lvl>
  </w:abstractNum>
  <w:abstractNum w:abstractNumId="166">
    <w:nsid w:val="1AFE3625"/>
    <w:multiLevelType w:val="hybridMultilevel"/>
    <w:lvl w:ilvl="0">
      <w:lvlJc w:val="left"/>
      <w:lvlText w:val="%1."/>
      <w:numFmt w:val="decimal"/>
      <w:start w:val="3"/>
    </w:lvl>
  </w:abstractNum>
  <w:abstractNum w:abstractNumId="167">
    <w:nsid w:val="3CA88ECF"/>
    <w:multiLevelType w:val="hybridMultilevel"/>
    <w:lvl w:ilvl="0">
      <w:lvlJc w:val="left"/>
      <w:lvlText w:val="(%1)"/>
      <w:numFmt w:val="lowerLetter"/>
      <w:start w:val="2"/>
    </w:lvl>
  </w:abstractNum>
  <w:abstractNum w:abstractNumId="168">
    <w:nsid w:val="6EBE4208"/>
    <w:multiLevelType w:val="hybridMultilevel"/>
    <w:lvl w:ilvl="0">
      <w:lvlJc w:val="left"/>
      <w:lvlText w:val="%1."/>
      <w:numFmt w:val="decimal"/>
      <w:start w:val="1"/>
    </w:lvl>
  </w:abstractNum>
  <w:abstractNum w:abstractNumId="169">
    <w:nsid w:val="C058DF5"/>
    <w:multiLevelType w:val="hybridMultilevel"/>
    <w:lvl w:ilvl="0">
      <w:lvlJc w:val="left"/>
      <w:lvlText w:val="%1."/>
      <w:numFmt w:val="decimal"/>
      <w:start w:val="4"/>
    </w:lvl>
  </w:abstractNum>
  <w:abstractNum w:abstractNumId="170">
    <w:nsid w:val="CBE5BE9"/>
    <w:multiLevelType w:val="hybridMultilevel"/>
    <w:lvl w:ilvl="0">
      <w:lvlJc w:val="left"/>
      <w:lvlText w:val="%1."/>
      <w:numFmt w:val="decimal"/>
      <w:start w:val="6"/>
    </w:lvl>
  </w:abstractNum>
  <w:abstractNum w:abstractNumId="171">
    <w:nsid w:val="3102BBE2"/>
    <w:multiLevelType w:val="hybridMultilevel"/>
    <w:lvl w:ilvl="0">
      <w:lvlJc w:val="left"/>
      <w:lvlText w:val="%1."/>
      <w:numFmt w:val="decimal"/>
      <w:start w:val="1"/>
    </w:lvl>
  </w:abstractNum>
  <w:abstractNum w:abstractNumId="172">
    <w:nsid w:val="26A02C5E"/>
    <w:multiLevelType w:val="hybridMultilevel"/>
    <w:lvl w:ilvl="0">
      <w:lvlJc w:val="left"/>
      <w:lvlText w:val="%1."/>
      <w:numFmt w:val="decimal"/>
      <w:start w:val="2"/>
    </w:lvl>
  </w:abstractNum>
  <w:abstractNum w:abstractNumId="173">
    <w:nsid w:val="541C8153"/>
    <w:multiLevelType w:val="hybridMultilevel"/>
    <w:lvl w:ilvl="0">
      <w:lvlJc w:val="left"/>
      <w:lvlText w:val="(%1)"/>
      <w:numFmt w:val="lowerLetter"/>
      <w:start w:val="1"/>
    </w:lvl>
    <w:lvl w:ilvl="1">
      <w:lvlJc w:val="left"/>
      <w:lvlText w:val="(%2)"/>
      <w:numFmt w:val="lowerLetter"/>
      <w:start w:val="9"/>
    </w:lvl>
  </w:abstractNum>
  <w:abstractNum w:abstractNumId="174">
    <w:nsid w:val="67906F60"/>
    <w:multiLevelType w:val="hybridMultilevel"/>
    <w:lvl w:ilvl="0">
      <w:lvlJc w:val="left"/>
      <w:lvlText w:val="%1"/>
      <w:numFmt w:val="lowerLetter"/>
      <w:start w:val="1"/>
    </w:lvl>
    <w:lvl w:ilvl="1">
      <w:lvlJc w:val="left"/>
      <w:lvlText w:val="(%2)"/>
      <w:numFmt w:val="lowerLetter"/>
      <w:start w:val="35"/>
    </w:lvl>
  </w:abstractNum>
  <w:abstractNum w:abstractNumId="175">
    <w:nsid w:val="10DB9DAA"/>
    <w:multiLevelType w:val="hybridMultilevel"/>
    <w:lvl w:ilvl="0">
      <w:lvlJc w:val="left"/>
      <w:lvlText w:val="(%1)"/>
      <w:numFmt w:val="lowerLetter"/>
      <w:start w:val="2"/>
    </w:lvl>
    <w:lvl w:ilvl="1">
      <w:lvlJc w:val="left"/>
      <w:lvlText w:val="(%2)"/>
      <w:numFmt w:val="lowerLetter"/>
      <w:start w:val="9"/>
    </w:lvl>
  </w:abstractNum>
  <w:abstractNum w:abstractNumId="176">
    <w:nsid w:val="697D2D2"/>
    <w:multiLevelType w:val="hybridMultilevel"/>
    <w:lvl w:ilvl="0">
      <w:lvlJc w:val="left"/>
      <w:lvlText w:val="%1"/>
      <w:numFmt w:val="upperLetter"/>
      <w:start w:val="1"/>
    </w:lvl>
    <w:lvl w:ilvl="1">
      <w:lvlJc w:val="left"/>
      <w:lvlText w:val="(%2)"/>
      <w:numFmt w:val="lowerRoman"/>
      <w:start w:val="2"/>
    </w:lvl>
  </w:abstractNum>
  <w:abstractNum w:abstractNumId="177">
    <w:nsid w:val="6D68AB2"/>
    <w:multiLevelType w:val="hybridMultilevel"/>
    <w:lvl w:ilvl="0">
      <w:lvlJc w:val="left"/>
      <w:lvlText w:val="(%1)"/>
      <w:numFmt w:val="upperLetter"/>
      <w:start w:val="1"/>
    </w:lvl>
    <w:lvl w:ilvl="1">
      <w:lvlJc w:val="left"/>
      <w:lvlText w:val="%2"/>
      <w:numFmt w:val="lowerRoman"/>
      <w:start w:val="1"/>
    </w:lvl>
  </w:abstractNum>
  <w:abstractNum w:abstractNumId="178">
    <w:nsid w:val="3A966CD0"/>
    <w:multiLevelType w:val="hybridMultilevel"/>
    <w:lvl w:ilvl="0">
      <w:lvlJc w:val="left"/>
      <w:lvlText w:val="%1"/>
      <w:numFmt w:val="lowerLetter"/>
      <w:start w:val="1"/>
    </w:lvl>
    <w:lvl w:ilvl="1">
      <w:lvlJc w:val="left"/>
      <w:lvlText w:val="(%2)"/>
      <w:numFmt w:val="lowerRoman"/>
      <w:start w:val="7"/>
    </w:lvl>
  </w:abstractNum>
  <w:abstractNum w:abstractNumId="179">
    <w:nsid w:val="63F37E85"/>
    <w:multiLevelType w:val="hybridMultilevel"/>
    <w:lvl w:ilvl="0">
      <w:lvlJc w:val="left"/>
      <w:lvlText w:val="(%1)"/>
      <w:numFmt w:val="lowerLetter"/>
      <w:start w:val="4"/>
    </w:lvl>
    <w:lvl w:ilvl="1">
      <w:lvlJc w:val="left"/>
      <w:lvlText w:val="%2"/>
      <w:numFmt w:val="lowerRoman"/>
      <w:start w:val="1"/>
    </w:lvl>
  </w:abstractNum>
  <w:abstractNum w:abstractNumId="180">
    <w:nsid w:val="5895F5FA"/>
    <w:multiLevelType w:val="hybridMultilevel"/>
    <w:lvl w:ilvl="0">
      <w:lvlJc w:val="left"/>
      <w:lvlText w:val="%1"/>
      <w:numFmt w:val="lowerLetter"/>
      <w:start w:val="1"/>
    </w:lvl>
    <w:lvl w:ilvl="1">
      <w:lvlJc w:val="left"/>
      <w:lvlText w:val="(%2)"/>
      <w:numFmt w:val="lowerRoman"/>
      <w:start w:val="1"/>
    </w:lvl>
  </w:abstractNum>
  <w:abstractNum w:abstractNumId="181">
    <w:nsid w:val="38A5D054"/>
    <w:multiLevelType w:val="hybridMultilevel"/>
    <w:lvl w:ilvl="0">
      <w:lvlJc w:val="left"/>
      <w:lvlText w:val="(%1)"/>
      <w:numFmt w:val="lowerLetter"/>
      <w:start w:val="5"/>
    </w:lvl>
    <w:lvl w:ilvl="1">
      <w:lvlJc w:val="left"/>
      <w:lvlText w:val="(%2)"/>
      <w:numFmt w:val="lowerRoman"/>
      <w:start w:val="1"/>
    </w:lvl>
  </w:abstractNum>
  <w:abstractNum w:abstractNumId="182">
    <w:nsid w:val="F3F09D8"/>
    <w:multiLevelType w:val="hybridMultilevel"/>
    <w:lvl w:ilvl="0">
      <w:lvlJc w:val="left"/>
      <w:lvlText w:val="%1"/>
      <w:numFmt w:val="lowerLetter"/>
      <w:start w:val="1"/>
    </w:lvl>
    <w:lvl w:ilvl="1">
      <w:lvlJc w:val="left"/>
      <w:lvlText w:val="(%2)"/>
      <w:numFmt w:val="lowerLetter"/>
      <w:start w:val="61"/>
    </w:lvl>
  </w:abstractNum>
  <w:abstractNum w:abstractNumId="183">
    <w:nsid w:val="4B793735"/>
    <w:multiLevelType w:val="hybridMultilevel"/>
    <w:lvl w:ilvl="0">
      <w:lvlJc w:val="left"/>
      <w:lvlText w:val="(%1)"/>
      <w:numFmt w:val="lowerLetter"/>
      <w:start w:val="6"/>
    </w:lvl>
    <w:lvl w:ilvl="1">
      <w:lvlJc w:val="left"/>
      <w:lvlText w:val="%2"/>
      <w:numFmt w:val="lowerLetter"/>
      <w:start w:val="1"/>
    </w:lvl>
  </w:abstractNum>
  <w:abstractNum w:abstractNumId="184">
    <w:nsid w:val="4A10B4E8"/>
    <w:multiLevelType w:val="hybridMultilevel"/>
    <w:lvl w:ilvl="0">
      <w:lvlJc w:val="left"/>
      <w:lvlText w:val="%1."/>
      <w:numFmt w:val="decimal"/>
      <w:start w:val="3"/>
    </w:lvl>
  </w:abstractNum>
  <w:abstractNum w:abstractNumId="185">
    <w:nsid w:val="43D3BCD4"/>
    <w:multiLevelType w:val="hybridMultilevel"/>
    <w:lvl w:ilvl="0">
      <w:lvlJc w:val="left"/>
      <w:lvlText w:val="(%1)"/>
      <w:numFmt w:val="lowerLetter"/>
      <w:start w:val="1"/>
    </w:lvl>
  </w:abstractNum>
  <w:abstractNum w:abstractNumId="186">
    <w:nsid w:val="4C2A7166"/>
    <w:multiLevelType w:val="hybridMultilevel"/>
    <w:lvl w:ilvl="0">
      <w:lvlJc w:val="left"/>
      <w:lvlText w:val="%1"/>
      <w:numFmt w:val="lowerLetter"/>
      <w:start w:val="1"/>
    </w:lvl>
    <w:lvl w:ilvl="1">
      <w:lvlJc w:val="left"/>
      <w:lvlText w:val="(%2)"/>
      <w:numFmt w:val="lowerLetter"/>
      <w:start w:val="3"/>
    </w:lvl>
  </w:abstractNum>
  <w:abstractNum w:abstractNumId="187">
    <w:nsid w:val="2E534A82"/>
    <w:multiLevelType w:val="hybridMultilevel"/>
    <w:lvl w:ilvl="0">
      <w:lvlJc w:val="left"/>
      <w:lvlText w:val="(%1)"/>
      <w:numFmt w:val="lowerLetter"/>
      <w:start w:val="35"/>
    </w:lvl>
    <w:lvl w:ilvl="1">
      <w:lvlJc w:val="left"/>
      <w:lvlText w:val="(%2)"/>
      <w:numFmt w:val="lowerLetter"/>
      <w:start w:val="4"/>
    </w:lvl>
  </w:abstractNum>
  <w:abstractNum w:abstractNumId="188">
    <w:nsid w:val="26F2D364"/>
    <w:multiLevelType w:val="hybridMultilevel"/>
    <w:lvl w:ilvl="0">
      <w:lvlJc w:val="left"/>
      <w:lvlText w:val="%1."/>
      <w:numFmt w:val="decimal"/>
      <w:start w:val="4"/>
    </w:lvl>
  </w:abstractNum>
  <w:abstractNum w:abstractNumId="189">
    <w:nsid w:val="71C1AF98"/>
    <w:multiLevelType w:val="hybridMultilevel"/>
    <w:lvl w:ilvl="0">
      <w:lvlJc w:val="left"/>
      <w:lvlText w:val="(%1)"/>
      <w:numFmt w:val="lowerLetter"/>
      <w:start w:val="1"/>
    </w:lvl>
    <w:lvl w:ilvl="1">
      <w:lvlJc w:val="left"/>
      <w:lvlText w:val="(%2)"/>
      <w:numFmt w:val="lowerLetter"/>
      <w:start w:val="9"/>
    </w:lvl>
  </w:abstractNum>
  <w:abstractNum w:abstractNumId="190">
    <w:nsid w:val="3D00B9D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91">
    <w:nsid w:val="15BCABA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92">
    <w:nsid w:val="4E0B9A87"/>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1"/>
    </w:lvl>
  </w:abstractNum>
  <w:abstractNum w:abstractNumId="193">
    <w:nsid w:val="434BAE75"/>
    <w:multiLevelType w:val="hybridMultilevel"/>
    <w:lvl w:ilvl="0">
      <w:lvlJc w:val="left"/>
      <w:lvlText w:val="%1"/>
      <w:numFmt w:val="lowerLetter"/>
      <w:start w:val="1"/>
    </w:lvl>
    <w:lvl w:ilvl="1">
      <w:lvlJc w:val="left"/>
      <w:lvlText w:val="(%2)"/>
      <w:numFmt w:val="lowerRoman"/>
      <w:start w:val="1"/>
    </w:lvl>
  </w:abstractNum>
  <w:abstractNum w:abstractNumId="194">
    <w:nsid w:val="4F38F265"/>
    <w:multiLevelType w:val="hybridMultilevel"/>
    <w:lvl w:ilvl="0">
      <w:lvlJc w:val="left"/>
      <w:lvlText w:val="(%1)"/>
      <w:numFmt w:val="lowerLetter"/>
      <w:start w:val="4"/>
    </w:lvl>
    <w:lvl w:ilvl="1">
      <w:lvlJc w:val="left"/>
      <w:lvlText w:val="%2"/>
      <w:numFmt w:val="lowerRoman"/>
      <w:start w:val="1"/>
    </w:lvl>
  </w:abstractNum>
  <w:abstractNum w:abstractNumId="195">
    <w:nsid w:val="4C502870"/>
    <w:multiLevelType w:val="hybridMultilevel"/>
    <w:lvl w:ilvl="0">
      <w:lvlJc w:val="left"/>
      <w:lvlText w:val="(%1)"/>
      <w:numFmt w:val="lowerLetter"/>
      <w:start w:val="7"/>
    </w:lvl>
  </w:abstractNum>
  <w:abstractNum w:abstractNumId="196">
    <w:nsid w:val="1DE8725A"/>
    <w:multiLevelType w:val="hybridMultilevel"/>
    <w:lvl w:ilvl="0">
      <w:lvlJc w:val="left"/>
      <w:lvlText w:val="%1"/>
      <w:numFmt w:val="lowerLetter"/>
      <w:start w:val="1"/>
    </w:lvl>
    <w:lvl w:ilvl="1">
      <w:lvlJc w:val="left"/>
      <w:lvlText w:val="(%2)"/>
      <w:numFmt w:val="lowerLetter"/>
      <w:start w:val="35"/>
    </w:lvl>
  </w:abstractNum>
  <w:abstractNum w:abstractNumId="197">
    <w:nsid w:val="6A37288A"/>
    <w:multiLevelType w:val="hybridMultilevel"/>
    <w:lvl w:ilvl="0">
      <w:lvlJc w:val="left"/>
      <w:lvlText w:val="(%1)"/>
      <w:numFmt w:val="lowerLetter"/>
      <w:start w:val="12"/>
    </w:lvl>
    <w:lvl w:ilvl="1">
      <w:lvlJc w:val="left"/>
      <w:lvlText w:val="%2"/>
      <w:numFmt w:val="lowerLetter"/>
      <w:start w:val="1"/>
    </w:lvl>
  </w:abstractNum>
  <w:abstractNum w:abstractNumId="198">
    <w:nsid w:val="8F8B73F"/>
    <w:multiLevelType w:val="hybridMultilevel"/>
    <w:lvl w:ilvl="0">
      <w:lvlJc w:val="left"/>
      <w:lvlText w:val="(%1)"/>
      <w:numFmt w:val="lowerLetter"/>
      <w:start w:val="14"/>
    </w:lvl>
  </w:abstractNum>
  <w:abstractNum w:abstractNumId="199">
    <w:nsid w:val="CA6B462"/>
    <w:multiLevelType w:val="hybridMultilevel"/>
    <w:lvl w:ilvl="0">
      <w:lvlJc w:val="left"/>
      <w:lvlText w:val="(%1)"/>
      <w:numFmt w:val="lowerLetter"/>
      <w:start w:val="17"/>
    </w:lvl>
    <w:lvl w:ilvl="1">
      <w:lvlJc w:val="left"/>
      <w:lvlText w:val="(%2)"/>
      <w:numFmt w:val="lowerRoman"/>
      <w:start w:val="1"/>
    </w:lvl>
  </w:abstractNum>
  <w:abstractNum w:abstractNumId="200">
    <w:nsid w:val="763CB680"/>
    <w:multiLevelType w:val="hybridMultilevel"/>
    <w:lvl w:ilvl="0">
      <w:lvlJc w:val="left"/>
      <w:lvlText w:val="(%1)"/>
      <w:numFmt w:val="lowerRoman"/>
      <w:start w:val="4"/>
    </w:lvl>
  </w:abstractNum>
  <w:abstractNum w:abstractNumId="201">
    <w:nsid w:val="15B71329"/>
    <w:multiLevelType w:val="hybridMultilevel"/>
    <w:lvl w:ilvl="0">
      <w:lvlJc w:val="left"/>
      <w:lvlText w:val="(%1)"/>
      <w:numFmt w:val="lowerLetter"/>
      <w:start w:val="18"/>
    </w:lvl>
    <w:lvl w:ilvl="1">
      <w:lvlJc w:val="left"/>
      <w:lvlText w:val="(%2)"/>
      <w:numFmt w:val="lowerRoman"/>
      <w:start w:val="1"/>
    </w:lvl>
  </w:abstractNum>
  <w:abstractNum w:abstractNumId="202">
    <w:nsid w:val="3DA97044"/>
    <w:multiLevelType w:val="hybridMultilevel"/>
    <w:lvl w:ilvl="0">
      <w:lvlJc w:val="left"/>
      <w:lvlText w:val="(%1)"/>
      <w:numFmt w:val="lowerRoman"/>
      <w:start w:val="3"/>
    </w:lvl>
  </w:abstractNum>
  <w:abstractNum w:abstractNumId="203">
    <w:nsid w:val="1CDCE2DE"/>
    <w:multiLevelType w:val="hybridMultilevel"/>
    <w:lvl w:ilvl="0">
      <w:lvlJc w:val="left"/>
      <w:lvlText w:val="(%1)"/>
      <w:numFmt w:val="lowerLetter"/>
      <w:start w:val="19"/>
    </w:lvl>
  </w:abstractNum>
  <w:abstractNum w:abstractNumId="204">
    <w:nsid w:val="69D3947C"/>
    <w:multiLevelType w:val="hybridMultilevel"/>
    <w:lvl w:ilvl="0">
      <w:lvlJc w:val="left"/>
      <w:lvlText w:val="(%1)"/>
      <w:numFmt w:val="lowerLetter"/>
      <w:start w:val="20"/>
    </w:lvl>
  </w:abstractNum>
  <w:abstractNum w:abstractNumId="205">
    <w:nsid w:val="2539DFA5"/>
    <w:multiLevelType w:val="hybridMultilevel"/>
    <w:lvl w:ilvl="0">
      <w:lvlJc w:val="left"/>
      <w:lvlText w:val="%1."/>
      <w:numFmt w:val="decimal"/>
      <w:start w:val="5"/>
    </w:lvl>
  </w:abstractNum>
  <w:abstractNum w:abstractNumId="206">
    <w:nsid w:val="2DB88089"/>
    <w:multiLevelType w:val="hybridMultilevel"/>
    <w:lvl w:ilvl="0">
      <w:lvlJc w:val="left"/>
      <w:lvlText w:val="(%1)"/>
      <w:numFmt w:val="lowerLetter"/>
      <w:start w:val="1"/>
    </w:lvl>
  </w:abstractNum>
  <w:abstractNum w:abstractNumId="207">
    <w:nsid w:val="706B674E"/>
    <w:multiLevelType w:val="hybridMultilevel"/>
    <w:lvl w:ilvl="0">
      <w:lvlJc w:val="left"/>
      <w:lvlText w:val="%1"/>
      <w:numFmt w:val="lowerLetter"/>
      <w:start w:val="1"/>
    </w:lvl>
    <w:lvl w:ilvl="1">
      <w:lvlJc w:val="left"/>
      <w:lvlText w:val="(%2)"/>
      <w:numFmt w:val="lowerLetter"/>
      <w:start w:val="2"/>
    </w:lvl>
  </w:abstractNum>
  <w:abstractNum w:abstractNumId="208">
    <w:nsid w:val="2C106A57"/>
    <w:multiLevelType w:val="hybridMultilevel"/>
    <w:lvl w:ilvl="0">
      <w:lvlJc w:val="left"/>
      <w:lvlText w:val="(%1)"/>
      <w:numFmt w:val="lowerLetter"/>
      <w:start w:val="35"/>
    </w:lvl>
    <w:lvl w:ilvl="1">
      <w:lvlJc w:val="left"/>
      <w:lvlText w:val="%2"/>
      <w:numFmt w:val="lowerLetter"/>
      <w:start w:val="1"/>
    </w:lvl>
  </w:abstractNum>
  <w:abstractNum w:abstractNumId="209">
    <w:nsid w:val="684EED59"/>
    <w:multiLevelType w:val="hybridMultilevel"/>
    <w:lvl w:ilvl="0">
      <w:lvlJc w:val="left"/>
      <w:lvlText w:val="(%1)"/>
      <w:numFmt w:val="lowerLetter"/>
      <w:start w:val="4"/>
    </w:lvl>
  </w:abstractNum>
  <w:abstractNum w:abstractNumId="210">
    <w:nsid w:val="545EE5D3"/>
    <w:multiLevelType w:val="hybridMultilevel"/>
    <w:lvl w:ilvl="0">
      <w:lvlJc w:val="left"/>
      <w:lvlText w:val="%1."/>
      <w:numFmt w:val="decimal"/>
      <w:start w:val="7"/>
    </w:lvl>
  </w:abstractNum>
  <w:abstractNum w:abstractNumId="211">
    <w:nsid w:val="4A66051"/>
    <w:multiLevelType w:val="hybridMultilevel"/>
    <w:lvl w:ilvl="0">
      <w:lvlJc w:val="left"/>
      <w:lvlText w:val="(%1)"/>
      <w:numFmt w:val="lowerLetter"/>
      <w:start w:val="1"/>
    </w:lvl>
  </w:abstractNum>
  <w:abstractNum w:abstractNumId="212">
    <w:nsid w:val="20F4BDAD"/>
    <w:multiLevelType w:val="hybridMultilevel"/>
    <w:lvl w:ilvl="0">
      <w:lvlJc w:val="left"/>
      <w:lvlText w:val="%1."/>
      <w:numFmt w:val="decimal"/>
      <w:start w:val="8"/>
    </w:lvl>
  </w:abstractNum>
  <w:abstractNum w:abstractNumId="213">
    <w:nsid w:val="639DEFAC"/>
    <w:multiLevelType w:val="hybridMultilevel"/>
    <w:lvl w:ilvl="0">
      <w:lvlJc w:val="left"/>
      <w:lvlText w:val="(%1)"/>
      <w:numFmt w:val="lowerLetter"/>
      <w:start w:val="2"/>
    </w:lvl>
  </w:abstractNum>
  <w:abstractNum w:abstractNumId="214">
    <w:nsid w:val="501F9786"/>
    <w:multiLevelType w:val="hybridMultilevel"/>
    <w:lvl w:ilvl="0">
      <w:lvlJc w:val="left"/>
      <w:lvlText w:val="%1."/>
      <w:numFmt w:val="decimal"/>
      <w:start w:val="9"/>
    </w:lvl>
  </w:abstractNum>
  <w:abstractNum w:abstractNumId="215">
    <w:nsid w:val="6B057295"/>
    <w:multiLevelType w:val="hybridMultilevel"/>
    <w:lvl w:ilvl="0">
      <w:lvlJc w:val="left"/>
      <w:lvlText w:val="(%1)"/>
      <w:numFmt w:val="lowerLetter"/>
      <w:start w:val="1"/>
    </w:lvl>
  </w:abstractNum>
  <w:abstractNum w:abstractNumId="216">
    <w:nsid w:val="2771AC80"/>
    <w:multiLevelType w:val="hybridMultilevel"/>
    <w:lvl w:ilvl="0">
      <w:lvlJc w:val="left"/>
      <w:lvlText w:val="%1."/>
      <w:numFmt w:val="decimal"/>
      <w:start w:val="12"/>
    </w:lvl>
  </w:abstractNum>
  <w:abstractNum w:abstractNumId="217">
    <w:nsid w:val="1C4A08EC"/>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2019-12-09T02:50:38Z</dcterms:created>
  <dcterms:modified xsi:type="dcterms:W3CDTF">2019-12-09T02:50:38Z</dcterms:modified>
</cp:coreProperties>
</file>