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More Daniel B.</w:t>
              </w:r>
            </w:hyperlink>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8"/>
            <w:vMerge w:val="continue"/>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12/02/2019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9"/>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gridSpan w:val="6"/>
          </w:tcPr>
          <w:p>
            <w:pPr>
              <w:ind w:left="6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PRINCETON</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w w:val="99"/>
              </w:rPr>
              <w:t>NJ</w:t>
            </w:r>
          </w:p>
        </w:tc>
        <w:tc>
          <w:tcPr>
            <w:tcW w:w="104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0000FF"/>
              </w:rPr>
              <w:t>08540</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80"/>
              <w:spacing w:after="0" w:line="152"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8080" w:type="dxa"/>
            <w:vAlign w:val="bottom"/>
            <w:tcBorders>
              <w:top w:val="single" w:sz="8" w:color="2C2C2C"/>
            </w:tcBorders>
            <w:gridSpan w:val="22"/>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vMerge w:val="continue"/>
          </w:tcPr>
          <w:p>
            <w:pPr>
              <w:spacing w:after="0"/>
              <w:rPr>
                <w:sz w:val="11"/>
                <w:szCs w:val="11"/>
                <w:color w:val="auto"/>
              </w:rPr>
            </w:pP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0000FF"/>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Times New Roman" w:cs="Times New Roman" w:eastAsia="Times New Roman" w:hAnsi="Times New Roman"/>
                <w:sz w:val="18"/>
                <w:szCs w:val="18"/>
                <w:color w:val="0000FF"/>
              </w:rPr>
              <w:t>12/02/2019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rPr>
              <w:t>158</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008000"/>
                <w:w w:val="93"/>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0000FF"/>
              </w:rPr>
              <w:t>15,408</w:t>
            </w:r>
            <w:r>
              <w:rPr>
                <w:rFonts w:ascii="Times New Roman" w:cs="Times New Roman" w:eastAsia="Times New Roman" w:hAnsi="Times New Roman"/>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21"/>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27" w:lineRule="exact"/>
        <w:rPr>
          <w:rFonts w:ascii="Times New Roman" w:cs="Times New Roman" w:eastAsia="Times New Roman" w:hAnsi="Times New Roman"/>
          <w:sz w:val="14"/>
          <w:szCs w:val="14"/>
          <w:color w:val="008000"/>
        </w:rPr>
      </w:pPr>
    </w:p>
    <w:p>
      <w:pPr>
        <w:ind w:left="40" w:right="3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521 dividend equivalent rights that may only be settled in Class C Common Stock. There has been a de minimus adjustment of 1 share to the number of dividend equivalent rights as a result of rounding fractional shares.</w:t>
      </w:r>
    </w:p>
    <w:p>
      <w:pPr>
        <w:spacing w:after="0" w:line="36"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12/04/2019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939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2019-12-04T16:11:28Z</dcterms:created>
  <dcterms:modified xsi:type="dcterms:W3CDTF">2019-12-04T16:11:28Z</dcterms:modified>
</cp:coreProperties>
</file>