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36" w:lineRule="exact"/>
        <w:rPr>
          <w:sz w:val="24"/>
          <w:szCs w:val="24"/>
          <w:color w:val="auto"/>
        </w:rPr>
      </w:pPr>
    </w:p>
    <w:p>
      <w:pPr>
        <w:ind w:left="540" w:hanging="350"/>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001-36002</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Clearway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13" w:right="339" w:bottom="1440" w:gutter="0" w:footer="0" w:header="0"/>
        </w:sectPr>
      </w:pPr>
    </w:p>
    <w:p>
      <w:pPr>
        <w:spacing w:after="0" w:line="30" w:lineRule="exact"/>
        <w:rPr>
          <w:sz w:val="24"/>
          <w:szCs w:val="24"/>
          <w:color w:val="auto"/>
        </w:rPr>
      </w:pPr>
    </w:p>
    <w:p>
      <w:pPr>
        <w:jc w:val="center"/>
        <w:ind w:right="4040"/>
        <w:spacing w:after="0"/>
        <w:rPr>
          <w:sz w:val="20"/>
          <w:szCs w:val="20"/>
          <w:color w:val="auto"/>
        </w:rPr>
      </w:pPr>
      <w:r>
        <w:rPr>
          <w:rFonts w:ascii="Arial" w:cs="Arial" w:eastAsia="Arial" w:hAnsi="Arial"/>
          <w:sz w:val="18"/>
          <w:szCs w:val="18"/>
          <w:b w:val="1"/>
          <w:bCs w:val="1"/>
          <w:color w:val="auto"/>
        </w:rPr>
        <w:t>Delaware</w:t>
      </w:r>
    </w:p>
    <w:p>
      <w:pPr>
        <w:spacing w:after="0" w:line="25" w:lineRule="exact"/>
        <w:rPr>
          <w:sz w:val="24"/>
          <w:szCs w:val="24"/>
          <w:color w:val="auto"/>
        </w:rPr>
      </w:pPr>
    </w:p>
    <w:p>
      <w:pPr>
        <w:jc w:val="center"/>
        <w:ind w:right="4040"/>
        <w:spacing w:after="0"/>
        <w:rPr>
          <w:sz w:val="20"/>
          <w:szCs w:val="20"/>
          <w:color w:val="auto"/>
        </w:rPr>
      </w:pPr>
      <w:r>
        <w:rPr>
          <w:rFonts w:ascii="Arial" w:cs="Arial" w:eastAsia="Arial" w:hAnsi="Arial"/>
          <w:sz w:val="18"/>
          <w:szCs w:val="18"/>
          <w:color w:val="auto"/>
        </w:rPr>
        <w:t>(State or other jurisdiction</w:t>
      </w:r>
    </w:p>
    <w:p>
      <w:pPr>
        <w:jc w:val="center"/>
        <w:ind w:right="40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46-1777204</w:t>
      </w:r>
    </w:p>
    <w:p>
      <w:pPr>
        <w:spacing w:after="0" w:line="25"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(I.R.S. Employer</w:t>
      </w:r>
    </w:p>
    <w:p>
      <w:pPr>
        <w:jc w:val="center"/>
        <w:ind w:right="1420"/>
        <w:spacing w:after="0"/>
        <w:rPr>
          <w:sz w:val="20"/>
          <w:szCs w:val="20"/>
          <w:color w:val="auto"/>
        </w:rPr>
      </w:pPr>
      <w:r>
        <w:rPr>
          <w:rFonts w:ascii="Arial" w:cs="Arial" w:eastAsia="Arial" w:hAnsi="Arial"/>
          <w:sz w:val="17"/>
          <w:szCs w:val="17"/>
          <w:color w:val="auto"/>
        </w:rPr>
        <w:t>Identification No.)</w:t>
      </w:r>
    </w:p>
    <w:p>
      <w:pPr>
        <w:spacing w:after="0" w:line="68" w:lineRule="exact"/>
        <w:rPr>
          <w:sz w:val="24"/>
          <w:szCs w:val="24"/>
          <w:color w:val="auto"/>
        </w:rPr>
      </w:pPr>
    </w:p>
    <w:p>
      <w:pPr>
        <w:sectPr>
          <w:pgSz w:w="11900" w:h="16838" w:orient="portrait"/>
          <w:cols w:equalWidth="0" w:num="2">
            <w:col w:w="7760" w:space="720"/>
            <w:col w:w="2760"/>
          </w:cols>
          <w:pgMar w:left="320" w:top="1413" w:right="339" w:bottom="1440" w:gutter="0" w:footer="0" w:header="0"/>
          <w:type w:val="continuous"/>
        </w:sectPr>
      </w:pPr>
    </w:p>
    <w:p>
      <w:pPr>
        <w:ind w:left="2160" w:right="100" w:hanging="1477"/>
        <w:spacing w:after="0" w:line="297" w:lineRule="auto"/>
        <w:rPr>
          <w:sz w:val="20"/>
          <w:szCs w:val="20"/>
          <w:color w:val="auto"/>
        </w:rPr>
      </w:pPr>
      <w:r>
        <w:rPr>
          <w:rFonts w:ascii="Arial" w:cs="Arial" w:eastAsia="Arial" w:hAnsi="Arial"/>
          <w:sz w:val="18"/>
          <w:szCs w:val="18"/>
          <w:b w:val="1"/>
          <w:bCs w:val="1"/>
          <w:color w:val="auto"/>
        </w:rPr>
        <w:t>300 Carnegie Center, Suite 300</w:t>
      </w:r>
      <w:r>
        <w:rPr>
          <w:sz w:val="20"/>
          <w:szCs w:val="20"/>
          <w:color w:val="auto"/>
        </w:rPr>
        <w:t xml:space="preserve"> </w:t>
      </w:r>
      <w:r>
        <w:rPr>
          <w:rFonts w:ascii="Arial" w:cs="Arial" w:eastAsia="Arial" w:hAnsi="Arial"/>
          <w:sz w:val="18"/>
          <w:szCs w:val="18"/>
          <w:b w:val="1"/>
          <w:bCs w:val="1"/>
          <w:color w:val="auto"/>
        </w:rPr>
        <w:t xml:space="preserve">Princeton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08540</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(Zip Code)</w:t>
      </w:r>
    </w:p>
    <w:p>
      <w:pPr>
        <w:spacing w:after="0" w:line="293" w:lineRule="exact"/>
        <w:rPr>
          <w:sz w:val="24"/>
          <w:szCs w:val="24"/>
          <w:color w:val="auto"/>
        </w:rPr>
      </w:pPr>
    </w:p>
    <w:p>
      <w:pPr>
        <w:sectPr>
          <w:pgSz w:w="11900" w:h="16838" w:orient="portrait"/>
          <w:cols w:equalWidth="0" w:num="3">
            <w:col w:w="5120" w:space="720"/>
            <w:col w:w="2180" w:space="720"/>
            <w:col w:w="2500"/>
          </w:cols>
          <w:pgMar w:left="320" w:top="1413" w:right="33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58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Title of each class</w:t>
            </w:r>
          </w:p>
        </w:tc>
        <w:tc>
          <w:tcPr>
            <w:tcW w:w="26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Trading Symbol(s)</w:t>
            </w:r>
          </w:p>
        </w:tc>
        <w:tc>
          <w:tcPr>
            <w:tcW w:w="3900" w:type="dxa"/>
            <w:vAlign w:val="bottom"/>
          </w:tcPr>
          <w:p>
            <w:pPr>
              <w:jc w:val="center"/>
              <w:ind w:left="45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3580" w:type="dxa"/>
            <w:vAlign w:val="bottom"/>
          </w:tcPr>
          <w:p>
            <w:pPr>
              <w:jc w:val="center"/>
              <w:ind w:right="550"/>
              <w:spacing w:after="0"/>
              <w:rPr>
                <w:sz w:val="20"/>
                <w:szCs w:val="20"/>
                <w:color w:val="auto"/>
              </w:rPr>
            </w:pPr>
            <w:r>
              <w:rPr>
                <w:rFonts w:ascii="Arial" w:cs="Arial" w:eastAsia="Arial" w:hAnsi="Arial"/>
                <w:sz w:val="18"/>
                <w:szCs w:val="18"/>
                <w:color w:val="auto"/>
                <w:w w:val="90"/>
              </w:rPr>
              <w:t>Class A Common Stock, par value $0.01</w:t>
            </w:r>
          </w:p>
        </w:tc>
        <w:tc>
          <w:tcPr>
            <w:tcW w:w="2660" w:type="dxa"/>
            <w:vAlign w:val="bottom"/>
          </w:tcPr>
          <w:p>
            <w:pPr>
              <w:jc w:val="center"/>
              <w:spacing w:after="0"/>
              <w:rPr>
                <w:sz w:val="20"/>
                <w:szCs w:val="20"/>
                <w:color w:val="auto"/>
              </w:rPr>
            </w:pPr>
            <w:r>
              <w:rPr>
                <w:rFonts w:ascii="Arial" w:cs="Arial" w:eastAsia="Arial" w:hAnsi="Arial"/>
                <w:sz w:val="18"/>
                <w:szCs w:val="18"/>
                <w:color w:val="auto"/>
                <w:w w:val="97"/>
              </w:rPr>
              <w:t>CWEN.A</w:t>
            </w:r>
          </w:p>
        </w:tc>
        <w:tc>
          <w:tcPr>
            <w:tcW w:w="3900" w:type="dxa"/>
            <w:vAlign w:val="bottom"/>
          </w:tcPr>
          <w:p>
            <w:pPr>
              <w:jc w:val="center"/>
              <w:ind w:left="45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580" w:type="dxa"/>
            <w:vAlign w:val="bottom"/>
          </w:tcPr>
          <w:p>
            <w:pPr>
              <w:jc w:val="center"/>
              <w:ind w:right="570"/>
              <w:spacing w:after="0"/>
              <w:rPr>
                <w:sz w:val="20"/>
                <w:szCs w:val="20"/>
                <w:color w:val="auto"/>
              </w:rPr>
            </w:pPr>
            <w:r>
              <w:rPr>
                <w:rFonts w:ascii="Arial" w:cs="Arial" w:eastAsia="Arial" w:hAnsi="Arial"/>
                <w:sz w:val="18"/>
                <w:szCs w:val="18"/>
                <w:color w:val="auto"/>
                <w:w w:val="89"/>
              </w:rPr>
              <w:t>Class C Common Stock, par value $0.01</w:t>
            </w:r>
          </w:p>
        </w:tc>
        <w:tc>
          <w:tcPr>
            <w:tcW w:w="2660" w:type="dxa"/>
            <w:vAlign w:val="bottom"/>
          </w:tcPr>
          <w:p>
            <w:pPr>
              <w:jc w:val="center"/>
              <w:ind w:left="10"/>
              <w:spacing w:after="0"/>
              <w:rPr>
                <w:sz w:val="20"/>
                <w:szCs w:val="20"/>
                <w:color w:val="auto"/>
              </w:rPr>
            </w:pPr>
            <w:r>
              <w:rPr>
                <w:rFonts w:ascii="Arial" w:cs="Arial" w:eastAsia="Arial" w:hAnsi="Arial"/>
                <w:sz w:val="18"/>
                <w:szCs w:val="18"/>
                <w:color w:val="auto"/>
                <w:w w:val="94"/>
              </w:rPr>
              <w:t>CWEN</w:t>
            </w:r>
          </w:p>
        </w:tc>
        <w:tc>
          <w:tcPr>
            <w:tcW w:w="3900" w:type="dxa"/>
            <w:vAlign w:val="bottom"/>
          </w:tcPr>
          <w:p>
            <w:pPr>
              <w:jc w:val="center"/>
              <w:ind w:left="450"/>
              <w:spacing w:after="0"/>
              <w:rPr>
                <w:sz w:val="20"/>
                <w:szCs w:val="20"/>
                <w:color w:val="auto"/>
              </w:rPr>
            </w:pPr>
            <w:r>
              <w:rPr>
                <w:rFonts w:ascii="Arial" w:cs="Arial" w:eastAsia="Arial" w:hAnsi="Arial"/>
                <w:sz w:val="18"/>
                <w:szCs w:val="18"/>
                <w:color w:val="auto"/>
                <w:w w:val="91"/>
              </w:rPr>
              <w:t>New York Stock Exchange</w:t>
            </w:r>
          </w:p>
        </w:tc>
      </w:tr>
    </w:tbl>
    <w:p>
      <w:pPr>
        <w:spacing w:after="0" w:line="179" w:lineRule="exact"/>
        <w:rPr>
          <w:sz w:val="24"/>
          <w:szCs w:val="24"/>
          <w:color w:val="auto"/>
        </w:rPr>
      </w:pPr>
    </w:p>
    <w:p>
      <w:pPr>
        <w:jc w:val="both"/>
        <w:ind w:firstLine="283"/>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184" w:lineRule="exact"/>
        <w:tabs>
          <w:tab w:leader="none" w:pos="2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firstLine="283"/>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4" w:lineRule="exact"/>
        <w:rPr>
          <w:sz w:val="24"/>
          <w:szCs w:val="24"/>
          <w:color w:val="auto"/>
        </w:rPr>
      </w:pPr>
    </w:p>
    <w:p>
      <w:pPr>
        <w:jc w:val="center"/>
        <w:spacing w:after="0" w:line="184" w:lineRule="exact"/>
        <w:tabs>
          <w:tab w:leader="none" w:pos="22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firstLine="283"/>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200" w:type="dxa"/>
        <w:tblCellMar>
          <w:top w:w="0" w:type="dxa"/>
          <w:left w:w="0" w:type="dxa"/>
          <w:bottom w:w="0" w:type="dxa"/>
          <w:right w:w="0" w:type="dxa"/>
        </w:tblCellMar>
      </w:tblPr>
      <w:tr>
        <w:trPr>
          <w:trHeight w:val="256"/>
        </w:trPr>
        <w:tc>
          <w:tcPr>
            <w:tcW w:w="2280" w:type="dxa"/>
            <w:vAlign w:val="bottom"/>
          </w:tcPr>
          <w:p>
            <w:pPr>
              <w:jc w:val="center"/>
              <w:ind w:right="590"/>
              <w:spacing w:after="0"/>
              <w:rPr>
                <w:sz w:val="20"/>
                <w:szCs w:val="20"/>
                <w:color w:val="auto"/>
              </w:rPr>
            </w:pPr>
            <w:r>
              <w:rPr>
                <w:rFonts w:ascii="Arial" w:cs="Arial" w:eastAsia="Arial" w:hAnsi="Arial"/>
                <w:sz w:val="18"/>
                <w:szCs w:val="18"/>
                <w:color w:val="auto"/>
                <w:w w:val="89"/>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80" w:type="dxa"/>
            <w:vAlign w:val="bottom"/>
          </w:tcPr>
          <w:p>
            <w:pPr>
              <w:jc w:val="center"/>
              <w:ind w:right="590"/>
              <w:spacing w:after="0"/>
              <w:rPr>
                <w:sz w:val="20"/>
                <w:szCs w:val="20"/>
                <w:color w:val="auto"/>
              </w:rPr>
            </w:pPr>
            <w:r>
              <w:rPr>
                <w:rFonts w:ascii="Arial" w:cs="Arial" w:eastAsia="Arial" w:hAnsi="Arial"/>
                <w:sz w:val="18"/>
                <w:szCs w:val="18"/>
                <w:color w:val="auto"/>
                <w:w w:val="91"/>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firstLine="324"/>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1"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3" w:lineRule="exact"/>
        <w:rPr>
          <w:sz w:val="24"/>
          <w:szCs w:val="24"/>
          <w:color w:val="auto"/>
        </w:rPr>
      </w:pPr>
    </w:p>
    <w:p>
      <w:pPr>
        <w:ind w:left="5080"/>
        <w:spacing w:after="0" w:line="184" w:lineRule="exact"/>
        <w:tabs>
          <w:tab w:leader="none" w:pos="57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firstLine="283"/>
        <w:spacing w:after="0" w:line="230" w:lineRule="auto"/>
        <w:rPr>
          <w:sz w:val="20"/>
          <w:szCs w:val="20"/>
          <w:color w:val="auto"/>
        </w:rPr>
      </w:pPr>
      <w:r>
        <w:rPr>
          <w:rFonts w:ascii="Arial" w:cs="Arial" w:eastAsia="Arial" w:hAnsi="Arial"/>
          <w:sz w:val="16"/>
          <w:szCs w:val="16"/>
          <w:color w:val="auto"/>
        </w:rPr>
        <w:t>As of October 31, 2023, there were 34,613,853 shares of Class A common stock outstanding, par value $0.01 per share, 42,738,750 shares of Class B common stock outstanding, par value $0.01 per share, 82,390,447 shares of Class C common stock outstanding, par value $0.01 per share, and 42,336,750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797560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20" w:type="dxa"/>
            <w:vAlign w:val="bottom"/>
            <w:gridSpan w:val="14"/>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3660" w:type="dxa"/>
            <w:vAlign w:val="bottom"/>
            <w:gridSpan w:val="4"/>
          </w:tcPr>
          <w:p>
            <w:pPr>
              <w:spacing w:after="0"/>
              <w:rPr>
                <w:sz w:val="17"/>
                <w:szCs w:val="17"/>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820" w:type="dxa"/>
            <w:vAlign w:val="bottom"/>
            <w:gridSpan w:val="14"/>
          </w:tcPr>
          <w:p>
            <w:pPr>
              <w:spacing w:after="0"/>
              <w:rPr>
                <w:sz w:val="20"/>
                <w:szCs w:val="20"/>
                <w:color w:val="auto"/>
              </w:rPr>
            </w:pPr>
            <w:r>
              <w:rPr>
                <w:rFonts w:ascii="Arial" w:cs="Arial" w:eastAsia="Arial" w:hAnsi="Arial"/>
                <w:sz w:val="18"/>
                <w:szCs w:val="18"/>
                <w:b w:val="1"/>
                <w:bCs w:val="1"/>
                <w:color w:val="0000FF"/>
              </w:rPr>
              <w:t>GLOSSARY OF TERMS</w:t>
            </w:r>
          </w:p>
        </w:tc>
        <w:tc>
          <w:tcPr>
            <w:tcW w:w="3660" w:type="dxa"/>
            <w:vAlign w:val="bottom"/>
            <w:gridSpan w:val="4"/>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0000FF"/>
              </w:rPr>
              <w:t>4</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220" w:type="dxa"/>
            <w:vAlign w:val="bottom"/>
            <w:gridSpan w:val="8"/>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0000FF"/>
              </w:rPr>
              <w:t>6</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1 — FINANCIAL STATEMENTS AND NOTES</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0000FF"/>
              </w:rPr>
              <w:t>6</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 OPERATIONS</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ITEM 3 — QUANTITATIVE AND QUALITATIVE DISCLOSURES ABOUT MARKET RISK</w:t>
            </w:r>
          </w:p>
        </w:tc>
        <w:tc>
          <w:tcPr>
            <w:tcW w:w="276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ITEM 4 — CONTROLS AND PROCEDURES</w:t>
            </w:r>
          </w:p>
        </w:tc>
        <w:tc>
          <w:tcPr>
            <w:tcW w:w="6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9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 OTHER INFORMATION</w:t>
            </w:r>
          </w:p>
        </w:tc>
        <w:tc>
          <w:tcPr>
            <w:tcW w:w="75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1 — LEGAL PROCEEDINGS</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FF"/>
              </w:rPr>
              <w:t>56</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6"/>
              </w:rPr>
              <w:t>ITEM 1A — RISK FACTORS</w:t>
            </w:r>
          </w:p>
        </w:tc>
        <w:tc>
          <w:tcPr>
            <w:tcW w:w="480" w:type="dxa"/>
            <w:vAlign w:val="bottom"/>
            <w:tcBorders>
              <w:top w:val="single" w:sz="8" w:color="0000FF"/>
            </w:tcBorders>
          </w:tcPr>
          <w:p>
            <w:pPr>
              <w:spacing w:after="0"/>
              <w:rPr>
                <w:sz w:val="18"/>
                <w:szCs w:val="18"/>
                <w:color w:val="auto"/>
              </w:rPr>
            </w:pPr>
          </w:p>
        </w:tc>
        <w:tc>
          <w:tcPr>
            <w:tcW w:w="756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2 — UNREGISTERED SALES OF EQUITY SECURITIES AND USE OF PROCEEDS</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FF"/>
              </w:rPr>
              <w:t>56</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top w:val="single" w:sz="8" w:color="0000FF"/>
              <w:bottom w:val="single" w:sz="8" w:color="0000FF"/>
            </w:tcBorders>
            <w:gridSpan w:val="11"/>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33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4</w:t>
            </w:r>
          </w:p>
        </w:tc>
        <w:tc>
          <w:tcPr>
            <w:tcW w:w="270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95"/>
              </w:rPr>
              <w:t>— MINE SAFETY DISCLOSURES</w:t>
            </w:r>
          </w:p>
        </w:tc>
        <w:tc>
          <w:tcPr>
            <w:tcW w:w="698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6"/>
              </w:rPr>
              <w:t>— OTHER INFORMATION</w:t>
            </w:r>
          </w:p>
        </w:tc>
        <w:tc>
          <w:tcPr>
            <w:tcW w:w="754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6</w:t>
            </w:r>
          </w:p>
        </w:tc>
        <w:tc>
          <w:tcPr>
            <w:tcW w:w="108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8"/>
              </w:rPr>
              <w:t>— EXHIBITS</w:t>
            </w:r>
          </w:p>
        </w:tc>
        <w:tc>
          <w:tcPr>
            <w:tcW w:w="86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57</w:t>
            </w:r>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b w:val="1"/>
                <w:bCs w:val="1"/>
                <w:color w:val="0000FF"/>
              </w:rPr>
              <w:t>SIGNATURES</w:t>
            </w:r>
          </w:p>
        </w:tc>
        <w:tc>
          <w:tcPr>
            <w:tcW w:w="680" w:type="dxa"/>
            <w:vAlign w:val="bottom"/>
            <w:gridSpan w:val="3"/>
          </w:tcPr>
          <w:p>
            <w:pPr>
              <w:jc w:val="right"/>
              <w:spacing w:after="0"/>
              <w:rPr>
                <w:sz w:val="20"/>
                <w:szCs w:val="20"/>
                <w:color w:val="auto"/>
              </w:rPr>
            </w:pPr>
            <w:r>
              <w:rPr>
                <w:rFonts w:ascii="Arial" w:cs="Arial" w:eastAsia="Arial" w:hAnsi="Arial"/>
                <w:sz w:val="18"/>
                <w:szCs w:val="18"/>
                <w:color w:val="0000FF"/>
              </w:rPr>
              <w:t>58</w:t>
            </w:r>
          </w:p>
        </w:tc>
        <w:tc>
          <w:tcPr>
            <w:tcW w:w="40" w:type="dxa"/>
            <w:vAlign w:val="bottom"/>
          </w:tcPr>
          <w:p>
            <w:pPr>
              <w:spacing w:after="0"/>
              <w:rPr>
                <w:sz w:val="18"/>
                <w:szCs w:val="18"/>
                <w:color w:val="auto"/>
              </w:rPr>
            </w:pPr>
          </w:p>
        </w:tc>
      </w:tr>
      <w:tr>
        <w:trPr>
          <w:trHeight w:val="979"/>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460" w:type="dxa"/>
            <w:vAlign w:val="bottom"/>
            <w:gridSpan w:val="11"/>
          </w:tcPr>
          <w:p>
            <w:pPr>
              <w:jc w:val="right"/>
              <w:ind w:right="1200"/>
              <w:spacing w:after="0"/>
              <w:rPr>
                <w:sz w:val="20"/>
                <w:szCs w:val="20"/>
                <w:color w:val="auto"/>
              </w:rPr>
            </w:pPr>
            <w:r>
              <w:rPr>
                <w:rFonts w:ascii="Arial" w:cs="Arial" w:eastAsia="Arial" w:hAnsi="Arial"/>
                <w:sz w:val="18"/>
                <w:szCs w:val="18"/>
                <w:color w:val="231F20"/>
              </w:rPr>
              <w:t>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of the Company’s Annual Report on Form 10-K for the year ended December 31, 2022, as well as the following:</w:t>
      </w:r>
    </w:p>
    <w:p>
      <w:pPr>
        <w:spacing w:after="0" w:line="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TotalEnergies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and dispositions to,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CEG;</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8540" w:type="dxa"/>
            <w:vAlign w:val="bottom"/>
          </w:tcPr>
          <w:p>
            <w:pPr>
              <w:ind w:left="1940"/>
              <w:spacing w:after="0"/>
              <w:rPr>
                <w:sz w:val="20"/>
                <w:szCs w:val="20"/>
                <w:color w:val="auto"/>
              </w:rPr>
            </w:pPr>
            <w:r>
              <w:rPr>
                <w:rFonts w:ascii="Arial" w:cs="Arial" w:eastAsia="Arial" w:hAnsi="Arial"/>
                <w:sz w:val="18"/>
                <w:szCs w:val="18"/>
                <w:b w:val="1"/>
                <w:bCs w:val="1"/>
                <w:color w:val="auto"/>
              </w:rPr>
              <w:t>GLOSSARY OF TERMS</w:t>
            </w:r>
          </w:p>
        </w:tc>
      </w:tr>
      <w:tr>
        <w:trPr>
          <w:trHeight w:val="378"/>
        </w:trPr>
        <w:tc>
          <w:tcPr>
            <w:tcW w:w="11240" w:type="dxa"/>
            <w:vAlign w:val="bottom"/>
            <w:gridSpan w:val="2"/>
          </w:tcPr>
          <w:p>
            <w:pPr>
              <w:ind w:left="42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r>
      <w:tr>
        <w:trPr>
          <w:trHeight w:val="202"/>
        </w:trPr>
        <w:tc>
          <w:tcPr>
            <w:tcW w:w="2700" w:type="dxa"/>
            <w:vAlign w:val="bottom"/>
          </w:tcPr>
          <w:p>
            <w:pPr>
              <w:ind w:left="20"/>
              <w:spacing w:after="0" w:line="202" w:lineRule="exact"/>
              <w:rPr>
                <w:sz w:val="20"/>
                <w:szCs w:val="20"/>
                <w:color w:val="auto"/>
              </w:rPr>
            </w:pPr>
            <w:r>
              <w:rPr>
                <w:rFonts w:ascii="Arial" w:cs="Arial" w:eastAsia="Arial" w:hAnsi="Arial"/>
                <w:sz w:val="18"/>
                <w:szCs w:val="18"/>
                <w:color w:val="auto"/>
              </w:rPr>
              <w:t>2028 Senior Notes</w:t>
            </w:r>
          </w:p>
        </w:tc>
        <w:tc>
          <w:tcPr>
            <w:tcW w:w="8540" w:type="dxa"/>
            <w:vAlign w:val="bottom"/>
          </w:tcPr>
          <w:p>
            <w:pPr>
              <w:ind w:left="200"/>
              <w:spacing w:after="0" w:line="202" w:lineRule="exact"/>
              <w:rPr>
                <w:sz w:val="20"/>
                <w:szCs w:val="20"/>
                <w:color w:val="auto"/>
              </w:rPr>
            </w:pPr>
            <w:r>
              <w:rPr>
                <w:rFonts w:ascii="Arial" w:cs="Arial" w:eastAsia="Arial" w:hAnsi="Arial"/>
                <w:sz w:val="18"/>
                <w:szCs w:val="18"/>
                <w:color w:val="auto"/>
                <w:w w:val="92"/>
              </w:rPr>
              <w:t>$850 million aggregate principal amount of 4.75% unsecured senior notes due 2028, issued by Clearway Energy</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Operating LLC</w:t>
            </w: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2031 Senior Notes</w:t>
            </w: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w w:val="92"/>
              </w:rPr>
              <w:t>$925 million aggregate principal amount of 3.75% unsecured senior notes due 2031, issued by Clearway Energy</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Operating LLC</w:t>
            </w: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2032 Senior Notes</w:t>
            </w: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w w:val="92"/>
              </w:rPr>
              <w:t>$350 million aggregate principal amount of 3.75% unsecured senior notes due 2032, issued by Clearway Energy</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Operating LLC</w:t>
            </w:r>
          </w:p>
        </w:tc>
      </w:tr>
      <w:tr>
        <w:trPr>
          <w:trHeight w:val="228"/>
        </w:trPr>
        <w:tc>
          <w:tcPr>
            <w:tcW w:w="27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540" w:type="dxa"/>
            <w:vAlign w:val="bottom"/>
          </w:tcPr>
          <w:p>
            <w:pPr>
              <w:ind w:left="200"/>
              <w:spacing w:after="0"/>
              <w:rPr>
                <w:sz w:val="20"/>
                <w:szCs w:val="20"/>
                <w:color w:val="auto"/>
              </w:rPr>
            </w:pPr>
            <w:r>
              <w:rPr>
                <w:rFonts w:ascii="Arial" w:cs="Arial" w:eastAsia="Arial" w:hAnsi="Arial"/>
                <w:sz w:val="18"/>
                <w:szCs w:val="18"/>
                <w:color w:val="auto"/>
                <w:w w:val="94"/>
              </w:rPr>
              <w:t>A  non-GAAP  measure,  represents  earnings  before  interest  (including  loss  on  debt  extinguishment),  tax,</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2"/>
              </w:rPr>
              <w:t>depreciation and amortization adjusted for mark-to-market gains or losses, asset write offs and impairments; and</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factors which the Company does not consider indicative of future operating performance</w:t>
            </w: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ASC</w:t>
            </w: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rPr>
              <w:t>The FASB Accounting Standards Codification, which the FASB established as the source of</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authoritative GAAP</w:t>
            </w: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ASU</w:t>
            </w:r>
          </w:p>
        </w:tc>
        <w:tc>
          <w:tcPr>
            <w:tcW w:w="8540" w:type="dxa"/>
            <w:vAlign w:val="bottom"/>
          </w:tcPr>
          <w:p>
            <w:pPr>
              <w:ind w:left="200"/>
              <w:spacing w:after="0"/>
              <w:rPr>
                <w:sz w:val="20"/>
                <w:szCs w:val="20"/>
                <w:color w:val="auto"/>
              </w:rPr>
            </w:pPr>
            <w:r>
              <w:rPr>
                <w:rFonts w:ascii="Arial" w:cs="Arial" w:eastAsia="Arial" w:hAnsi="Arial"/>
                <w:sz w:val="18"/>
                <w:szCs w:val="18"/>
                <w:color w:val="auto"/>
              </w:rPr>
              <w:t>Accounting Standards Updates - updates to the ASC</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ATM Program</w:t>
            </w:r>
          </w:p>
        </w:tc>
        <w:tc>
          <w:tcPr>
            <w:tcW w:w="8540" w:type="dxa"/>
            <w:vAlign w:val="bottom"/>
          </w:tcPr>
          <w:p>
            <w:pPr>
              <w:ind w:left="200"/>
              <w:spacing w:after="0"/>
              <w:rPr>
                <w:sz w:val="20"/>
                <w:szCs w:val="20"/>
                <w:color w:val="auto"/>
              </w:rPr>
            </w:pPr>
            <w:r>
              <w:rPr>
                <w:rFonts w:ascii="Arial" w:cs="Arial" w:eastAsia="Arial" w:hAnsi="Arial"/>
                <w:sz w:val="18"/>
                <w:szCs w:val="18"/>
                <w:color w:val="auto"/>
              </w:rPr>
              <w:t>At-The-Market Equity Offering Program</w:t>
            </w: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Bridge Loan Agreement</w:t>
            </w: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1"/>
              </w:rPr>
              <w:t>Senior secured bridge credit agreement entered into by Clearway Energy Operating LLC that provided a term loan</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facility in an aggregate principal amount of $335 million that was repaid on May 3, 2022</w:t>
            </w:r>
          </w:p>
        </w:tc>
      </w:tr>
      <w:tr>
        <w:trPr>
          <w:trHeight w:val="242"/>
        </w:trPr>
        <w:tc>
          <w:tcPr>
            <w:tcW w:w="2700" w:type="dxa"/>
            <w:vAlign w:val="bottom"/>
          </w:tcPr>
          <w:p>
            <w:pPr>
              <w:ind w:left="20"/>
              <w:spacing w:after="0"/>
              <w:rPr>
                <w:sz w:val="20"/>
                <w:szCs w:val="20"/>
                <w:color w:val="auto"/>
              </w:rPr>
            </w:pPr>
            <w:r>
              <w:rPr>
                <w:rFonts w:ascii="Arial" w:cs="Arial" w:eastAsia="Arial" w:hAnsi="Arial"/>
                <w:sz w:val="18"/>
                <w:szCs w:val="18"/>
                <w:color w:val="auto"/>
              </w:rPr>
              <w:t>BESS</w:t>
            </w:r>
          </w:p>
        </w:tc>
        <w:tc>
          <w:tcPr>
            <w:tcW w:w="8540" w:type="dxa"/>
            <w:vAlign w:val="bottom"/>
          </w:tcPr>
          <w:p>
            <w:pPr>
              <w:ind w:left="200"/>
              <w:spacing w:after="0"/>
              <w:rPr>
                <w:sz w:val="20"/>
                <w:szCs w:val="20"/>
                <w:color w:val="auto"/>
              </w:rPr>
            </w:pPr>
            <w:r>
              <w:rPr>
                <w:rFonts w:ascii="Arial" w:cs="Arial" w:eastAsia="Arial" w:hAnsi="Arial"/>
                <w:sz w:val="18"/>
                <w:szCs w:val="18"/>
                <w:color w:val="auto"/>
              </w:rPr>
              <w:t>Battery energy storage system</w:t>
            </w:r>
          </w:p>
        </w:tc>
      </w:tr>
      <w:tr>
        <w:trPr>
          <w:trHeight w:val="338"/>
        </w:trPr>
        <w:tc>
          <w:tcPr>
            <w:tcW w:w="2700" w:type="dxa"/>
            <w:vAlign w:val="bottom"/>
          </w:tcPr>
          <w:p>
            <w:pPr>
              <w:ind w:left="20"/>
              <w:spacing w:after="0"/>
              <w:rPr>
                <w:sz w:val="20"/>
                <w:szCs w:val="20"/>
                <w:color w:val="auto"/>
              </w:rPr>
            </w:pPr>
            <w:r>
              <w:rPr>
                <w:rFonts w:ascii="Arial" w:cs="Arial" w:eastAsia="Arial" w:hAnsi="Arial"/>
                <w:sz w:val="18"/>
                <w:szCs w:val="18"/>
                <w:color w:val="auto"/>
              </w:rPr>
              <w:t>Black Start</w:t>
            </w:r>
          </w:p>
        </w:tc>
        <w:tc>
          <w:tcPr>
            <w:tcW w:w="8540" w:type="dxa"/>
            <w:vAlign w:val="bottom"/>
          </w:tcPr>
          <w:p>
            <w:pPr>
              <w:ind w:left="200"/>
              <w:spacing w:after="0"/>
              <w:rPr>
                <w:sz w:val="20"/>
                <w:szCs w:val="20"/>
                <w:color w:val="auto"/>
              </w:rPr>
            </w:pPr>
            <w:r>
              <w:rPr>
                <w:rFonts w:ascii="Arial" w:cs="Arial" w:eastAsia="Arial" w:hAnsi="Arial"/>
                <w:sz w:val="18"/>
                <w:szCs w:val="18"/>
                <w:color w:val="auto"/>
                <w:w w:val="94"/>
              </w:rPr>
              <w:t>The capability of a generating asset to restore the grid in the event of a blackout without relying on the external</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electric power transmission network</w:t>
            </w: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CAFD</w:t>
            </w: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w w:val="93"/>
              </w:rPr>
              <w:t>A non-GAAP measure, Cash Available for Distribution is defined as of September 30, 2023 as Adjusted EBITDA</w:t>
            </w:r>
          </w:p>
        </w:tc>
      </w:tr>
      <w:tr>
        <w:trPr>
          <w:trHeight w:val="188"/>
        </w:trPr>
        <w:tc>
          <w:tcPr>
            <w:tcW w:w="2700" w:type="dxa"/>
            <w:vAlign w:val="bottom"/>
          </w:tcPr>
          <w:p>
            <w:pPr>
              <w:spacing w:after="0"/>
              <w:rPr>
                <w:sz w:val="16"/>
                <w:szCs w:val="16"/>
                <w:color w:val="auto"/>
              </w:rPr>
            </w:pP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w w:val="94"/>
              </w:rPr>
              <w:t>plus cash distributions/return of investment from unconsolidated affiliates, cash receipts from notes receivable,</w:t>
            </w:r>
          </w:p>
        </w:tc>
      </w:tr>
      <w:tr>
        <w:trPr>
          <w:trHeight w:val="176"/>
        </w:trPr>
        <w:tc>
          <w:tcPr>
            <w:tcW w:w="2700" w:type="dxa"/>
            <w:vAlign w:val="bottom"/>
          </w:tcPr>
          <w:p>
            <w:pPr>
              <w:spacing w:after="0"/>
              <w:rPr>
                <w:sz w:val="15"/>
                <w:szCs w:val="15"/>
                <w:color w:val="auto"/>
              </w:rPr>
            </w:pP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8"/>
              </w:rPr>
              <w:t>cash distributions from noncontrolling interests, adjustments to reflect sales-type lease cash payments and</w:t>
            </w:r>
          </w:p>
        </w:tc>
      </w:tr>
      <w:tr>
        <w:trPr>
          <w:trHeight w:val="176"/>
        </w:trPr>
        <w:tc>
          <w:tcPr>
            <w:tcW w:w="2700" w:type="dxa"/>
            <w:vAlign w:val="bottom"/>
          </w:tcPr>
          <w:p>
            <w:pPr>
              <w:spacing w:after="0"/>
              <w:rPr>
                <w:sz w:val="15"/>
                <w:szCs w:val="15"/>
                <w:color w:val="auto"/>
              </w:rPr>
            </w:pP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1"/>
              </w:rPr>
              <w:t>payments for lease expenses, less cash distributions to noncontrolling interests, maintenance capital expenditures,</w:t>
            </w:r>
          </w:p>
        </w:tc>
      </w:tr>
      <w:tr>
        <w:trPr>
          <w:trHeight w:val="188"/>
        </w:trPr>
        <w:tc>
          <w:tcPr>
            <w:tcW w:w="2700" w:type="dxa"/>
            <w:vAlign w:val="bottom"/>
          </w:tcPr>
          <w:p>
            <w:pPr>
              <w:spacing w:after="0"/>
              <w:rPr>
                <w:sz w:val="16"/>
                <w:szCs w:val="16"/>
                <w:color w:val="auto"/>
              </w:rPr>
            </w:pP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rPr>
              <w:t>pro-rata Adjusted EBITDA from unconsolidated affiliates, cash interest paid, income taxes paid, principal</w:t>
            </w:r>
          </w:p>
        </w:tc>
      </w:tr>
      <w:tr>
        <w:trPr>
          <w:trHeight w:val="176"/>
        </w:trPr>
        <w:tc>
          <w:tcPr>
            <w:tcW w:w="2700" w:type="dxa"/>
            <w:vAlign w:val="bottom"/>
          </w:tcPr>
          <w:p>
            <w:pPr>
              <w:spacing w:after="0"/>
              <w:rPr>
                <w:sz w:val="15"/>
                <w:szCs w:val="15"/>
                <w:color w:val="auto"/>
              </w:rPr>
            </w:pP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3"/>
              </w:rPr>
              <w:t>amortization of indebtedness, changes in prepaid and accrued capacity payments and adjusted for development</w:t>
            </w:r>
          </w:p>
        </w:tc>
      </w:tr>
      <w:tr>
        <w:trPr>
          <w:trHeight w:val="229"/>
        </w:trPr>
        <w:tc>
          <w:tcPr>
            <w:tcW w:w="270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expenses</w:t>
            </w: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Capistrano Wind Portfolio</w:t>
            </w: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5"/>
              </w:rPr>
              <w:t>Five wind projects representing 413 MW of capacity, which includes Broken Bow and Crofton Bluffs located in</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Nebraska, Cedro Hill located in Texas and Mountain Wind Power I and II located in Wyoming</w:t>
            </w: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CEG</w:t>
            </w:r>
          </w:p>
        </w:tc>
        <w:tc>
          <w:tcPr>
            <w:tcW w:w="8540" w:type="dxa"/>
            <w:vAlign w:val="bottom"/>
          </w:tcPr>
          <w:p>
            <w:pPr>
              <w:ind w:left="200"/>
              <w:spacing w:after="0"/>
              <w:rPr>
                <w:sz w:val="20"/>
                <w:szCs w:val="20"/>
                <w:color w:val="auto"/>
              </w:rPr>
            </w:pPr>
            <w:r>
              <w:rPr>
                <w:rFonts w:ascii="Arial" w:cs="Arial" w:eastAsia="Arial" w:hAnsi="Arial"/>
                <w:sz w:val="18"/>
                <w:szCs w:val="18"/>
                <w:color w:val="auto"/>
              </w:rPr>
              <w:t>Clearway Energy Group LLC (formerly Zephyr Renewables LLC)</w:t>
            </w: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w w:val="96"/>
              </w:rPr>
              <w:t>CEG Master Services Agreements</w:t>
            </w: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2"/>
              </w:rPr>
              <w:t>Master Services Agreements entered into as of August 31, 2018 and amended on February 2, 2023 between the</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Company, Clearway Energy LLC and Clearway Energy Operating LLC, and CEG</w:t>
            </w: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Clearway Energy LLC</w:t>
            </w: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w w:val="92"/>
              </w:rPr>
              <w:t>The holding company through which the projects are owned by Clearway Energy Group LLC, the holder of Class</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B and Class D units, and Clearway Energy, Inc., the holder of the Class A and Class C units</w:t>
            </w: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Clearway Energy Group LLC</w:t>
            </w:r>
          </w:p>
        </w:tc>
        <w:tc>
          <w:tcPr>
            <w:tcW w:w="8540" w:type="dxa"/>
            <w:vAlign w:val="bottom"/>
          </w:tcPr>
          <w:p>
            <w:pPr>
              <w:ind w:left="200"/>
              <w:spacing w:after="0" w:line="189" w:lineRule="exact"/>
              <w:rPr>
                <w:sz w:val="20"/>
                <w:szCs w:val="20"/>
                <w:color w:val="auto"/>
              </w:rPr>
            </w:pPr>
            <w:r>
              <w:rPr>
                <w:rFonts w:ascii="Arial" w:cs="Arial" w:eastAsia="Arial" w:hAnsi="Arial"/>
                <w:sz w:val="18"/>
                <w:szCs w:val="18"/>
                <w:color w:val="auto"/>
                <w:w w:val="95"/>
              </w:rPr>
              <w:t>The holder of all the Company’s Class B and Class D common stock and Clearway Energy LLC’s Class B and</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4"/>
              </w:rPr>
              <w:t>Class D units and, from time to time, possibly shares of the Company’s Class A and/or Class C common stock</w:t>
            </w: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40" w:type="dxa"/>
            <w:vAlign w:val="bottom"/>
          </w:tcPr>
          <w:p>
            <w:pPr>
              <w:ind w:left="200"/>
              <w:spacing w:after="0"/>
              <w:rPr>
                <w:sz w:val="20"/>
                <w:szCs w:val="20"/>
                <w:color w:val="auto"/>
              </w:rPr>
            </w:pPr>
            <w:r>
              <w:rPr>
                <w:rFonts w:ascii="Arial" w:cs="Arial" w:eastAsia="Arial" w:hAnsi="Arial"/>
                <w:sz w:val="18"/>
                <w:szCs w:val="18"/>
                <w:color w:val="auto"/>
              </w:rPr>
              <w:t>The holder of the project assets that are owned by Clearway Energy LLC</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Clearway Renew</w:t>
            </w:r>
          </w:p>
        </w:tc>
        <w:tc>
          <w:tcPr>
            <w:tcW w:w="8540" w:type="dxa"/>
            <w:vAlign w:val="bottom"/>
          </w:tcPr>
          <w:p>
            <w:pPr>
              <w:ind w:left="200"/>
              <w:spacing w:after="0"/>
              <w:rPr>
                <w:sz w:val="20"/>
                <w:szCs w:val="20"/>
                <w:color w:val="auto"/>
              </w:rPr>
            </w:pPr>
            <w:r>
              <w:rPr>
                <w:rFonts w:ascii="Arial" w:cs="Arial" w:eastAsia="Arial" w:hAnsi="Arial"/>
                <w:sz w:val="18"/>
                <w:szCs w:val="18"/>
                <w:color w:val="auto"/>
              </w:rPr>
              <w:t>Clearway Renew LLC, a subsidiary of CEG</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Company</w:t>
            </w:r>
          </w:p>
        </w:tc>
        <w:tc>
          <w:tcPr>
            <w:tcW w:w="8540" w:type="dxa"/>
            <w:vAlign w:val="bottom"/>
          </w:tcPr>
          <w:p>
            <w:pPr>
              <w:ind w:left="200"/>
              <w:spacing w:after="0"/>
              <w:rPr>
                <w:sz w:val="20"/>
                <w:szCs w:val="20"/>
                <w:color w:val="auto"/>
              </w:rPr>
            </w:pPr>
            <w:r>
              <w:rPr>
                <w:rFonts w:ascii="Arial" w:cs="Arial" w:eastAsia="Arial" w:hAnsi="Arial"/>
                <w:sz w:val="18"/>
                <w:szCs w:val="18"/>
                <w:color w:val="auto"/>
              </w:rPr>
              <w:t>Clearway Energy, Inc., together with its consolidated subsidiaries</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CVSR</w:t>
            </w:r>
          </w:p>
        </w:tc>
        <w:tc>
          <w:tcPr>
            <w:tcW w:w="8540" w:type="dxa"/>
            <w:vAlign w:val="bottom"/>
          </w:tcPr>
          <w:p>
            <w:pPr>
              <w:ind w:left="200"/>
              <w:spacing w:after="0"/>
              <w:rPr>
                <w:sz w:val="20"/>
                <w:szCs w:val="20"/>
                <w:color w:val="auto"/>
              </w:rPr>
            </w:pPr>
            <w:r>
              <w:rPr>
                <w:rFonts w:ascii="Arial" w:cs="Arial" w:eastAsia="Arial" w:hAnsi="Arial"/>
                <w:sz w:val="18"/>
                <w:szCs w:val="18"/>
                <w:color w:val="auto"/>
              </w:rPr>
              <w:t>California Valley Solar Ranch</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40" w:type="dxa"/>
            <w:vAlign w:val="bottom"/>
          </w:tcPr>
          <w:p>
            <w:pPr>
              <w:ind w:left="200"/>
              <w:spacing w:after="0"/>
              <w:rPr>
                <w:sz w:val="20"/>
                <w:szCs w:val="20"/>
                <w:color w:val="auto"/>
              </w:rPr>
            </w:pPr>
            <w:r>
              <w:rPr>
                <w:rFonts w:ascii="Arial" w:cs="Arial" w:eastAsia="Arial" w:hAnsi="Arial"/>
                <w:sz w:val="18"/>
                <w:szCs w:val="18"/>
                <w:color w:val="auto"/>
              </w:rPr>
              <w:t>CVSR Holdco LLC, the indirect owner of CVSR</w:t>
            </w: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Distributed Solar</w:t>
            </w:r>
          </w:p>
        </w:tc>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2"/>
              </w:rPr>
              <w:t>Solar power projects, typically less than 20 MW in size (on an alternating current, or AC, basis), that primarily sell</w:t>
            </w:r>
          </w:p>
        </w:tc>
      </w:tr>
      <w:tr>
        <w:trPr>
          <w:trHeight w:val="230"/>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3"/>
              </w:rPr>
              <w:t>power produced to customers for usage on site, or are interconnected to sell power into the local distribution grid</w:t>
            </w: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Drop Down Assets</w:t>
            </w:r>
          </w:p>
        </w:tc>
        <w:tc>
          <w:tcPr>
            <w:tcW w:w="8540" w:type="dxa"/>
            <w:vAlign w:val="bottom"/>
          </w:tcPr>
          <w:p>
            <w:pPr>
              <w:ind w:left="200"/>
              <w:spacing w:after="0"/>
              <w:rPr>
                <w:sz w:val="20"/>
                <w:szCs w:val="20"/>
                <w:color w:val="auto"/>
              </w:rPr>
            </w:pPr>
            <w:r>
              <w:rPr>
                <w:rFonts w:ascii="Arial" w:cs="Arial" w:eastAsia="Arial" w:hAnsi="Arial"/>
                <w:sz w:val="18"/>
                <w:szCs w:val="18"/>
                <w:color w:val="auto"/>
              </w:rPr>
              <w:t>Assets under common control acquired by the Company from CEG</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540" w:type="dxa"/>
            <w:vAlign w:val="bottom"/>
          </w:tcPr>
          <w:p>
            <w:pPr>
              <w:ind w:left="200"/>
              <w:spacing w:after="0"/>
              <w:rPr>
                <w:sz w:val="20"/>
                <w:szCs w:val="20"/>
                <w:color w:val="auto"/>
              </w:rPr>
            </w:pPr>
            <w:r>
              <w:rPr>
                <w:rFonts w:ascii="Arial" w:cs="Arial" w:eastAsia="Arial" w:hAnsi="Arial"/>
                <w:sz w:val="18"/>
                <w:szCs w:val="18"/>
                <w:color w:val="auto"/>
              </w:rPr>
              <w:t>The Securities Exchange Act of 1934, as amended</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FASB</w:t>
            </w:r>
          </w:p>
        </w:tc>
        <w:tc>
          <w:tcPr>
            <w:tcW w:w="8540" w:type="dxa"/>
            <w:vAlign w:val="bottom"/>
          </w:tcPr>
          <w:p>
            <w:pPr>
              <w:ind w:left="200"/>
              <w:spacing w:after="0"/>
              <w:rPr>
                <w:sz w:val="20"/>
                <w:szCs w:val="20"/>
                <w:color w:val="auto"/>
              </w:rPr>
            </w:pPr>
            <w:r>
              <w:rPr>
                <w:rFonts w:ascii="Arial" w:cs="Arial" w:eastAsia="Arial" w:hAnsi="Arial"/>
                <w:sz w:val="18"/>
                <w:szCs w:val="18"/>
                <w:color w:val="auto"/>
              </w:rPr>
              <w:t>Financial Accounting Standards Board</w:t>
            </w:r>
          </w:p>
        </w:tc>
      </w:tr>
      <w:tr>
        <w:trPr>
          <w:trHeight w:val="621"/>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8"/>
                <w:szCs w:val="18"/>
                <w:color w:val="231F20"/>
              </w:rPr>
              <w:t>4</w:t>
            </w:r>
          </w:p>
        </w:tc>
      </w:tr>
      <w:tr>
        <w:trPr>
          <w:trHeight w:val="358"/>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GAAP</w:t>
            </w:r>
          </w:p>
        </w:tc>
        <w:tc>
          <w:tcPr>
            <w:tcW w:w="9040" w:type="dxa"/>
            <w:vAlign w:val="bottom"/>
          </w:tcPr>
          <w:p>
            <w:pPr>
              <w:ind w:left="70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GenConn</w:t>
            </w:r>
          </w:p>
        </w:tc>
        <w:tc>
          <w:tcPr>
            <w:tcW w:w="9040" w:type="dxa"/>
            <w:vAlign w:val="bottom"/>
          </w:tcPr>
          <w:p>
            <w:pPr>
              <w:ind w:left="70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GIP</w:t>
            </w:r>
          </w:p>
        </w:tc>
        <w:tc>
          <w:tcPr>
            <w:tcW w:w="9040" w:type="dxa"/>
            <w:vAlign w:val="bottom"/>
            <w:vMerge w:val="restart"/>
          </w:tcPr>
          <w:p>
            <w:pPr>
              <w:ind w:left="700"/>
              <w:spacing w:after="0"/>
              <w:rPr>
                <w:sz w:val="20"/>
                <w:szCs w:val="20"/>
                <w:color w:val="auto"/>
              </w:rPr>
            </w:pPr>
            <w:r>
              <w:rPr>
                <w:rFonts w:ascii="Arial" w:cs="Arial" w:eastAsia="Arial" w:hAnsi="Arial"/>
                <w:sz w:val="18"/>
                <w:szCs w:val="18"/>
                <w:color w:val="auto"/>
              </w:rPr>
              <w:t>Global Infrastructure Partners</w:t>
            </w: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200" w:type="dxa"/>
            <w:vAlign w:val="bottom"/>
          </w:tcPr>
          <w:p>
            <w:pPr>
              <w:ind w:left="20"/>
              <w:spacing w:after="0"/>
              <w:rPr>
                <w:sz w:val="20"/>
                <w:szCs w:val="20"/>
                <w:color w:val="auto"/>
              </w:rPr>
            </w:pPr>
            <w:r>
              <w:rPr>
                <w:rFonts w:ascii="Arial" w:cs="Arial" w:eastAsia="Arial" w:hAnsi="Arial"/>
                <w:sz w:val="18"/>
                <w:szCs w:val="18"/>
                <w:color w:val="auto"/>
              </w:rPr>
              <w:t>HLBV</w:t>
            </w:r>
          </w:p>
        </w:tc>
        <w:tc>
          <w:tcPr>
            <w:tcW w:w="9040" w:type="dxa"/>
            <w:vAlign w:val="bottom"/>
          </w:tcPr>
          <w:p>
            <w:pPr>
              <w:ind w:left="70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IRA</w:t>
            </w:r>
          </w:p>
        </w:tc>
        <w:tc>
          <w:tcPr>
            <w:tcW w:w="9040" w:type="dxa"/>
            <w:vAlign w:val="bottom"/>
          </w:tcPr>
          <w:p>
            <w:pPr>
              <w:ind w:left="700"/>
              <w:spacing w:after="0"/>
              <w:rPr>
                <w:sz w:val="20"/>
                <w:szCs w:val="20"/>
                <w:color w:val="auto"/>
              </w:rPr>
            </w:pPr>
            <w:r>
              <w:rPr>
                <w:rFonts w:ascii="Arial" w:cs="Arial" w:eastAsia="Arial" w:hAnsi="Arial"/>
                <w:sz w:val="18"/>
                <w:szCs w:val="18"/>
                <w:color w:val="auto"/>
              </w:rPr>
              <w:t>Inflation Reduction Act of 2022</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ITC</w:t>
            </w:r>
          </w:p>
        </w:tc>
        <w:tc>
          <w:tcPr>
            <w:tcW w:w="9040" w:type="dxa"/>
            <w:vAlign w:val="bottom"/>
          </w:tcPr>
          <w:p>
            <w:pPr>
              <w:ind w:left="700"/>
              <w:spacing w:after="0"/>
              <w:rPr>
                <w:sz w:val="20"/>
                <w:szCs w:val="20"/>
                <w:color w:val="auto"/>
              </w:rPr>
            </w:pPr>
            <w:r>
              <w:rPr>
                <w:rFonts w:ascii="Arial" w:cs="Arial" w:eastAsia="Arial" w:hAnsi="Arial"/>
                <w:sz w:val="18"/>
                <w:szCs w:val="18"/>
                <w:color w:val="auto"/>
              </w:rPr>
              <w:t>Investment Tax Credit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KKR</w:t>
            </w:r>
          </w:p>
        </w:tc>
        <w:tc>
          <w:tcPr>
            <w:tcW w:w="9040" w:type="dxa"/>
            <w:vAlign w:val="bottom"/>
          </w:tcPr>
          <w:p>
            <w:pPr>
              <w:ind w:left="700"/>
              <w:spacing w:after="0"/>
              <w:rPr>
                <w:sz w:val="20"/>
                <w:szCs w:val="20"/>
                <w:color w:val="auto"/>
              </w:rPr>
            </w:pPr>
            <w:r>
              <w:rPr>
                <w:rFonts w:ascii="Arial" w:cs="Arial" w:eastAsia="Arial" w:hAnsi="Arial"/>
                <w:sz w:val="18"/>
                <w:szCs w:val="18"/>
                <w:color w:val="auto"/>
              </w:rPr>
              <w:t>KKR Thor Bidco, LLC, an affiliate of Kohlberg Kravis Roberts &amp; Co. L.P.</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LIBOR</w:t>
            </w:r>
          </w:p>
        </w:tc>
        <w:tc>
          <w:tcPr>
            <w:tcW w:w="9040" w:type="dxa"/>
            <w:vAlign w:val="bottom"/>
          </w:tcPr>
          <w:p>
            <w:pPr>
              <w:ind w:left="70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Mesquite Star</w:t>
            </w:r>
          </w:p>
        </w:tc>
        <w:tc>
          <w:tcPr>
            <w:tcW w:w="9040" w:type="dxa"/>
            <w:vAlign w:val="bottom"/>
          </w:tcPr>
          <w:p>
            <w:pPr>
              <w:ind w:left="700"/>
              <w:spacing w:after="0"/>
              <w:rPr>
                <w:sz w:val="20"/>
                <w:szCs w:val="20"/>
                <w:color w:val="auto"/>
              </w:rPr>
            </w:pPr>
            <w:r>
              <w:rPr>
                <w:rFonts w:ascii="Arial" w:cs="Arial" w:eastAsia="Arial" w:hAnsi="Arial"/>
                <w:sz w:val="18"/>
                <w:szCs w:val="18"/>
                <w:color w:val="auto"/>
              </w:rPr>
              <w:t>Mesquite Star Special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Mt. Storm</w:t>
            </w:r>
          </w:p>
        </w:tc>
        <w:tc>
          <w:tcPr>
            <w:tcW w:w="9040" w:type="dxa"/>
            <w:vAlign w:val="bottom"/>
          </w:tcPr>
          <w:p>
            <w:pPr>
              <w:ind w:left="700"/>
              <w:spacing w:after="0"/>
              <w:rPr>
                <w:sz w:val="20"/>
                <w:szCs w:val="20"/>
                <w:color w:val="auto"/>
              </w:rPr>
            </w:pPr>
            <w:r>
              <w:rPr>
                <w:rFonts w:ascii="Arial" w:cs="Arial" w:eastAsia="Arial" w:hAnsi="Arial"/>
                <w:sz w:val="18"/>
                <w:szCs w:val="18"/>
                <w:color w:val="auto"/>
              </w:rPr>
              <w:t>NedPower Mount Storm LLC</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MW</w:t>
            </w:r>
          </w:p>
        </w:tc>
        <w:tc>
          <w:tcPr>
            <w:tcW w:w="9040" w:type="dxa"/>
            <w:vAlign w:val="bottom"/>
          </w:tcPr>
          <w:p>
            <w:pPr>
              <w:ind w:left="70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MWh</w:t>
            </w:r>
          </w:p>
        </w:tc>
        <w:tc>
          <w:tcPr>
            <w:tcW w:w="9040" w:type="dxa"/>
            <w:vAlign w:val="bottom"/>
          </w:tcPr>
          <w:p>
            <w:pPr>
              <w:ind w:left="70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MWt</w:t>
            </w:r>
          </w:p>
        </w:tc>
        <w:tc>
          <w:tcPr>
            <w:tcW w:w="9040" w:type="dxa"/>
            <w:vAlign w:val="bottom"/>
          </w:tcPr>
          <w:p>
            <w:pPr>
              <w:ind w:left="70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Net Exposure</w:t>
            </w:r>
          </w:p>
        </w:tc>
        <w:tc>
          <w:tcPr>
            <w:tcW w:w="9040" w:type="dxa"/>
            <w:vAlign w:val="bottom"/>
          </w:tcPr>
          <w:p>
            <w:pPr>
              <w:ind w:left="70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NOLs</w:t>
            </w:r>
          </w:p>
        </w:tc>
        <w:tc>
          <w:tcPr>
            <w:tcW w:w="9040" w:type="dxa"/>
            <w:vAlign w:val="bottom"/>
          </w:tcPr>
          <w:p>
            <w:pPr>
              <w:ind w:left="70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NPNS</w:t>
            </w:r>
          </w:p>
        </w:tc>
        <w:tc>
          <w:tcPr>
            <w:tcW w:w="9040" w:type="dxa"/>
            <w:vAlign w:val="bottom"/>
          </w:tcPr>
          <w:p>
            <w:pPr>
              <w:ind w:left="700"/>
              <w:spacing w:after="0"/>
              <w:rPr>
                <w:sz w:val="20"/>
                <w:szCs w:val="20"/>
                <w:color w:val="auto"/>
              </w:rPr>
            </w:pPr>
            <w:r>
              <w:rPr>
                <w:rFonts w:ascii="Arial" w:cs="Arial" w:eastAsia="Arial" w:hAnsi="Arial"/>
                <w:sz w:val="18"/>
                <w:szCs w:val="18"/>
                <w:color w:val="auto"/>
              </w:rPr>
              <w:t>Normal Purchases and Normal Sales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OCI/OCL</w:t>
            </w:r>
          </w:p>
        </w:tc>
        <w:tc>
          <w:tcPr>
            <w:tcW w:w="9040" w:type="dxa"/>
            <w:vAlign w:val="bottom"/>
          </w:tcPr>
          <w:p>
            <w:pPr>
              <w:ind w:left="700"/>
              <w:spacing w:after="0"/>
              <w:rPr>
                <w:sz w:val="20"/>
                <w:szCs w:val="20"/>
                <w:color w:val="auto"/>
              </w:rPr>
            </w:pPr>
            <w:r>
              <w:rPr>
                <w:rFonts w:ascii="Arial" w:cs="Arial" w:eastAsia="Arial" w:hAnsi="Arial"/>
                <w:sz w:val="18"/>
                <w:szCs w:val="18"/>
                <w:color w:val="auto"/>
              </w:rPr>
              <w:t>Other comprehensive income/loss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O&amp;M</w:t>
            </w:r>
          </w:p>
        </w:tc>
        <w:tc>
          <w:tcPr>
            <w:tcW w:w="9040" w:type="dxa"/>
            <w:vAlign w:val="bottom"/>
          </w:tcPr>
          <w:p>
            <w:pPr>
              <w:ind w:left="70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PG&amp;E</w:t>
            </w:r>
          </w:p>
        </w:tc>
        <w:tc>
          <w:tcPr>
            <w:tcW w:w="9040" w:type="dxa"/>
            <w:vAlign w:val="bottom"/>
          </w:tcPr>
          <w:p>
            <w:pPr>
              <w:ind w:left="70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PPA</w:t>
            </w:r>
          </w:p>
        </w:tc>
        <w:tc>
          <w:tcPr>
            <w:tcW w:w="9040" w:type="dxa"/>
            <w:vAlign w:val="bottom"/>
          </w:tcPr>
          <w:p>
            <w:pPr>
              <w:ind w:left="70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PTC</w:t>
            </w:r>
          </w:p>
        </w:tc>
        <w:tc>
          <w:tcPr>
            <w:tcW w:w="9040" w:type="dxa"/>
            <w:vAlign w:val="bottom"/>
          </w:tcPr>
          <w:p>
            <w:pPr>
              <w:ind w:left="70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RA</w:t>
            </w:r>
          </w:p>
        </w:tc>
        <w:tc>
          <w:tcPr>
            <w:tcW w:w="9040" w:type="dxa"/>
            <w:vAlign w:val="bottom"/>
          </w:tcPr>
          <w:p>
            <w:pPr>
              <w:ind w:left="700"/>
              <w:spacing w:after="0"/>
              <w:rPr>
                <w:sz w:val="20"/>
                <w:szCs w:val="20"/>
                <w:color w:val="auto"/>
              </w:rPr>
            </w:pPr>
            <w:r>
              <w:rPr>
                <w:rFonts w:ascii="Arial" w:cs="Arial" w:eastAsia="Arial" w:hAnsi="Arial"/>
                <w:sz w:val="18"/>
                <w:szCs w:val="18"/>
                <w:color w:val="auto"/>
              </w:rPr>
              <w:t>Resource adequacy</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RENOM</w:t>
            </w:r>
          </w:p>
        </w:tc>
        <w:tc>
          <w:tcPr>
            <w:tcW w:w="9040" w:type="dxa"/>
            <w:vAlign w:val="bottom"/>
          </w:tcPr>
          <w:p>
            <w:pPr>
              <w:ind w:left="70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Rosie Central BESS</w:t>
            </w:r>
          </w:p>
        </w:tc>
        <w:tc>
          <w:tcPr>
            <w:tcW w:w="9040" w:type="dxa"/>
            <w:vAlign w:val="bottom"/>
          </w:tcPr>
          <w:p>
            <w:pPr>
              <w:ind w:left="700"/>
              <w:spacing w:after="0"/>
              <w:rPr>
                <w:sz w:val="20"/>
                <w:szCs w:val="20"/>
                <w:color w:val="auto"/>
              </w:rPr>
            </w:pPr>
            <w:r>
              <w:rPr>
                <w:rFonts w:ascii="Arial" w:cs="Arial" w:eastAsia="Arial" w:hAnsi="Arial"/>
                <w:sz w:val="18"/>
                <w:szCs w:val="18"/>
                <w:color w:val="auto"/>
              </w:rPr>
              <w:t>Rosie BESS Devco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SCE</w:t>
            </w:r>
          </w:p>
        </w:tc>
        <w:tc>
          <w:tcPr>
            <w:tcW w:w="9040" w:type="dxa"/>
            <w:vAlign w:val="bottom"/>
          </w:tcPr>
          <w:p>
            <w:pPr>
              <w:ind w:left="70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SEC</w:t>
            </w:r>
          </w:p>
        </w:tc>
        <w:tc>
          <w:tcPr>
            <w:tcW w:w="9040" w:type="dxa"/>
            <w:vAlign w:val="bottom"/>
          </w:tcPr>
          <w:p>
            <w:pPr>
              <w:ind w:left="70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9040" w:type="dxa"/>
            <w:vAlign w:val="bottom"/>
          </w:tcPr>
          <w:p>
            <w:pPr>
              <w:ind w:left="700"/>
              <w:spacing w:after="0"/>
              <w:rPr>
                <w:sz w:val="20"/>
                <w:szCs w:val="20"/>
                <w:color w:val="auto"/>
              </w:rPr>
            </w:pPr>
            <w:r>
              <w:rPr>
                <w:rFonts w:ascii="Arial" w:cs="Arial" w:eastAsia="Arial" w:hAnsi="Arial"/>
                <w:sz w:val="18"/>
                <w:szCs w:val="18"/>
                <w:color w:val="auto"/>
              </w:rPr>
              <w:t>Collectively, the 2028 Senior Notes, the 2031 Senior Notes and the 2032 Senior Notes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SOFR</w:t>
            </w:r>
          </w:p>
        </w:tc>
        <w:tc>
          <w:tcPr>
            <w:tcW w:w="9040" w:type="dxa"/>
            <w:vAlign w:val="bottom"/>
          </w:tcPr>
          <w:p>
            <w:pPr>
              <w:ind w:left="700"/>
              <w:spacing w:after="0"/>
              <w:rPr>
                <w:sz w:val="20"/>
                <w:szCs w:val="20"/>
                <w:color w:val="auto"/>
              </w:rPr>
            </w:pPr>
            <w:r>
              <w:rPr>
                <w:rFonts w:ascii="Arial" w:cs="Arial" w:eastAsia="Arial" w:hAnsi="Arial"/>
                <w:sz w:val="18"/>
                <w:szCs w:val="18"/>
                <w:color w:val="auto"/>
              </w:rPr>
              <w:t>Secured Overnight Financing Rate</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SPP</w:t>
            </w:r>
          </w:p>
        </w:tc>
        <w:tc>
          <w:tcPr>
            <w:tcW w:w="9040" w:type="dxa"/>
            <w:vAlign w:val="bottom"/>
          </w:tcPr>
          <w:p>
            <w:pPr>
              <w:ind w:left="700"/>
              <w:spacing w:after="0"/>
              <w:rPr>
                <w:sz w:val="20"/>
                <w:szCs w:val="20"/>
                <w:color w:val="auto"/>
              </w:rPr>
            </w:pPr>
            <w:r>
              <w:rPr>
                <w:rFonts w:ascii="Arial" w:cs="Arial" w:eastAsia="Arial" w:hAnsi="Arial"/>
                <w:sz w:val="18"/>
                <w:szCs w:val="18"/>
                <w:color w:val="auto"/>
              </w:rPr>
              <w:t>Solar Power Partners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SREC</w:t>
            </w:r>
          </w:p>
        </w:tc>
        <w:tc>
          <w:tcPr>
            <w:tcW w:w="9040" w:type="dxa"/>
            <w:vAlign w:val="bottom"/>
          </w:tcPr>
          <w:p>
            <w:pPr>
              <w:ind w:left="700"/>
              <w:spacing w:after="0"/>
              <w:rPr>
                <w:sz w:val="20"/>
                <w:szCs w:val="20"/>
                <w:color w:val="auto"/>
              </w:rPr>
            </w:pPr>
            <w:r>
              <w:rPr>
                <w:rFonts w:ascii="Arial" w:cs="Arial" w:eastAsia="Arial" w:hAnsi="Arial"/>
                <w:sz w:val="18"/>
                <w:szCs w:val="18"/>
                <w:color w:val="auto"/>
              </w:rPr>
              <w:t>Solar Renewable Energy Credit</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Thermal Business</w:t>
            </w:r>
          </w:p>
        </w:tc>
        <w:tc>
          <w:tcPr>
            <w:tcW w:w="9040" w:type="dxa"/>
            <w:vAlign w:val="bottom"/>
          </w:tcPr>
          <w:p>
            <w:pPr>
              <w:ind w:left="700"/>
              <w:spacing w:after="0" w:line="176" w:lineRule="exact"/>
              <w:rPr>
                <w:sz w:val="20"/>
                <w:szCs w:val="20"/>
                <w:color w:val="auto"/>
              </w:rPr>
            </w:pPr>
            <w:r>
              <w:rPr>
                <w:rFonts w:ascii="Arial" w:cs="Arial" w:eastAsia="Arial" w:hAnsi="Arial"/>
                <w:sz w:val="18"/>
                <w:szCs w:val="18"/>
                <w:color w:val="auto"/>
                <w:w w:val="94"/>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9040" w:type="dxa"/>
            <w:vAlign w:val="bottom"/>
          </w:tcPr>
          <w:p>
            <w:pPr>
              <w:ind w:left="700"/>
              <w:spacing w:after="0" w:line="189" w:lineRule="exact"/>
              <w:rPr>
                <w:sz w:val="20"/>
                <w:szCs w:val="20"/>
                <w:color w:val="auto"/>
              </w:rPr>
            </w:pPr>
            <w:r>
              <w:rPr>
                <w:rFonts w:ascii="Arial" w:cs="Arial" w:eastAsia="Arial" w:hAnsi="Arial"/>
                <w:sz w:val="18"/>
                <w:szCs w:val="18"/>
                <w:color w:val="auto"/>
                <w:w w:val="96"/>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9040" w:type="dxa"/>
            <w:vAlign w:val="bottom"/>
          </w:tcPr>
          <w:p>
            <w:pPr>
              <w:ind w:left="70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TotalEnergies</w:t>
            </w:r>
          </w:p>
        </w:tc>
        <w:tc>
          <w:tcPr>
            <w:tcW w:w="9040" w:type="dxa"/>
            <w:vAlign w:val="bottom"/>
          </w:tcPr>
          <w:p>
            <w:pPr>
              <w:ind w:left="700"/>
              <w:spacing w:after="0"/>
              <w:rPr>
                <w:sz w:val="20"/>
                <w:szCs w:val="20"/>
                <w:color w:val="auto"/>
              </w:rPr>
            </w:pPr>
            <w:r>
              <w:rPr>
                <w:rFonts w:ascii="Arial" w:cs="Arial" w:eastAsia="Arial" w:hAnsi="Arial"/>
                <w:sz w:val="18"/>
                <w:szCs w:val="18"/>
                <w:color w:val="auto"/>
              </w:rPr>
              <w:t>TotalEnergies SE</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U.S.</w:t>
            </w:r>
          </w:p>
        </w:tc>
        <w:tc>
          <w:tcPr>
            <w:tcW w:w="9040" w:type="dxa"/>
            <w:vAlign w:val="bottom"/>
          </w:tcPr>
          <w:p>
            <w:pPr>
              <w:ind w:left="7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Utah Solar Portfolio</w:t>
            </w:r>
          </w:p>
        </w:tc>
        <w:tc>
          <w:tcPr>
            <w:tcW w:w="9040" w:type="dxa"/>
            <w:vAlign w:val="bottom"/>
          </w:tcPr>
          <w:p>
            <w:pPr>
              <w:ind w:left="700"/>
              <w:spacing w:after="0"/>
              <w:rPr>
                <w:sz w:val="20"/>
                <w:szCs w:val="20"/>
                <w:color w:val="auto"/>
              </w:rPr>
            </w:pPr>
            <w:r>
              <w:rPr>
                <w:rFonts w:ascii="Arial" w:cs="Arial" w:eastAsia="Arial" w:hAnsi="Arial"/>
                <w:sz w:val="18"/>
                <w:szCs w:val="18"/>
                <w:color w:val="auto"/>
              </w:rPr>
              <w:t>Seven utility-scale solar farms located in Utah, representing 530 MW of capacity</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Utility Scale Solar</w:t>
            </w:r>
          </w:p>
        </w:tc>
        <w:tc>
          <w:tcPr>
            <w:tcW w:w="9040" w:type="dxa"/>
            <w:vAlign w:val="bottom"/>
          </w:tcPr>
          <w:p>
            <w:pPr>
              <w:ind w:left="700"/>
              <w:spacing w:after="0" w:line="176" w:lineRule="exact"/>
              <w:rPr>
                <w:sz w:val="20"/>
                <w:szCs w:val="20"/>
                <w:color w:val="auto"/>
              </w:rPr>
            </w:pPr>
            <w:r>
              <w:rPr>
                <w:rFonts w:ascii="Arial" w:cs="Arial" w:eastAsia="Arial" w:hAnsi="Arial"/>
                <w:sz w:val="18"/>
                <w:szCs w:val="18"/>
                <w:color w:val="auto"/>
              </w:rPr>
              <w:t>Solar power projects, typically 20 MW or greater in size (on an alternating current, or AC, basis), that are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9040" w:type="dxa"/>
            <w:vAlign w:val="bottom"/>
          </w:tcPr>
          <w:p>
            <w:pPr>
              <w:ind w:left="70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VIE</w:t>
            </w:r>
          </w:p>
        </w:tc>
        <w:tc>
          <w:tcPr>
            <w:tcW w:w="9040" w:type="dxa"/>
            <w:vAlign w:val="bottom"/>
          </w:tcPr>
          <w:p>
            <w:pPr>
              <w:ind w:left="700"/>
              <w:spacing w:after="0"/>
              <w:rPr>
                <w:sz w:val="20"/>
                <w:szCs w:val="20"/>
                <w:color w:val="auto"/>
              </w:rPr>
            </w:pPr>
            <w:r>
              <w:rPr>
                <w:rFonts w:ascii="Arial" w:cs="Arial" w:eastAsia="Arial" w:hAnsi="Arial"/>
                <w:sz w:val="18"/>
                <w:szCs w:val="18"/>
                <w:color w:val="auto"/>
              </w:rPr>
              <w:t>Variable Interest Entity</w:t>
            </w:r>
          </w:p>
        </w:tc>
        <w:tc>
          <w:tcPr>
            <w:tcW w:w="0" w:type="dxa"/>
            <w:vAlign w:val="bottom"/>
          </w:tcPr>
          <w:p>
            <w:pPr>
              <w:spacing w:after="0"/>
              <w:rPr>
                <w:sz w:val="1"/>
                <w:szCs w:val="1"/>
                <w:color w:val="auto"/>
              </w:rPr>
            </w:pPr>
          </w:p>
        </w:tc>
      </w:tr>
      <w:tr>
        <w:trPr>
          <w:trHeight w:val="864"/>
        </w:trPr>
        <w:tc>
          <w:tcPr>
            <w:tcW w:w="2200" w:type="dxa"/>
            <w:vAlign w:val="bottom"/>
          </w:tcPr>
          <w:p>
            <w:pPr>
              <w:spacing w:after="0"/>
              <w:rPr>
                <w:sz w:val="24"/>
                <w:szCs w:val="24"/>
                <w:color w:val="auto"/>
              </w:rPr>
            </w:pPr>
          </w:p>
        </w:tc>
        <w:tc>
          <w:tcPr>
            <w:tcW w:w="9040" w:type="dxa"/>
            <w:vAlign w:val="bottom"/>
          </w:tcPr>
          <w:p>
            <w:pPr>
              <w:ind w:left="3380"/>
              <w:spacing w:after="0"/>
              <w:rPr>
                <w:sz w:val="20"/>
                <w:szCs w:val="20"/>
                <w:color w:val="auto"/>
              </w:rPr>
            </w:pPr>
            <w:r>
              <w:rPr>
                <w:rFonts w:ascii="Arial" w:cs="Arial" w:eastAsia="Arial" w:hAnsi="Arial"/>
                <w:sz w:val="18"/>
                <w:szCs w:val="18"/>
                <w:color w:val="231F20"/>
              </w:rPr>
              <w:t>5</w:t>
            </w:r>
          </w:p>
        </w:tc>
        <w:tc>
          <w:tcPr>
            <w:tcW w:w="0" w:type="dxa"/>
            <w:vAlign w:val="bottom"/>
          </w:tcPr>
          <w:p>
            <w:pPr>
              <w:spacing w:after="0"/>
              <w:rPr>
                <w:sz w:val="1"/>
                <w:szCs w:val="1"/>
                <w:color w:val="auto"/>
              </w:rPr>
            </w:pPr>
          </w:p>
        </w:tc>
      </w:tr>
      <w:tr>
        <w:trPr>
          <w:trHeight w:val="358"/>
        </w:trPr>
        <w:tc>
          <w:tcPr>
            <w:tcW w:w="22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60" w:type="dxa"/>
            <w:vAlign w:val="bottom"/>
          </w:tcPr>
          <w:p>
            <w:pPr>
              <w:ind w:left="140"/>
              <w:spacing w:after="0" w:line="176" w:lineRule="exact"/>
              <w:rPr>
                <w:sz w:val="20"/>
                <w:szCs w:val="20"/>
                <w:color w:val="auto"/>
              </w:rPr>
            </w:pPr>
            <w:r>
              <w:rPr>
                <w:rFonts w:ascii="Arial" w:cs="Arial" w:eastAsia="Arial" w:hAnsi="Arial"/>
                <w:sz w:val="18"/>
                <w:szCs w:val="18"/>
                <w:color w:val="auto"/>
                <w:w w:val="92"/>
              </w:rPr>
              <w:t>Cost of operations, exclusive of depreciation, amortization and accretion</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tcPr>
          <w:p>
            <w:pPr>
              <w:jc w:val="center"/>
              <w:ind w:right="3031"/>
              <w:spacing w:after="0"/>
              <w:rPr>
                <w:sz w:val="20"/>
                <w:szCs w:val="20"/>
                <w:color w:val="auto"/>
              </w:rPr>
            </w:pPr>
            <w:r>
              <w:rPr>
                <w:rFonts w:ascii="Arial" w:cs="Arial" w:eastAsia="Arial" w:hAnsi="Arial"/>
                <w:sz w:val="18"/>
                <w:szCs w:val="18"/>
                <w:color w:val="auto"/>
                <w:w w:val="90"/>
              </w:rPr>
              <w:t>shown separately below</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Development costs</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0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5460" w:type="dxa"/>
            <w:vAlign w:val="bottom"/>
          </w:tcPr>
          <w:p>
            <w:pPr>
              <w:jc w:val="center"/>
              <w:ind w:right="3011"/>
              <w:spacing w:after="0"/>
              <w:rPr>
                <w:sz w:val="20"/>
                <w:szCs w:val="20"/>
                <w:color w:val="auto"/>
              </w:rPr>
            </w:pPr>
            <w:r>
              <w:rPr>
                <w:rFonts w:ascii="Arial" w:cs="Arial" w:eastAsia="Arial" w:hAnsi="Arial"/>
                <w:sz w:val="18"/>
                <w:szCs w:val="18"/>
                <w:b w:val="1"/>
                <w:bCs w:val="1"/>
                <w:color w:val="auto"/>
                <w:w w:val="88"/>
              </w:rPr>
              <w:t>Income Before Income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155"/>
        </w:trPr>
        <w:tc>
          <w:tcPr>
            <w:tcW w:w="546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1"/>
              </w:rPr>
              <w:t>Less: Net income attributable to noncontrolling interests and redeemable</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jc w:val="center"/>
              <w:ind w:right="3051"/>
              <w:spacing w:after="0"/>
              <w:rPr>
                <w:sz w:val="20"/>
                <w:szCs w:val="20"/>
                <w:color w:val="auto"/>
              </w:rPr>
            </w:pPr>
            <w:r>
              <w:rPr>
                <w:rFonts w:ascii="Arial" w:cs="Arial" w:eastAsia="Arial" w:hAnsi="Arial"/>
                <w:sz w:val="18"/>
                <w:szCs w:val="18"/>
                <w:color w:val="auto"/>
                <w:w w:val="92"/>
              </w:rPr>
              <w:t>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Clearway Energy, Inc.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Earnings Per Share Attributable to Clearway Energy, Inc. Class A</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and Class C Common Stockholders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sectPr>
      </w:pPr>
    </w:p>
    <w:p>
      <w:pPr>
        <w:ind w:left="300" w:right="460" w:hanging="161"/>
        <w:spacing w:after="0" w:line="234" w:lineRule="auto"/>
        <w:rPr>
          <w:sz w:val="20"/>
          <w:szCs w:val="20"/>
          <w:color w:val="auto"/>
        </w:rPr>
      </w:pPr>
      <w:r>
        <w:rPr>
          <w:rFonts w:ascii="Arial" w:cs="Arial" w:eastAsia="Arial" w:hAnsi="Arial"/>
          <w:sz w:val="18"/>
          <w:szCs w:val="18"/>
          <w:color w:val="auto"/>
        </w:rPr>
        <w:t>Weighted average number of Class A common shares outstanding - basic and diluted</w:t>
      </w:r>
    </w:p>
    <w:p>
      <w:pPr>
        <w:spacing w:after="0" w:line="14" w:lineRule="exact"/>
        <w:rPr>
          <w:sz w:val="20"/>
          <w:szCs w:val="20"/>
          <w:color w:val="auto"/>
        </w:rPr>
      </w:pPr>
    </w:p>
    <w:p>
      <w:pPr>
        <w:ind w:left="300" w:right="460" w:hanging="161"/>
        <w:spacing w:after="0" w:line="235" w:lineRule="auto"/>
        <w:rPr>
          <w:sz w:val="20"/>
          <w:szCs w:val="20"/>
          <w:color w:val="auto"/>
        </w:rPr>
      </w:pPr>
      <w:r>
        <w:rPr>
          <w:rFonts w:ascii="Arial" w:cs="Arial" w:eastAsia="Arial" w:hAnsi="Arial"/>
          <w:sz w:val="18"/>
          <w:szCs w:val="18"/>
          <w:color w:val="auto"/>
        </w:rPr>
        <w:t>Weighted average number of Class C common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35</w:t>
            </w:r>
          </w:p>
        </w:tc>
        <w:tc>
          <w:tcPr>
            <w:tcW w:w="1480" w:type="dxa"/>
            <w:vAlign w:val="bottom"/>
          </w:tcPr>
          <w:p>
            <w:pPr>
              <w:jc w:val="right"/>
              <w:ind w:right="570"/>
              <w:spacing w:after="0"/>
              <w:rPr>
                <w:sz w:val="20"/>
                <w:szCs w:val="20"/>
                <w:color w:val="auto"/>
              </w:rPr>
            </w:pPr>
            <w:r>
              <w:rPr>
                <w:rFonts w:ascii="Arial" w:cs="Arial" w:eastAsia="Arial" w:hAnsi="Arial"/>
                <w:sz w:val="18"/>
                <w:szCs w:val="18"/>
                <w:color w:val="auto"/>
              </w:rPr>
              <w:t>35</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35</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82</w:t>
            </w:r>
          </w:p>
        </w:tc>
        <w:tc>
          <w:tcPr>
            <w:tcW w:w="1480" w:type="dxa"/>
            <w:vAlign w:val="bottom"/>
          </w:tcPr>
          <w:p>
            <w:pPr>
              <w:jc w:val="right"/>
              <w:ind w:right="570"/>
              <w:spacing w:after="0"/>
              <w:rPr>
                <w:sz w:val="20"/>
                <w:szCs w:val="20"/>
                <w:color w:val="auto"/>
              </w:rPr>
            </w:pPr>
            <w:r>
              <w:rPr>
                <w:rFonts w:ascii="Arial" w:cs="Arial" w:eastAsia="Arial" w:hAnsi="Arial"/>
                <w:sz w:val="18"/>
                <w:szCs w:val="18"/>
                <w:color w:val="auto"/>
              </w:rPr>
              <w:t>82</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82</w:t>
            </w: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 w:lineRule="exact"/>
        <w:rPr>
          <w:sz w:val="20"/>
          <w:szCs w:val="20"/>
          <w:color w:val="auto"/>
        </w:rPr>
      </w:pPr>
    </w:p>
    <w:p>
      <w:pPr>
        <w:sectPr>
          <w:pgSz w:w="11900" w:h="16838" w:orient="portrait"/>
          <w:cols w:equalWidth="0" w:num="2">
            <w:col w:w="5860" w:space="720"/>
            <w:col w:w="466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546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0"/>
              </w:rPr>
              <w:t>Earnings Per Weighted Average Class A and Class C Common Share -</w:t>
            </w: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Common Share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4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Per Class C Common Share</w:t>
            </w: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0.3891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0.3604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1.1454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1.0608</w:t>
            </w:r>
          </w:p>
        </w:tc>
      </w:tr>
      <w:tr>
        <w:trPr>
          <w:trHeight w:val="20"/>
        </w:trPr>
        <w:tc>
          <w:tcPr>
            <w:tcW w:w="5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Unrealized gain on derivatives and changes in accumulated OCI/OCL,</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of income tax expense, of $1, $3, $1 and $6</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176"/>
        </w:trPr>
        <w:tc>
          <w:tcPr>
            <w:tcW w:w="5400" w:type="dxa"/>
            <w:vAlign w:val="bottom"/>
          </w:tcPr>
          <w:p>
            <w:pPr>
              <w:ind w:left="140"/>
              <w:spacing w:after="0" w:line="176" w:lineRule="exact"/>
              <w:rPr>
                <w:sz w:val="20"/>
                <w:szCs w:val="20"/>
                <w:color w:val="auto"/>
              </w:rPr>
            </w:pPr>
            <w:r>
              <w:rPr>
                <w:rFonts w:ascii="Arial" w:cs="Arial" w:eastAsia="Arial" w:hAnsi="Arial"/>
                <w:sz w:val="18"/>
                <w:szCs w:val="18"/>
                <w:color w:val="auto"/>
                <w:w w:val="96"/>
              </w:rPr>
              <w:t>Less: Comprehensive income attributable to noncontrolling interests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and redeemable noncontrolling interests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Clearway Energy,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shares)</w:t>
            </w: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6"/>
        </w:trPr>
        <w:tc>
          <w:tcPr>
            <w:tcW w:w="7620" w:type="dxa"/>
            <w:vAlign w:val="bottom"/>
            <w:vMerge w:val="restart"/>
          </w:tcPr>
          <w:p>
            <w:pPr>
              <w:ind w:left="35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6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3"/>
        </w:trPr>
        <w:tc>
          <w:tcPr>
            <w:tcW w:w="762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762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 receivable — affiliate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7,421</w:t>
            </w:r>
          </w:p>
        </w:tc>
        <w:tc>
          <w:tcPr>
            <w:tcW w:w="0" w:type="dxa"/>
            <w:vAlign w:val="bottom"/>
          </w:tcPr>
          <w:p>
            <w:pPr>
              <w:spacing w:after="0"/>
              <w:rPr>
                <w:sz w:val="1"/>
                <w:szCs w:val="1"/>
                <w:color w:val="auto"/>
              </w:rPr>
            </w:pPr>
          </w:p>
        </w:tc>
      </w:tr>
      <w:tr>
        <w:trPr>
          <w:trHeight w:val="19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18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0" w:type="dxa"/>
            <w:vAlign w:val="bottom"/>
          </w:tcPr>
          <w:p>
            <w:pPr>
              <w:spacing w:after="0"/>
              <w:rPr>
                <w:sz w:val="1"/>
                <w:szCs w:val="1"/>
                <w:color w:val="auto"/>
              </w:rPr>
            </w:pPr>
          </w:p>
        </w:tc>
      </w:tr>
      <w:tr>
        <w:trPr>
          <w:trHeight w:val="213"/>
        </w:trPr>
        <w:tc>
          <w:tcPr>
            <w:tcW w:w="7620" w:type="dxa"/>
            <w:vAlign w:val="bottom"/>
          </w:tcPr>
          <w:p>
            <w:pPr>
              <w:ind w:left="18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7620" w:type="dxa"/>
            <w:vAlign w:val="bottom"/>
          </w:tcPr>
          <w:p>
            <w:pPr>
              <w:ind w:left="180"/>
              <w:spacing w:after="0"/>
              <w:rPr>
                <w:sz w:val="20"/>
                <w:szCs w:val="20"/>
                <w:color w:val="auto"/>
              </w:rPr>
            </w:pPr>
            <w:r>
              <w:rPr>
                <w:rFonts w:ascii="Arial" w:cs="Arial" w:eastAsia="Arial" w:hAnsi="Arial"/>
                <w:sz w:val="16"/>
                <w:szCs w:val="16"/>
                <w:color w:val="auto"/>
              </w:rPr>
              <w:t>Right-of-use assets, net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12,312</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6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Accounts payable — affiliates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Accrued interest expense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19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6,995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6,491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lease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7,662</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8,279</w:t>
            </w: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Redeemable noncontrolling interest in subsidiaries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Class A, Class B, Class C and Class D common stock, $0.01 par value; 3,000,000,000 shares authorized (Class A</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3"/>
              </w:rPr>
              <w:t>500,000,000, Class B 500,000,000, Class C 1,000,000,000, Class D 1,000,000,000); 202,075,237 shares issued</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and outstanding (Class A 34,613,853, Class B 42,738,750, Class C 82,385,884, Class D 42,336,750) at</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4"/>
              </w:rPr>
              <w:t>September 30, 2023 and 201,972,813 shares issued and outstanding (Class A 34,613,853, Class B 42,738,750,</w:t>
            </w:r>
          </w:p>
        </w:tc>
        <w:tc>
          <w:tcPr>
            <w:tcW w:w="1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C 82,283,460, Class D 42,336,750) at December 31, 2022</w:t>
            </w:r>
          </w:p>
        </w:tc>
        <w:tc>
          <w:tcPr>
            <w:tcW w:w="1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12,312</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891"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8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from unconsolidated affiliates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financing costs and debt discounts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Gain on sale of business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Changes in deferred income taxes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derivative instruments and amortization of accumulated OCI/OCL</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Cash used in changes in other working capital:</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Changes in other working capital</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Drop Down Assets, net of cash acquired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Acquisition of Capistrano Wind Portfolio, net of cash acquired</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note receivable — affiliate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of investment from unconsolidated affiliates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Investments in unconsolidated affiliates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business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(distributions to) noncontrolling interests,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Payments of dividends and distributions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CEG of escrowed amounts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Tax-related distributions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revolving credit facility</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Payments for the revolving credit facility</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long-term debt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Payments of debt issuance costs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long-term debt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1"/>
                <w:szCs w:val="11"/>
                <w:color w:val="auto"/>
              </w:rPr>
            </w:pPr>
          </w:p>
        </w:tc>
        <w:tc>
          <w:tcPr>
            <w:tcW w:w="9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9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15"/>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213"/>
        </w:trPr>
        <w:tc>
          <w:tcPr>
            <w:tcW w:w="390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Unrealized loss on derivatives and changes in</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Contributions from CEG, net of distributions, 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Contributions from noncontrolling interests, net of</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cash</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Transfers of assets under common control</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5"/>
              </w:rPr>
              <w:t>Common stock dividends and distributions to CEG unit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holders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4,153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6"/>
        </w:trPr>
        <w:tc>
          <w:tcPr>
            <w:tcW w:w="3900" w:type="dxa"/>
            <w:vAlign w:val="bottom"/>
          </w:tcPr>
          <w:p>
            <w:pPr>
              <w:ind w:left="200"/>
              <w:spacing w:after="0" w:line="166" w:lineRule="exact"/>
              <w:rPr>
                <w:sz w:val="20"/>
                <w:szCs w:val="20"/>
                <w:color w:val="auto"/>
              </w:rPr>
            </w:pPr>
            <w:r>
              <w:rPr>
                <w:rFonts w:ascii="Arial" w:cs="Arial" w:eastAsia="Arial" w:hAnsi="Arial"/>
                <w:sz w:val="16"/>
                <w:szCs w:val="16"/>
                <w:color w:val="auto"/>
              </w:rPr>
              <w:t>Unrealized gain on derivatives and changes in</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3900" w:type="dxa"/>
            <w:vAlign w:val="bottom"/>
          </w:tcPr>
          <w:p>
            <w:pPr>
              <w:ind w:left="200"/>
              <w:spacing w:after="0"/>
              <w:rPr>
                <w:sz w:val="20"/>
                <w:szCs w:val="20"/>
                <w:color w:val="auto"/>
              </w:rPr>
            </w:pPr>
            <w:r>
              <w:rPr>
                <w:rFonts w:ascii="Arial" w:cs="Arial" w:eastAsia="Arial" w:hAnsi="Arial"/>
                <w:sz w:val="16"/>
                <w:szCs w:val="16"/>
                <w:color w:val="auto"/>
              </w:rPr>
              <w:t>accumulated OCI, net of tax</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to CEG, net of contributions, cash</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6"/>
        </w:trPr>
        <w:tc>
          <w:tcPr>
            <w:tcW w:w="3900" w:type="dxa"/>
            <w:vAlign w:val="bottom"/>
          </w:tcPr>
          <w:p>
            <w:pPr>
              <w:ind w:left="200"/>
              <w:spacing w:after="0" w:line="166" w:lineRule="exact"/>
              <w:rPr>
                <w:sz w:val="20"/>
                <w:szCs w:val="20"/>
                <w:color w:val="auto"/>
              </w:rPr>
            </w:pPr>
            <w:r>
              <w:rPr>
                <w:rFonts w:ascii="Arial" w:cs="Arial" w:eastAsia="Arial" w:hAnsi="Arial"/>
                <w:sz w:val="16"/>
                <w:szCs w:val="16"/>
                <w:color w:val="auto"/>
              </w:rPr>
              <w:t>Distributions to noncontrolling interests, net of</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3900" w:type="dxa"/>
            <w:vAlign w:val="bottom"/>
          </w:tcPr>
          <w:p>
            <w:pPr>
              <w:ind w:left="200"/>
              <w:spacing w:after="0"/>
              <w:rPr>
                <w:sz w:val="20"/>
                <w:szCs w:val="20"/>
                <w:color w:val="auto"/>
              </w:rPr>
            </w:pPr>
            <w:r>
              <w:rPr>
                <w:rFonts w:ascii="Arial" w:cs="Arial" w:eastAsia="Arial" w:hAnsi="Arial"/>
                <w:sz w:val="16"/>
                <w:szCs w:val="16"/>
                <w:color w:val="auto"/>
              </w:rPr>
              <w:t>contributions, cash</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Tax-related distributions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5"/>
              </w:rPr>
              <w:t>Common stock dividends and distributions to CEG unit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holders</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w:t>
            </w:r>
          </w:p>
        </w:tc>
        <w:tc>
          <w:tcPr>
            <w:tcW w:w="0" w:type="dxa"/>
            <w:vAlign w:val="bottom"/>
          </w:tcPr>
          <w:p>
            <w:pPr>
              <w:spacing w:after="0"/>
              <w:rPr>
                <w:sz w:val="1"/>
                <w:szCs w:val="1"/>
                <w:color w:val="auto"/>
              </w:rPr>
            </w:pPr>
          </w:p>
        </w:tc>
      </w:tr>
      <w:tr>
        <w:trPr>
          <w:trHeight w:val="213"/>
        </w:trPr>
        <w:tc>
          <w:tcPr>
            <w:tcW w:w="390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Unrealized gain on derivatives and changes in</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Distributions to CEG, 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Contributions from noncontrolling interests, net of</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cash</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Distributions to noncontrolling interests, non-cash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Tax-related distributions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Transfer of assets under common control</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9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5"/>
              </w:rPr>
              <w:t>Common stock dividends and distributions to CEG unit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holders</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Paid-In</w:t>
            </w: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Deficit) Retained</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89"/>
              </w:rPr>
              <w:t>Earnings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6"/>
              </w:rPr>
              <w:t>(Loss) Income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1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69"/>
        </w:trPr>
        <w:tc>
          <w:tcPr>
            <w:tcW w:w="382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Unrealized gain on derivatives and changes in</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0"/>
              <w:spacing w:after="0"/>
              <w:rPr>
                <w:sz w:val="20"/>
                <w:szCs w:val="20"/>
                <w:color w:val="auto"/>
              </w:rPr>
            </w:pPr>
            <w:r>
              <w:rPr>
                <w:rFonts w:ascii="Arial" w:cs="Arial" w:eastAsia="Arial" w:hAnsi="Arial"/>
                <w:sz w:val="16"/>
                <w:szCs w:val="16"/>
                <w:color w:val="auto"/>
              </w:rPr>
              <w:t>Distributions to CEG, net of contributions, 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382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Contributions from noncontrolling interests, net of</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cash</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0"/>
              <w:spacing w:after="0"/>
              <w:rPr>
                <w:sz w:val="20"/>
                <w:szCs w:val="20"/>
                <w:color w:val="auto"/>
              </w:rPr>
            </w:pPr>
            <w:r>
              <w:rPr>
                <w:rFonts w:ascii="Arial" w:cs="Arial" w:eastAsia="Arial" w:hAnsi="Arial"/>
                <w:sz w:val="16"/>
                <w:szCs w:val="16"/>
                <w:color w:val="auto"/>
              </w:rPr>
              <w:t>Transfers of assets under common control</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820" w:type="dxa"/>
            <w:vAlign w:val="bottom"/>
          </w:tcPr>
          <w:p>
            <w:pPr>
              <w:ind w:left="20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382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Common stock dividends and distributions to CEG</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unit holders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166"/>
        </w:trPr>
        <w:tc>
          <w:tcPr>
            <w:tcW w:w="3820" w:type="dxa"/>
            <w:vAlign w:val="bottom"/>
          </w:tcPr>
          <w:p>
            <w:pPr>
              <w:ind w:left="200"/>
              <w:spacing w:after="0" w:line="166" w:lineRule="exact"/>
              <w:rPr>
                <w:sz w:val="20"/>
                <w:szCs w:val="20"/>
                <w:color w:val="auto"/>
              </w:rPr>
            </w:pPr>
            <w:r>
              <w:rPr>
                <w:rFonts w:ascii="Arial" w:cs="Arial" w:eastAsia="Arial" w:hAnsi="Arial"/>
                <w:sz w:val="16"/>
                <w:szCs w:val="16"/>
                <w:color w:val="auto"/>
              </w:rPr>
              <w:t>Unrealized gain on derivatives and changes in</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3820" w:type="dxa"/>
            <w:vAlign w:val="bottom"/>
          </w:tcPr>
          <w:p>
            <w:pPr>
              <w:ind w:left="200"/>
              <w:spacing w:after="0"/>
              <w:rPr>
                <w:sz w:val="20"/>
                <w:szCs w:val="20"/>
                <w:color w:val="auto"/>
              </w:rPr>
            </w:pPr>
            <w:r>
              <w:rPr>
                <w:rFonts w:ascii="Arial" w:cs="Arial" w:eastAsia="Arial" w:hAnsi="Arial"/>
                <w:sz w:val="16"/>
                <w:szCs w:val="16"/>
                <w:color w:val="auto"/>
              </w:rPr>
              <w:t>accumulated OCI, net of tax</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to CEG, net of contributions, cash</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6"/>
        </w:trPr>
        <w:tc>
          <w:tcPr>
            <w:tcW w:w="3820" w:type="dxa"/>
            <w:vAlign w:val="bottom"/>
          </w:tcPr>
          <w:p>
            <w:pPr>
              <w:ind w:left="200"/>
              <w:spacing w:after="0" w:line="166" w:lineRule="exact"/>
              <w:rPr>
                <w:sz w:val="20"/>
                <w:szCs w:val="20"/>
                <w:color w:val="auto"/>
              </w:rPr>
            </w:pPr>
            <w:r>
              <w:rPr>
                <w:rFonts w:ascii="Arial" w:cs="Arial" w:eastAsia="Arial" w:hAnsi="Arial"/>
                <w:sz w:val="16"/>
                <w:szCs w:val="16"/>
                <w:color w:val="auto"/>
              </w:rPr>
              <w:t>Distributions to noncontrolling interests, net of</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3820" w:type="dxa"/>
            <w:vAlign w:val="bottom"/>
          </w:tcPr>
          <w:p>
            <w:pPr>
              <w:ind w:left="200"/>
              <w:spacing w:after="0"/>
              <w:rPr>
                <w:sz w:val="20"/>
                <w:szCs w:val="20"/>
                <w:color w:val="auto"/>
              </w:rPr>
            </w:pPr>
            <w:r>
              <w:rPr>
                <w:rFonts w:ascii="Arial" w:cs="Arial" w:eastAsia="Arial" w:hAnsi="Arial"/>
                <w:sz w:val="16"/>
                <w:szCs w:val="16"/>
                <w:color w:val="auto"/>
              </w:rPr>
              <w:t>contributions, cash</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820" w:type="dxa"/>
            <w:vAlign w:val="bottom"/>
          </w:tcPr>
          <w:p>
            <w:pPr>
              <w:ind w:left="20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82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Common stock dividends and distributions to CEG</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unit holders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66"/>
        </w:trPr>
        <w:tc>
          <w:tcPr>
            <w:tcW w:w="3820" w:type="dxa"/>
            <w:vAlign w:val="bottom"/>
          </w:tcPr>
          <w:p>
            <w:pPr>
              <w:ind w:left="200"/>
              <w:spacing w:after="0" w:line="166" w:lineRule="exact"/>
              <w:rPr>
                <w:sz w:val="20"/>
                <w:szCs w:val="20"/>
                <w:color w:val="auto"/>
              </w:rPr>
            </w:pPr>
            <w:r>
              <w:rPr>
                <w:rFonts w:ascii="Arial" w:cs="Arial" w:eastAsia="Arial" w:hAnsi="Arial"/>
                <w:sz w:val="16"/>
                <w:szCs w:val="16"/>
                <w:color w:val="auto"/>
              </w:rPr>
              <w:t>Unrealized gain on derivatives and changes in</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3820" w:type="dxa"/>
            <w:vAlign w:val="bottom"/>
          </w:tcPr>
          <w:p>
            <w:pPr>
              <w:ind w:left="200"/>
              <w:spacing w:after="0"/>
              <w:rPr>
                <w:sz w:val="20"/>
                <w:szCs w:val="20"/>
                <w:color w:val="auto"/>
              </w:rPr>
            </w:pPr>
            <w:r>
              <w:rPr>
                <w:rFonts w:ascii="Arial" w:cs="Arial" w:eastAsia="Arial" w:hAnsi="Arial"/>
                <w:sz w:val="16"/>
                <w:szCs w:val="16"/>
                <w:color w:val="auto"/>
              </w:rPr>
              <w:t>accumulated OCI, net of tax</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to CEG, non-cash</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820" w:type="dxa"/>
            <w:vAlign w:val="bottom"/>
          </w:tcPr>
          <w:p>
            <w:pPr>
              <w:ind w:left="200"/>
              <w:spacing w:after="0"/>
              <w:rPr>
                <w:sz w:val="20"/>
                <w:szCs w:val="20"/>
                <w:color w:val="auto"/>
              </w:rPr>
            </w:pPr>
            <w:r>
              <w:rPr>
                <w:rFonts w:ascii="Arial" w:cs="Arial" w:eastAsia="Arial" w:hAnsi="Arial"/>
                <w:sz w:val="16"/>
                <w:szCs w:val="16"/>
                <w:color w:val="auto"/>
              </w:rPr>
              <w:t>Contributions from CEG, net of distributions, 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Tax-related distributions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6"/>
        </w:trPr>
        <w:tc>
          <w:tcPr>
            <w:tcW w:w="3820" w:type="dxa"/>
            <w:vAlign w:val="bottom"/>
          </w:tcPr>
          <w:p>
            <w:pPr>
              <w:ind w:left="200"/>
              <w:spacing w:after="0" w:line="166" w:lineRule="exact"/>
              <w:rPr>
                <w:sz w:val="20"/>
                <w:szCs w:val="20"/>
                <w:color w:val="auto"/>
              </w:rPr>
            </w:pPr>
            <w:r>
              <w:rPr>
                <w:rFonts w:ascii="Arial" w:cs="Arial" w:eastAsia="Arial" w:hAnsi="Arial"/>
                <w:sz w:val="16"/>
                <w:szCs w:val="16"/>
                <w:color w:val="auto"/>
              </w:rPr>
              <w:t>Distributions to noncontrolling interests, net of</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3820" w:type="dxa"/>
            <w:vAlign w:val="bottom"/>
          </w:tcPr>
          <w:p>
            <w:pPr>
              <w:ind w:left="200"/>
              <w:spacing w:after="0"/>
              <w:rPr>
                <w:sz w:val="20"/>
                <w:szCs w:val="20"/>
                <w:color w:val="auto"/>
              </w:rPr>
            </w:pPr>
            <w:r>
              <w:rPr>
                <w:rFonts w:ascii="Arial" w:cs="Arial" w:eastAsia="Arial" w:hAnsi="Arial"/>
                <w:sz w:val="16"/>
                <w:szCs w:val="16"/>
                <w:color w:val="auto"/>
              </w:rPr>
              <w:t>contributions, cash</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20" w:type="dxa"/>
            <w:vAlign w:val="bottom"/>
          </w:tcPr>
          <w:p>
            <w:pPr>
              <w:ind w:left="200"/>
              <w:spacing w:after="0"/>
              <w:rPr>
                <w:sz w:val="20"/>
                <w:szCs w:val="20"/>
                <w:color w:val="auto"/>
              </w:rPr>
            </w:pPr>
            <w:r>
              <w:rPr>
                <w:rFonts w:ascii="Arial" w:cs="Arial" w:eastAsia="Arial" w:hAnsi="Arial"/>
                <w:sz w:val="16"/>
                <w:szCs w:val="16"/>
                <w:color w:val="auto"/>
              </w:rPr>
              <w:t>Capistrano Wind Portfolio Acquisition</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Kawailoa Sale to Clearway Renew LLC</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66"/>
        </w:trPr>
        <w:tc>
          <w:tcPr>
            <w:tcW w:w="3820" w:type="dxa"/>
            <w:vAlign w:val="bottom"/>
          </w:tcPr>
          <w:p>
            <w:pPr>
              <w:ind w:left="200"/>
              <w:spacing w:after="0" w:line="166" w:lineRule="exact"/>
              <w:rPr>
                <w:sz w:val="20"/>
                <w:szCs w:val="20"/>
                <w:color w:val="auto"/>
              </w:rPr>
            </w:pPr>
            <w:r>
              <w:rPr>
                <w:rFonts w:ascii="Arial" w:cs="Arial" w:eastAsia="Arial" w:hAnsi="Arial"/>
                <w:sz w:val="16"/>
                <w:szCs w:val="16"/>
                <w:color w:val="auto"/>
              </w:rPr>
              <w:t>Common stock dividends and distributions to CEG</w:t>
            </w:r>
          </w:p>
        </w:tc>
        <w:tc>
          <w:tcPr>
            <w:tcW w:w="120" w:type="dxa"/>
            <w:vAlign w:val="bottom"/>
          </w:tcPr>
          <w:p>
            <w:pPr>
              <w:spacing w:after="0"/>
              <w:rPr>
                <w:sz w:val="14"/>
                <w:szCs w:val="14"/>
                <w:color w:val="auto"/>
              </w:rPr>
            </w:pP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unit holders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Arial" w:cs="Arial" w:eastAsia="Arial" w:hAnsi="Arial"/>
          <w:sz w:val="18"/>
          <w:szCs w:val="18"/>
          <w:color w:val="231F20"/>
        </w:rPr>
        <w:t>The majority</w:t>
      </w:r>
      <w:r>
        <w:rPr>
          <w:rFonts w:ascii="Arial" w:cs="Arial" w:eastAsia="Arial" w:hAnsi="Arial"/>
          <w:sz w:val="18"/>
          <w:szCs w:val="18"/>
          <w:color w:val="auto"/>
        </w:rPr>
        <w:t xml:space="preserve"> of the Company’s revenues are derived from long-term contractual arrangements for the output or capacity from these assets.</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Arial" w:cs="Arial" w:eastAsia="Arial" w:hAnsi="Arial"/>
          <w:sz w:val="17"/>
          <w:szCs w:val="17"/>
          <w:color w:val="000000"/>
        </w:rPr>
        <w:t>From</w:t>
      </w:r>
      <w:r>
        <w:rPr>
          <w:rFonts w:ascii="Arial" w:cs="Arial" w:eastAsia="Arial" w:hAnsi="Arial"/>
          <w:sz w:val="17"/>
          <w:szCs w:val="17"/>
          <w:color w:val="231F20"/>
        </w:rPr>
        <w:t xml:space="preserve"> </w:t>
      </w:r>
      <w:r>
        <w:rPr>
          <w:rFonts w:ascii="Arial" w:cs="Arial" w:eastAsia="Arial" w:hAnsi="Arial"/>
          <w:sz w:val="17"/>
          <w:szCs w:val="17"/>
          <w:color w:val="000000"/>
        </w:rPr>
        <w:t>time to time, CEG may also hold shares of the Company’s Class A and/or Class C common stock.</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the Company owned 57.90% of the economic interests of Clearway Energy LLC, with CEG owning 42.10% of the economic interests of Clearway Energy LLC.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following table represents a summarized structure of the Company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3590" cy="4311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359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2022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2023, and results of operations, comprehensive income and cash flows for the three and nine months ended September 30, 2023 and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$125 million and $121 million as of September 30, 2023 and December 31, 2022, respectively.</w:t>
      </w:r>
    </w:p>
    <w:p>
      <w:pPr>
        <w:spacing w:after="0" w:line="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2022</w:t>
            </w: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4"/>
          </w:tcPr>
          <w:p>
            <w:pPr>
              <w:jc w:val="right"/>
              <w:ind w:right="1412"/>
              <w:spacing w:after="0"/>
              <w:rPr>
                <w:sz w:val="20"/>
                <w:szCs w:val="20"/>
                <w:color w:val="auto"/>
              </w:rPr>
            </w:pPr>
            <w:r>
              <w:rPr>
                <w:rFonts w:ascii="Arial" w:cs="Arial" w:eastAsia="Arial" w:hAnsi="Arial"/>
                <w:sz w:val="16"/>
                <w:szCs w:val="16"/>
                <w:b w:val="1"/>
                <w:bCs w:val="1"/>
                <w:color w:val="auto"/>
              </w:rPr>
              <w:t>(In millions)</w:t>
            </w:r>
          </w:p>
        </w:tc>
      </w:tr>
      <w:tr>
        <w:trPr>
          <w:trHeight w:val="27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7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5"/>
              </w:rPr>
              <w:t>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September 30, 2023, these restricted funds were comprised of $160 million designated to fund operating expenses, $316 million designated for current debt service payments and $85 million restricted for reserves including debt service, performance obligations and other reserves as well as capital expenditures. The remaining $29 million is held in distributions reserve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provides a disaggregation of the amounts classified as Acquisition of Drop Down Assets, net of cash acquired, shown in the consolidated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3300" w:type="dxa"/>
            <w:vAlign w:val="bottom"/>
            <w:tcBorders>
              <w:bottom w:val="single" w:sz="8" w:color="auto"/>
            </w:tcBorders>
            <w:gridSpan w:val="4"/>
          </w:tcPr>
          <w:p>
            <w:pPr>
              <w:jc w:val="center"/>
              <w:ind w:left="455"/>
              <w:spacing w:after="0"/>
              <w:rPr>
                <w:sz w:val="20"/>
                <w:szCs w:val="20"/>
                <w:color w:val="auto"/>
              </w:rPr>
            </w:pPr>
            <w:r>
              <w:rPr>
                <w:rFonts w:ascii="Arial" w:cs="Arial" w:eastAsia="Arial" w:hAnsi="Arial"/>
                <w:sz w:val="16"/>
                <w:szCs w:val="16"/>
                <w:b w:val="1"/>
                <w:bCs w:val="1"/>
                <w:color w:val="auto"/>
                <w:w w:val="89"/>
              </w:rPr>
              <w:t>Nine months ended September 30,</w:t>
            </w:r>
          </w:p>
        </w:tc>
        <w:tc>
          <w:tcPr>
            <w:tcW w:w="540" w:type="dxa"/>
            <w:vAlign w:val="bottom"/>
            <w:tcBorders>
              <w:bottom w:val="single" w:sz="8" w:color="auto"/>
            </w:tcBorders>
          </w:tcPr>
          <w:p>
            <w:pPr>
              <w:spacing w:after="0"/>
              <w:rPr>
                <w:sz w:val="18"/>
                <w:szCs w:val="18"/>
                <w:color w:val="auto"/>
              </w:rPr>
            </w:pPr>
          </w:p>
        </w:tc>
      </w:tr>
      <w:tr>
        <w:trPr>
          <w:trHeight w:val="210"/>
        </w:trPr>
        <w:tc>
          <w:tcPr>
            <w:tcW w:w="7400" w:type="dxa"/>
            <w:vAlign w:val="bottom"/>
          </w:tcPr>
          <w:p>
            <w:pPr>
              <w:spacing w:after="0"/>
              <w:rPr>
                <w:sz w:val="18"/>
                <w:szCs w:val="18"/>
                <w:color w:val="auto"/>
              </w:rPr>
            </w:pP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r>
      <w:tr>
        <w:trPr>
          <w:trHeight w:val="209"/>
        </w:trPr>
        <w:tc>
          <w:tcPr>
            <w:tcW w:w="7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gridSpan w:val="3"/>
          </w:tcPr>
          <w:p>
            <w:pPr>
              <w:jc w:val="center"/>
              <w:ind w:right="673"/>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to acquire Drop Down Assets</w:t>
            </w:r>
          </w:p>
        </w:tc>
        <w:tc>
          <w:tcPr>
            <w:tcW w:w="1300" w:type="dxa"/>
            <w:vAlign w:val="bottom"/>
            <w:shd w:val="clear" w:color="auto" w:fill="CCEEFF"/>
          </w:tcPr>
          <w:p>
            <w:pPr>
              <w:jc w:val="right"/>
              <w:ind w:right="109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(34)</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(51)</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acquired from the acquisition of Drop Down Assets</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Acquisition of Drop Down Assets, net of cash acquired</w:t>
            </w:r>
          </w:p>
        </w:tc>
        <w:tc>
          <w:tcPr>
            <w:tcW w:w="1300" w:type="dxa"/>
            <w:vAlign w:val="bottom"/>
            <w:tcBorders>
              <w:bottom w:val="single" w:sz="8" w:color="auto"/>
            </w:tcBorders>
            <w:shd w:val="clear" w:color="auto" w:fill="CCEEFF"/>
          </w:tcPr>
          <w:p>
            <w:pPr>
              <w:jc w:val="right"/>
              <w:ind w:right="109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3"/>
              </w:rPr>
              <w:t>(51)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and Accumulated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property, plant and equipment, net, and accumulated amortization included in intangible assets, net: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w w:val="95"/>
              </w:rPr>
              <w:t>September 30, 2023</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5"/>
              </w:rPr>
              <w:t>December 31, 2022</w:t>
            </w: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3"/>
          </w:tcPr>
          <w:p>
            <w:pPr>
              <w:jc w:val="right"/>
              <w:ind w:right="1413"/>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180" w:type="dxa"/>
            <w:vAlign w:val="bottom"/>
          </w:tcPr>
          <w:p>
            <w:pPr>
              <w:spacing w:after="0"/>
              <w:rPr>
                <w:sz w:val="20"/>
                <w:szCs w:val="20"/>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dividends paid on the Company's Class A and Class C common stock during the nine months ended September 30,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 Quarter 2023</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2023</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First Quarter 2023</w:t>
            </w:r>
          </w:p>
        </w:tc>
      </w:tr>
      <w:tr>
        <w:trPr>
          <w:trHeight w:val="25"/>
        </w:trPr>
        <w:tc>
          <w:tcPr>
            <w:tcW w:w="6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0.3745</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0.3891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0.3818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0.3745</w:t>
            </w:r>
          </w:p>
        </w:tc>
      </w:tr>
    </w:tbl>
    <w:p>
      <w:pPr>
        <w:spacing w:after="0" w:line="24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1, 2023, the Company declared quarterly dividends on its Class A and Class C common stock of $0.3964 per share payable on December 15, 2023 to stockholders of record as of December 1,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Distributions to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to CEG during the nine months ended September 30, 2023 on Clearway Energy LLC’s Class B and 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 Quarter 2023</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2023</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First Quarter 2023</w:t>
            </w:r>
          </w:p>
        </w:tc>
      </w:tr>
      <w:tr>
        <w:trPr>
          <w:trHeight w:val="26"/>
        </w:trPr>
        <w:tc>
          <w:tcPr>
            <w:tcW w:w="6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Class B Unit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0.3745</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Distributions per Class D Unit</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0.3891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0.3818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0.3745</w:t>
            </w:r>
          </w:p>
        </w:tc>
      </w:tr>
    </w:tbl>
    <w:p>
      <w:pPr>
        <w:spacing w:after="0" w:line="24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to the quarterly distributions paid to CEG, Clearway Energy LLC distributed an additional $21 million to CEG during the nine months ended September 30, 2023, which represents CEG’s pro-rata share of distributions that were paid in order for the Company to make certain additional tax payments primarily associated with the sale of the Thermal Business. The Company’s share of the distribution was $29 million.</w:t>
      </w:r>
    </w:p>
    <w:p>
      <w:pPr>
        <w:spacing w:after="0" w:line="1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November 1, 2023, Clearway Energy LLC declared a distribution on its Class B and Class D units of $0.3964 per unit payable on December 15, 2023 to unit holders of record as of December 1,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7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3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Cash distributions to redeemable noncontrolling interests</w:t>
            </w:r>
          </w:p>
        </w:tc>
        <w:tc>
          <w:tcPr>
            <w:tcW w:w="3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Comprehensive income attributable to redeemable noncontrolling interests</w:t>
            </w:r>
          </w:p>
        </w:tc>
        <w:tc>
          <w:tcPr>
            <w:tcW w:w="3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32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60" w:type="dxa"/>
            <w:vAlign w:val="bottom"/>
            <w:vMerge w:val="restart"/>
          </w:tcPr>
          <w:p>
            <w:pPr>
              <w:jc w:val="right"/>
              <w:ind w:right="2970"/>
              <w:spacing w:after="0"/>
              <w:rPr>
                <w:sz w:val="20"/>
                <w:szCs w:val="20"/>
                <w:color w:val="auto"/>
              </w:rPr>
            </w:pPr>
            <w:r>
              <w:rPr>
                <w:rFonts w:ascii="Arial" w:cs="Arial" w:eastAsia="Arial" w:hAnsi="Arial"/>
                <w:sz w:val="18"/>
                <w:szCs w:val="18"/>
                <w:color w:val="231F20"/>
                <w:w w:val="89"/>
              </w:rPr>
              <w:t>15</w:t>
            </w:r>
          </w:p>
        </w:tc>
        <w:tc>
          <w:tcPr>
            <w:tcW w:w="4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55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5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6"/>
          </w:tcPr>
          <w:p>
            <w:pPr>
              <w:jc w:val="center"/>
              <w:ind w:left="714"/>
              <w:spacing w:after="0"/>
              <w:rPr>
                <w:sz w:val="20"/>
                <w:szCs w:val="20"/>
                <w:color w:val="auto"/>
              </w:rPr>
            </w:pPr>
            <w:r>
              <w:rPr>
                <w:rFonts w:ascii="Arial" w:cs="Arial" w:eastAsia="Arial" w:hAnsi="Arial"/>
                <w:sz w:val="14"/>
                <w:szCs w:val="14"/>
                <w:b w:val="1"/>
                <w:bCs w:val="1"/>
                <w:color w:val="auto"/>
                <w:w w:val="91"/>
              </w:rPr>
              <w:t>Three months ended September 30, 2023</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Renewables</w:t>
            </w:r>
          </w:p>
        </w:tc>
        <w:tc>
          <w:tcPr>
            <w:tcW w:w="500" w:type="dxa"/>
            <w:vAlign w:val="bottom"/>
          </w:tcPr>
          <w:p>
            <w:pPr>
              <w:spacing w:after="0"/>
              <w:rPr>
                <w:sz w:val="11"/>
                <w:szCs w:val="11"/>
                <w:color w:val="auto"/>
              </w:rPr>
            </w:pPr>
          </w:p>
        </w:tc>
        <w:tc>
          <w:tcPr>
            <w:tcW w:w="10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333333"/>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333333"/>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280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333333"/>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337</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33333"/>
              </w:rPr>
              <w:t>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333333"/>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33333"/>
              </w:rPr>
              <w:t>(47)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242424"/>
              </w:rPr>
              <w:t>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42424"/>
              </w:rPr>
              <w:t>239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42424"/>
              </w:rPr>
              <w:t>371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hanging="151"/>
        <w:spacing w:after="0"/>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capacity and other revenue relate to leases and are accounted for under ASC 842:</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66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Conventional</w:t>
            </w:r>
          </w:p>
        </w:tc>
        <w:tc>
          <w:tcPr>
            <w:tcW w:w="16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Renewables</w:t>
            </w:r>
          </w:p>
        </w:tc>
        <w:tc>
          <w:tcPr>
            <w:tcW w:w="15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566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Generation</w:t>
            </w:r>
          </w:p>
        </w:tc>
        <w:tc>
          <w:tcPr>
            <w:tcW w:w="164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Energy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20"/>
                <w:szCs w:val="20"/>
                <w:color w:val="auto"/>
              </w:rPr>
            </w:pPr>
          </w:p>
        </w:tc>
        <w:tc>
          <w:tcPr>
            <w:tcW w:w="6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Capacity revenue</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6"/>
          </w:tcPr>
          <w:p>
            <w:pPr>
              <w:jc w:val="center"/>
              <w:ind w:left="713"/>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Renewables</w:t>
            </w:r>
          </w:p>
        </w:tc>
        <w:tc>
          <w:tcPr>
            <w:tcW w:w="500" w:type="dxa"/>
            <w:vAlign w:val="bottom"/>
          </w:tcPr>
          <w:p>
            <w:pPr>
              <w:spacing w:after="0"/>
              <w:rPr>
                <w:sz w:val="11"/>
                <w:szCs w:val="11"/>
                <w:color w:val="auto"/>
              </w:rPr>
            </w:pPr>
          </w:p>
        </w:tc>
        <w:tc>
          <w:tcPr>
            <w:tcW w:w="104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333333"/>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333333"/>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333333"/>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274</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33333"/>
              </w:rPr>
              <w:t>107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33333"/>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333333"/>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33333"/>
              </w:rPr>
              <w:t>(42)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102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238</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340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33333"/>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33333"/>
              </w:rPr>
              <w:t>(334)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333333"/>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333333"/>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333333"/>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60" w:hanging="171"/>
        <w:spacing w:after="0"/>
        <w:tabs>
          <w:tab w:leader="none" w:pos="26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The following amounts of energy and capacity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Renewables</w:t>
            </w:r>
          </w:p>
        </w:tc>
        <w:tc>
          <w:tcPr>
            <w:tcW w:w="360" w:type="dxa"/>
            <w:vAlign w:val="bottom"/>
          </w:tcPr>
          <w:p>
            <w:pPr>
              <w:spacing w:after="0"/>
              <w:rPr>
                <w:sz w:val="14"/>
                <w:szCs w:val="14"/>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vMerge w:val="continue"/>
          </w:tcPr>
          <w:p>
            <w:pPr>
              <w:spacing w:after="0"/>
              <w:rPr>
                <w:sz w:val="12"/>
                <w:szCs w:val="12"/>
                <w:color w:val="auto"/>
              </w:rPr>
            </w:pPr>
          </w:p>
        </w:tc>
        <w:tc>
          <w:tcPr>
            <w:tcW w:w="3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3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Capacity revenue</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3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231F20"/>
              </w:rPr>
              <w:t>16</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6"/>
          </w:tcPr>
          <w:p>
            <w:pPr>
              <w:jc w:val="center"/>
              <w:ind w:left="734"/>
              <w:spacing w:after="0"/>
              <w:rPr>
                <w:sz w:val="20"/>
                <w:szCs w:val="20"/>
                <w:color w:val="auto"/>
              </w:rPr>
            </w:pPr>
            <w:r>
              <w:rPr>
                <w:rFonts w:ascii="Arial" w:cs="Arial" w:eastAsia="Arial" w:hAnsi="Arial"/>
                <w:sz w:val="14"/>
                <w:szCs w:val="14"/>
                <w:b w:val="1"/>
                <w:bCs w:val="1"/>
                <w:color w:val="auto"/>
                <w:w w:val="91"/>
              </w:rPr>
              <w:t>Nine months ended September 30, 2023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1"/>
                <w:szCs w:val="11"/>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Renewables</w:t>
            </w:r>
          </w:p>
        </w:tc>
        <w:tc>
          <w:tcPr>
            <w:tcW w:w="460" w:type="dxa"/>
            <w:vAlign w:val="bottom"/>
          </w:tcPr>
          <w:p>
            <w:pPr>
              <w:spacing w:after="0"/>
              <w:rPr>
                <w:sz w:val="11"/>
                <w:szCs w:val="11"/>
                <w:color w:val="auto"/>
              </w:rPr>
            </w:pPr>
          </w:p>
        </w:tc>
        <w:tc>
          <w:tcPr>
            <w:tcW w:w="10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hanging="151"/>
        <w:spacing w:after="0"/>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capacity and other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Renewables</w:t>
            </w:r>
          </w:p>
        </w:tc>
        <w:tc>
          <w:tcPr>
            <w:tcW w:w="360" w:type="dxa"/>
            <w:vAlign w:val="bottom"/>
          </w:tcPr>
          <w:p>
            <w:pPr>
              <w:spacing w:after="0"/>
              <w:rPr>
                <w:sz w:val="14"/>
                <w:szCs w:val="14"/>
                <w:color w:val="auto"/>
              </w:rPr>
            </w:pPr>
          </w:p>
        </w:tc>
        <w:tc>
          <w:tcPr>
            <w:tcW w:w="11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80" w:firstLine="9"/>
        <w:spacing w:after="0" w:line="292" w:lineRule="auto"/>
        <w:tabs>
          <w:tab w:leader="none" w:pos="245"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On May 31, 2023, the Marsh Landing Black Start addition reached commercial operations and the Company will receive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 September 30, 2022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11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Thermal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Generation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53" w:lineRule="exact"/>
        <w:rPr>
          <w:sz w:val="20"/>
          <w:szCs w:val="20"/>
          <w:color w:val="auto"/>
        </w:rPr>
      </w:pPr>
    </w:p>
    <w:p>
      <w:pPr>
        <w:ind w:left="320" w:hanging="150"/>
        <w:spacing w:after="0"/>
        <w:tabs>
          <w:tab w:leader="none" w:pos="32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16"/>
              <w:spacing w:after="0"/>
              <w:rPr>
                <w:sz w:val="20"/>
                <w:szCs w:val="20"/>
                <w:color w:val="auto"/>
              </w:rPr>
            </w:pPr>
            <w:r>
              <w:rPr>
                <w:rFonts w:ascii="Arial" w:cs="Arial" w:eastAsia="Arial" w:hAnsi="Arial"/>
                <w:sz w:val="18"/>
                <w:szCs w:val="18"/>
                <w:color w:val="231F20"/>
              </w:rPr>
              <w:t>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contract assets and liabilities included on the Company’s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2022</w:t>
            </w: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4"/>
          </w:tcPr>
          <w:p>
            <w:pPr>
              <w:jc w:val="right"/>
              <w:ind w:right="141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 Contracts with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 net - Leases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48"/>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March 2020, the FASB issued ASU No. 2020-4,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20, 2020 through December 31, 2022. In December 2022, the FASB issued ASU No. 2022-6, </w:t>
      </w:r>
      <w:r>
        <w:rPr>
          <w:rFonts w:ascii="Arial" w:cs="Arial" w:eastAsia="Arial" w:hAnsi="Arial"/>
          <w:sz w:val="17"/>
          <w:szCs w:val="17"/>
          <w:i w:val="1"/>
          <w:iCs w:val="1"/>
          <w:color w:val="auto"/>
        </w:rPr>
        <w:t>Deferral of the Sunset Date of 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w:t>
      </w:r>
      <w:r>
        <w:rPr>
          <w:rFonts w:ascii="Arial" w:cs="Arial" w:eastAsia="Arial" w:hAnsi="Arial"/>
          <w:sz w:val="17"/>
          <w:szCs w:val="17"/>
          <w:color w:val="auto"/>
        </w:rPr>
        <w:t>, to extend the end of the transition period to December 31, 2024. As of July 14, 2023, the Company has amended all of the applicable contracts that</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used LIBOR as a reference rate and elected to apply the practical expedient to certain modified cash flow interest rate swap and debt agreements. The adoption did not have a material impact on the Company’s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b w:val="1"/>
          <w:bCs w:val="1"/>
          <w:i w:val="1"/>
          <w:iCs w:val="1"/>
          <w:color w:val="auto"/>
        </w:rPr>
        <w:t xml:space="preserve">Victory Pass and Arica Drop Down — </w:t>
      </w:r>
      <w:r>
        <w:rPr>
          <w:rFonts w:ascii="Arial" w:cs="Arial" w:eastAsia="Arial" w:hAnsi="Arial"/>
          <w:sz w:val="16"/>
          <w:szCs w:val="16"/>
          <w:color w:val="auto"/>
        </w:rPr>
        <w:t>On October 31, 2023, the Company, through its indirect subsidiary, VP-Arica Parent Holdco LLC, acquired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Class A membership interests in VP-Arica TargetCo LLC, the indirect owner of Victory Pass, a 200 MW solar project with matching storage capacity, and Arica, a 263 MW solar project with matching storage capacity, that are both currently under construction in Riverside, California, from Clearway Renew for initial cash consideration of $46 million. Simultaneously, a cash equity investor acquired the Class B membership interests in VP-Arica TargetCo LLC from Clearway Renew for initial cash consideration of $87 million. At substantial completion, which is expected to occur in the first half of 2024, the Company will pay an additional $182 million to Clearway Renew and the cash equity investor will pay an additional $347 million to Clearway Renew. VP-Arica TargetCo LLC, a partnership between the Company and the cash equity investor, consolidates as primary beneficiary, VP-Arica TE Holdco LLC, a tax equity fund that owns the Victory Pass and Arica solar projects. Victory Pass and Arica each have PPAs with investment-grade counterparties that have a 15-year and 14-year weighted average contract duration, respectively, that commence when the underlying operating assets reach commercial operations, which is expected to occur in the first half of 2024. The acquisition was funded with existing sources of liquidity.</w:t>
      </w:r>
    </w:p>
    <w:p>
      <w:pPr>
        <w:spacing w:after="0" w:line="11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Daggett 2 Drop Down </w:t>
      </w:r>
      <w:r>
        <w:rPr>
          <w:rFonts w:ascii="Arial" w:cs="Arial" w:eastAsia="Arial" w:hAnsi="Arial"/>
          <w:sz w:val="17"/>
          <w:szCs w:val="17"/>
          <w:color w:val="auto"/>
        </w:rPr>
        <w:t>— On August 30, 2023, the Company, through its indirect subsidiary, Daggett Solar Investment LLC, acquired the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membership interests in Daggett 2 TargetCo LLC, the indirect owner of Daggett 2, a 182 MW solar project with matching storage capacity that is currently under construction in San Bernardino, California, from CEG for cash consideration of $13 million. Daggett 2 TargetCo LLC, a partnership between the Company and a cash equity investor, consolidates as primary beneficiary, Daggett 2 TE Holdco LLC, a tax equity fund that owns the Daggett 2 solar project, as further described in Note 4,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 xml:space="preserve"> Daggett 2 has PPAs with investment-grade counterparties that have a 15-year weighted average contract duration that commence when the underlying operating assets reach commercial operations, which is expected to occur for the majority of the assets in the fourth quarter of 2023. The Daggett 2 operations are reflected in the Company’s Renewables segment and the acquisition was funded with existing sources of liquidity. The acquisition was determined to be an asset acquisition and the Company consolidates Daggett 2 on a prospective basis in its financial statements. The assets, liabilities and noncontrolling interests transferred to the Company relate to interests under common control and were recorded at historical cost in accordance with ASC 805-50, </w:t>
      </w:r>
      <w:r>
        <w:rPr>
          <w:rFonts w:ascii="Arial" w:cs="Arial" w:eastAsia="Arial" w:hAnsi="Arial"/>
          <w:sz w:val="17"/>
          <w:szCs w:val="17"/>
          <w:i w:val="1"/>
          <w:iCs w:val="1"/>
          <w:color w:val="auto"/>
        </w:rPr>
        <w:t>Business Combinations -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Issues</w:t>
      </w:r>
      <w:r>
        <w:rPr>
          <w:rFonts w:ascii="Arial" w:cs="Arial" w:eastAsia="Arial" w:hAnsi="Arial"/>
          <w:sz w:val="17"/>
          <w:szCs w:val="17"/>
          <w:color w:val="auto"/>
        </w:rPr>
        <w:t>. The sum of the historical cost of the Company’s acquired interests of $29 million and the cash paid of $13 million was recorded as an adjustment to</w:t>
      </w:r>
      <w:r>
        <w:rPr>
          <w:rFonts w:ascii="Arial" w:cs="Arial" w:eastAsia="Arial" w:hAnsi="Arial"/>
          <w:sz w:val="17"/>
          <w:szCs w:val="17"/>
          <w:i w:val="1"/>
          <w:iCs w:val="1"/>
          <w:color w:val="auto"/>
        </w:rPr>
        <w:t xml:space="preserve"> </w:t>
      </w:r>
      <w:r>
        <w:rPr>
          <w:rFonts w:ascii="Arial" w:cs="Arial" w:eastAsia="Arial" w:hAnsi="Arial"/>
          <w:sz w:val="17"/>
          <w:szCs w:val="17"/>
          <w:color w:val="auto"/>
        </w:rPr>
        <w:t>CEG’s noncontrolling interest balance.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August 30,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Daggett 2</w:t>
            </w:r>
          </w:p>
        </w:tc>
      </w:tr>
      <w:tr>
        <w:trPr>
          <w:trHeight w:val="226"/>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2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23"/>
                <w:szCs w:val="23"/>
                <w:color w:val="auto"/>
                <w:vertAlign w:val="superscript"/>
              </w:rPr>
              <w:t>(a)</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9200" w:type="dxa"/>
            <w:vAlign w:val="bottom"/>
          </w:tcPr>
          <w:p>
            <w:pPr>
              <w:ind w:left="140"/>
              <w:spacing w:after="0"/>
              <w:rPr>
                <w:sz w:val="20"/>
                <w:szCs w:val="20"/>
                <w:color w:val="auto"/>
              </w:rPr>
            </w:pPr>
            <w:r>
              <w:rPr>
                <w:rFonts w:ascii="Arial" w:cs="Arial" w:eastAsia="Arial" w:hAnsi="Arial"/>
                <w:sz w:val="18"/>
                <w:szCs w:val="18"/>
                <w:color w:val="auto"/>
              </w:rPr>
              <w:t>Right-of-use-assets, net</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assets</w:t>
            </w:r>
          </w:p>
        </w:tc>
        <w:tc>
          <w:tcPr>
            <w:tcW w:w="4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920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0"/>
        </w:trPr>
        <w:tc>
          <w:tcPr>
            <w:tcW w:w="9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30"/>
        </w:trPr>
        <w:tc>
          <w:tcPr>
            <w:tcW w:w="92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(b)</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9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4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9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48"/>
        </w:trPr>
        <w:tc>
          <w:tcPr>
            <w:tcW w:w="9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 less noncontrolling interests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1" w:lineRule="exact"/>
        <w:rPr>
          <w:sz w:val="20"/>
          <w:szCs w:val="20"/>
          <w:color w:val="auto"/>
        </w:rPr>
      </w:pPr>
    </w:p>
    <w:p>
      <w:pPr>
        <w:ind w:left="80" w:firstLine="9"/>
        <w:spacing w:after="0" w:line="226" w:lineRule="auto"/>
        <w:tabs>
          <w:tab w:leader="none" w:pos="252"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Includes funds that were contributed by the cash equity investor and tax equity investor that must be used to pay off the tax equity bridge loan when the project reaches substantial completion, which is expected to occur in the fourth quarter of 2023.</w:t>
      </w:r>
    </w:p>
    <w:p>
      <w:pPr>
        <w:spacing w:after="0" w:line="47" w:lineRule="exact"/>
        <w:rPr>
          <w:rFonts w:ascii="Arial" w:cs="Arial" w:eastAsia="Arial" w:hAnsi="Arial"/>
          <w:sz w:val="20"/>
          <w:szCs w:val="20"/>
          <w:color w:val="auto"/>
          <w:vertAlign w:val="superscript"/>
        </w:rPr>
      </w:pPr>
    </w:p>
    <w:p>
      <w:pPr>
        <w:ind w:left="80" w:right="20" w:firstLine="9"/>
        <w:spacing w:after="0" w:line="242" w:lineRule="auto"/>
        <w:tabs>
          <w:tab w:leader="none" w:pos="245"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 xml:space="preserve">Includes a $107 million construction loan and $204 million tax equity bridge loan, offset by $3 million in unamortized debt issuance costs. See Note 7, </w:t>
      </w:r>
      <w:r>
        <w:rPr>
          <w:rFonts w:ascii="Arial" w:cs="Arial" w:eastAsia="Arial" w:hAnsi="Arial"/>
          <w:sz w:val="12"/>
          <w:szCs w:val="12"/>
          <w:i w:val="1"/>
          <w:iCs w:val="1"/>
          <w:color w:val="auto"/>
        </w:rPr>
        <w:t>Long-term Debt</w:t>
      </w:r>
      <w:r>
        <w:rPr>
          <w:rFonts w:ascii="Arial" w:cs="Arial" w:eastAsia="Arial" w:hAnsi="Arial"/>
          <w:sz w:val="12"/>
          <w:szCs w:val="12"/>
          <w:color w:val="auto"/>
        </w:rPr>
        <w:t>, for further discussion of the long-term debt assumed in the acquisition.</w:t>
      </w:r>
    </w:p>
    <w:p>
      <w:pPr>
        <w:spacing w:after="0" w:line="15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b w:val="1"/>
          <w:bCs w:val="1"/>
          <w:i w:val="1"/>
          <w:iCs w:val="1"/>
          <w:color w:val="auto"/>
        </w:rPr>
        <w:t xml:space="preserve">Daggett 3 Drop Down </w:t>
      </w:r>
      <w:r>
        <w:rPr>
          <w:rFonts w:ascii="Arial" w:cs="Arial" w:eastAsia="Arial" w:hAnsi="Arial"/>
          <w:sz w:val="17"/>
          <w:szCs w:val="17"/>
          <w:color w:val="auto"/>
        </w:rPr>
        <w:t>— On February 17, 2023, the Company, through its indirect subsidiary, Daggett Solar Investment LLC, acquired the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membership interests in Daggett TargetCo LLC, the indirect owner of Daggett 3, a 300 MW solar project with matching storage capacity that is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between the Company and the cash equity investor, that consolidates Daggett TargetCo LLC. Daggett TargetCo LLC consolidates as primary beneficiary, Daggett TE Holdco LLC, a tax equity fund that owns the Daggett 3 solar project, as further described in Note 4, </w:t>
      </w:r>
      <w:r>
        <w:rPr>
          <w:rFonts w:ascii="Arial" w:cs="Arial" w:eastAsia="Arial" w:hAnsi="Arial"/>
          <w:sz w:val="17"/>
          <w:szCs w:val="17"/>
          <w:i w:val="1"/>
          <w:iCs w:val="1"/>
          <w:color w:val="auto"/>
        </w:rPr>
        <w:t>Investments Accounted for by the Equity Method and Variable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Entities. </w:t>
      </w:r>
      <w:r>
        <w:rPr>
          <w:rFonts w:ascii="Arial" w:cs="Arial" w:eastAsia="Arial" w:hAnsi="Arial"/>
          <w:sz w:val="17"/>
          <w:szCs w:val="17"/>
          <w:color w:val="auto"/>
        </w:rPr>
        <w:t>Daggett 3 has PPAs with investment-grade counterparties that have a 15-year weighted average contract duration that commence when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underlying assets reach commercial operations, which occurred for the majority of the assets during the third quarter of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i w:val="1"/>
          <w:iCs w:val="1"/>
          <w:color w:val="auto"/>
        </w:rPr>
        <w:t>Business Combinations -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Issues</w:t>
      </w:r>
      <w:r>
        <w:rPr>
          <w:rFonts w:ascii="Arial" w:cs="Arial" w:eastAsia="Arial" w:hAnsi="Arial"/>
          <w:sz w:val="17"/>
          <w:szCs w:val="17"/>
          <w:color w:val="auto"/>
        </w:rPr>
        <w:t>. The difference between the cash paid of $21 million and the historical cost of the Company’s net assets acquired of $15 million was recorded as an</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to CEG’s noncontrolling interest balance. In addition, the Company reflected the entire $21 million of the Company’s purchase price, which was contributed back to the Company by CEG to pay down the acquired long-term debt, in the line item contributions from CEG, net of distributions in the consolidated statements of stockholders’ equity.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February 17,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Daggett 3</w:t>
            </w:r>
          </w:p>
        </w:tc>
      </w:tr>
      <w:tr>
        <w:trPr>
          <w:trHeight w:val="226"/>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20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9"/>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Right-of-use-assets, net</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9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Derivative assets</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9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70"/>
        </w:trPr>
        <w:tc>
          <w:tcPr>
            <w:tcW w:w="9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29"/>
        </w:trPr>
        <w:tc>
          <w:tcPr>
            <w:tcW w:w="9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920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23"/>
                <w:szCs w:val="23"/>
                <w:color w:val="auto"/>
                <w:vertAlign w:val="superscript"/>
              </w:rPr>
              <w:t>(b)</w:t>
            </w:r>
          </w:p>
        </w:tc>
        <w:tc>
          <w:tcPr>
            <w:tcW w:w="4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92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 assumed</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48"/>
        </w:trPr>
        <w:tc>
          <w:tcPr>
            <w:tcW w:w="9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1" w:lineRule="exact"/>
        <w:rPr>
          <w:sz w:val="20"/>
          <w:szCs w:val="20"/>
          <w:color w:val="auto"/>
        </w:rPr>
      </w:pPr>
    </w:p>
    <w:p>
      <w:pPr>
        <w:ind w:left="80" w:firstLine="9"/>
        <w:spacing w:after="0" w:line="252" w:lineRule="auto"/>
        <w:tabs>
          <w:tab w:leader="none" w:pos="239"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 xml:space="preserve">Includes a $181 million construction loan, $75 million sponsor equity bridge loan and $229 million tax equity bridge loan, offset by $5 million in unamortized debt issuance costs. See Note 7, </w:t>
      </w:r>
      <w:r>
        <w:rPr>
          <w:rFonts w:ascii="Arial" w:cs="Arial" w:eastAsia="Arial" w:hAnsi="Arial"/>
          <w:sz w:val="12"/>
          <w:szCs w:val="12"/>
          <w:i w:val="1"/>
          <w:iCs w:val="1"/>
          <w:color w:val="auto"/>
        </w:rPr>
        <w:t>Long-term Debt</w:t>
      </w:r>
      <w:r>
        <w:rPr>
          <w:rFonts w:ascii="Arial" w:cs="Arial" w:eastAsia="Arial" w:hAnsi="Arial"/>
          <w:sz w:val="12"/>
          <w:szCs w:val="12"/>
          <w:color w:val="auto"/>
        </w:rPr>
        <w:t>, for further discussion of the long-term debt assumed in the acquisition.</w:t>
      </w:r>
    </w:p>
    <w:p>
      <w:pPr>
        <w:spacing w:after="0" w:line="42" w:lineRule="exact"/>
        <w:rPr>
          <w:rFonts w:ascii="Arial" w:cs="Arial" w:eastAsia="Arial" w:hAnsi="Arial"/>
          <w:sz w:val="18"/>
          <w:szCs w:val="18"/>
          <w:color w:val="auto"/>
          <w:vertAlign w:val="superscript"/>
        </w:rPr>
      </w:pPr>
    </w:p>
    <w:p>
      <w:pPr>
        <w:ind w:left="80" w:firstLine="9"/>
        <w:spacing w:after="0" w:line="226" w:lineRule="auto"/>
        <w:tabs>
          <w:tab w:leader="none" w:pos="259" w:val="left"/>
        </w:tabs>
        <w:numPr>
          <w:ilvl w:val="0"/>
          <w:numId w:val="10"/>
        </w:numPr>
        <w:rPr>
          <w:rFonts w:ascii="Arial" w:cs="Arial" w:eastAsia="Arial" w:hAnsi="Arial"/>
          <w:sz w:val="20"/>
          <w:szCs w:val="20"/>
          <w:color w:val="auto"/>
          <w:vertAlign w:val="superscript"/>
        </w:rPr>
      </w:pPr>
      <w:r>
        <w:rPr>
          <w:rFonts w:ascii="Arial" w:cs="Arial" w:eastAsia="Arial" w:hAnsi="Arial"/>
          <w:sz w:val="13"/>
          <w:szCs w:val="13"/>
          <w:color w:val="auto"/>
        </w:rPr>
        <w:t>Includes $32 million of project costs that were subsequently funded by CEG. Subsequent to the acquisition date, CEG funded an additional $21 million in project costs. The combined $53 million funded by CEG was repaid to CEG in October 2023.</w:t>
      </w:r>
    </w:p>
    <w:p>
      <w:pPr>
        <w:spacing w:after="0" w:line="156" w:lineRule="exact"/>
        <w:rPr>
          <w:sz w:val="20"/>
          <w:szCs w:val="20"/>
          <w:color w:val="auto"/>
        </w:rPr>
      </w:pPr>
    </w:p>
    <w:p>
      <w:pPr>
        <w:ind w:right="462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not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2022</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Rosie Central BESS — </w:t>
      </w:r>
      <w:r>
        <w:rPr>
          <w:rFonts w:ascii="Arial" w:cs="Arial" w:eastAsia="Arial" w:hAnsi="Arial"/>
          <w:sz w:val="17"/>
          <w:szCs w:val="17"/>
          <w:color w:val="auto"/>
        </w:rPr>
        <w:t>On June 30, 2023, the Company, through its indirect subsidiary, Rosie Class B LLC, the indirect owner of the Rosamond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Central solar project, became the owner of the Class B membership interests of Rosie Central BESS in order to facilitate and fund the construction of a 147 MW BESS project that is co-located at the Rosamond Central solar facility. Clearway Renew indirectly owns the Class A membership interests and controls Rosie Central BESS. The Company accounts for its investment in Rosie Central BESS as an equity method investment. As of September 30, 2023, the Company’s investment consisted of $28 million contributed into Rosie Central BESS, funded through contributions from the Company and its cash equity investor in Rosie TargetCo LLC, which consolidates Rosie Class B LLC.</w:t>
      </w:r>
    </w:p>
    <w:p>
      <w:pPr>
        <w:spacing w:after="0" w:line="12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Additionally, on June 30, 2023, the Rosamond Central solar project entered into an asset purchase agreement with Clearway Renew to acquire the BESS project assets at mechanical completion, which is expected to occur in the fourth quarter of 2023, for initial cash consideration of $72 million, $17 million of which will be funded by the Company with the remaining $55 million to be funded through contributions from the cash equity investor in Rosie TargetCo LLC and the tax equity investor in Rosie TE HoldCo LLC. At substantial completion, which is expected to occur in the first half of 2024, the Rosamond Central solar project will pay an additional $288 million to Clearway Renew, $67 million of which will be funded by the Company with the remaining $221 million to be funded through contributions from the cash equity and tax equity investors. The BESS project has a PPA for capacity with an investment-grade utility that has a 15-year contract duration that will commence when the project reaches commercial operations, which is expected to occur in the first half of 2024. In order to facilitate and fund the construction of the BESS project, Rosie Class B LLC, the indirect owner of the Rosamond Central solar project, issued a loan to a consolidated subsidiary of Clearway Renew that is included in note receivable — affiliate on the Company’s consolidated balance sheet, as further discussed in Note 7</w:t>
      </w:r>
      <w:r>
        <w:rPr>
          <w:rFonts w:ascii="Arial" w:cs="Arial" w:eastAsia="Arial" w:hAnsi="Arial"/>
          <w:sz w:val="17"/>
          <w:szCs w:val="17"/>
          <w:color w:val="231F20"/>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Debt</w:t>
      </w:r>
      <w:r>
        <w:rPr>
          <w:rFonts w:ascii="Arial" w:cs="Arial" w:eastAsia="Arial" w:hAnsi="Arial"/>
          <w:sz w:val="17"/>
          <w:szCs w:val="17"/>
          <w:i w:val="1"/>
          <w:iCs w:val="1"/>
          <w:color w:val="231F20"/>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September 30, 2023 is limited to its equity investment in the unconsolidated entities, as further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7040" w:type="dxa"/>
            <w:vAlign w:val="bottom"/>
            <w:tcBorders>
              <w:bottom w:val="single" w:sz="8" w:color="auto"/>
            </w:tcBorders>
          </w:tcPr>
          <w:p>
            <w:pPr>
              <w:jc w:val="center"/>
              <w:ind w:left="5491"/>
              <w:spacing w:after="0"/>
              <w:rPr>
                <w:sz w:val="20"/>
                <w:szCs w:val="20"/>
                <w:color w:val="auto"/>
              </w:rPr>
            </w:pPr>
            <w:r>
              <w:rPr>
                <w:rFonts w:ascii="Arial" w:cs="Arial" w:eastAsia="Arial" w:hAnsi="Arial"/>
                <w:sz w:val="16"/>
                <w:szCs w:val="16"/>
                <w:b w:val="1"/>
                <w:bCs w:val="1"/>
                <w:color w:val="auto"/>
                <w:w w:val="90"/>
              </w:rPr>
              <w:t>Economic Interest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5"/>
              </w:rPr>
              <w:t>Investment Balance</w:t>
            </w:r>
          </w:p>
        </w:tc>
      </w:tr>
      <w:tr>
        <w:trPr>
          <w:trHeight w:val="210"/>
        </w:trPr>
        <w:tc>
          <w:tcPr>
            <w:tcW w:w="21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49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Avenal</w:t>
            </w:r>
          </w:p>
        </w:tc>
        <w:tc>
          <w:tcPr>
            <w:tcW w:w="7040" w:type="dxa"/>
            <w:vAlign w:val="bottom"/>
            <w:shd w:val="clear" w:color="auto" w:fill="CCEEFF"/>
          </w:tcPr>
          <w:p>
            <w:pPr>
              <w:jc w:val="center"/>
              <w:ind w:left="549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7040" w:type="dxa"/>
            <w:vAlign w:val="bottom"/>
          </w:tcPr>
          <w:p>
            <w:pPr>
              <w:jc w:val="center"/>
              <w:ind w:left="5491"/>
              <w:spacing w:after="0"/>
              <w:rPr>
                <w:sz w:val="20"/>
                <w:szCs w:val="20"/>
                <w:color w:val="auto"/>
              </w:rPr>
            </w:pPr>
            <w:r>
              <w:rPr>
                <w:rFonts w:ascii="Arial" w:cs="Arial" w:eastAsia="Arial" w:hAnsi="Arial"/>
                <w:sz w:val="18"/>
                <w:szCs w:val="18"/>
                <w:color w:val="auto"/>
                <w:w w:val="94"/>
              </w:rPr>
              <w:t>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7040" w:type="dxa"/>
            <w:vAlign w:val="bottom"/>
            <w:shd w:val="clear" w:color="auto" w:fill="CCEEFF"/>
          </w:tcPr>
          <w:p>
            <w:pPr>
              <w:jc w:val="center"/>
              <w:ind w:left="5491"/>
              <w:spacing w:after="0"/>
              <w:rPr>
                <w:sz w:val="20"/>
                <w:szCs w:val="20"/>
                <w:color w:val="auto"/>
              </w:rPr>
            </w:pPr>
            <w:r>
              <w:rPr>
                <w:rFonts w:ascii="Arial" w:cs="Arial" w:eastAsia="Arial" w:hAnsi="Arial"/>
                <w:sz w:val="18"/>
                <w:szCs w:val="18"/>
                <w:color w:val="auto"/>
                <w:w w:val="94"/>
              </w:rPr>
              <w:t>67%</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GenConn </w:t>
            </w:r>
            <w:r>
              <w:rPr>
                <w:rFonts w:ascii="Arial" w:cs="Arial" w:eastAsia="Arial" w:hAnsi="Arial"/>
                <w:sz w:val="23"/>
                <w:szCs w:val="23"/>
                <w:color w:val="auto"/>
                <w:vertAlign w:val="superscript"/>
              </w:rPr>
              <w:t>(a)</w:t>
            </w:r>
          </w:p>
        </w:tc>
        <w:tc>
          <w:tcPr>
            <w:tcW w:w="7040" w:type="dxa"/>
            <w:vAlign w:val="bottom"/>
          </w:tcPr>
          <w:p>
            <w:pPr>
              <w:jc w:val="center"/>
              <w:ind w:left="5491"/>
              <w:spacing w:after="0"/>
              <w:rPr>
                <w:sz w:val="20"/>
                <w:szCs w:val="20"/>
                <w:color w:val="auto"/>
              </w:rPr>
            </w:pPr>
            <w:r>
              <w:rPr>
                <w:rFonts w:ascii="Arial" w:cs="Arial" w:eastAsia="Arial" w:hAnsi="Arial"/>
                <w:sz w:val="18"/>
                <w:szCs w:val="18"/>
                <w:color w:val="auto"/>
                <w:w w:val="94"/>
              </w:rPr>
              <w:t>50%</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2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Rosie Central BESS </w:t>
            </w:r>
            <w:r>
              <w:rPr>
                <w:rFonts w:ascii="Arial" w:cs="Arial" w:eastAsia="Arial" w:hAnsi="Arial"/>
                <w:sz w:val="23"/>
                <w:szCs w:val="23"/>
                <w:color w:val="auto"/>
                <w:vertAlign w:val="superscript"/>
              </w:rPr>
              <w:t>(a)</w:t>
            </w:r>
          </w:p>
        </w:tc>
        <w:tc>
          <w:tcPr>
            <w:tcW w:w="7040" w:type="dxa"/>
            <w:vAlign w:val="bottom"/>
            <w:shd w:val="clear" w:color="auto" w:fill="CCEEFF"/>
          </w:tcPr>
          <w:p>
            <w:pPr>
              <w:jc w:val="center"/>
              <w:ind w:left="549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San Juan Mesa</w:t>
            </w:r>
          </w:p>
        </w:tc>
        <w:tc>
          <w:tcPr>
            <w:tcW w:w="7040" w:type="dxa"/>
            <w:vAlign w:val="bottom"/>
            <w:tcBorders>
              <w:bottom w:val="single" w:sz="8" w:color="CCEEFF"/>
            </w:tcBorders>
          </w:tcPr>
          <w:p>
            <w:pPr>
              <w:jc w:val="center"/>
              <w:ind w:left="5491"/>
              <w:spacing w:after="0"/>
              <w:rPr>
                <w:sz w:val="20"/>
                <w:szCs w:val="20"/>
                <w:color w:val="auto"/>
              </w:rPr>
            </w:pPr>
            <w:r>
              <w:rPr>
                <w:rFonts w:ascii="Arial" w:cs="Arial" w:eastAsia="Arial" w:hAnsi="Arial"/>
                <w:sz w:val="18"/>
                <w:szCs w:val="18"/>
                <w:color w:val="auto"/>
                <w:w w:val="94"/>
              </w:rPr>
              <w:t>75%</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218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7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r>
    </w:tbl>
    <w:p>
      <w:pPr>
        <w:spacing w:after="0" w:line="75" w:lineRule="exact"/>
        <w:rPr>
          <w:sz w:val="20"/>
          <w:szCs w:val="20"/>
          <w:color w:val="auto"/>
        </w:rPr>
      </w:pPr>
    </w:p>
    <w:p>
      <w:pPr>
        <w:ind w:left="8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GenConn and Rosie Central BESS are variable interest entities.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As further described under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to the consolidated financial statements included in the Company’s 2022 Form 10-K, the Company has a controlling financial interest in certain entities which have been identified as VIEs under ASC 810, </w:t>
      </w:r>
      <w:r>
        <w:rPr>
          <w:rFonts w:ascii="Arial" w:cs="Arial" w:eastAsia="Arial" w:hAnsi="Arial"/>
          <w:sz w:val="16"/>
          <w:szCs w:val="16"/>
          <w:i w:val="1"/>
          <w:iCs w:val="1"/>
          <w:color w:val="auto"/>
        </w:rPr>
        <w:t>Consolidations</w:t>
      </w:r>
      <w:r>
        <w:rPr>
          <w:rFonts w:ascii="Arial" w:cs="Arial" w:eastAsia="Arial" w:hAnsi="Arial"/>
          <w:sz w:val="16"/>
          <w:szCs w:val="16"/>
          <w:color w:val="auto"/>
        </w:rPr>
        <w:t>, or ASC 810. These arrangements are primarily related to tax equity arrangements entered into with third parties in order to monetize certain tax credits associated with wind and solar facilities. The Company also has a controlling financial interest in certain partnership arrangements with third-party investors, which have also been identified as VIEs. Under the Company’s arrangements that have been identified as VIEs, the third-party investors are allocated earnings, tax attributes and distributable cash in accordance with the respective limited liability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VIEs during the nine months ended September 30, 2023.</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Lighthouse Partnership Arrangements — </w:t>
      </w:r>
      <w:r>
        <w:rPr>
          <w:rFonts w:ascii="Arial" w:cs="Arial" w:eastAsia="Arial" w:hAnsi="Arial"/>
          <w:sz w:val="18"/>
          <w:szCs w:val="18"/>
          <w:color w:val="auto"/>
        </w:rPr>
        <w:t>On August 30, 2023, the Company and the cash equity investor in Lighthouse Renewable Holdco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Lighthouse Renewable Holdco 2 LLC agreed to transfer Mesquite Star Class B Holdco LLC, the indirect owner of the Mesquite Star wind project, from Lighthouse Renewable Holdco LLC to Lighthouse Renewable Holdco 2 LLC.</w:t>
      </w:r>
    </w:p>
    <w:p>
      <w:pPr>
        <w:spacing w:after="0" w:line="13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b w:val="1"/>
          <w:bCs w:val="1"/>
          <w:i w:val="1"/>
          <w:iCs w:val="1"/>
          <w:color w:val="auto"/>
        </w:rPr>
        <w:t xml:space="preserve">Daggett 2 TargetCo LLC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August 30, 2023, Daggett Solar Investment LLC, an indirect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of the Company, acquired the Class A membership interests in Daggett 2 TargetCo LLC, a partnership between the Company and a cash equity investor. The Company consolidates Daggett 2 TargetCo LLC as a VIE as the Company is the primary beneficiary, through its role as managing member. The Company recorded the acquired noncontrolling interest of the cash equity investor in Daggett 2 TargetCo LLC at historical carrying amount. Daggett 2 TargetCo LLC consolidates as primary beneficiary, Daggett 2 TE Holdco LLC, a tax equity fund that owns the Daggett 2 solar project. The tax equity investor’s interest is shown as noncontrolling interest and the HLBV method is utilized to allocate the income or losses of Daggett 2 TE Holdco LLC.</w:t>
      </w:r>
    </w:p>
    <w:p>
      <w:pPr>
        <w:spacing w:after="0" w:line="11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Daggett Renewable Holdco LLC —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on February 17, 2023, Daggett Solar Investment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the Class A membership interests in Daggett TargetCo LLC while a cash equity investor acquired the Class B membership interests. The Company and the cash equity investor then contributed their Class A and B membership interests, respectively, into Daggett Renewable Holdco LLC, a partnership between the Company and the cash equity investor, and concurrently, Daggett TargetCo LLC became a wholly-owned subsidiary of Daggett Renewable Holdco LLC. The Company consolidates Daggett Renewable Holdco LLC as a VIE as the Company is the primary beneficiary, through its role as managing member. The Company recorded the noncontrolling interest of the cash equity investor in Daggett Renewable Holdco LLC at historical carrying amount, with the offset to additional paid-in capital. Daggett TargetCo LLC consolidates as primary beneficiary, Daggett TE Holdco LLC, a tax equity fund that owns the Daggett 3 solar project. The tax equity investor’s interest is shown as noncontrolling interest and the HLBV method is utilized to allocate the income or losses of Daggett TE Holdco LLC.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September 30,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60" w:type="dxa"/>
            <w:vAlign w:val="bottom"/>
          </w:tcPr>
          <w:p>
            <w:pPr>
              <w:spacing w:after="0"/>
              <w:rPr>
                <w:sz w:val="13"/>
                <w:szCs w:val="13"/>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2"/>
              </w:rPr>
              <w:t>Alta TE Holdco</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Buckthorn</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5"/>
              </w:rPr>
              <w:t>Daggett Renewable</w:t>
            </w:r>
          </w:p>
        </w:tc>
        <w:tc>
          <w:tcPr>
            <w:tcW w:w="14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Daggett 2</w:t>
            </w:r>
          </w:p>
        </w:tc>
        <w:tc>
          <w:tcPr>
            <w:tcW w:w="14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Langford TE</w:t>
            </w:r>
          </w:p>
        </w:tc>
        <w:tc>
          <w:tcPr>
            <w:tcW w:w="1200" w:type="dxa"/>
            <w:vAlign w:val="bottom"/>
            <w:gridSpan w:val="2"/>
          </w:tcPr>
          <w:p>
            <w:pPr>
              <w:jc w:val="right"/>
              <w:ind w:right="214"/>
              <w:spacing w:after="0"/>
              <w:rPr>
                <w:sz w:val="20"/>
                <w:szCs w:val="20"/>
                <w:color w:val="auto"/>
              </w:rPr>
            </w:pPr>
            <w:r>
              <w:rPr>
                <w:rFonts w:ascii="Arial" w:cs="Arial" w:eastAsia="Arial" w:hAnsi="Arial"/>
                <w:sz w:val="13"/>
                <w:szCs w:val="13"/>
                <w:b w:val="1"/>
                <w:bCs w:val="1"/>
                <w:color w:val="auto"/>
              </w:rPr>
              <w:t>Lighthouse</w:t>
            </w:r>
          </w:p>
        </w:tc>
        <w:tc>
          <w:tcPr>
            <w:tcW w:w="0" w:type="dxa"/>
            <w:vAlign w:val="bottom"/>
          </w:tcPr>
          <w:p>
            <w:pPr>
              <w:spacing w:after="0"/>
              <w:rPr>
                <w:sz w:val="1"/>
                <w:szCs w:val="1"/>
                <w:color w:val="auto"/>
              </w:rPr>
            </w:pPr>
          </w:p>
        </w:tc>
      </w:tr>
      <w:tr>
        <w:trPr>
          <w:trHeight w:val="121"/>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DGPV Funds</w:t>
            </w:r>
            <w:r>
              <w:rPr>
                <w:rFonts w:ascii="Arial" w:cs="Arial" w:eastAsia="Arial" w:hAnsi="Arial"/>
                <w:sz w:val="21"/>
                <w:szCs w:val="21"/>
                <w:b w:val="1"/>
                <w:bCs w:val="1"/>
                <w:color w:val="auto"/>
                <w:vertAlign w:val="superscript"/>
              </w:rPr>
              <w:t>(a)</w:t>
            </w:r>
          </w:p>
        </w:tc>
        <w:tc>
          <w:tcPr>
            <w:tcW w:w="1280" w:type="dxa"/>
            <w:vAlign w:val="bottom"/>
            <w:gridSpan w:val="3"/>
            <w:vMerge w:val="continue"/>
          </w:tcPr>
          <w:p>
            <w:pPr>
              <w:spacing w:after="0"/>
              <w:rPr>
                <w:sz w:val="10"/>
                <w:szCs w:val="10"/>
                <w:color w:val="auto"/>
              </w:rPr>
            </w:pPr>
          </w:p>
        </w:tc>
        <w:tc>
          <w:tcPr>
            <w:tcW w:w="100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TargetCo LLC</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0" w:type="dxa"/>
            <w:vAlign w:val="bottom"/>
            <w:gridSpan w:val="2"/>
          </w:tcPr>
          <w:p>
            <w:pPr>
              <w:jc w:val="right"/>
              <w:ind w:right="14"/>
              <w:spacing w:after="0" w:line="122" w:lineRule="exact"/>
              <w:rPr>
                <w:sz w:val="20"/>
                <w:szCs w:val="20"/>
                <w:color w:val="auto"/>
              </w:rPr>
            </w:pPr>
            <w:r>
              <w:rPr>
                <w:rFonts w:ascii="Arial" w:cs="Arial" w:eastAsia="Arial" w:hAnsi="Arial"/>
                <w:sz w:val="13"/>
                <w:szCs w:val="13"/>
                <w:b w:val="1"/>
                <w:bCs w:val="1"/>
                <w:color w:val="auto"/>
                <w:w w:val="93"/>
              </w:rPr>
              <w:t>Renewable Holdco</w:t>
            </w:r>
          </w:p>
        </w:tc>
        <w:tc>
          <w:tcPr>
            <w:tcW w:w="0" w:type="dxa"/>
            <w:vAlign w:val="bottom"/>
          </w:tcPr>
          <w:p>
            <w:pPr>
              <w:spacing w:after="0"/>
              <w:rPr>
                <w:sz w:val="1"/>
                <w:szCs w:val="1"/>
                <w:color w:val="auto"/>
              </w:rPr>
            </w:pPr>
          </w:p>
        </w:tc>
      </w:tr>
      <w:tr>
        <w:trPr>
          <w:trHeight w:val="162"/>
        </w:trPr>
        <w:tc>
          <w:tcPr>
            <w:tcW w:w="3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LLC</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Holdings, LLC</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Arial" w:cs="Arial" w:eastAsia="Arial" w:hAnsi="Arial"/>
                <w:sz w:val="11"/>
                <w:szCs w:val="11"/>
                <w:b w:val="1"/>
                <w:bCs w:val="1"/>
                <w:color w:val="auto"/>
              </w:rPr>
              <w:t xml:space="preserve">Holdco LLC </w:t>
            </w:r>
            <w:r>
              <w:rPr>
                <w:rFonts w:ascii="Arial" w:cs="Arial" w:eastAsia="Arial" w:hAnsi="Arial"/>
                <w:sz w:val="18"/>
                <w:szCs w:val="18"/>
                <w:b w:val="1"/>
                <w:bCs w:val="1"/>
                <w:color w:val="auto"/>
                <w:vertAlign w:val="superscript"/>
              </w:rPr>
              <w:t>(b)</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(c)</w:t>
            </w:r>
          </w:p>
        </w:tc>
        <w:tc>
          <w:tcPr>
            <w:tcW w:w="11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Partnership LLC</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LLC</w:t>
            </w:r>
          </w:p>
        </w:tc>
        <w:tc>
          <w:tcPr>
            <w:tcW w:w="540" w:type="dxa"/>
            <w:vAlign w:val="bottom"/>
          </w:tcPr>
          <w:p>
            <w:pPr>
              <w:jc w:val="right"/>
              <w:ind w:right="314"/>
              <w:spacing w:after="0"/>
              <w:rPr>
                <w:sz w:val="20"/>
                <w:szCs w:val="20"/>
                <w:color w:val="auto"/>
              </w:rPr>
            </w:pPr>
            <w:r>
              <w:rPr>
                <w:rFonts w:ascii="Arial" w:cs="Arial" w:eastAsia="Arial" w:hAnsi="Arial"/>
                <w:sz w:val="11"/>
                <w:szCs w:val="11"/>
                <w:b w:val="1"/>
                <w:bCs w:val="1"/>
                <w:color w:val="auto"/>
                <w:w w:val="85"/>
              </w:rPr>
              <w:t>(d)</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8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30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3060" w:type="dxa"/>
            <w:vAlign w:val="bottom"/>
          </w:tcPr>
          <w:p>
            <w:pPr>
              <w:ind w:left="140"/>
              <w:spacing w:after="0"/>
              <w:rPr>
                <w:sz w:val="20"/>
                <w:szCs w:val="20"/>
                <w:color w:val="auto"/>
              </w:rPr>
            </w:pPr>
            <w:r>
              <w:rPr>
                <w:rFonts w:ascii="Arial" w:cs="Arial" w:eastAsia="Arial" w:hAnsi="Arial"/>
                <w:sz w:val="18"/>
                <w:szCs w:val="18"/>
                <w:color w:val="auto"/>
                <w:w w:val="95"/>
              </w:rPr>
              <w:t>Net assets less noncontrolling interest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8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1" w:lineRule="exact"/>
        <w:rPr>
          <w:sz w:val="20"/>
          <w:szCs w:val="20"/>
          <w:color w:val="auto"/>
        </w:rPr>
      </w:pPr>
    </w:p>
    <w:p>
      <w:pPr>
        <w:ind w:left="80" w:firstLine="9"/>
        <w:spacing w:after="0"/>
        <w:tabs>
          <w:tab w:leader="none" w:pos="245"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DGPV Funds is comprised of Clearway &amp; EFS Distributed Solar LLC, DGPV Fund 4 LLC, Golden Puma Fund LLC, Renew Solar CS4 Fund LLC and Chestnut Fund LLC, which are all tax equity funds.</w:t>
      </w:r>
    </w:p>
    <w:p>
      <w:pPr>
        <w:spacing w:after="0" w:line="139" w:lineRule="exact"/>
        <w:rPr>
          <w:rFonts w:ascii="Arial" w:cs="Arial" w:eastAsia="Arial" w:hAnsi="Arial"/>
          <w:sz w:val="19"/>
          <w:szCs w:val="19"/>
          <w:color w:val="auto"/>
          <w:vertAlign w:val="superscript"/>
        </w:rPr>
      </w:pPr>
    </w:p>
    <w:p>
      <w:pPr>
        <w:ind w:left="260" w:hanging="171"/>
        <w:spacing w:after="0"/>
        <w:tabs>
          <w:tab w:leader="none" w:pos="26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Daggett Renewable Holdco LLC consolidates Daggett TE Holdco LLC, which is a consolidated VIE that owns the Daggett 3 solar project.</w:t>
      </w:r>
    </w:p>
    <w:p>
      <w:pPr>
        <w:spacing w:after="0" w:line="58" w:lineRule="exact"/>
        <w:rPr>
          <w:rFonts w:ascii="Arial" w:cs="Arial" w:eastAsia="Arial" w:hAnsi="Arial"/>
          <w:sz w:val="20"/>
          <w:szCs w:val="20"/>
          <w:color w:val="auto"/>
          <w:vertAlign w:val="superscript"/>
        </w:rPr>
      </w:pPr>
    </w:p>
    <w:p>
      <w:pPr>
        <w:ind w:left="260" w:hanging="171"/>
        <w:spacing w:after="0" w:line="186" w:lineRule="auto"/>
        <w:tabs>
          <w:tab w:leader="none" w:pos="26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Daggett 2 TargetCo LLC consolidates Daggett 2 TE Holdco LLC, which is a consolidated VIE that owns the Daggett 2 solar project.</w:t>
      </w:r>
    </w:p>
    <w:p>
      <w:pPr>
        <w:spacing w:after="0" w:line="60" w:lineRule="exact"/>
        <w:rPr>
          <w:rFonts w:ascii="Arial" w:cs="Arial" w:eastAsia="Arial" w:hAnsi="Arial"/>
          <w:sz w:val="19"/>
          <w:szCs w:val="19"/>
          <w:color w:val="auto"/>
          <w:vertAlign w:val="superscript"/>
        </w:rPr>
      </w:pPr>
    </w:p>
    <w:p>
      <w:pPr>
        <w:ind w:left="260" w:hanging="171"/>
        <w:spacing w:after="0" w:line="186" w:lineRule="auto"/>
        <w:tabs>
          <w:tab w:leader="none" w:pos="26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Lighthouse Renewable Holdco LLC consolidates Black Rock TE Holdco LLC, Mililani TE Holdco LLC and Waiawa TE Holdco LLC, which are consolidated VIEs.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Lighthouse</w:t>
            </w: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Rattlesnake TE</w:t>
            </w:r>
          </w:p>
        </w:tc>
        <w:tc>
          <w:tcPr>
            <w:tcW w:w="10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Rosie TargetCo</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Wildorado TE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gridSpan w:val="3"/>
          </w:tcPr>
          <w:p>
            <w:pPr>
              <w:jc w:val="center"/>
              <w:ind w:right="80"/>
              <w:spacing w:after="0" w:line="126" w:lineRule="exact"/>
              <w:rPr>
                <w:sz w:val="20"/>
                <w:szCs w:val="20"/>
                <w:color w:val="auto"/>
              </w:rPr>
            </w:pPr>
            <w:r>
              <w:rPr>
                <w:rFonts w:ascii="Arial" w:cs="Arial" w:eastAsia="Arial" w:hAnsi="Arial"/>
                <w:sz w:val="13"/>
                <w:szCs w:val="13"/>
                <w:b w:val="1"/>
                <w:bCs w:val="1"/>
                <w:color w:val="auto"/>
                <w:w w:val="86"/>
              </w:rPr>
              <w:t>Renewable Holdco 2</w:t>
            </w:r>
          </w:p>
        </w:tc>
        <w:tc>
          <w:tcPr>
            <w:tcW w:w="10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Oahu Solar LLC</w:t>
            </w:r>
          </w:p>
        </w:tc>
        <w:tc>
          <w:tcPr>
            <w:tcW w:w="132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w w:val="86"/>
              </w:rPr>
              <w:t>Pinnacle Repowering</w:t>
            </w: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2"/>
              </w:rPr>
              <w:t xml:space="preserve">Other </w:t>
            </w:r>
            <w:r>
              <w:rPr>
                <w:rFonts w:ascii="Arial" w:cs="Arial" w:eastAsia="Arial" w:hAnsi="Arial"/>
                <w:sz w:val="21"/>
                <w:szCs w:val="21"/>
                <w:b w:val="1"/>
                <w:bCs w:val="1"/>
                <w:color w:val="auto"/>
                <w:w w:val="92"/>
                <w:vertAlign w:val="superscript"/>
              </w:rPr>
              <w:t>(b)</w:t>
            </w:r>
          </w:p>
        </w:tc>
        <w:tc>
          <w:tcPr>
            <w:tcW w:w="0" w:type="dxa"/>
            <w:vAlign w:val="bottom"/>
          </w:tcPr>
          <w:p>
            <w:pPr>
              <w:spacing w:after="0"/>
              <w:rPr>
                <w:sz w:val="1"/>
                <w:szCs w:val="1"/>
                <w:color w:val="auto"/>
              </w:rPr>
            </w:pPr>
          </w:p>
        </w:tc>
      </w:tr>
      <w:tr>
        <w:trPr>
          <w:trHeight w:val="176"/>
        </w:trPr>
        <w:tc>
          <w:tcPr>
            <w:tcW w:w="3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2"/>
                <w:szCs w:val="12"/>
                <w:b w:val="1"/>
                <w:bCs w:val="1"/>
                <w:color w:val="auto"/>
                <w:w w:val="95"/>
              </w:rPr>
              <w:t>LLC</w:t>
            </w:r>
            <w:r>
              <w:rPr>
                <w:rFonts w:ascii="Arial" w:cs="Arial" w:eastAsia="Arial" w:hAnsi="Arial"/>
                <w:sz w:val="20"/>
                <w:szCs w:val="20"/>
                <w:b w:val="1"/>
                <w:bCs w:val="1"/>
                <w:color w:val="auto"/>
                <w:w w:val="95"/>
                <w:vertAlign w:val="superscript"/>
              </w:rPr>
              <w:t>(a)</w:t>
            </w:r>
          </w:p>
        </w:tc>
        <w:tc>
          <w:tcPr>
            <w:tcW w:w="10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TE Holdco LLC</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Holdco LLC</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LLC</w:t>
            </w: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Holdco LLC</w:t>
            </w: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3100" w:type="dxa"/>
            <w:vAlign w:val="bottom"/>
            <w:gridSpan w:val="2"/>
          </w:tcPr>
          <w:p>
            <w:pPr>
              <w:ind w:left="140"/>
              <w:spacing w:after="0"/>
              <w:rPr>
                <w:sz w:val="20"/>
                <w:szCs w:val="20"/>
                <w:color w:val="auto"/>
              </w:rPr>
            </w:pPr>
            <w:r>
              <w:rPr>
                <w:rFonts w:ascii="Arial" w:cs="Arial" w:eastAsia="Arial" w:hAnsi="Arial"/>
                <w:sz w:val="18"/>
                <w:szCs w:val="18"/>
                <w:color w:val="auto"/>
                <w:w w:val="96"/>
              </w:rPr>
              <w:t>Net assets less noncontrolling interest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hanging="171"/>
        <w:spacing w:after="0"/>
        <w:tabs>
          <w:tab w:leader="none" w:pos="260" w:val="left"/>
        </w:tabs>
        <w:numPr>
          <w:ilvl w:val="0"/>
          <w:numId w:val="12"/>
        </w:numPr>
        <w:rPr>
          <w:rFonts w:ascii="Arial" w:cs="Arial" w:eastAsia="Arial" w:hAnsi="Arial"/>
          <w:sz w:val="20"/>
          <w:szCs w:val="20"/>
          <w:color w:val="auto"/>
          <w:vertAlign w:val="superscript"/>
        </w:rPr>
      </w:pPr>
      <w:r>
        <w:rPr>
          <w:rFonts w:ascii="Arial" w:cs="Arial" w:eastAsia="Arial" w:hAnsi="Arial"/>
          <w:sz w:val="13"/>
          <w:szCs w:val="13"/>
          <w:color w:val="auto"/>
        </w:rPr>
        <w:t>Lighthouse Renewable Holdco 2 LLC consolidates Mesquite Sky TE Holdco LLC and Mesquite Star Tax Equity Holdco LLC, which are consolidated VIEs.</w:t>
      </w:r>
    </w:p>
    <w:p>
      <w:pPr>
        <w:spacing w:after="0" w:line="80" w:lineRule="exact"/>
        <w:rPr>
          <w:rFonts w:ascii="Arial" w:cs="Arial" w:eastAsia="Arial" w:hAnsi="Arial"/>
          <w:sz w:val="20"/>
          <w:szCs w:val="20"/>
          <w:color w:val="auto"/>
          <w:vertAlign w:val="superscript"/>
        </w:rPr>
      </w:pPr>
    </w:p>
    <w:p>
      <w:pPr>
        <w:ind w:left="280" w:hanging="191"/>
        <w:spacing w:after="0" w:line="188" w:lineRule="auto"/>
        <w:tabs>
          <w:tab w:leader="none" w:pos="28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Other is comprised of Elbow Creek TE Holdco LLC and the Spring Canyon projects.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left="420"/>
        <w:spacing w:after="0"/>
        <w:rPr>
          <w:sz w:val="20"/>
          <w:szCs w:val="20"/>
          <w:color w:val="auto"/>
        </w:rPr>
      </w:pPr>
      <w:r>
        <w:rPr>
          <w:rFonts w:ascii="Arial" w:cs="Arial" w:eastAsia="Arial" w:hAnsi="Arial"/>
          <w:sz w:val="16"/>
          <w:szCs w:val="16"/>
          <w:color w:val="auto"/>
        </w:rPr>
        <w:t>For cash and cash equivalents, restricted cash, accounts receivable — trade, note receivable — affiliate, accounts payable — trade, accounts payable</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affiliates and accrued expenses and other current liabilities, the carrying amounts approximate fair value because of the short-term maturity of those instruments and are classified as Level 1 within the fair value hierarchy.</w:t>
      </w:r>
    </w:p>
    <w:p>
      <w:pPr>
        <w:spacing w:after="0" w:line="13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carrying amounts and estimated fair values of the Company’s recorded financial instruments not carried at fair market value or that do not approximate fair value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September 30, 2023</w:t>
            </w:r>
          </w:p>
        </w:tc>
        <w:tc>
          <w:tcPr>
            <w:tcW w:w="420" w:type="dxa"/>
            <w:vAlign w:val="bottom"/>
          </w:tcPr>
          <w:p>
            <w:pPr>
              <w:spacing w:after="0"/>
              <w:rPr>
                <w:sz w:val="16"/>
                <w:szCs w:val="16"/>
                <w:color w:val="auto"/>
              </w:rPr>
            </w:pPr>
          </w:p>
        </w:tc>
        <w:tc>
          <w:tcPr>
            <w:tcW w:w="21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5"/>
              </w:rPr>
              <w:t>As of December 31, 2022</w:t>
            </w:r>
          </w:p>
        </w:tc>
      </w:tr>
      <w:tr>
        <w:trPr>
          <w:trHeight w:val="26"/>
        </w:trPr>
        <w:tc>
          <w:tcPr>
            <w:tcW w:w="60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608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r>
      <w:tr>
        <w:trPr>
          <w:trHeight w:val="194"/>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6080" w:type="dxa"/>
            <w:vAlign w:val="bottom"/>
            <w:shd w:val="clear" w:color="auto" w:fill="CCEEFF"/>
          </w:tcPr>
          <w:p>
            <w:pPr>
              <w:ind w:left="40"/>
              <w:spacing w:after="0" w:line="237" w:lineRule="exact"/>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3"/>
                <w:szCs w:val="23"/>
                <w:color w:val="auto"/>
                <w:vertAlign w:val="superscript"/>
              </w:rPr>
              <w:t>(a)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7,581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6,527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6,874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4" w:lineRule="exact"/>
        <w:rPr>
          <w:sz w:val="20"/>
          <w:szCs w:val="20"/>
          <w:color w:val="auto"/>
        </w:rPr>
      </w:pPr>
    </w:p>
    <w:p>
      <w:pPr>
        <w:ind w:left="260" w:hanging="171"/>
        <w:spacing w:after="0"/>
        <w:tabs>
          <w:tab w:leader="none" w:pos="260" w:val="left"/>
        </w:tabs>
        <w:numPr>
          <w:ilvl w:val="0"/>
          <w:numId w:val="15"/>
        </w:numPr>
        <w:rPr>
          <w:rFonts w:ascii="Arial" w:cs="Arial" w:eastAsia="Arial" w:hAnsi="Arial"/>
          <w:sz w:val="20"/>
          <w:szCs w:val="20"/>
          <w:color w:val="auto"/>
          <w:vertAlign w:val="superscript"/>
        </w:rPr>
      </w:pPr>
      <w:r>
        <w:rPr>
          <w:rFonts w:ascii="Arial" w:cs="Arial" w:eastAsia="Arial" w:hAnsi="Arial"/>
          <w:sz w:val="13"/>
          <w:szCs w:val="13"/>
          <w:color w:val="auto"/>
        </w:rPr>
        <w:t>Excludes net debt issuance costs, which are recorded as a reduction to long-term debt on the Company’s consolidated balance sheets.</w:t>
      </w:r>
    </w:p>
    <w:p>
      <w:pPr>
        <w:spacing w:after="0" w:line="16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September 30, 2023</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9"/>
              </w:rPr>
              <w:t>As of December 31, 2022</w:t>
            </w:r>
          </w:p>
        </w:tc>
      </w:tr>
      <w:tr>
        <w:trPr>
          <w:trHeight w:val="26"/>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3</w:t>
            </w:r>
          </w:p>
        </w:tc>
      </w:tr>
      <w:tr>
        <w:trPr>
          <w:trHeight w:val="194"/>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8"/>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1,760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1,834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r>
      <w:tr>
        <w:trPr>
          <w:trHeight w:val="161"/>
        </w:trPr>
        <w:tc>
          <w:tcPr>
            <w:tcW w:w="6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September 30, 2023</w:t>
            </w:r>
          </w:p>
        </w:tc>
        <w:tc>
          <w:tcPr>
            <w:tcW w:w="260" w:type="dxa"/>
            <w:vAlign w:val="bottom"/>
          </w:tcPr>
          <w:p>
            <w:pPr>
              <w:spacing w:after="0"/>
              <w:rPr>
                <w:sz w:val="16"/>
                <w:szCs w:val="16"/>
                <w:color w:val="auto"/>
              </w:rPr>
            </w:pPr>
          </w:p>
        </w:tc>
        <w:tc>
          <w:tcPr>
            <w:tcW w:w="244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0"/>
              </w:rPr>
              <w:t>As of December 31, 2022</w:t>
            </w: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line="237"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1"/>
                <w:szCs w:val="21"/>
                <w:b w:val="1"/>
                <w:bCs w:val="1"/>
                <w:color w:val="auto"/>
                <w:vertAlign w:val="superscript"/>
              </w:rPr>
              <w:t>(a)</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56"/>
              <w:spacing w:after="0" w:line="237" w:lineRule="exact"/>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21"/>
                <w:szCs w:val="21"/>
                <w:b w:val="1"/>
                <w:bCs w:val="1"/>
                <w:color w:val="auto"/>
                <w:w w:val="93"/>
                <w:vertAlign w:val="superscript"/>
              </w:rPr>
              <w:t>(a)</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6"/>
                <w:szCs w:val="16"/>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23"/>
                <w:szCs w:val="23"/>
                <w:color w:val="auto"/>
                <w:vertAlign w:val="superscript"/>
              </w:rPr>
              <w:t>(b)</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Other financial instruments </w:t>
            </w:r>
            <w:r>
              <w:rPr>
                <w:rFonts w:ascii="Arial" w:cs="Arial" w:eastAsia="Arial" w:hAnsi="Arial"/>
                <w:sz w:val="23"/>
                <w:szCs w:val="23"/>
                <w:b w:val="1"/>
                <w:bCs w:val="1"/>
                <w:color w:val="auto"/>
                <w:vertAlign w:val="superscript"/>
              </w:rPr>
              <w:t>(c)</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57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60" w:hanging="171"/>
        <w:spacing w:after="0"/>
        <w:tabs>
          <w:tab w:leader="none" w:pos="26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There were no derivative assets classified as Level 1 or Level 3 and no liabilities classified as Level 1 as of September 30, 2023 and December 31, 2022.</w:t>
      </w:r>
    </w:p>
    <w:p>
      <w:pPr>
        <w:spacing w:after="0" w:line="77" w:lineRule="exact"/>
        <w:rPr>
          <w:rFonts w:ascii="Arial" w:cs="Arial" w:eastAsia="Arial" w:hAnsi="Arial"/>
          <w:sz w:val="20"/>
          <w:szCs w:val="20"/>
          <w:color w:val="auto"/>
          <w:vertAlign w:val="superscript"/>
        </w:rPr>
      </w:pPr>
    </w:p>
    <w:p>
      <w:pPr>
        <w:ind w:left="280" w:hanging="191"/>
        <w:spacing w:after="0" w:line="182" w:lineRule="auto"/>
        <w:tabs>
          <w:tab w:leader="none" w:pos="28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Represents heat rate call options entered into by Marsh Landing and Walnut Creek during the three months ended September 30, 2023.</w:t>
      </w:r>
    </w:p>
    <w:p>
      <w:pPr>
        <w:spacing w:after="0" w:line="78" w:lineRule="exact"/>
        <w:rPr>
          <w:rFonts w:ascii="Arial" w:cs="Arial" w:eastAsia="Arial" w:hAnsi="Arial"/>
          <w:sz w:val="22"/>
          <w:szCs w:val="22"/>
          <w:color w:val="auto"/>
          <w:vertAlign w:val="superscript"/>
        </w:rPr>
      </w:pPr>
    </w:p>
    <w:p>
      <w:pPr>
        <w:ind w:left="260" w:hanging="171"/>
        <w:spacing w:after="0" w:line="191" w:lineRule="auto"/>
        <w:tabs>
          <w:tab w:leader="none" w:pos="26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Represents SREC contract.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80" w:right="20" w:firstLine="405"/>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 September 30,</w:t>
            </w:r>
          </w:p>
        </w:tc>
        <w:tc>
          <w:tcPr>
            <w:tcW w:w="120" w:type="dxa"/>
            <w:vAlign w:val="bottom"/>
          </w:tcPr>
          <w:p>
            <w:pPr>
              <w:spacing w:after="0"/>
              <w:rPr>
                <w:sz w:val="16"/>
                <w:szCs w:val="16"/>
                <w:color w:val="auto"/>
              </w:rPr>
            </w:pPr>
          </w:p>
        </w:tc>
        <w:tc>
          <w:tcPr>
            <w:tcW w:w="276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9"/>
        </w:trPr>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2760" w:type="dxa"/>
            <w:vAlign w:val="bottom"/>
            <w:gridSpan w:val="4"/>
          </w:tcPr>
          <w:p>
            <w:pPr>
              <w:jc w:val="center"/>
              <w:ind w:right="33"/>
              <w:spacing w:after="0" w:line="139"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4"/>
          </w:tcPr>
          <w:p>
            <w:pPr>
              <w:jc w:val="center"/>
              <w:ind w:right="53"/>
              <w:spacing w:after="0" w:line="139"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0" w:type="dxa"/>
            <w:vAlign w:val="bottom"/>
          </w:tcPr>
          <w:p>
            <w:pPr>
              <w:spacing w:after="0"/>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Unobservable Inputs (Level 3)</w:t>
            </w:r>
          </w:p>
        </w:tc>
        <w:tc>
          <w:tcPr>
            <w:tcW w:w="120" w:type="dxa"/>
            <w:vAlign w:val="bottom"/>
          </w:tcPr>
          <w:p>
            <w:pPr>
              <w:spacing w:after="0"/>
              <w:rPr>
                <w:sz w:val="16"/>
                <w:szCs w:val="16"/>
                <w:color w:val="auto"/>
              </w:rPr>
            </w:pPr>
          </w:p>
        </w:tc>
        <w:tc>
          <w:tcPr>
            <w:tcW w:w="276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3"/>
              </w:rPr>
              <w:t>Unobservable Inputs (Level 3)</w:t>
            </w:r>
          </w:p>
        </w:tc>
        <w:tc>
          <w:tcPr>
            <w:tcW w:w="0" w:type="dxa"/>
            <w:vAlign w:val="bottom"/>
          </w:tcPr>
          <w:p>
            <w:pPr>
              <w:spacing w:after="0"/>
              <w:rPr>
                <w:sz w:val="1"/>
                <w:szCs w:val="1"/>
                <w:color w:val="auto"/>
              </w:rPr>
            </w:pPr>
          </w:p>
        </w:tc>
      </w:tr>
      <w:tr>
        <w:trPr>
          <w:trHeight w:val="229"/>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due to loss of NPNS exception</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losses for the period included in earnings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w w:val="95"/>
              </w:rPr>
              <w:t>Change in unrealized losses included in earnings for derivatives and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00"/>
              <w:spacing w:after="0"/>
              <w:rPr>
                <w:sz w:val="20"/>
                <w:szCs w:val="20"/>
                <w:color w:val="auto"/>
              </w:rPr>
            </w:pPr>
            <w:r>
              <w:rPr>
                <w:rFonts w:ascii="Arial" w:cs="Arial" w:eastAsia="Arial" w:hAnsi="Arial"/>
                <w:sz w:val="18"/>
                <w:szCs w:val="18"/>
                <w:color w:val="auto"/>
              </w:rPr>
              <w:t>other financial instruments held as of September 30, 2023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contracts are non-exchange-traded and valued using prices provided by external sources. The Company uses quoted observable forward prices to value its commodity contracts. To the extent that observable forward prices are not available, the quoted prices reflect the average of the forward prices from the prior year, adjusted for inflation. As of September 30, 2023, contracts valued with prices provided by models and other valuation techniques make up 2% of derivative assets and 100% of derivative liabilities and other financial instruments.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quantifies the significant unobservable inputs used in developing the fair value of the Company’s Level 3 positions:</w:t>
      </w:r>
    </w:p>
    <w:p>
      <w:pPr>
        <w:spacing w:after="0" w:line="10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Fair Value</w:t>
            </w:r>
          </w:p>
        </w:tc>
        <w:tc>
          <w:tcPr>
            <w:tcW w:w="1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w w:val="96"/>
              </w:rPr>
              <w:t>Input/Range</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5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9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77"/>
              </w:rPr>
              <w:t>Assets</w:t>
            </w:r>
          </w:p>
        </w:tc>
        <w:tc>
          <w:tcPr>
            <w:tcW w:w="6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Low</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rPr>
              <w:t>High</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6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Energy-Related</w:t>
            </w: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 $</w:t>
            </w:r>
          </w:p>
        </w:tc>
        <w:tc>
          <w:tcPr>
            <w:tcW w:w="1180" w:type="dxa"/>
            <w:vAlign w:val="bottom"/>
            <w:vMerge w:val="restart"/>
            <w:shd w:val="clear" w:color="auto" w:fill="CCEEFF"/>
          </w:tcPr>
          <w:p>
            <w:pPr>
              <w:ind w:left="760"/>
              <w:spacing w:after="0"/>
              <w:rPr>
                <w:sz w:val="20"/>
                <w:szCs w:val="20"/>
                <w:color w:val="auto"/>
              </w:rPr>
            </w:pPr>
            <w:r>
              <w:rPr>
                <w:rFonts w:ascii="Arial" w:cs="Arial" w:eastAsia="Arial" w:hAnsi="Arial"/>
                <w:sz w:val="16"/>
                <w:szCs w:val="16"/>
                <w:color w:val="auto"/>
              </w:rPr>
              <w:t>(325)</w:t>
            </w:r>
          </w:p>
        </w:tc>
        <w:tc>
          <w:tcPr>
            <w:tcW w:w="1260" w:type="dxa"/>
            <w:vAlign w:val="bottom"/>
            <w:shd w:val="clear" w:color="auto" w:fill="CCEEFF"/>
          </w:tcPr>
          <w:p>
            <w:pPr>
              <w:jc w:val="center"/>
              <w:spacing w:after="0" w:line="165" w:lineRule="exact"/>
              <w:rPr>
                <w:sz w:val="20"/>
                <w:szCs w:val="20"/>
                <w:color w:val="auto"/>
              </w:rPr>
            </w:pPr>
            <w:r>
              <w:rPr>
                <w:rFonts w:ascii="Arial" w:cs="Arial" w:eastAsia="Arial" w:hAnsi="Arial"/>
                <w:sz w:val="16"/>
                <w:szCs w:val="16"/>
                <w:color w:val="auto"/>
                <w:w w:val="90"/>
              </w:rPr>
              <w:t>Discounted Cash</w:t>
            </w:r>
          </w:p>
        </w:tc>
        <w:tc>
          <w:tcPr>
            <w:tcW w:w="1500" w:type="dxa"/>
            <w:vAlign w:val="bottom"/>
            <w:shd w:val="clear" w:color="auto" w:fill="CCEEFF"/>
          </w:tcPr>
          <w:p>
            <w:pPr>
              <w:jc w:val="center"/>
              <w:spacing w:after="0" w:line="165" w:lineRule="exact"/>
              <w:rPr>
                <w:sz w:val="20"/>
                <w:szCs w:val="20"/>
                <w:color w:val="auto"/>
              </w:rPr>
            </w:pPr>
            <w:r>
              <w:rPr>
                <w:rFonts w:ascii="Arial" w:cs="Arial" w:eastAsia="Arial" w:hAnsi="Arial"/>
                <w:sz w:val="16"/>
                <w:szCs w:val="16"/>
                <w:color w:val="auto"/>
                <w:w w:val="94"/>
              </w:rPr>
              <w:t>Forward Market Price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72.15</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38.96</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Commodity Contracts   </w:t>
            </w:r>
            <w:r>
              <w:rPr>
                <w:rFonts w:ascii="Arial" w:cs="Arial" w:eastAsia="Arial" w:hAnsi="Arial"/>
                <w:sz w:val="16"/>
                <w:szCs w:val="16"/>
                <w:color w:val="auto"/>
              </w:rPr>
              <w:t>$</w:t>
            </w:r>
          </w:p>
        </w:tc>
        <w:tc>
          <w:tcPr>
            <w:tcW w:w="6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Flow</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(per MWh)</w:t>
            </w:r>
          </w:p>
        </w:tc>
        <w:tc>
          <w:tcPr>
            <w:tcW w:w="2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Heat Rate Call Option</w:t>
            </w:r>
          </w:p>
        </w:tc>
        <w:tc>
          <w:tcPr>
            <w:tcW w:w="620" w:type="dxa"/>
            <w:vAlign w:val="bottom"/>
            <w:vMerge w:val="restart"/>
          </w:tcPr>
          <w:p>
            <w:pPr>
              <w:jc w:val="right"/>
              <w:ind w:right="179"/>
              <w:spacing w:after="0"/>
              <w:rPr>
                <w:sz w:val="20"/>
                <w:szCs w:val="20"/>
                <w:color w:val="auto"/>
              </w:rPr>
            </w:pPr>
            <w:r>
              <w:rPr>
                <w:rFonts w:ascii="Arial" w:cs="Arial" w:eastAsia="Arial" w:hAnsi="Arial"/>
                <w:sz w:val="16"/>
                <w:szCs w:val="16"/>
                <w:color w:val="auto"/>
              </w:rPr>
              <w:t>3</w:t>
            </w:r>
          </w:p>
        </w:tc>
        <w:tc>
          <w:tcPr>
            <w:tcW w:w="1180" w:type="dxa"/>
            <w:vAlign w:val="bottom"/>
            <w:vMerge w:val="restart"/>
          </w:tcPr>
          <w:p>
            <w:pPr>
              <w:ind w:left="92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Option Model</w:t>
            </w:r>
          </w:p>
        </w:tc>
        <w:tc>
          <w:tcPr>
            <w:tcW w:w="1500" w:type="dxa"/>
            <w:vAlign w:val="bottom"/>
          </w:tcPr>
          <w:p>
            <w:pPr>
              <w:jc w:val="center"/>
              <w:spacing w:after="0" w:line="162" w:lineRule="exact"/>
              <w:rPr>
                <w:sz w:val="20"/>
                <w:szCs w:val="20"/>
                <w:color w:val="auto"/>
              </w:rPr>
            </w:pPr>
            <w:r>
              <w:rPr>
                <w:rFonts w:ascii="Arial" w:cs="Arial" w:eastAsia="Arial" w:hAnsi="Arial"/>
                <w:sz w:val="16"/>
                <w:szCs w:val="16"/>
                <w:color w:val="auto"/>
                <w:w w:val="94"/>
              </w:rPr>
              <w:t>Forward Market Price</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6.24</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179.30</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67.93</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Commodity Contracts</w:t>
            </w:r>
          </w:p>
        </w:tc>
        <w:tc>
          <w:tcPr>
            <w:tcW w:w="6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(per MWh)</w:t>
            </w:r>
          </w:p>
        </w:tc>
        <w:tc>
          <w:tcPr>
            <w:tcW w:w="2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Option Model</w:t>
            </w:r>
          </w:p>
        </w:tc>
        <w:tc>
          <w:tcPr>
            <w:tcW w:w="150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4"/>
              </w:rPr>
              <w:t>Forward Market Price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12"/>
        </w:trPr>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(per MMBtu)</w:t>
            </w:r>
          </w:p>
        </w:tc>
        <w:tc>
          <w:tcPr>
            <w:tcW w:w="2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jc w:val="center"/>
              <w:spacing w:after="0" w:line="166" w:lineRule="exact"/>
              <w:rPr>
                <w:sz w:val="20"/>
                <w:szCs w:val="20"/>
                <w:color w:val="auto"/>
              </w:rPr>
            </w:pPr>
            <w:r>
              <w:rPr>
                <w:rFonts w:ascii="Arial" w:cs="Arial" w:eastAsia="Arial" w:hAnsi="Arial"/>
                <w:sz w:val="16"/>
                <w:szCs w:val="16"/>
                <w:color w:val="auto"/>
                <w:w w:val="88"/>
              </w:rPr>
              <w:t>Forecast annual</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 Financial</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0"/>
              </w:rPr>
              <w:t>Discounted Cash</w:t>
            </w:r>
          </w:p>
        </w:tc>
        <w:tc>
          <w:tcPr>
            <w:tcW w:w="1500" w:type="dxa"/>
            <w:vAlign w:val="bottom"/>
          </w:tcPr>
          <w:p>
            <w:pPr>
              <w:jc w:val="center"/>
              <w:spacing w:after="0" w:line="162" w:lineRule="exact"/>
              <w:rPr>
                <w:sz w:val="20"/>
                <w:szCs w:val="20"/>
                <w:color w:val="auto"/>
              </w:rPr>
            </w:pPr>
            <w:r>
              <w:rPr>
                <w:rFonts w:ascii="Arial" w:cs="Arial" w:eastAsia="Arial" w:hAnsi="Arial"/>
                <w:sz w:val="16"/>
                <w:szCs w:val="16"/>
                <w:color w:val="auto"/>
                <w:w w:val="92"/>
              </w:rPr>
              <w:t>generation levels of</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60" w:type="dxa"/>
            <w:vAlign w:val="bottom"/>
            <w:gridSpan w:val="2"/>
            <w:vMerge w:val="continue"/>
          </w:tcPr>
          <w:p>
            <w:pPr>
              <w:spacing w:after="0"/>
              <w:rPr>
                <w:sz w:val="13"/>
                <w:szCs w:val="13"/>
                <w:color w:val="auto"/>
              </w:rPr>
            </w:pPr>
          </w:p>
        </w:tc>
        <w:tc>
          <w:tcPr>
            <w:tcW w:w="620" w:type="dxa"/>
            <w:vAlign w:val="bottom"/>
            <w:vMerge w:val="restart"/>
          </w:tcPr>
          <w:p>
            <w:pPr>
              <w:jc w:val="right"/>
              <w:ind w:right="179"/>
              <w:spacing w:after="0"/>
              <w:rPr>
                <w:sz w:val="20"/>
                <w:szCs w:val="20"/>
                <w:color w:val="auto"/>
              </w:rPr>
            </w:pPr>
            <w:r>
              <w:rPr>
                <w:rFonts w:ascii="Arial" w:cs="Arial" w:eastAsia="Arial" w:hAnsi="Arial"/>
                <w:sz w:val="16"/>
                <w:szCs w:val="16"/>
                <w:color w:val="auto"/>
              </w:rPr>
              <w:t>13</w:t>
            </w:r>
          </w:p>
        </w:tc>
        <w:tc>
          <w:tcPr>
            <w:tcW w:w="1180" w:type="dxa"/>
            <w:vAlign w:val="bottom"/>
            <w:vMerge w:val="restart"/>
          </w:tcPr>
          <w:p>
            <w:pPr>
              <w:ind w:left="920"/>
              <w:spacing w:after="0"/>
              <w:rPr>
                <w:sz w:val="20"/>
                <w:szCs w:val="20"/>
                <w:color w:val="auto"/>
              </w:rPr>
            </w:pPr>
            <w:r>
              <w:rPr>
                <w:rFonts w:ascii="Arial" w:cs="Arial" w:eastAsia="Arial" w:hAnsi="Arial"/>
                <w:sz w:val="16"/>
                <w:szCs w:val="16"/>
                <w:color w:val="auto"/>
              </w:rPr>
              <w:t>—</w:t>
            </w:r>
          </w:p>
        </w:tc>
        <w:tc>
          <w:tcPr>
            <w:tcW w:w="1260" w:type="dxa"/>
            <w:vAlign w:val="bottom"/>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6"/>
                <w:szCs w:val="16"/>
                <w:color w:val="auto"/>
                <w:w w:val="93"/>
              </w:rPr>
              <w:t>certain DG solar</w:t>
            </w:r>
          </w:p>
        </w:tc>
        <w:tc>
          <w:tcPr>
            <w:tcW w:w="2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60,801 MWh</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121,602 MWh</w:t>
            </w: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115,622 MWh</w:t>
            </w:r>
          </w:p>
        </w:tc>
        <w:tc>
          <w:tcPr>
            <w:tcW w:w="0" w:type="dxa"/>
            <w:vAlign w:val="bottom"/>
          </w:tcPr>
          <w:p>
            <w:pPr>
              <w:spacing w:after="0"/>
              <w:rPr>
                <w:sz w:val="1"/>
                <w:szCs w:val="1"/>
                <w:color w:val="auto"/>
              </w:rPr>
            </w:pPr>
          </w:p>
        </w:tc>
      </w:tr>
      <w:tr>
        <w:trPr>
          <w:trHeight w:val="210"/>
        </w:trPr>
        <w:tc>
          <w:tcPr>
            <w:tcW w:w="2660" w:type="dxa"/>
            <w:vAlign w:val="bottom"/>
            <w:gridSpan w:val="2"/>
          </w:tcPr>
          <w:p>
            <w:pPr>
              <w:ind w:left="20"/>
              <w:spacing w:after="0"/>
              <w:rPr>
                <w:sz w:val="20"/>
                <w:szCs w:val="20"/>
                <w:color w:val="auto"/>
              </w:rPr>
            </w:pPr>
            <w:r>
              <w:rPr>
                <w:rFonts w:ascii="Arial" w:cs="Arial" w:eastAsia="Arial" w:hAnsi="Arial"/>
                <w:sz w:val="16"/>
                <w:szCs w:val="16"/>
                <w:b w:val="1"/>
                <w:bCs w:val="1"/>
                <w:color w:val="auto"/>
              </w:rPr>
              <w:t>Instruments</w:t>
            </w:r>
          </w:p>
        </w:tc>
        <w:tc>
          <w:tcPr>
            <w:tcW w:w="6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Flow</w:t>
            </w:r>
          </w:p>
        </w:tc>
        <w:tc>
          <w:tcPr>
            <w:tcW w:w="1500" w:type="dxa"/>
            <w:vAlign w:val="bottom"/>
          </w:tcPr>
          <w:p>
            <w:pPr>
              <w:jc w:val="center"/>
              <w:spacing w:after="0"/>
              <w:rPr>
                <w:sz w:val="20"/>
                <w:szCs w:val="20"/>
                <w:color w:val="auto"/>
              </w:rPr>
            </w:pPr>
            <w:r>
              <w:rPr>
                <w:rFonts w:ascii="Arial" w:cs="Arial" w:eastAsia="Arial" w:hAnsi="Arial"/>
                <w:sz w:val="16"/>
                <w:szCs w:val="16"/>
                <w:color w:val="auto"/>
                <w:w w:val="98"/>
              </w:rPr>
              <w:t>facilities</w:t>
            </w:r>
          </w:p>
        </w:tc>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left="420"/>
        <w:spacing w:after="0"/>
        <w:rPr>
          <w:sz w:val="20"/>
          <w:szCs w:val="20"/>
          <w:color w:val="auto"/>
        </w:rPr>
      </w:pPr>
      <w:r>
        <w:rPr>
          <w:rFonts w:ascii="Arial" w:cs="Arial" w:eastAsia="Arial" w:hAnsi="Arial"/>
          <w:sz w:val="17"/>
          <w:szCs w:val="17"/>
          <w:color w:val="auto"/>
        </w:rPr>
        <w:t>The following table provides the impact on the fair value measurements to increases/(decreases) in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Impact on Fair Value</w:t>
            </w:r>
          </w:p>
        </w:tc>
      </w:tr>
      <w:tr>
        <w:trPr>
          <w:trHeight w:val="243"/>
        </w:trPr>
        <w:tc>
          <w:tcPr>
            <w:tcW w:w="304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Type</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Significant Unobservable Input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Change In Input</w:t>
            </w:r>
          </w:p>
        </w:tc>
        <w:tc>
          <w:tcPr>
            <w:tcW w:w="2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Measurement</w:t>
            </w: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Energy-Related Commodity Contracts</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Forward Market Price Power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7"/>
              </w:rPr>
              <w:t>Increase/(Decrease)</w:t>
            </w:r>
          </w:p>
        </w:tc>
        <w:tc>
          <w:tcPr>
            <w:tcW w:w="23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5"/>
              </w:rPr>
              <w:t>Lower/(Higher)</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Other Financial Instruments</w:t>
            </w:r>
          </w:p>
        </w:tc>
        <w:tc>
          <w:tcPr>
            <w:tcW w:w="2880" w:type="dxa"/>
            <w:vAlign w:val="bottom"/>
          </w:tcPr>
          <w:p>
            <w:pPr>
              <w:jc w:val="center"/>
              <w:spacing w:after="0"/>
              <w:rPr>
                <w:sz w:val="20"/>
                <w:szCs w:val="20"/>
                <w:color w:val="auto"/>
              </w:rPr>
            </w:pPr>
            <w:r>
              <w:rPr>
                <w:rFonts w:ascii="Arial" w:cs="Arial" w:eastAsia="Arial" w:hAnsi="Arial"/>
                <w:sz w:val="18"/>
                <w:szCs w:val="18"/>
                <w:color w:val="auto"/>
                <w:w w:val="89"/>
              </w:rPr>
              <w:t>Forecast Generation Levels</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Pr>
          <w:p>
            <w:pPr>
              <w:jc w:val="center"/>
              <w:ind w:right="50"/>
              <w:spacing w:after="0"/>
              <w:rPr>
                <w:sz w:val="20"/>
                <w:szCs w:val="20"/>
                <w:color w:val="auto"/>
              </w:rPr>
            </w:pPr>
            <w:r>
              <w:rPr>
                <w:rFonts w:ascii="Arial" w:cs="Arial" w:eastAsia="Arial" w:hAnsi="Arial"/>
                <w:sz w:val="18"/>
                <w:szCs w:val="18"/>
                <w:color w:val="auto"/>
                <w:w w:val="87"/>
              </w:rPr>
              <w:t>Increase/(Decrease)</w:t>
            </w:r>
          </w:p>
        </w:tc>
        <w:tc>
          <w:tcPr>
            <w:tcW w:w="2380" w:type="dxa"/>
            <w:vAlign w:val="bottom"/>
          </w:tcPr>
          <w:p>
            <w:pPr>
              <w:jc w:val="center"/>
              <w:ind w:right="30"/>
              <w:spacing w:after="0"/>
              <w:rPr>
                <w:sz w:val="20"/>
                <w:szCs w:val="20"/>
                <w:color w:val="auto"/>
              </w:rPr>
            </w:pPr>
            <w:r>
              <w:rPr>
                <w:rFonts w:ascii="Arial" w:cs="Arial" w:eastAsia="Arial" w:hAnsi="Arial"/>
                <w:sz w:val="18"/>
                <w:szCs w:val="18"/>
                <w:color w:val="auto"/>
                <w:w w:val="95"/>
              </w:rPr>
              <w:t>Higher/(Lower)</w:t>
            </w:r>
          </w:p>
        </w:tc>
      </w:tr>
      <w:tr>
        <w:trPr>
          <w:trHeight w:val="175"/>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Heat Rate Call Option Commodity</w:t>
            </w:r>
          </w:p>
        </w:tc>
        <w:tc>
          <w:tcPr>
            <w:tcW w:w="28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Forward Market Power Price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7"/>
              </w:rPr>
              <w:t>Increase/(Decrease)</w:t>
            </w:r>
          </w:p>
        </w:tc>
        <w:tc>
          <w:tcPr>
            <w:tcW w:w="23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5"/>
              </w:rPr>
              <w:t>Lower/(Higher)</w:t>
            </w:r>
          </w:p>
        </w:tc>
      </w:tr>
      <w:tr>
        <w:trPr>
          <w:trHeight w:val="176"/>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Heat Rate Call Option Commodity</w:t>
            </w:r>
          </w:p>
        </w:tc>
        <w:tc>
          <w:tcPr>
            <w:tcW w:w="2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Forward Market Gas Price</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1920" w:type="dxa"/>
            <w:vAlign w:val="bottom"/>
          </w:tcPr>
          <w:p>
            <w:pPr>
              <w:jc w:val="center"/>
              <w:ind w:right="50"/>
              <w:spacing w:after="0"/>
              <w:rPr>
                <w:sz w:val="20"/>
                <w:szCs w:val="20"/>
                <w:color w:val="auto"/>
              </w:rPr>
            </w:pPr>
            <w:r>
              <w:rPr>
                <w:rFonts w:ascii="Arial" w:cs="Arial" w:eastAsia="Arial" w:hAnsi="Arial"/>
                <w:sz w:val="18"/>
                <w:szCs w:val="18"/>
                <w:color w:val="auto"/>
                <w:w w:val="87"/>
              </w:rPr>
              <w:t>Increase/(Decrease)</w:t>
            </w:r>
          </w:p>
        </w:tc>
        <w:tc>
          <w:tcPr>
            <w:tcW w:w="2380" w:type="dxa"/>
            <w:vAlign w:val="bottom"/>
          </w:tcPr>
          <w:p>
            <w:pPr>
              <w:jc w:val="center"/>
              <w:ind w:right="30"/>
              <w:spacing w:after="0"/>
              <w:rPr>
                <w:sz w:val="20"/>
                <w:szCs w:val="20"/>
                <w:color w:val="auto"/>
              </w:rPr>
            </w:pPr>
            <w:r>
              <w:rPr>
                <w:rFonts w:ascii="Arial" w:cs="Arial" w:eastAsia="Arial" w:hAnsi="Arial"/>
                <w:sz w:val="18"/>
                <w:szCs w:val="18"/>
                <w:color w:val="auto"/>
                <w:w w:val="95"/>
              </w:rPr>
              <w:t>Higher/(Lower)</w:t>
            </w:r>
          </w:p>
        </w:tc>
      </w:tr>
    </w:tbl>
    <w:p>
      <w:pPr>
        <w:spacing w:after="0" w:line="24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2023, the non-performance reserve was a $6 million gain recorded primarily to total operating revenues in the consolidated statements of income. It is possible that future market prices could vary from those used in recording assets and liabilities and such variations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addition to the credit risk discussion as disclosed under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w:t>
      </w:r>
      <w:r>
        <w:rPr>
          <w:rFonts w:ascii="Arial" w:cs="Arial" w:eastAsia="Arial" w:hAnsi="Arial"/>
          <w:sz w:val="18"/>
          <w:szCs w:val="18"/>
          <w:color w:val="231F20"/>
        </w:rPr>
        <w:t>to the</w:t>
      </w:r>
      <w:r>
        <w:rPr>
          <w:rFonts w:ascii="Arial" w:cs="Arial" w:eastAsia="Arial" w:hAnsi="Arial"/>
          <w:sz w:val="18"/>
          <w:szCs w:val="18"/>
          <w:color w:val="auto"/>
        </w:rPr>
        <w:t xml:space="preserve"> consolidated financial statements included in the </w:t>
      </w:r>
      <w:r>
        <w:rPr>
          <w:rFonts w:ascii="Arial" w:cs="Arial" w:eastAsia="Arial" w:hAnsi="Arial"/>
          <w:sz w:val="18"/>
          <w:szCs w:val="18"/>
          <w:color w:val="231F20"/>
        </w:rPr>
        <w:t>Company’s</w:t>
      </w:r>
      <w:r>
        <w:rPr>
          <w:rFonts w:ascii="Arial" w:cs="Arial" w:eastAsia="Arial" w:hAnsi="Arial"/>
          <w:sz w:val="18"/>
          <w:szCs w:val="18"/>
          <w:color w:val="auto"/>
        </w:rPr>
        <w:t xml:space="preserve"> 2022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4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the Company’s 2022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interest rate swap agreements in order to hedge the variability of expected future cash interest payments. As of September 30, 2023,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Energy-Related Commodity Contracts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September 30, 2023, the Company had energy-related derivative instruments extending through 2033. At September 30, 2023,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Heat Rate Call Option Commodity Contracts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September 30, 2023, the Company had heat rate call option derivative instruments extending through 2023. At September 30, 2023,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gridSpan w:val="3"/>
          </w:tcPr>
          <w:p>
            <w:pPr>
              <w:jc w:val="center"/>
              <w:ind w:right="135"/>
              <w:spacing w:after="0"/>
              <w:rPr>
                <w:sz w:val="20"/>
                <w:szCs w:val="20"/>
                <w:color w:val="auto"/>
              </w:rPr>
            </w:pPr>
            <w:r>
              <w:rPr>
                <w:rFonts w:ascii="Arial" w:cs="Arial" w:eastAsia="Arial" w:hAnsi="Arial"/>
                <w:sz w:val="14"/>
                <w:szCs w:val="14"/>
                <w:b w:val="1"/>
                <w:bCs w:val="1"/>
                <w:color w:val="auto"/>
                <w:w w:val="93"/>
              </w:rPr>
              <w:t>Total Volume</w:t>
            </w:r>
          </w:p>
        </w:tc>
      </w:tr>
      <w:tr>
        <w:trPr>
          <w:trHeight w:val="26"/>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9"/>
              </w:rPr>
              <w:t>September 30, 2023</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1"/>
              </w:rPr>
              <w:t>December 31, 2022</w:t>
            </w:r>
          </w:p>
        </w:tc>
      </w:tr>
      <w:tr>
        <w:trPr>
          <w:trHeight w:val="148"/>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Commodity</w:t>
            </w:r>
          </w:p>
        </w:tc>
        <w:tc>
          <w:tcPr>
            <w:tcW w:w="2980" w:type="dxa"/>
            <w:vAlign w:val="bottom"/>
            <w:gridSpan w:val="3"/>
          </w:tcPr>
          <w:p>
            <w:pPr>
              <w:ind w:left="580"/>
              <w:spacing w:after="0" w:line="149" w:lineRule="exact"/>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2080" w:type="dxa"/>
            <w:vAlign w:val="bottom"/>
            <w:gridSpan w:val="2"/>
          </w:tcPr>
          <w:p>
            <w:pPr>
              <w:jc w:val="center"/>
              <w:ind w:left="1239"/>
              <w:spacing w:after="0" w:line="149" w:lineRule="exact"/>
              <w:rPr>
                <w:sz w:val="20"/>
                <w:szCs w:val="20"/>
                <w:color w:val="auto"/>
              </w:rPr>
            </w:pPr>
            <w:r>
              <w:rPr>
                <w:rFonts w:ascii="Arial" w:cs="Arial" w:eastAsia="Arial" w:hAnsi="Arial"/>
                <w:sz w:val="14"/>
                <w:szCs w:val="14"/>
                <w:b w:val="1"/>
                <w:bCs w:val="1"/>
                <w:color w:val="auto"/>
                <w:w w:val="96"/>
              </w:rPr>
              <w:t>(In millions)</w:t>
            </w:r>
          </w:p>
        </w:tc>
        <w:tc>
          <w:tcPr>
            <w:tcW w:w="15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(Energy-Related Commodity Contracts)</w:t>
            </w:r>
          </w:p>
        </w:tc>
        <w:tc>
          <w:tcPr>
            <w:tcW w:w="29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MWh</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Power (Heat Rate Call Option Commodity Contracts)</w:t>
            </w:r>
          </w:p>
        </w:tc>
        <w:tc>
          <w:tcPr>
            <w:tcW w:w="2980" w:type="dxa"/>
            <w:vAlign w:val="bottom"/>
            <w:gridSpan w:val="3"/>
          </w:tcPr>
          <w:p>
            <w:pPr>
              <w:ind w:left="580"/>
              <w:spacing w:after="0"/>
              <w:rPr>
                <w:sz w:val="20"/>
                <w:szCs w:val="20"/>
                <w:color w:val="auto"/>
              </w:rPr>
            </w:pPr>
            <w:r>
              <w:rPr>
                <w:rFonts w:ascii="Arial" w:cs="Arial" w:eastAsia="Arial" w:hAnsi="Arial"/>
                <w:sz w:val="18"/>
                <w:szCs w:val="18"/>
                <w:color w:val="auto"/>
              </w:rPr>
              <w:t>MWh</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9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Dollars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1,752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
        </w:trPr>
        <w:tc>
          <w:tcPr>
            <w:tcW w:w="4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89"/>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ind w:left="940"/>
              <w:spacing w:after="0"/>
              <w:rPr>
                <w:sz w:val="20"/>
                <w:szCs w:val="20"/>
                <w:color w:val="auto"/>
              </w:rPr>
            </w:pPr>
            <w:r>
              <w:rPr>
                <w:rFonts w:ascii="Arial" w:cs="Arial" w:eastAsia="Arial" w:hAnsi="Arial"/>
                <w:sz w:val="14"/>
                <w:szCs w:val="14"/>
                <w:b w:val="1"/>
                <w:bCs w:val="1"/>
                <w:color w:val="auto"/>
              </w:rPr>
              <w:t>Derivative Assets</w:t>
            </w:r>
          </w:p>
        </w:tc>
        <w:tc>
          <w:tcPr>
            <w:tcW w:w="160" w:type="dxa"/>
            <w:vAlign w:val="bottom"/>
          </w:tcPr>
          <w:p>
            <w:pPr>
              <w:spacing w:after="0"/>
              <w:rPr>
                <w:sz w:val="16"/>
                <w:szCs w:val="16"/>
                <w:color w:val="auto"/>
              </w:rPr>
            </w:pPr>
          </w:p>
        </w:tc>
        <w:tc>
          <w:tcPr>
            <w:tcW w:w="3140" w:type="dxa"/>
            <w:vAlign w:val="bottom"/>
            <w:gridSpan w:val="4"/>
          </w:tcPr>
          <w:p>
            <w:pPr>
              <w:jc w:val="right"/>
              <w:ind w:right="912"/>
              <w:spacing w:after="0"/>
              <w:rPr>
                <w:sz w:val="20"/>
                <w:szCs w:val="20"/>
                <w:color w:val="auto"/>
              </w:rPr>
            </w:pPr>
            <w:r>
              <w:rPr>
                <w:rFonts w:ascii="Arial" w:cs="Arial" w:eastAsia="Arial" w:hAnsi="Arial"/>
                <w:sz w:val="14"/>
                <w:szCs w:val="14"/>
                <w:b w:val="1"/>
                <w:bCs w:val="1"/>
                <w:color w:val="auto"/>
              </w:rPr>
              <w:t>Derivative Liabilities</w:t>
            </w:r>
          </w:p>
        </w:tc>
      </w:tr>
      <w:tr>
        <w:trPr>
          <w:trHeight w:val="196"/>
        </w:trPr>
        <w:tc>
          <w:tcPr>
            <w:tcW w:w="45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4"/>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8"/>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Cash Flow Hedges:</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Commodity contracts current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 long-term</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5"/>
              </w:rPr>
              <w:t>Total Derivatives Not Designated as Cash Flow Hedges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744"/>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373"/>
              <w:spacing w:after="0"/>
              <w:rPr>
                <w:sz w:val="20"/>
                <w:szCs w:val="20"/>
                <w:color w:val="auto"/>
              </w:rPr>
            </w:pPr>
            <w:r>
              <w:rPr>
                <w:rFonts w:ascii="Arial" w:cs="Arial" w:eastAsia="Arial" w:hAnsi="Arial"/>
                <w:sz w:val="18"/>
                <w:szCs w:val="18"/>
                <w:color w:val="231F20"/>
              </w:rPr>
              <w:t>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8"/>
        </w:trPr>
        <w:tc>
          <w:tcPr>
            <w:tcW w:w="4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ind w:firstLine="405"/>
        <w:spacing w:after="0" w:line="263"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level. As of September 30, 2023 and December 31, 2022, the amount of outstanding collateral paid or received was immaterial. The following tables summarize the offsetting of derivatives by counterparty: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6"/>
          </w:tcPr>
          <w:p>
            <w:pPr>
              <w:jc w:val="center"/>
              <w:ind w:left="1076"/>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4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September 30, 2023</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6"/>
          </w:tcPr>
          <w:p>
            <w:pPr>
              <w:jc w:val="center"/>
              <w:ind w:left="1076"/>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2022</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interest rate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OCI (OCL) balance attributable to interest rate swaps designated as cash flow hedge derivatives, net of tax:</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90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46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5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OCI (OCL) beginning balance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8"/>
        </w:trPr>
        <w:tc>
          <w:tcPr>
            <w:tcW w:w="5500" w:type="dxa"/>
            <w:vAlign w:val="bottom"/>
          </w:tcPr>
          <w:p>
            <w:pPr>
              <w:ind w:left="140"/>
              <w:spacing w:after="0" w:line="189" w:lineRule="exact"/>
              <w:rPr>
                <w:sz w:val="20"/>
                <w:szCs w:val="20"/>
                <w:color w:val="auto"/>
              </w:rPr>
            </w:pPr>
            <w:r>
              <w:rPr>
                <w:rFonts w:ascii="Arial" w:cs="Arial" w:eastAsia="Arial" w:hAnsi="Arial"/>
                <w:sz w:val="18"/>
                <w:szCs w:val="18"/>
                <w:color w:val="auto"/>
                <w:w w:val="95"/>
              </w:rPr>
              <w:t>Reclassified from accumulated OCI (OCL) to income due to realization</w:t>
            </w: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00"/>
              <w:spacing w:after="0"/>
              <w:rPr>
                <w:sz w:val="20"/>
                <w:szCs w:val="20"/>
                <w:color w:val="auto"/>
              </w:rPr>
            </w:pPr>
            <w:r>
              <w:rPr>
                <w:rFonts w:ascii="Arial" w:cs="Arial" w:eastAsia="Arial" w:hAnsi="Arial"/>
                <w:sz w:val="18"/>
                <w:szCs w:val="18"/>
                <w:color w:val="auto"/>
              </w:rPr>
              <w:t>of previously deferred amounts</w:t>
            </w: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Capistrano Wind Portfolio Acquisition </w:t>
            </w:r>
            <w:r>
              <w:rPr>
                <w:rFonts w:ascii="Arial" w:cs="Arial" w:eastAsia="Arial" w:hAnsi="Arial"/>
                <w:sz w:val="23"/>
                <w:szCs w:val="23"/>
                <w:color w:val="auto"/>
                <w:vertAlign w:val="superscript"/>
              </w:rPr>
              <w:t>(a)</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Mark-to-market of cash flow hedge accounting contracts</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68"/>
        </w:trPr>
        <w:tc>
          <w:tcPr>
            <w:tcW w:w="55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2"/>
              </w:rPr>
              <w:t>Accumulated OCI ending balance, net of income tax expense of $4, $4, $4</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$4, respectively</w:t>
            </w:r>
          </w:p>
        </w:tc>
        <w:tc>
          <w:tcPr>
            <w:tcW w:w="9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OCI attributable to noncontrolling interests</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OCI attributable to Clearway Energy, Inc.</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w w:val="93"/>
              </w:rPr>
              <w:t>Gains expected to be realized from OCI during the next 12 months, net of</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0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income tax expense of $2</w:t>
            </w:r>
          </w:p>
        </w:tc>
        <w:tc>
          <w:tcPr>
            <w:tcW w:w="960" w:type="dxa"/>
            <w:vAlign w:val="bottom"/>
          </w:tcPr>
          <w:p>
            <w:pPr>
              <w:jc w:val="right"/>
              <w:ind w:right="757"/>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7" w:lineRule="exact"/>
        <w:rPr>
          <w:sz w:val="20"/>
          <w:szCs w:val="20"/>
          <w:color w:val="auto"/>
        </w:rPr>
      </w:pPr>
    </w:p>
    <w:p>
      <w:pPr>
        <w:ind w:left="220" w:hanging="131"/>
        <w:spacing w:after="0"/>
        <w:tabs>
          <w:tab w:leader="none" w:pos="2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Represents $4 million attributable to Clearway Energy, Inc. and $3 million attributable to noncontrolling interests.</w:t>
      </w:r>
    </w:p>
    <w:p>
      <w:pPr>
        <w:spacing w:after="0" w:line="140" w:lineRule="exact"/>
        <w:rPr>
          <w:rFonts w:ascii="Arial" w:cs="Arial" w:eastAsia="Arial" w:hAnsi="Arial"/>
          <w:sz w:val="22"/>
          <w:szCs w:val="22"/>
          <w:color w:val="auto"/>
          <w:vertAlign w:val="superscript"/>
        </w:rPr>
      </w:pPr>
    </w:p>
    <w:p>
      <w:pPr>
        <w:ind w:left="500"/>
        <w:spacing w:after="0"/>
        <w:rPr>
          <w:rFonts w:ascii="Arial" w:cs="Arial" w:eastAsia="Arial" w:hAnsi="Arial"/>
          <w:sz w:val="22"/>
          <w:szCs w:val="22"/>
          <w:color w:val="auto"/>
          <w:vertAlign w:val="superscript"/>
        </w:rPr>
      </w:pPr>
      <w:r>
        <w:rPr>
          <w:rFonts w:ascii="Arial" w:cs="Arial" w:eastAsia="Arial" w:hAnsi="Arial"/>
          <w:sz w:val="18"/>
          <w:szCs w:val="18"/>
          <w:color w:val="auto"/>
        </w:rPr>
        <w:t>Amounts reclassified from accumulated OCI (OCL) into income are recorded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Impact of Derivative Instruments on the Consolidated Statements of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Mark-to-market gains/(losses) related to the Company’s derivatives are recorded in the consolidated statements of income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48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
        </w:trPr>
        <w:tc>
          <w:tcPr>
            <w:tcW w:w="54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194"/>
        </w:trPr>
        <w:tc>
          <w:tcPr>
            <w:tcW w:w="5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242424"/>
                <w:w w:val="7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242424"/>
              </w:rPr>
              <w:t>33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42424"/>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242424"/>
              </w:rPr>
              <w:t>34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176"/>
        </w:trPr>
        <w:tc>
          <w:tcPr>
            <w:tcW w:w="5480" w:type="dxa"/>
            <w:vAlign w:val="bottom"/>
          </w:tcPr>
          <w:p>
            <w:pPr>
              <w:ind w:left="20"/>
              <w:spacing w:after="0" w:line="176" w:lineRule="exact"/>
              <w:rPr>
                <w:sz w:val="20"/>
                <w:szCs w:val="20"/>
                <w:color w:val="auto"/>
              </w:rPr>
            </w:pPr>
            <w:r>
              <w:rPr>
                <w:rFonts w:ascii="Arial" w:cs="Arial" w:eastAsia="Arial" w:hAnsi="Arial"/>
                <w:sz w:val="18"/>
                <w:szCs w:val="18"/>
                <w:color w:val="auto"/>
                <w:w w:val="99"/>
              </w:rPr>
              <w:t>Energy-Related Commodity Contracts (Mark-to-market for economic</w:t>
            </w: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5480" w:type="dxa"/>
            <w:vAlign w:val="bottom"/>
          </w:tcPr>
          <w:p>
            <w:pPr>
              <w:ind w:left="180"/>
              <w:spacing w:after="0" w:line="243" w:lineRule="exact"/>
              <w:rPr>
                <w:sz w:val="20"/>
                <w:szCs w:val="20"/>
                <w:color w:val="auto"/>
              </w:rPr>
            </w:pPr>
            <w:r>
              <w:rPr>
                <w:rFonts w:ascii="Arial" w:cs="Arial" w:eastAsia="Arial" w:hAnsi="Arial"/>
                <w:sz w:val="18"/>
                <w:szCs w:val="18"/>
                <w:color w:val="auto"/>
              </w:rPr>
              <w:t xml:space="preserve">hedging activities) </w:t>
            </w:r>
            <w:r>
              <w:rPr>
                <w:rFonts w:ascii="Arial" w:cs="Arial" w:eastAsia="Arial" w:hAnsi="Arial"/>
                <w:sz w:val="23"/>
                <w:szCs w:val="23"/>
                <w:color w:val="auto"/>
                <w:vertAlign w:val="superscript"/>
              </w:rPr>
              <w:t>(a)</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242424"/>
              </w:rPr>
              <w:t>(22)</w:t>
            </w:r>
          </w:p>
        </w:tc>
        <w:tc>
          <w:tcPr>
            <w:tcW w:w="380" w:type="dxa"/>
            <w:vAlign w:val="bottom"/>
          </w:tcPr>
          <w:p>
            <w:pPr>
              <w:spacing w:after="0"/>
              <w:rPr>
                <w:sz w:val="21"/>
                <w:szCs w:val="21"/>
                <w:color w:val="auto"/>
              </w:rPr>
            </w:pPr>
          </w:p>
        </w:tc>
        <w:tc>
          <w:tcPr>
            <w:tcW w:w="1040" w:type="dxa"/>
            <w:vAlign w:val="bottom"/>
          </w:tcPr>
          <w:p>
            <w:pPr>
              <w:jc w:val="center"/>
              <w:ind w:left="617"/>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242424"/>
              </w:rPr>
              <w:t>28</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176"/>
        </w:trPr>
        <w:tc>
          <w:tcPr>
            <w:tcW w:w="5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Heat Rate Call Option Commodity Contracts (Mark-to-market for</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48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economic hedging activities) </w:t>
            </w:r>
            <w:r>
              <w:rPr>
                <w:rFonts w:ascii="Arial" w:cs="Arial" w:eastAsia="Arial" w:hAnsi="Arial"/>
                <w:sz w:val="23"/>
                <w:szCs w:val="23"/>
                <w:color w:val="auto"/>
                <w:vertAlign w:val="superscript"/>
              </w:rPr>
              <w:t>(b)</w:t>
            </w: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242424"/>
              </w:rPr>
              <w:t>3</w:t>
            </w:r>
          </w:p>
        </w:tc>
        <w:tc>
          <w:tcPr>
            <w:tcW w:w="3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left="51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242424"/>
              </w:rPr>
              <w:t>3</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1" w:lineRule="exact"/>
        <w:rPr>
          <w:sz w:val="20"/>
          <w:szCs w:val="20"/>
          <w:color w:val="auto"/>
        </w:rPr>
      </w:pPr>
    </w:p>
    <w:p>
      <w:pPr>
        <w:jc w:val="both"/>
        <w:ind w:left="80" w:firstLine="9"/>
        <w:spacing w:after="0" w:line="375" w:lineRule="auto"/>
        <w:tabs>
          <w:tab w:leader="none" w:pos="239"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Relates to long-term energy related commodity contracts at Elbow Creek, Mesquite Star, Mt. Storm, Langford and Mesquite Sky. During the nine months ended September 30, 2022, the commodity contract for Langford, which previously met the NPNS exception, no longer qualified for NPNS treatment and, accordingly, is accounted for as a derivative and marked to fair value through operating revenues.</w:t>
      </w:r>
    </w:p>
    <w:p>
      <w:pPr>
        <w:ind w:left="220" w:hanging="131"/>
        <w:spacing w:after="0" w:line="212" w:lineRule="auto"/>
        <w:tabs>
          <w:tab w:leader="none" w:pos="22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Relates to short-term heat rate call option commodity contracts at Marsh Landing and Walnut Creek.</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2022 Form 10-K. The Company’s borrowings, including short-term and long-term portions,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4"/>
                <w:szCs w:val="14"/>
                <w:color w:val="auto"/>
              </w:rPr>
            </w:pPr>
          </w:p>
        </w:tc>
        <w:tc>
          <w:tcPr>
            <w:tcW w:w="144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4"/>
        </w:trPr>
        <w:tc>
          <w:tcPr>
            <w:tcW w:w="5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rates)</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203"/>
        </w:trPr>
        <w:tc>
          <w:tcPr>
            <w:tcW w:w="526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00"/>
              <w:spacing w:after="0" w:line="203" w:lineRule="exact"/>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21"/>
                <w:szCs w:val="21"/>
                <w:b w:val="1"/>
                <w:bCs w:val="1"/>
                <w:color w:val="auto"/>
                <w:vertAlign w:val="superscript"/>
              </w:rPr>
              <w:t>(a)</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September 30, 2023</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 Senior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4.750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2031 Senior Notes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925</w:t>
            </w:r>
          </w:p>
        </w:tc>
        <w:tc>
          <w:tcPr>
            <w:tcW w:w="1760" w:type="dxa"/>
            <w:vAlign w:val="bottom"/>
            <w:gridSpan w:val="2"/>
          </w:tcPr>
          <w:p>
            <w:pPr>
              <w:jc w:val="center"/>
              <w:ind w:left="1179"/>
              <w:spacing w:after="0"/>
              <w:rPr>
                <w:sz w:val="20"/>
                <w:szCs w:val="20"/>
                <w:color w:val="auto"/>
              </w:rPr>
            </w:pPr>
            <w:r>
              <w:rPr>
                <w:rFonts w:ascii="Arial" w:cs="Arial" w:eastAsia="Arial" w:hAnsi="Arial"/>
                <w:sz w:val="16"/>
                <w:szCs w:val="16"/>
                <w:color w:val="auto"/>
                <w:w w:val="94"/>
              </w:rPr>
              <w:t>3.750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2032 Senior Notes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3.750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260" w:type="dxa"/>
            <w:vAlign w:val="bottom"/>
          </w:tcPr>
          <w:p>
            <w:pPr>
              <w:ind w:left="20"/>
              <w:spacing w:after="0" w:line="166" w:lineRule="exact"/>
              <w:rPr>
                <w:sz w:val="20"/>
                <w:szCs w:val="20"/>
                <w:color w:val="auto"/>
              </w:rPr>
            </w:pPr>
            <w:r>
              <w:rPr>
                <w:rFonts w:ascii="Arial" w:cs="Arial" w:eastAsia="Arial" w:hAnsi="Arial"/>
                <w:sz w:val="16"/>
                <w:szCs w:val="16"/>
                <w:color w:val="auto"/>
                <w:w w:val="96"/>
              </w:rPr>
              <w:t>Clearway Energy LLC and Clearway Energy Operating LLC Revolving Credit</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7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S+1.850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242424"/>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242424"/>
              </w:rPr>
              <w:t>211</w:t>
            </w:r>
          </w:p>
        </w:tc>
        <w:tc>
          <w:tcPr>
            <w:tcW w:w="0" w:type="dxa"/>
            <w:vAlign w:val="bottom"/>
          </w:tcPr>
          <w:p>
            <w:pPr>
              <w:spacing w:after="0"/>
              <w:rPr>
                <w:sz w:val="1"/>
                <w:szCs w:val="1"/>
                <w:color w:val="auto"/>
              </w:rPr>
            </w:pPr>
          </w:p>
        </w:tc>
      </w:tr>
      <w:tr>
        <w:trPr>
          <w:trHeight w:val="212"/>
        </w:trPr>
        <w:tc>
          <w:tcPr>
            <w:tcW w:w="5260" w:type="dxa"/>
            <w:vAlign w:val="bottom"/>
          </w:tcPr>
          <w:p>
            <w:pPr>
              <w:ind w:left="180"/>
              <w:spacing w:after="0" w:line="213" w:lineRule="exact"/>
              <w:rPr>
                <w:sz w:val="20"/>
                <w:szCs w:val="20"/>
                <w:color w:val="auto"/>
              </w:rPr>
            </w:pPr>
            <w:r>
              <w:rPr>
                <w:rFonts w:ascii="Arial" w:cs="Arial" w:eastAsia="Arial" w:hAnsi="Arial"/>
                <w:sz w:val="16"/>
                <w:szCs w:val="16"/>
                <w:color w:val="auto"/>
              </w:rPr>
              <w:t xml:space="preserve">Facility, due 2028 </w:t>
            </w:r>
            <w:r>
              <w:rPr>
                <w:rFonts w:ascii="Arial" w:cs="Arial" w:eastAsia="Arial" w:hAnsi="Arial"/>
                <w:sz w:val="21"/>
                <w:szCs w:val="21"/>
                <w:color w:val="auto"/>
                <w:vertAlign w:val="superscript"/>
              </w:rPr>
              <w:t>(b)</w:t>
            </w: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Non-recourse project-level debt: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Agua Caliente Solar LLC, due 2037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2.395-3.633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45</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Alta Wind Asset Management LLC, due 2031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S+2.775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Alta Wind I-V lease financing arrangements, due 2034 and 2035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5.696-7.015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47</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Alta Wind Realty Investments LLC, due 2031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7.000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Borrego, due 2024 and 2038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760" w:type="dxa"/>
            <w:vAlign w:val="bottom"/>
            <w:gridSpan w:val="2"/>
          </w:tcPr>
          <w:p>
            <w:pPr>
              <w:jc w:val="center"/>
              <w:ind w:left="940"/>
              <w:spacing w:after="0"/>
              <w:rPr>
                <w:sz w:val="20"/>
                <w:szCs w:val="20"/>
                <w:color w:val="auto"/>
              </w:rPr>
            </w:pPr>
            <w:r>
              <w:rPr>
                <w:rFonts w:ascii="Arial" w:cs="Arial" w:eastAsia="Arial" w:hAnsi="Arial"/>
                <w:sz w:val="16"/>
                <w:szCs w:val="16"/>
                <w:color w:val="auto"/>
                <w:w w:val="92"/>
              </w:rPr>
              <w:t>Various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Buckthorn Solar, due 2025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S+2.100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21</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Capistrano Wind Portfolio, due 2029 and 2031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S+2.100-S+2.150</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34</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Carlsbad Energy Holdings LLC, due 2027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S+1.900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68</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Carlsbad Energy Holdings LLC, due 2038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407</w:t>
            </w:r>
          </w:p>
        </w:tc>
        <w:tc>
          <w:tcPr>
            <w:tcW w:w="1760" w:type="dxa"/>
            <w:vAlign w:val="bottom"/>
            <w:gridSpan w:val="2"/>
          </w:tcPr>
          <w:p>
            <w:pPr>
              <w:jc w:val="center"/>
              <w:ind w:left="1179"/>
              <w:spacing w:after="0"/>
              <w:rPr>
                <w:sz w:val="20"/>
                <w:szCs w:val="20"/>
                <w:color w:val="auto"/>
              </w:rPr>
            </w:pPr>
            <w:r>
              <w:rPr>
                <w:rFonts w:ascii="Arial" w:cs="Arial" w:eastAsia="Arial" w:hAnsi="Arial"/>
                <w:sz w:val="16"/>
                <w:szCs w:val="16"/>
                <w:color w:val="auto"/>
                <w:w w:val="94"/>
              </w:rPr>
              <w:t>4.120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Carlsbad Holdco, LLC, due 2038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4.210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6</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CVSR, due 2037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627</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2.339-3.775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12</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CVSR Holdco Notes, due 2037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4.680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Daggett 2, due 2023 and 2028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S+1.262</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29</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Daggett 3, due 2023 and 2028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S+1.262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39</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DG-CS Master Borrower LLC, due 2040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413</w:t>
            </w:r>
          </w:p>
        </w:tc>
        <w:tc>
          <w:tcPr>
            <w:tcW w:w="1760" w:type="dxa"/>
            <w:vAlign w:val="bottom"/>
            <w:gridSpan w:val="2"/>
          </w:tcPr>
          <w:p>
            <w:pPr>
              <w:jc w:val="center"/>
              <w:ind w:left="1179"/>
              <w:spacing w:after="0"/>
              <w:rPr>
                <w:sz w:val="20"/>
                <w:szCs w:val="20"/>
                <w:color w:val="auto"/>
              </w:rPr>
            </w:pPr>
            <w:r>
              <w:rPr>
                <w:rFonts w:ascii="Arial" w:cs="Arial" w:eastAsia="Arial" w:hAnsi="Arial"/>
                <w:sz w:val="16"/>
                <w:szCs w:val="16"/>
                <w:color w:val="auto"/>
                <w:w w:val="94"/>
              </w:rPr>
              <w:t>3.510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30</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Marsh Landing, due 2023</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Mililani I, due 2027 </w:t>
            </w:r>
            <w:r>
              <w:rPr>
                <w:rFonts w:ascii="Arial" w:cs="Arial" w:eastAsia="Arial" w:hAnsi="Arial"/>
                <w:sz w:val="21"/>
                <w:szCs w:val="21"/>
                <w:color w:val="auto"/>
                <w:vertAlign w:val="superscript"/>
              </w:rPr>
              <w:t>(c)</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S+1.600</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Mililani Class B Member Holdco LLC, due 2028 </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S+1.600</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18</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NIMH Solar, due 2024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S+2.150</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14</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Oahu Solar Holdings LLC, due 2026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S+1.525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10</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Rosie Class B LLC, due 2024 and 2029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S+1.250-S+1.375</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24</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 Solar Holdings, due 2036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3.590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15</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Viento Funding II, LLC, due 2029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S+1.475</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25</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Waiawa, due 2028 </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S+1.600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Walnut Creek, due 2023</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WCEP Holdings, LLC, due 2023</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gridSpan w:val="2"/>
          </w:tcPr>
          <w:p>
            <w:pPr>
              <w:jc w:val="center"/>
              <w:ind w:left="940"/>
              <w:spacing w:after="0"/>
              <w:rPr>
                <w:sz w:val="20"/>
                <w:szCs w:val="20"/>
                <w:color w:val="auto"/>
              </w:rPr>
            </w:pPr>
            <w:r>
              <w:rPr>
                <w:rFonts w:ascii="Arial" w:cs="Arial" w:eastAsia="Arial" w:hAnsi="Arial"/>
                <w:sz w:val="16"/>
                <w:szCs w:val="16"/>
                <w:color w:val="auto"/>
                <w:w w:val="92"/>
              </w:rPr>
              <w:t>Various</w:t>
            </w:r>
          </w:p>
        </w:tc>
        <w:tc>
          <w:tcPr>
            <w:tcW w:w="1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242424"/>
              </w:rPr>
              <w:t>199</w:t>
            </w: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Subtotal non-recourse project-level debt</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7,578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6,870</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maturities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Less net debt issuance costs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premiums </w:t>
            </w:r>
            <w:r>
              <w:rPr>
                <w:rFonts w:ascii="Arial" w:cs="Arial" w:eastAsia="Arial" w:hAnsi="Arial"/>
                <w:sz w:val="21"/>
                <w:szCs w:val="21"/>
                <w:color w:val="auto"/>
                <w:vertAlign w:val="superscript"/>
              </w:rPr>
              <w:t>(d)</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6,995</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0" w:lineRule="exact"/>
        <w:rPr>
          <w:sz w:val="20"/>
          <w:szCs w:val="20"/>
          <w:color w:val="auto"/>
        </w:rPr>
      </w:pPr>
    </w:p>
    <w:p>
      <w:pPr>
        <w:ind w:left="220" w:hanging="131"/>
        <w:spacing w:after="0"/>
        <w:tabs>
          <w:tab w:leader="none" w:pos="220" w:val="left"/>
        </w:tabs>
        <w:numPr>
          <w:ilvl w:val="0"/>
          <w:numId w:val="20"/>
        </w:numPr>
        <w:rPr>
          <w:rFonts w:ascii="Arial" w:cs="Arial" w:eastAsia="Arial" w:hAnsi="Arial"/>
          <w:sz w:val="16"/>
          <w:szCs w:val="16"/>
          <w:color w:val="auto"/>
          <w:vertAlign w:val="superscript"/>
        </w:rPr>
      </w:pPr>
      <w:r>
        <w:rPr>
          <w:rFonts w:ascii="Arial" w:cs="Arial" w:eastAsia="Arial" w:hAnsi="Arial"/>
          <w:sz w:val="11"/>
          <w:szCs w:val="11"/>
          <w:color w:val="auto"/>
        </w:rPr>
        <w:t>As of September 30, 2023, S+ equals SOFR plus x%.</w:t>
      </w:r>
    </w:p>
    <w:p>
      <w:pPr>
        <w:spacing w:after="0" w:line="18" w:lineRule="exact"/>
        <w:rPr>
          <w:rFonts w:ascii="Arial" w:cs="Arial" w:eastAsia="Arial" w:hAnsi="Arial"/>
          <w:sz w:val="16"/>
          <w:szCs w:val="16"/>
          <w:color w:val="auto"/>
          <w:vertAlign w:val="superscript"/>
        </w:rPr>
      </w:pPr>
    </w:p>
    <w:p>
      <w:pPr>
        <w:ind w:left="240" w:hanging="151"/>
        <w:spacing w:after="0" w:line="197"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Applicable rate is determined by the borrower leverage ratio, as defined in the credit agreement.</w:t>
      </w:r>
    </w:p>
    <w:p>
      <w:pPr>
        <w:spacing w:after="0" w:line="59" w:lineRule="exact"/>
        <w:rPr>
          <w:rFonts w:ascii="Arial" w:cs="Arial" w:eastAsia="Arial" w:hAnsi="Arial"/>
          <w:sz w:val="18"/>
          <w:szCs w:val="18"/>
          <w:color w:val="auto"/>
          <w:vertAlign w:val="superscript"/>
        </w:rPr>
      </w:pPr>
    </w:p>
    <w:p>
      <w:pPr>
        <w:ind w:left="80" w:right="20" w:firstLine="9"/>
        <w:spacing w:after="0"/>
        <w:tabs>
          <w:tab w:leader="none" w:pos="237" w:val="left"/>
        </w:tabs>
        <w:numPr>
          <w:ilvl w:val="0"/>
          <w:numId w:val="20"/>
        </w:numPr>
        <w:rPr>
          <w:rFonts w:ascii="Arial" w:cs="Arial" w:eastAsia="Arial" w:hAnsi="Arial"/>
          <w:sz w:val="19"/>
          <w:szCs w:val="19"/>
          <w:color w:val="auto"/>
          <w:vertAlign w:val="superscript"/>
        </w:rPr>
      </w:pPr>
      <w:r>
        <w:rPr>
          <w:rFonts w:ascii="Arial" w:cs="Arial" w:eastAsia="Arial" w:hAnsi="Arial"/>
          <w:sz w:val="13"/>
          <w:szCs w:val="13"/>
          <w:color w:val="auto"/>
        </w:rPr>
        <w:t>On July 21, 2023, Mililani I’s financing agreement was amended to merge the project-level debt of Mililani I and Waiawa as a combined term loan under Mililani Class B Member Holdco LLC.</w:t>
      </w:r>
    </w:p>
    <w:p>
      <w:pPr>
        <w:spacing w:after="0" w:line="113" w:lineRule="exact"/>
        <w:rPr>
          <w:rFonts w:ascii="Arial" w:cs="Arial" w:eastAsia="Arial" w:hAnsi="Arial"/>
          <w:sz w:val="19"/>
          <w:szCs w:val="19"/>
          <w:color w:val="auto"/>
          <w:vertAlign w:val="superscript"/>
        </w:rPr>
      </w:pPr>
    </w:p>
    <w:p>
      <w:pPr>
        <w:ind w:left="240" w:hanging="151"/>
        <w:spacing w:after="0" w:line="219"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Premiums relate to the 2028 Senior Notes.</w:t>
      </w:r>
    </w:p>
    <w:p>
      <w:pPr>
        <w:spacing w:after="0" w:line="28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September 30, 2023, the Company was in compliance with all of the required covenants.</w:t>
      </w:r>
    </w:p>
    <w:p>
      <w:pPr>
        <w:sectPr>
          <w:pgSz w:w="11900" w:h="16838" w:orient="portrait"/>
          <w:cols w:equalWidth="0" w:num="1">
            <w:col w:w="11240"/>
          </w:cols>
          <w:pgMar w:left="320" w:top="891"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9" w:name="page30"/>
    <w:bookmarkEnd w:id="29"/>
    <w:p>
      <w:pPr>
        <w:ind w:right="1440" w:firstLine="405"/>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nine months ended September 30, 2023. </w:t>
      </w:r>
      <w:r>
        <w:rPr>
          <w:rFonts w:ascii="Arial" w:cs="Arial" w:eastAsia="Arial" w:hAnsi="Arial"/>
          <w:sz w:val="18"/>
          <w:szCs w:val="18"/>
          <w:b w:val="1"/>
          <w:bCs w:val="1"/>
          <w:i w:val="1"/>
          <w:iCs w:val="1"/>
          <w:color w:val="auto"/>
        </w:rPr>
        <w:t>Clearway Energy LLC and Clearway Energy Operating LLC Revolving Credit Facility</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the Company had no outstanding borrowings under the revolving credit facility and $211 million in letters of credit outstanding.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Daggett 2</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On August 30, 2023, as part of the acquisition of Daggett 2,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Company assumed the project’s financing agreement, which included a $107 million construction loan that converts to a five year term loan upon the project reaching substantial completion and a $204 million tax equity bridge loan. The tax equity bridge loan will be repaid utilizing the final proceeds received from the tax equity investor upon Daggett 2 reaching substantial completion, which is expected to occur in the fourth quarter of 2023, along with the restricted cash that was acquired with the project. Subsequent to the acquisition, the Company borrowed an additional $8 million in construction loans.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Rosamond Central (Rosie Class B LLC)</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June 30, 2023, Rosie Class B LLC, the indirect owner of the Rosamond Central solar project, amended its financing agreement to provide for (i) a refinanced term loan in the amount of $77 million, (ii) construction loans up to $115 million, which will convert to a term loan upon the BESS project reaching substantial completion, (iii) tax equity bridge loans up to $188 million, which will be repaid with tax equity proceeds received upon the BESS project reaching substantial completion, (iv) an increase to the letter of credit sublimit to $41 million and (v) an extension of the maturity date of the term loan and construction loans to five years subsequent to term conversions. During the third quarter of 2023, Rosie Class B LLC received total loan proceeds of $235 million, which was comprised of $115 million in construction loans and $125 million in tax equity bridge loans, net of $5 million in debt issuance costs that were deferred.</w:t>
      </w:r>
    </w:p>
    <w:p>
      <w:pPr>
        <w:spacing w:after="0" w:line="14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July 3, 2023, Rosie Class B LLC issued a loan to a consolidated subsidiary of Clearway Renew, utilizing a portion of the loan proceeds under the amended financing agreement, in order to finance the construction of the BESS project. As of September 30, 2023, the loan issued to a consolidated subsidiary of Clearway Renew had an aggregate principal amount of $215 million. The loan bears interest at a fixed annual rate of 9.00% and matures when the project reaches substantial completion, which is expected to occur in the first half of 2024. The loan issued to a consolidated subsidiary of Clearway Renew is included in note receivable — affiliate on the Company’s consolidated balance sheet.</w:t>
      </w:r>
    </w:p>
    <w:p>
      <w:pPr>
        <w:spacing w:after="0" w:line="12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Also, during the third quarter of 2023, the Company utilized a portion of the loan proceeds received under the amended financing agreement to contribute $18 million into Rosie Central BESS, which is an investment accounted for under the equity method of accounting, as further described in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Waiawa</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March 30, 2023, when the Waiawa solar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 Subsequent to the acquisition on October 3, 2022, the Company borrowed an additional $25 million in construction loans and the total outstanding construction loans were converted to a term loan in the amount of $47 million on March 30, 2023 that had a maturity date of March 30, 2028. On July 21, 2023, Mililani I’s financing agreement was amended to merge the project-level debt of Mililani I and Waiawa as a combined term loan under Mililani Class B Member Holdco LLC that matures on July 21, 2028.</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i w:val="1"/>
          <w:iCs w:val="1"/>
          <w:color w:val="auto"/>
        </w:rPr>
        <w:t>Daggett 3</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On February 17, 2023, as part of the acquisition of Daggett 3,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Company assumed the project’s financing agreement, which included a $181 million construction loan that converts to a term loan upon the project reaching substantial completion, $229 million tax equity bridge loan and $75 million sponsor equity bridge loan. The sponsor equity bridge loan was repaid at acquisition date, along with $8 million in associated fees, utilizing all of the proceeds from the Company and cash equity investor, which were contributed back to the Company by CEG. The tax equity bridge loan will be repaid with the final proceeds received from the tax equity investor upon Daggett 3 reaching substantial completion, which is expected to occur in the fourth quarter of 2023, along with the $62 million that was contributed into escrow by the tax equity investor at acquisition date. Subsequent to the acquisition, the Company borrowed an additional $36 million in construction loans.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Company’s basic and diluted earnings per share is shown in the following tables:</w:t>
      </w:r>
    </w:p>
    <w:p>
      <w:pPr>
        <w:spacing w:after="0" w:line="95"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Three months ended September 30,</w:t>
      </w:r>
    </w:p>
    <w:p>
      <w:pPr>
        <w:sectPr>
          <w:pgSz w:w="11900" w:h="16838" w:orient="portrait"/>
          <w:cols w:equalWidth="0" w:num="1">
            <w:col w:w="11240"/>
          </w:cols>
          <w:pgMar w:left="320" w:top="895" w:right="339" w:bottom="1440" w:gutter="0" w:footer="0" w:header="0"/>
        </w:sect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hanging="161"/>
        <w:spacing w:after="0" w:line="226" w:lineRule="auto"/>
        <w:rPr>
          <w:sz w:val="20"/>
          <w:szCs w:val="20"/>
          <w:color w:val="auto"/>
        </w:rPr>
      </w:pPr>
      <w:r>
        <w:rPr>
          <w:rFonts w:ascii="Arial" w:cs="Arial" w:eastAsia="Arial" w:hAnsi="Arial"/>
          <w:sz w:val="18"/>
          <w:szCs w:val="18"/>
          <w:b w:val="1"/>
          <w:bCs w:val="1"/>
          <w:color w:val="auto"/>
        </w:rPr>
        <w:t>Basic and diluted earnings per share attributable to Clearway Energy, Inc. common stockholders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attributable to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number of common shares outstanding — basic and diluted</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Earnings per weighted average common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798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w w:val="83"/>
              </w:rPr>
              <w:t>2023</w:t>
            </w:r>
          </w:p>
        </w:tc>
        <w:tc>
          <w:tcPr>
            <w:tcW w:w="12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2022</w:t>
            </w:r>
          </w:p>
        </w:tc>
      </w:tr>
      <w:tr>
        <w:trPr>
          <w:trHeight w:val="139"/>
        </w:trPr>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Common Class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Common Class</w:t>
            </w:r>
          </w:p>
        </w:tc>
        <w:tc>
          <w:tcPr>
            <w:tcW w:w="11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Common Class</w:t>
            </w:r>
          </w:p>
        </w:tc>
        <w:tc>
          <w:tcPr>
            <w:tcW w:w="10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Common Class</w:t>
            </w:r>
          </w:p>
        </w:tc>
      </w:tr>
      <w:tr>
        <w:trPr>
          <w:trHeight w:val="192"/>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300"/>
            <w:col w:w="4480"/>
          </w:cols>
          <w:pgMar w:left="320" w:top="895" w:right="339" w:bottom="1440" w:gutter="0" w:footer="0" w:header="0"/>
          <w:type w:val="continuous"/>
        </w:sectPr>
      </w:pPr>
    </w:p>
    <w:p>
      <w:pPr>
        <w:spacing w:after="0" w:line="33" w:lineRule="exact"/>
        <w:rPr>
          <w:sz w:val="20"/>
          <w:szCs w:val="20"/>
          <w:color w:val="auto"/>
        </w:rPr>
      </w:pPr>
    </w:p>
    <w:p>
      <w:pPr>
        <w:ind w:left="80" w:firstLine="9"/>
        <w:spacing w:after="0"/>
        <w:tabs>
          <w:tab w:leader="none" w:pos="236" w:val="left"/>
        </w:tabs>
        <w:numPr>
          <w:ilvl w:val="0"/>
          <w:numId w:val="21"/>
        </w:numPr>
        <w:rPr>
          <w:rFonts w:ascii="Arial" w:cs="Arial" w:eastAsia="Arial" w:hAnsi="Arial"/>
          <w:sz w:val="17"/>
          <w:szCs w:val="17"/>
          <w:color w:val="auto"/>
          <w:vertAlign w:val="superscript"/>
        </w:rPr>
      </w:pPr>
      <w:r>
        <w:rPr>
          <w:rFonts w:ascii="Arial" w:cs="Arial" w:eastAsia="Arial" w:hAnsi="Arial"/>
          <w:sz w:val="12"/>
          <w:szCs w:val="12"/>
          <w:color w:val="auto"/>
        </w:rPr>
        <w:t>Net income attributable to Clearway Energy, Inc. and basic and diluted earnings per share might not recalculate due to presenting amounts in millions rather than whole dollars.</w:t>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-8255</wp:posOffset>
            </wp:positionV>
            <wp:extent cx="7080885"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0885" cy="265430"/>
                    </a:xfrm>
                    <a:prstGeom prst="rect">
                      <a:avLst/>
                    </a:prstGeom>
                    <a:noFill/>
                  </pic:spPr>
                </pic:pic>
              </a:graphicData>
            </a:graphic>
          </wp:anchor>
        </w:drawing>
      </w:r>
    </w:p>
    <w:p>
      <w:pPr>
        <w:ind w:left="260" w:hanging="161"/>
        <w:spacing w:after="0" w:line="226" w:lineRule="auto"/>
        <w:rPr>
          <w:sz w:val="20"/>
          <w:szCs w:val="20"/>
          <w:color w:val="auto"/>
        </w:rPr>
      </w:pPr>
      <w:r>
        <w:rPr>
          <w:rFonts w:ascii="Arial" w:cs="Arial" w:eastAsia="Arial" w:hAnsi="Arial"/>
          <w:sz w:val="18"/>
          <w:szCs w:val="18"/>
          <w:b w:val="1"/>
          <w:bCs w:val="1"/>
          <w:color w:val="auto"/>
        </w:rPr>
        <w:t>Basic and diluted earnings per share attributable to Clearway Energy, Inc. common stockholders</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income attributable to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70808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0885"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Weighted average number of common shares outstanding — basic and diluted</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Earnings per weighted average common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146050</wp:posOffset>
            </wp:positionV>
            <wp:extent cx="13716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2022</w:t>
            </w:r>
          </w:p>
        </w:tc>
      </w:tr>
      <w:tr>
        <w:trPr>
          <w:trHeight w:val="139"/>
        </w:trPr>
        <w:tc>
          <w:tcPr>
            <w:tcW w:w="11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Common Class</w:t>
            </w:r>
          </w:p>
        </w:tc>
        <w:tc>
          <w:tcPr>
            <w:tcW w:w="10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Common Class</w:t>
            </w: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Common Class</w:t>
            </w:r>
          </w:p>
        </w:tc>
        <w:tc>
          <w:tcPr>
            <w:tcW w:w="10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Common Class</w:t>
            </w:r>
          </w:p>
        </w:tc>
      </w:tr>
      <w:tr>
        <w:trPr>
          <w:trHeight w:val="192"/>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40" w:space="260"/>
            <w:col w:w="4440"/>
          </w:cols>
          <w:pgMar w:left="320" w:top="895" w:right="339" w:bottom="1440" w:gutter="0" w:footer="0" w:header="0"/>
          <w:type w:val="continuous"/>
        </w:sectPr>
      </w:pPr>
    </w:p>
    <w:p>
      <w:pPr>
        <w:spacing w:after="0" w:line="60" w:lineRule="exact"/>
        <w:rPr>
          <w:sz w:val="20"/>
          <w:szCs w:val="20"/>
          <w:color w:val="auto"/>
        </w:rPr>
      </w:pPr>
    </w:p>
    <w:p>
      <w:pPr>
        <w:ind w:left="80" w:right="260" w:firstLine="9"/>
        <w:spacing w:after="0"/>
        <w:tabs>
          <w:tab w:leader="none" w:pos="223"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Net income attributable to Clearway Energy, Inc. and basic and diluted earnings per share might not recalculate due to presenting values in millions rather than whole dollars.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and renewable businesses, which consist of solar, wind and energy storage.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8"/>
          </w:tcPr>
          <w:p>
            <w:pPr>
              <w:spacing w:after="0"/>
              <w:rPr>
                <w:sz w:val="20"/>
                <w:szCs w:val="20"/>
                <w:color w:val="auto"/>
              </w:rPr>
            </w:pPr>
            <w:r>
              <w:rPr>
                <w:rFonts w:ascii="Arial" w:cs="Arial" w:eastAsia="Arial" w:hAnsi="Arial"/>
                <w:sz w:val="14"/>
                <w:szCs w:val="14"/>
                <w:b w:val="1"/>
                <w:bCs w:val="1"/>
                <w:color w:val="auto"/>
                <w:w w:val="99"/>
              </w:rPr>
              <w:t>Three months ended September 30, 2023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Renewables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21"/>
                <w:szCs w:val="21"/>
                <w:b w:val="1"/>
                <w:bCs w:val="1"/>
                <w:color w:val="auto"/>
                <w:vertAlign w:val="superscript"/>
              </w:rPr>
              <w:t>(a)</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Generation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175"/>
        </w:trPr>
        <w:tc>
          <w:tcPr>
            <w:tcW w:w="56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5"/>
              </w:rPr>
              <w:t>Cost of operations, exclusive of depreciation, amortization and accretion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00"/>
              <w:spacing w:after="0"/>
              <w:rPr>
                <w:sz w:val="20"/>
                <w:szCs w:val="20"/>
                <w:color w:val="auto"/>
              </w:rPr>
            </w:pPr>
            <w:r>
              <w:rPr>
                <w:rFonts w:ascii="Arial" w:cs="Arial" w:eastAsia="Arial" w:hAnsi="Arial"/>
                <w:sz w:val="18"/>
                <w:szCs w:val="18"/>
                <w:color w:val="auto"/>
              </w:rPr>
              <w:t>shown separately below</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3"/>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0" w:type="dxa"/>
            <w:vAlign w:val="bottom"/>
          </w:tcPr>
          <w:p>
            <w:pPr>
              <w:spacing w:after="0"/>
              <w:rPr>
                <w:sz w:val="1"/>
                <w:szCs w:val="1"/>
                <w:color w:val="auto"/>
              </w:rPr>
            </w:pPr>
          </w:p>
        </w:tc>
      </w:tr>
      <w:tr>
        <w:trPr>
          <w:trHeight w:val="176"/>
        </w:trPr>
        <w:tc>
          <w:tcPr>
            <w:tcW w:w="2180" w:type="dxa"/>
            <w:vAlign w:val="bottom"/>
            <w:tcBorders>
              <w:bottom w:val="single" w:sz="8" w:color="auto"/>
            </w:tcBorders>
          </w:tcPr>
          <w:p>
            <w:pPr>
              <w:spacing w:after="0"/>
              <w:rPr>
                <w:sz w:val="15"/>
                <w:szCs w:val="15"/>
                <w:color w:val="auto"/>
              </w:rPr>
            </w:pP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5620" w:type="dxa"/>
            <w:vAlign w:val="bottom"/>
            <w:gridSpan w:val="2"/>
          </w:tcPr>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8"/>
          </w:tcPr>
          <w:p>
            <w:pPr>
              <w:spacing w:after="0"/>
              <w:rPr>
                <w:sz w:val="20"/>
                <w:szCs w:val="20"/>
                <w:color w:val="auto"/>
              </w:rPr>
            </w:pPr>
            <w:r>
              <w:rPr>
                <w:rFonts w:ascii="Arial" w:cs="Arial" w:eastAsia="Arial" w:hAnsi="Arial"/>
                <w:sz w:val="14"/>
                <w:szCs w:val="14"/>
                <w:b w:val="1"/>
                <w:bCs w:val="1"/>
                <w:color w:val="auto"/>
                <w:w w:val="99"/>
              </w:rPr>
              <w:t>Three months ended September 30, 2022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Conventional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Renewables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21"/>
                <w:szCs w:val="21"/>
                <w:b w:val="1"/>
                <w:bCs w:val="1"/>
                <w:color w:val="auto"/>
                <w:vertAlign w:val="superscript"/>
              </w:rPr>
              <w:t>(a)</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Generation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238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88"/>
        </w:trPr>
        <w:tc>
          <w:tcPr>
            <w:tcW w:w="5620" w:type="dxa"/>
            <w:vAlign w:val="bottom"/>
            <w:gridSpan w:val="2"/>
          </w:tcPr>
          <w:p>
            <w:pPr>
              <w:ind w:left="140"/>
              <w:spacing w:after="0" w:line="189" w:lineRule="exact"/>
              <w:rPr>
                <w:sz w:val="20"/>
                <w:szCs w:val="20"/>
                <w:color w:val="auto"/>
              </w:rPr>
            </w:pPr>
            <w:r>
              <w:rPr>
                <w:rFonts w:ascii="Arial" w:cs="Arial" w:eastAsia="Arial" w:hAnsi="Arial"/>
                <w:sz w:val="18"/>
                <w:szCs w:val="18"/>
                <w:color w:val="auto"/>
                <w:w w:val="95"/>
              </w:rPr>
              <w:t>Cost of operations, exclusive of depreciation, amortization and accretion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300"/>
              <w:spacing w:after="0"/>
              <w:rPr>
                <w:sz w:val="20"/>
                <w:szCs w:val="20"/>
                <w:color w:val="auto"/>
              </w:rPr>
            </w:pPr>
            <w:r>
              <w:rPr>
                <w:rFonts w:ascii="Arial" w:cs="Arial" w:eastAsia="Arial" w:hAnsi="Arial"/>
                <w:sz w:val="18"/>
                <w:szCs w:val="18"/>
                <w:color w:val="auto"/>
              </w:rPr>
              <w:t>shown separately below</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62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11"/>
          </w:tcPr>
          <w:p>
            <w:pPr>
              <w:jc w:val="right"/>
              <w:ind w:right="300"/>
              <w:spacing w:after="0"/>
              <w:rPr>
                <w:sz w:val="20"/>
                <w:szCs w:val="20"/>
                <w:color w:val="auto"/>
              </w:rPr>
            </w:pPr>
            <w:r>
              <w:rPr>
                <w:rFonts w:ascii="Arial" w:cs="Arial" w:eastAsia="Arial" w:hAnsi="Arial"/>
                <w:sz w:val="14"/>
                <w:szCs w:val="14"/>
                <w:b w:val="1"/>
                <w:bCs w:val="1"/>
                <w:color w:val="auto"/>
                <w:w w:val="96"/>
              </w:rPr>
              <w:t>Nine months ended September 30, 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gridSpan w:val="3"/>
          </w:tcPr>
          <w:p>
            <w:pPr>
              <w:jc w:val="right"/>
              <w:ind w:right="151"/>
              <w:spacing w:after="0" w:line="133"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14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1"/>
                <w:szCs w:val="11"/>
                <w:color w:val="auto"/>
              </w:rPr>
            </w:pPr>
          </w:p>
        </w:tc>
        <w:tc>
          <w:tcPr>
            <w:tcW w:w="120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w w:val="88"/>
              </w:rPr>
              <w:t xml:space="preserve">Corporate </w:t>
            </w:r>
            <w:r>
              <w:rPr>
                <w:rFonts w:ascii="Arial" w:cs="Arial" w:eastAsia="Arial" w:hAnsi="Arial"/>
                <w:sz w:val="21"/>
                <w:szCs w:val="21"/>
                <w:b w:val="1"/>
                <w:bCs w:val="1"/>
                <w:color w:val="auto"/>
                <w:w w:val="88"/>
                <w:vertAlign w:val="superscript"/>
              </w:rPr>
              <w:t>(a)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3"/>
          </w:tcPr>
          <w:p>
            <w:pPr>
              <w:jc w:val="right"/>
              <w:ind w:right="211"/>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ind w:right="43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175"/>
        </w:trPr>
        <w:tc>
          <w:tcPr>
            <w:tcW w:w="6380" w:type="dxa"/>
            <w:vAlign w:val="bottom"/>
            <w:gridSpan w:val="6"/>
          </w:tcPr>
          <w:p>
            <w:pPr>
              <w:ind w:left="140"/>
              <w:spacing w:after="0" w:line="176" w:lineRule="exact"/>
              <w:rPr>
                <w:sz w:val="20"/>
                <w:szCs w:val="20"/>
                <w:color w:val="auto"/>
              </w:rPr>
            </w:pPr>
            <w:r>
              <w:rPr>
                <w:rFonts w:ascii="Arial" w:cs="Arial" w:eastAsia="Arial" w:hAnsi="Arial"/>
                <w:sz w:val="18"/>
                <w:szCs w:val="18"/>
                <w:color w:val="auto"/>
              </w:rPr>
              <w:t>Cost of operations, exclusive of depreciation, amortization and accretion</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00"/>
              <w:spacing w:after="0"/>
              <w:rPr>
                <w:sz w:val="20"/>
                <w:szCs w:val="20"/>
                <w:color w:val="auto"/>
              </w:rPr>
            </w:pPr>
            <w:r>
              <w:rPr>
                <w:rFonts w:ascii="Arial" w:cs="Arial" w:eastAsia="Arial" w:hAnsi="Arial"/>
                <w:sz w:val="18"/>
                <w:szCs w:val="18"/>
                <w:color w:val="auto"/>
              </w:rPr>
              <w:t>shown separately below</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ind w:right="43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5140" w:type="dxa"/>
            <w:vAlign w:val="bottom"/>
            <w:gridSpan w:val="2"/>
          </w:tcPr>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gridSpan w:val="12"/>
          </w:tcPr>
          <w:p>
            <w:pPr>
              <w:jc w:val="center"/>
              <w:ind w:right="500"/>
              <w:spacing w:after="0"/>
              <w:rPr>
                <w:sz w:val="20"/>
                <w:szCs w:val="20"/>
                <w:color w:val="auto"/>
              </w:rPr>
            </w:pPr>
            <w:r>
              <w:rPr>
                <w:rFonts w:ascii="Arial" w:cs="Arial" w:eastAsia="Arial" w:hAnsi="Arial"/>
                <w:sz w:val="14"/>
                <w:szCs w:val="14"/>
                <w:b w:val="1"/>
                <w:bCs w:val="1"/>
                <w:color w:val="auto"/>
                <w:w w:val="91"/>
              </w:rPr>
              <w:t>Nine months ended September 30, 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Conventional</w:t>
            </w:r>
          </w:p>
        </w:tc>
        <w:tc>
          <w:tcPr>
            <w:tcW w:w="12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Renewables</w:t>
            </w:r>
          </w:p>
        </w:tc>
        <w:tc>
          <w:tcPr>
            <w:tcW w:w="860" w:type="dxa"/>
            <w:vAlign w:val="bottom"/>
            <w:gridSpan w:val="2"/>
            <w:vMerge w:val="restart"/>
          </w:tcPr>
          <w:p>
            <w:pPr>
              <w:jc w:val="center"/>
              <w:ind w:left="191"/>
              <w:spacing w:after="0"/>
              <w:rPr>
                <w:sz w:val="20"/>
                <w:szCs w:val="20"/>
                <w:color w:val="auto"/>
              </w:rPr>
            </w:pPr>
            <w:r>
              <w:rPr>
                <w:rFonts w:ascii="Arial" w:cs="Arial" w:eastAsia="Arial" w:hAnsi="Arial"/>
                <w:sz w:val="14"/>
                <w:szCs w:val="14"/>
                <w:b w:val="1"/>
                <w:bCs w:val="1"/>
                <w:color w:val="auto"/>
                <w:w w:val="99"/>
              </w:rPr>
              <w:t>Thermal</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 xml:space="preserve">Corporate </w:t>
            </w:r>
            <w:r>
              <w:rPr>
                <w:rFonts w:ascii="Arial" w:cs="Arial" w:eastAsia="Arial" w:hAnsi="Arial"/>
                <w:sz w:val="21"/>
                <w:szCs w:val="21"/>
                <w:b w:val="1"/>
                <w:bCs w:val="1"/>
                <w:color w:val="auto"/>
                <w:w w:val="93"/>
                <w:vertAlign w:val="superscript"/>
              </w:rPr>
              <w:t>(a)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Generation</w:t>
            </w:r>
          </w:p>
        </w:tc>
        <w:tc>
          <w:tcPr>
            <w:tcW w:w="1240" w:type="dxa"/>
            <w:vAlign w:val="bottom"/>
            <w:tcBorders>
              <w:bottom w:val="single" w:sz="8" w:color="auto"/>
            </w:tcBorders>
            <w:gridSpan w:val="4"/>
            <w:vMerge w:val="continue"/>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176"/>
        </w:trPr>
        <w:tc>
          <w:tcPr>
            <w:tcW w:w="5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Cost of operations, exclusive of depreciation, amortization and</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00"/>
              <w:spacing w:after="0"/>
              <w:rPr>
                <w:sz w:val="20"/>
                <w:szCs w:val="20"/>
                <w:color w:val="auto"/>
              </w:rPr>
            </w:pPr>
            <w:r>
              <w:rPr>
                <w:rFonts w:ascii="Arial" w:cs="Arial" w:eastAsia="Arial" w:hAnsi="Arial"/>
                <w:sz w:val="18"/>
                <w:szCs w:val="18"/>
                <w:color w:val="auto"/>
              </w:rPr>
              <w:t>accretion shown separately below</w:t>
            </w: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Development costs</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Gain on sale of business</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1,291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Loss on debt extinguishment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0"/>
              </w:rPr>
              <w:t>(6)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1,187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760" w:type="dxa"/>
            <w:vAlign w:val="bottom"/>
          </w:tcPr>
          <w:p>
            <w:pPr>
              <w:jc w:val="right"/>
              <w:ind w:right="55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17</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18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consisted of the following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4340" w:type="dxa"/>
            <w:vAlign w:val="bottom"/>
          </w:tcPr>
          <w:p>
            <w:pPr>
              <w:spacing w:after="0"/>
              <w:rPr>
                <w:sz w:val="16"/>
                <w:szCs w:val="16"/>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r>
      <w:tr>
        <w:trPr>
          <w:trHeight w:val="194"/>
        </w:trPr>
        <w:tc>
          <w:tcPr>
            <w:tcW w:w="4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6"/>
          </w:tcPr>
          <w:p>
            <w:pPr>
              <w:ind w:left="720"/>
              <w:spacing w:after="0"/>
              <w:rPr>
                <w:sz w:val="20"/>
                <w:szCs w:val="20"/>
                <w:color w:val="auto"/>
              </w:rPr>
            </w:pPr>
            <w:r>
              <w:rPr>
                <w:rFonts w:ascii="Arial" w:cs="Arial" w:eastAsia="Arial" w:hAnsi="Arial"/>
                <w:sz w:val="14"/>
                <w:szCs w:val="14"/>
                <w:b w:val="1"/>
                <w:bCs w:val="1"/>
                <w:color w:val="auto"/>
              </w:rPr>
              <w:t>(In millions, except percentages)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8"/>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1,351</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237</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79.2 %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r>
    </w:tbl>
    <w:p>
      <w:pPr>
        <w:spacing w:after="0" w:line="24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and nine months ended September 30,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1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and nine months ended September 30, 2022, the overall effective tax rate was different than the statutory rate of 21% primarily due to the allocation of taxable earnings and losses, including the gain on the sale of the Thermal Business, based on the partners’ interest in Clearway Energy LLC, which includes the effects of applying the HLBV method of accounting for book purposes for certain partnerships.</w:t>
      </w:r>
    </w:p>
    <w:p>
      <w:pPr>
        <w:spacing w:after="0" w:line="1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tax purposes, Clearway Energy LLC is treated as a partnership; therefore, the Company and CEG each record their respective share of taxable income or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Various wholly-owned subsidiaries of the Company in the Renewables segment are party to services agreements with Clearway Renewable Operation</w:t>
      </w:r>
    </w:p>
    <w:p>
      <w:pPr>
        <w:spacing w:after="0" w:line="46" w:lineRule="exact"/>
        <w:rPr>
          <w:sz w:val="20"/>
          <w:szCs w:val="20"/>
          <w:color w:val="auto"/>
        </w:rPr>
      </w:pPr>
    </w:p>
    <w:p>
      <w:pPr>
        <w:jc w:val="both"/>
        <w:ind w:firstLine="8"/>
        <w:spacing w:after="0" w:line="295" w:lineRule="auto"/>
        <w:tabs>
          <w:tab w:leader="none" w:pos="188"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Maintenance LLC, or RENOM, a wholly-owned subsidiary of CEG, which provides operation and maintenance, or O&amp;M, services to these subsidiaries. The Company incurred total expenses for these services of $18 million and $19 million for the three months ended September 30, 2023 and 2022, respectively. The Company incurred total expenses for these services of $54 million and $49 million for the nine months ended September 30, 2023 and 2022, respectively. There was a balance of $10 million and $14 million due to RENOM as of September 30, 2023 and December 31, 2022,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$5 million and $3 million for the three months ended September 30, 2023, and 2022, respectively. The Company incurred expenses under these agreements of $15 million and $11 million for the nine months ended September 30, 2023 and 2022, respectively. There was a balance of $2 million and $3 million due to CEG as of September 30, 2023 and December 31, 2022,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color w:val="auto"/>
        </w:rPr>
        <w:t>The Company is a party to the CEG Master Services Agreements,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under these agreements of $1 million for each of the three months ended September 30, 2023 and 2022. The Company incurred net expenses under these agreements of $4 million for each of the nine months ended September 30, 2023 and 2022.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in the Company’s 2022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 is described below. The Company believes that it has a valid defense to this legal proceeding and intends to defend it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 below or reasonably estimate the scope or amount of any associated costs and potential liabilities. As additional information becomes available, management adjusts its assessment and estimate of such contingency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In response to motions for partial summary judgment filed by each party, the court denied Georgetown’s motion in its entirety, granted Buckthorn Westex’s motion with respect to the fraud by nondisclosure claim and denied Buckthorn Westex’s motion with respect to the breach of contract claim. The case was scheduled to proceed to trial in October 2023, but the parties agreed to delay the trial date in light of ongoing settlement negotiations. Buckthorn Westex believes the allegations of Georgetown are meritless, and Buckthorn Westex is vigorously defending its rights under the PPA.</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5" w:name="page36"/>
    <w:bookmarkEnd w:id="35"/>
    <w:p>
      <w:pPr>
        <w:ind w:right="316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and nine months ended September 30, 2023 and 2022. Also refer to the Company’s 2022 Form 10-K, which includes detailed discussions of various items impacting the Company’s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77" w:lineRule="auto"/>
        <w:tabs>
          <w:tab w:leader="none" w:pos="1299"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980" w:right="80"/>
        <w:spacing w:after="0" w:line="277" w:lineRule="auto"/>
        <w:tabs>
          <w:tab w:leader="none" w:pos="1299"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auto"/>
        </w:rPr>
      </w:pPr>
    </w:p>
    <w:p>
      <w:pPr>
        <w:ind w:left="980" w:right="100"/>
        <w:spacing w:after="0" w:line="277" w:lineRule="auto"/>
        <w:tabs>
          <w:tab w:leader="none" w:pos="1299"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231F20"/>
        </w:rPr>
      </w:pPr>
    </w:p>
    <w:p>
      <w:pPr>
        <w:ind w:left="980" w:right="80"/>
        <w:spacing w:after="0" w:line="277" w:lineRule="auto"/>
        <w:tabs>
          <w:tab w:leader="none" w:pos="12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Arial" w:cs="Arial" w:eastAsia="Arial" w:hAnsi="Arial"/>
          <w:sz w:val="18"/>
          <w:szCs w:val="18"/>
          <w:color w:val="231F20"/>
        </w:rPr>
        <w:t>The majority</w:t>
      </w:r>
      <w:r>
        <w:rPr>
          <w:rFonts w:ascii="Arial" w:cs="Arial" w:eastAsia="Arial" w:hAnsi="Arial"/>
          <w:sz w:val="18"/>
          <w:szCs w:val="18"/>
          <w:color w:val="auto"/>
        </w:rPr>
        <w:t xml:space="preserve"> of the Company’s revenues are derived from long-term contractual arrangements for the output or capacity from these assets. The weighted average remaining contract duration of these offtake agreements was approximately 10 years </w:t>
      </w:r>
      <w:r>
        <w:rPr>
          <w:rFonts w:ascii="Arial" w:cs="Arial" w:eastAsia="Arial" w:hAnsi="Arial"/>
          <w:sz w:val="18"/>
          <w:szCs w:val="18"/>
          <w:color w:val="231F20"/>
        </w:rPr>
        <w:t>as of</w:t>
      </w:r>
      <w:r>
        <w:rPr>
          <w:rFonts w:ascii="Arial" w:cs="Arial" w:eastAsia="Arial" w:hAnsi="Arial"/>
          <w:sz w:val="18"/>
          <w:szCs w:val="18"/>
          <w:color w:val="auto"/>
        </w:rPr>
        <w:t xml:space="preserve"> September 30, 2023 </w:t>
      </w:r>
      <w:r>
        <w:rPr>
          <w:rFonts w:ascii="Arial" w:cs="Arial" w:eastAsia="Arial" w:hAnsi="Arial"/>
          <w:sz w:val="18"/>
          <w:szCs w:val="18"/>
          <w:color w:val="231F20"/>
        </w:rPr>
        <w:t>based on CAFD.</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2023, the Company’s operating assets are comprised of the following projects:</w:t>
      </w:r>
    </w:p>
    <w:p>
      <w:pPr>
        <w:spacing w:after="0" w:line="78"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Projects</w:t>
            </w:r>
          </w:p>
        </w:tc>
        <w:tc>
          <w:tcPr>
            <w:tcW w:w="1880" w:type="dxa"/>
            <w:vAlign w:val="bottom"/>
          </w:tcPr>
          <w:p>
            <w:pPr>
              <w:ind w:left="940"/>
              <w:spacing w:after="0"/>
              <w:rPr>
                <w:sz w:val="20"/>
                <w:szCs w:val="20"/>
                <w:color w:val="auto"/>
              </w:rPr>
            </w:pPr>
            <w:r>
              <w:rPr>
                <w:rFonts w:ascii="Arial" w:cs="Arial" w:eastAsia="Arial" w:hAnsi="Arial"/>
                <w:sz w:val="14"/>
                <w:szCs w:val="14"/>
                <w:b w:val="1"/>
                <w:bCs w:val="1"/>
                <w:color w:val="auto"/>
              </w:rPr>
              <w:t>Percentage</w:t>
            </w:r>
          </w:p>
        </w:tc>
        <w:tc>
          <w:tcPr>
            <w:tcW w:w="1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Net Capacity</w:t>
            </w:r>
          </w:p>
        </w:tc>
        <w:tc>
          <w:tcPr>
            <w:tcW w:w="26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234"/>
        </w:trPr>
        <w:tc>
          <w:tcPr>
            <w:tcW w:w="1460" w:type="dxa"/>
            <w:vAlign w:val="bottom"/>
            <w:vMerge w:val="continue"/>
          </w:tcPr>
          <w:p>
            <w:pPr>
              <w:spacing w:after="0"/>
              <w:rPr>
                <w:sz w:val="20"/>
                <w:szCs w:val="20"/>
                <w:color w:val="auto"/>
              </w:rPr>
            </w:pPr>
          </w:p>
        </w:tc>
        <w:tc>
          <w:tcPr>
            <w:tcW w:w="1880" w:type="dxa"/>
            <w:vAlign w:val="bottom"/>
          </w:tcPr>
          <w:p>
            <w:pPr>
              <w:ind w:left="940"/>
              <w:spacing w:after="0"/>
              <w:rPr>
                <w:sz w:val="20"/>
                <w:szCs w:val="20"/>
                <w:color w:val="auto"/>
              </w:rPr>
            </w:pPr>
            <w:r>
              <w:rPr>
                <w:rFonts w:ascii="Arial" w:cs="Arial" w:eastAsia="Arial" w:hAnsi="Arial"/>
                <w:sz w:val="14"/>
                <w:szCs w:val="14"/>
                <w:b w:val="1"/>
                <w:bCs w:val="1"/>
                <w:color w:val="auto"/>
              </w:rPr>
              <w:t>Ownership</w:t>
            </w:r>
          </w:p>
        </w:tc>
        <w:tc>
          <w:tcPr>
            <w:tcW w:w="1940" w:type="dxa"/>
            <w:vAlign w:val="bottom"/>
          </w:tcPr>
          <w:p>
            <w:pPr>
              <w:jc w:val="center"/>
              <w:ind w:right="608"/>
              <w:spacing w:after="0" w:line="234" w:lineRule="exact"/>
              <w:rPr>
                <w:sz w:val="20"/>
                <w:szCs w:val="20"/>
                <w:color w:val="auto"/>
              </w:rPr>
            </w:pPr>
            <w:r>
              <w:rPr>
                <w:rFonts w:ascii="Arial" w:cs="Arial" w:eastAsia="Arial" w:hAnsi="Arial"/>
                <w:sz w:val="14"/>
                <w:szCs w:val="14"/>
                <w:b w:val="1"/>
                <w:bCs w:val="1"/>
                <w:color w:val="auto"/>
                <w:w w:val="97"/>
              </w:rPr>
              <w:t xml:space="preserve">(MW) </w:t>
            </w:r>
            <w:r>
              <w:rPr>
                <w:rFonts w:ascii="Arial" w:cs="Arial" w:eastAsia="Arial" w:hAnsi="Arial"/>
                <w:sz w:val="21"/>
                <w:szCs w:val="21"/>
                <w:b w:val="1"/>
                <w:bCs w:val="1"/>
                <w:color w:val="auto"/>
                <w:w w:val="97"/>
                <w:vertAlign w:val="superscript"/>
              </w:rPr>
              <w:t>(a)</w:t>
            </w:r>
          </w:p>
        </w:tc>
        <w:tc>
          <w:tcPr>
            <w:tcW w:w="26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Conventional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Carlsbad</w:t>
            </w:r>
          </w:p>
        </w:tc>
        <w:tc>
          <w:tcPr>
            <w:tcW w:w="23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100 %</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c>
          <w:tcPr>
            <w:tcW w:w="29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San Diego Gas &amp; Electric</w:t>
            </w:r>
          </w:p>
        </w:tc>
        <w:tc>
          <w:tcPr>
            <w:tcW w:w="2180" w:type="dxa"/>
            <w:vAlign w:val="bottom"/>
            <w:shd w:val="clear" w:color="auto" w:fill="CCEEFF"/>
          </w:tcPr>
          <w:p>
            <w:pPr>
              <w:jc w:val="center"/>
              <w:ind w:left="1048"/>
              <w:spacing w:after="0"/>
              <w:rPr>
                <w:sz w:val="20"/>
                <w:szCs w:val="20"/>
                <w:color w:val="auto"/>
              </w:rPr>
            </w:pPr>
            <w:r>
              <w:rPr>
                <w:rFonts w:ascii="Arial" w:cs="Arial" w:eastAsia="Arial" w:hAnsi="Arial"/>
                <w:sz w:val="14"/>
                <w:szCs w:val="14"/>
                <w:color w:val="auto"/>
                <w:w w:val="96"/>
              </w:rPr>
              <w:t>2038</w:t>
            </w:r>
          </w:p>
        </w:tc>
      </w:t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El Segundo</w:t>
            </w:r>
          </w:p>
        </w:tc>
        <w:tc>
          <w:tcPr>
            <w:tcW w:w="2380" w:type="dxa"/>
            <w:vAlign w:val="bottom"/>
          </w:tcPr>
          <w:p>
            <w:pPr>
              <w:jc w:val="right"/>
              <w:ind w:right="388"/>
              <w:spacing w:after="0"/>
              <w:rPr>
                <w:sz w:val="20"/>
                <w:szCs w:val="20"/>
                <w:color w:val="auto"/>
              </w:rPr>
            </w:pPr>
            <w:r>
              <w:rPr>
                <w:rFonts w:ascii="Arial" w:cs="Arial" w:eastAsia="Arial" w:hAnsi="Arial"/>
                <w:sz w:val="14"/>
                <w:szCs w:val="14"/>
                <w:color w:val="auto"/>
              </w:rPr>
              <w:t>100 %</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2980" w:type="dxa"/>
            <w:vAlign w:val="bottom"/>
          </w:tcPr>
          <w:p>
            <w:pPr>
              <w:ind w:left="80"/>
              <w:spacing w:after="0"/>
              <w:rPr>
                <w:sz w:val="20"/>
                <w:szCs w:val="20"/>
                <w:color w:val="auto"/>
              </w:rPr>
            </w:pPr>
            <w:r>
              <w:rPr>
                <w:rFonts w:ascii="Arial" w:cs="Arial" w:eastAsia="Arial" w:hAnsi="Arial"/>
                <w:sz w:val="14"/>
                <w:szCs w:val="14"/>
                <w:color w:val="auto"/>
              </w:rPr>
              <w:t>SCE</w:t>
            </w:r>
          </w:p>
        </w:tc>
        <w:tc>
          <w:tcPr>
            <w:tcW w:w="2180" w:type="dxa"/>
            <w:vAlign w:val="bottom"/>
          </w:tcPr>
          <w:p>
            <w:pPr>
              <w:jc w:val="center"/>
              <w:ind w:left="1048"/>
              <w:spacing w:after="0"/>
              <w:rPr>
                <w:sz w:val="20"/>
                <w:szCs w:val="20"/>
                <w:color w:val="auto"/>
              </w:rPr>
            </w:pPr>
            <w:r>
              <w:rPr>
                <w:rFonts w:ascii="Arial" w:cs="Arial" w:eastAsia="Arial" w:hAnsi="Arial"/>
                <w:sz w:val="14"/>
                <w:szCs w:val="14"/>
                <w:color w:val="auto"/>
                <w:w w:val="93"/>
              </w:rPr>
              <w:t>2023 - 2027</w:t>
            </w:r>
          </w:p>
        </w:tc>
      </w:tr>
      <w:tr>
        <w:trPr>
          <w:trHeight w:val="20"/>
        </w:trPr>
        <w:tc>
          <w:tcPr>
            <w:tcW w:w="2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GenConn Devon</w:t>
            </w:r>
          </w:p>
        </w:tc>
        <w:tc>
          <w:tcPr>
            <w:tcW w:w="238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50 %</w:t>
            </w: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2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Connecticut Light &amp; Power</w:t>
            </w:r>
          </w:p>
        </w:tc>
        <w:tc>
          <w:tcPr>
            <w:tcW w:w="2180" w:type="dxa"/>
            <w:vAlign w:val="bottom"/>
            <w:tcBorders>
              <w:bottom w:val="single" w:sz="8" w:color="CCEEFF"/>
            </w:tcBorders>
            <w:shd w:val="clear" w:color="auto" w:fill="CCEEFF"/>
          </w:tcPr>
          <w:p>
            <w:pPr>
              <w:jc w:val="center"/>
              <w:ind w:left="1048"/>
              <w:spacing w:after="0"/>
              <w:rPr>
                <w:sz w:val="20"/>
                <w:szCs w:val="20"/>
                <w:color w:val="auto"/>
              </w:rPr>
            </w:pPr>
            <w:r>
              <w:rPr>
                <w:rFonts w:ascii="Arial" w:cs="Arial" w:eastAsia="Arial" w:hAnsi="Arial"/>
                <w:sz w:val="14"/>
                <w:szCs w:val="14"/>
                <w:color w:val="auto"/>
                <w:w w:val="96"/>
              </w:rPr>
              <w:t>2040</w:t>
            </w:r>
          </w:p>
        </w:tc>
      </w:t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GenConn Middletown</w:t>
            </w:r>
          </w:p>
        </w:tc>
        <w:tc>
          <w:tcPr>
            <w:tcW w:w="2380" w:type="dxa"/>
            <w:vAlign w:val="bottom"/>
          </w:tcPr>
          <w:p>
            <w:pPr>
              <w:jc w:val="right"/>
              <w:ind w:right="388"/>
              <w:spacing w:after="0"/>
              <w:rPr>
                <w:sz w:val="20"/>
                <w:szCs w:val="20"/>
                <w:color w:val="auto"/>
              </w:rPr>
            </w:pPr>
            <w:r>
              <w:rPr>
                <w:rFonts w:ascii="Arial" w:cs="Arial" w:eastAsia="Arial" w:hAnsi="Arial"/>
                <w:sz w:val="14"/>
                <w:szCs w:val="14"/>
                <w:color w:val="auto"/>
              </w:rPr>
              <w:t>50 %</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2980" w:type="dxa"/>
            <w:vAlign w:val="bottom"/>
          </w:tcPr>
          <w:p>
            <w:pPr>
              <w:ind w:left="80"/>
              <w:spacing w:after="0"/>
              <w:rPr>
                <w:sz w:val="20"/>
                <w:szCs w:val="20"/>
                <w:color w:val="auto"/>
              </w:rPr>
            </w:pPr>
            <w:r>
              <w:rPr>
                <w:rFonts w:ascii="Arial" w:cs="Arial" w:eastAsia="Arial" w:hAnsi="Arial"/>
                <w:sz w:val="14"/>
                <w:szCs w:val="14"/>
                <w:color w:val="auto"/>
              </w:rPr>
              <w:t>Connecticut Light &amp; Power</w:t>
            </w:r>
          </w:p>
        </w:tc>
        <w:tc>
          <w:tcPr>
            <w:tcW w:w="2180" w:type="dxa"/>
            <w:vAlign w:val="bottom"/>
          </w:tcPr>
          <w:p>
            <w:pPr>
              <w:jc w:val="center"/>
              <w:ind w:left="1048"/>
              <w:spacing w:after="0"/>
              <w:rPr>
                <w:sz w:val="20"/>
                <w:szCs w:val="20"/>
                <w:color w:val="auto"/>
              </w:rPr>
            </w:pPr>
            <w:r>
              <w:rPr>
                <w:rFonts w:ascii="Arial" w:cs="Arial" w:eastAsia="Arial" w:hAnsi="Arial"/>
                <w:sz w:val="14"/>
                <w:szCs w:val="14"/>
                <w:color w:val="auto"/>
                <w:w w:val="96"/>
              </w:rPr>
              <w:t>2041</w:t>
            </w:r>
          </w:p>
        </w:tc>
      </w:tr>
      <w:tr>
        <w:trPr>
          <w:trHeight w:val="20"/>
        </w:trPr>
        <w:tc>
          <w:tcPr>
            <w:tcW w:w="2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Marsh Landing</w:t>
            </w:r>
          </w:p>
        </w:tc>
        <w:tc>
          <w:tcPr>
            <w:tcW w:w="238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100 %</w:t>
            </w: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2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Various</w:t>
            </w:r>
          </w:p>
        </w:tc>
        <w:tc>
          <w:tcPr>
            <w:tcW w:w="2180" w:type="dxa"/>
            <w:vAlign w:val="bottom"/>
            <w:tcBorders>
              <w:bottom w:val="single" w:sz="8" w:color="CCEEFF"/>
            </w:tcBorders>
            <w:shd w:val="clear" w:color="auto" w:fill="CCEEFF"/>
          </w:tcPr>
          <w:p>
            <w:pPr>
              <w:jc w:val="center"/>
              <w:ind w:left="1048"/>
              <w:spacing w:after="0"/>
              <w:rPr>
                <w:sz w:val="20"/>
                <w:szCs w:val="20"/>
                <w:color w:val="auto"/>
              </w:rPr>
            </w:pPr>
            <w:r>
              <w:rPr>
                <w:rFonts w:ascii="Arial" w:cs="Arial" w:eastAsia="Arial" w:hAnsi="Arial"/>
                <w:sz w:val="14"/>
                <w:szCs w:val="14"/>
                <w:color w:val="auto"/>
                <w:w w:val="93"/>
              </w:rPr>
              <w:t>2023 - 2030</w:t>
            </w:r>
          </w:p>
        </w:tc>
      </w:t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Walnut Creek</w:t>
            </w:r>
          </w:p>
        </w:tc>
        <w:tc>
          <w:tcPr>
            <w:tcW w:w="2380" w:type="dxa"/>
            <w:vAlign w:val="bottom"/>
          </w:tcPr>
          <w:p>
            <w:pPr>
              <w:jc w:val="right"/>
              <w:ind w:right="388"/>
              <w:spacing w:after="0"/>
              <w:rPr>
                <w:sz w:val="20"/>
                <w:szCs w:val="20"/>
                <w:color w:val="auto"/>
              </w:rPr>
            </w:pPr>
            <w:r>
              <w:rPr>
                <w:rFonts w:ascii="Arial" w:cs="Arial" w:eastAsia="Arial" w:hAnsi="Arial"/>
                <w:sz w:val="14"/>
                <w:szCs w:val="14"/>
                <w:color w:val="auto"/>
              </w:rPr>
              <w:t>100 %</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2980" w:type="dxa"/>
            <w:vAlign w:val="bottom"/>
          </w:tcPr>
          <w:p>
            <w:pPr>
              <w:ind w:left="80"/>
              <w:spacing w:after="0"/>
              <w:rPr>
                <w:sz w:val="20"/>
                <w:szCs w:val="20"/>
                <w:color w:val="auto"/>
              </w:rPr>
            </w:pPr>
            <w:r>
              <w:rPr>
                <w:rFonts w:ascii="Arial" w:cs="Arial" w:eastAsia="Arial" w:hAnsi="Arial"/>
                <w:sz w:val="14"/>
                <w:szCs w:val="14"/>
                <w:color w:val="auto"/>
              </w:rPr>
              <w:t>SCE</w:t>
            </w:r>
          </w:p>
        </w:tc>
        <w:tc>
          <w:tcPr>
            <w:tcW w:w="2180" w:type="dxa"/>
            <w:vAlign w:val="bottom"/>
          </w:tcPr>
          <w:p>
            <w:pPr>
              <w:jc w:val="center"/>
              <w:ind w:left="1048"/>
              <w:spacing w:after="0"/>
              <w:rPr>
                <w:sz w:val="20"/>
                <w:szCs w:val="20"/>
                <w:color w:val="auto"/>
              </w:rPr>
            </w:pPr>
            <w:r>
              <w:rPr>
                <w:rFonts w:ascii="Arial" w:cs="Arial" w:eastAsia="Arial" w:hAnsi="Arial"/>
                <w:sz w:val="14"/>
                <w:szCs w:val="14"/>
                <w:color w:val="auto"/>
                <w:w w:val="93"/>
              </w:rPr>
              <w:t>2023 - 2026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i w:val="1"/>
                <w:iCs w:val="1"/>
                <w:color w:val="auto"/>
              </w:rPr>
              <w:t>Total Conventional</w:t>
            </w:r>
          </w:p>
        </w:tc>
        <w:tc>
          <w:tcPr>
            <w:tcW w:w="16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30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Utility Scale Solar</w:t>
            </w: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Agua Caliente</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2039</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Alpine</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66</w:t>
            </w:r>
          </w:p>
        </w:tc>
        <w:tc>
          <w:tcPr>
            <w:tcW w:w="304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2033</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Avenal</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2031</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Avra Valley</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3040" w:type="dxa"/>
            <w:vAlign w:val="bottom"/>
          </w:tcPr>
          <w:p>
            <w:pPr>
              <w:ind w:left="120"/>
              <w:spacing w:after="0"/>
              <w:rPr>
                <w:sz w:val="20"/>
                <w:szCs w:val="20"/>
                <w:color w:val="auto"/>
              </w:rPr>
            </w:pPr>
            <w:r>
              <w:rPr>
                <w:rFonts w:ascii="Arial" w:cs="Arial" w:eastAsia="Arial" w:hAnsi="Arial"/>
                <w:sz w:val="14"/>
                <w:szCs w:val="14"/>
                <w:color w:val="auto"/>
              </w:rPr>
              <w:t>Tucson Electric Power</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2032</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Blythe</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2029</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Borrego</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3040" w:type="dxa"/>
            <w:vAlign w:val="bottom"/>
          </w:tcPr>
          <w:p>
            <w:pPr>
              <w:ind w:left="120"/>
              <w:spacing w:after="0"/>
              <w:rPr>
                <w:sz w:val="20"/>
                <w:szCs w:val="20"/>
                <w:color w:val="auto"/>
              </w:rPr>
            </w:pPr>
            <w:r>
              <w:rPr>
                <w:rFonts w:ascii="Arial" w:cs="Arial" w:eastAsia="Arial" w:hAnsi="Arial"/>
                <w:sz w:val="14"/>
                <w:szCs w:val="14"/>
                <w:color w:val="auto"/>
              </w:rPr>
              <w:t>San Diego Gas and Electric</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2038</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City of Georgetown, TX</w:t>
            </w:r>
          </w:p>
        </w:tc>
        <w:tc>
          <w:tcPr>
            <w:tcW w:w="21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96"/>
              </w:rPr>
              <w:t>2043</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CVSR</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250</w:t>
            </w:r>
          </w:p>
        </w:tc>
        <w:tc>
          <w:tcPr>
            <w:tcW w:w="304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2038</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Arial" w:cs="Arial" w:eastAsia="Arial" w:hAnsi="Arial"/>
                <w:sz w:val="23"/>
                <w:szCs w:val="23"/>
                <w:color w:val="auto"/>
                <w:vertAlign w:val="subscript"/>
              </w:rPr>
              <w:t>Daggett 3</w:t>
            </w:r>
            <w:r>
              <w:rPr>
                <w:rFonts w:ascii="Arial" w:cs="Arial" w:eastAsia="Arial" w:hAnsi="Arial"/>
                <w:sz w:val="10"/>
                <w:szCs w:val="10"/>
                <w:color w:val="auto"/>
              </w:rPr>
              <w:t xml:space="preserve"> (b) (c) (d)</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93"/>
              </w:rPr>
              <w:t>2033 - 2038</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Desert Sunlight 250</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25 %</w:t>
            </w:r>
          </w:p>
        </w:tc>
        <w:tc>
          <w:tcPr>
            <w:tcW w:w="1060" w:type="dxa"/>
            <w:vAlign w:val="bottom"/>
          </w:tcPr>
          <w:p>
            <w:pPr>
              <w:jc w:val="right"/>
              <w:spacing w:after="0"/>
              <w:rPr>
                <w:sz w:val="20"/>
                <w:szCs w:val="20"/>
                <w:color w:val="auto"/>
              </w:rPr>
            </w:pPr>
            <w:r>
              <w:rPr>
                <w:rFonts w:ascii="Arial" w:cs="Arial" w:eastAsia="Arial" w:hAnsi="Arial"/>
                <w:sz w:val="14"/>
                <w:szCs w:val="14"/>
                <w:color w:val="auto"/>
              </w:rPr>
              <w:t>63</w:t>
            </w:r>
          </w:p>
        </w:tc>
        <w:tc>
          <w:tcPr>
            <w:tcW w:w="3040" w:type="dxa"/>
            <w:vAlign w:val="bottom"/>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2034</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Desert Sunlight 300</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2039</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Kansas South</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304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2033</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Mililani I </w:t>
            </w:r>
            <w:r>
              <w:rPr>
                <w:rFonts w:ascii="Arial" w:cs="Arial" w:eastAsia="Arial" w:hAnsi="Arial"/>
                <w:sz w:val="21"/>
                <w:szCs w:val="21"/>
                <w:color w:val="auto"/>
                <w:vertAlign w:val="superscript"/>
              </w:rPr>
              <w:t>(b) (c)</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96"/>
              </w:rPr>
              <w:t>2042</w:t>
            </w:r>
          </w:p>
        </w:tc>
      </w:tr>
      <w:tr>
        <w:trPr>
          <w:trHeight w:val="230"/>
        </w:trPr>
        <w:tc>
          <w:tcPr>
            <w:tcW w:w="334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21"/>
                <w:szCs w:val="21"/>
                <w:color w:val="auto"/>
                <w:vertAlign w:val="superscript"/>
              </w:rPr>
              <w:t>(b)</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61</w:t>
            </w:r>
          </w:p>
        </w:tc>
        <w:tc>
          <w:tcPr>
            <w:tcW w:w="3040" w:type="dxa"/>
            <w:vAlign w:val="bottom"/>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2041</w:t>
            </w: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Roadrunner</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El Paso Electric</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2031</w:t>
            </w:r>
          </w:p>
        </w:tc>
      </w:tr>
      <w:tr>
        <w:trPr>
          <w:trHeight w:val="230"/>
        </w:trPr>
        <w:tc>
          <w:tcPr>
            <w:tcW w:w="334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21"/>
                <w:szCs w:val="21"/>
                <w:color w:val="auto"/>
                <w:vertAlign w:val="superscript"/>
              </w:rPr>
              <w:t>(b)</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60" w:type="dxa"/>
            <w:vAlign w:val="bottom"/>
          </w:tcPr>
          <w:p>
            <w:pPr>
              <w:jc w:val="right"/>
              <w:spacing w:after="0"/>
              <w:rPr>
                <w:sz w:val="20"/>
                <w:szCs w:val="20"/>
                <w:color w:val="auto"/>
              </w:rPr>
            </w:pPr>
            <w:r>
              <w:rPr>
                <w:rFonts w:ascii="Arial" w:cs="Arial" w:eastAsia="Arial" w:hAnsi="Arial"/>
                <w:sz w:val="14"/>
                <w:szCs w:val="14"/>
                <w:color w:val="auto"/>
              </w:rPr>
              <w:t>96</w:t>
            </w:r>
          </w:p>
        </w:tc>
        <w:tc>
          <w:tcPr>
            <w:tcW w:w="304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3"/>
              </w:rPr>
              <w:t>2035 - 2047</w:t>
            </w: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TA High Desert</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6"/>
              </w:rPr>
              <w:t>2033</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Utah Solar Portfolio</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530</w:t>
            </w:r>
          </w:p>
        </w:tc>
        <w:tc>
          <w:tcPr>
            <w:tcW w:w="3040" w:type="dxa"/>
            <w:vAlign w:val="bottom"/>
          </w:tcPr>
          <w:p>
            <w:pPr>
              <w:ind w:left="120"/>
              <w:spacing w:after="0"/>
              <w:rPr>
                <w:sz w:val="20"/>
                <w:szCs w:val="20"/>
                <w:color w:val="auto"/>
              </w:rPr>
            </w:pPr>
            <w:r>
              <w:rPr>
                <w:rFonts w:ascii="Arial" w:cs="Arial" w:eastAsia="Arial" w:hAnsi="Arial"/>
                <w:sz w:val="14"/>
                <w:szCs w:val="14"/>
                <w:color w:val="auto"/>
              </w:rPr>
              <w:t>PacifiCorp</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6"/>
              </w:rPr>
              <w:t>2036</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Waiawa </w:t>
            </w:r>
            <w:r>
              <w:rPr>
                <w:rFonts w:ascii="Arial" w:cs="Arial" w:eastAsia="Arial" w:hAnsi="Arial"/>
                <w:sz w:val="21"/>
                <w:szCs w:val="21"/>
                <w:color w:val="auto"/>
                <w:vertAlign w:val="superscript"/>
              </w:rPr>
              <w:t>(b) (c)</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96"/>
              </w:rPr>
              <w:t>2043</w:t>
            </w:r>
          </w:p>
        </w:tc>
      </w:tr>
      <w:tr>
        <w:trPr>
          <w:trHeight w:val="196"/>
        </w:trPr>
        <w:tc>
          <w:tcPr>
            <w:tcW w:w="3340" w:type="dxa"/>
            <w:vAlign w:val="bottom"/>
          </w:tcPr>
          <w:p>
            <w:pPr>
              <w:ind w:left="460"/>
              <w:spacing w:after="0" w:line="196" w:lineRule="exact"/>
              <w:rPr>
                <w:sz w:val="20"/>
                <w:szCs w:val="20"/>
                <w:color w:val="auto"/>
              </w:rPr>
            </w:pPr>
            <w:r>
              <w:rPr>
                <w:rFonts w:ascii="Arial" w:cs="Arial" w:eastAsia="Arial" w:hAnsi="Arial"/>
                <w:sz w:val="16"/>
                <w:szCs w:val="16"/>
                <w:b w:val="1"/>
                <w:bCs w:val="1"/>
                <w:i w:val="1"/>
                <w:iCs w:val="1"/>
                <w:color w:val="auto"/>
              </w:rPr>
              <w:t xml:space="preserve">Total Utility Scale Solar </w:t>
            </w:r>
            <w:r>
              <w:rPr>
                <w:rFonts w:ascii="Arial" w:cs="Arial" w:eastAsia="Arial" w:hAnsi="Arial"/>
                <w:sz w:val="21"/>
                <w:szCs w:val="21"/>
                <w:b w:val="1"/>
                <w:bCs w:val="1"/>
                <w:i w:val="1"/>
                <w:iCs w:val="1"/>
                <w:color w:val="auto"/>
                <w:vertAlign w:val="superscript"/>
              </w:rPr>
              <w:t>(e)</w:t>
            </w:r>
          </w:p>
        </w:tc>
        <w:tc>
          <w:tcPr>
            <w:tcW w:w="1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1,678</w:t>
            </w:r>
          </w:p>
        </w:tc>
        <w:tc>
          <w:tcPr>
            <w:tcW w:w="30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Distributed Solar</w:t>
            </w:r>
          </w:p>
        </w:tc>
        <w:tc>
          <w:tcPr>
            <w:tcW w:w="1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03"/>
        </w:trPr>
        <w:tc>
          <w:tcPr>
            <w:tcW w:w="334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21"/>
                <w:szCs w:val="21"/>
                <w:color w:val="auto"/>
                <w:vertAlign w:val="superscript"/>
              </w:rPr>
              <w:t>(b)</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286</w:t>
            </w:r>
          </w:p>
        </w:tc>
        <w:tc>
          <w:tcPr>
            <w:tcW w:w="304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3"/>
              </w:rPr>
              <w:t>2030 - 2044</w:t>
            </w: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Solar Power Partners (SPP) Projects</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3"/>
              </w:rPr>
              <w:t>2026 - 2037</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Other DG Projects</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304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3"/>
              </w:rPr>
              <w:t>2023 - 2039</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r>
      <w:tr>
        <w:trPr>
          <w:trHeight w:val="196"/>
        </w:trPr>
        <w:tc>
          <w:tcPr>
            <w:tcW w:w="3340" w:type="dxa"/>
            <w:vAlign w:val="bottom"/>
            <w:shd w:val="clear" w:color="auto" w:fill="CCEEFF"/>
          </w:tcPr>
          <w:p>
            <w:pPr>
              <w:ind w:left="460"/>
              <w:spacing w:after="0" w:line="196" w:lineRule="exact"/>
              <w:rPr>
                <w:sz w:val="20"/>
                <w:szCs w:val="20"/>
                <w:color w:val="auto"/>
              </w:rPr>
            </w:pPr>
            <w:r>
              <w:rPr>
                <w:rFonts w:ascii="Arial" w:cs="Arial" w:eastAsia="Arial" w:hAnsi="Arial"/>
                <w:sz w:val="16"/>
                <w:szCs w:val="16"/>
                <w:b w:val="1"/>
                <w:bCs w:val="1"/>
                <w:i w:val="1"/>
                <w:iCs w:val="1"/>
                <w:color w:val="auto"/>
              </w:rPr>
              <w:t xml:space="preserve">Total Distributed Solar </w:t>
            </w:r>
            <w:r>
              <w:rPr>
                <w:rFonts w:ascii="Arial" w:cs="Arial" w:eastAsia="Arial" w:hAnsi="Arial"/>
                <w:sz w:val="21"/>
                <w:szCs w:val="21"/>
                <w:b w:val="1"/>
                <w:bCs w:val="1"/>
                <w:i w:val="1"/>
                <w:iCs w:val="1"/>
                <w:color w:val="auto"/>
                <w:vertAlign w:val="superscript"/>
              </w:rPr>
              <w:t>(e)</w:t>
            </w:r>
          </w:p>
        </w:tc>
        <w:tc>
          <w:tcPr>
            <w:tcW w:w="1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30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tbl>
      <w:tblPr>
        <w:tblLayout w:type="fixed"/>
        <w:tblInd w:w="1540"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Projects</w:t>
            </w:r>
          </w:p>
        </w:tc>
        <w:tc>
          <w:tcPr>
            <w:tcW w:w="1880" w:type="dxa"/>
            <w:vAlign w:val="bottom"/>
          </w:tcPr>
          <w:p>
            <w:pPr>
              <w:ind w:left="960"/>
              <w:spacing w:after="0"/>
              <w:rPr>
                <w:sz w:val="20"/>
                <w:szCs w:val="20"/>
                <w:color w:val="auto"/>
              </w:rPr>
            </w:pPr>
            <w:r>
              <w:rPr>
                <w:rFonts w:ascii="Arial" w:cs="Arial" w:eastAsia="Arial" w:hAnsi="Arial"/>
                <w:sz w:val="14"/>
                <w:szCs w:val="14"/>
                <w:b w:val="1"/>
                <w:bCs w:val="1"/>
                <w:color w:val="auto"/>
              </w:rPr>
              <w:t>Percentage</w:t>
            </w:r>
          </w:p>
        </w:tc>
        <w:tc>
          <w:tcPr>
            <w:tcW w:w="1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Net Capacity</w:t>
            </w:r>
          </w:p>
        </w:tc>
        <w:tc>
          <w:tcPr>
            <w:tcW w:w="26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234"/>
        </w:trPr>
        <w:tc>
          <w:tcPr>
            <w:tcW w:w="1440" w:type="dxa"/>
            <w:vAlign w:val="bottom"/>
            <w:vMerge w:val="continue"/>
          </w:tcPr>
          <w:p>
            <w:pPr>
              <w:spacing w:after="0"/>
              <w:rPr>
                <w:sz w:val="20"/>
                <w:szCs w:val="20"/>
                <w:color w:val="auto"/>
              </w:rPr>
            </w:pPr>
          </w:p>
        </w:tc>
        <w:tc>
          <w:tcPr>
            <w:tcW w:w="1880" w:type="dxa"/>
            <w:vAlign w:val="bottom"/>
          </w:tcPr>
          <w:p>
            <w:pPr>
              <w:ind w:left="960"/>
              <w:spacing w:after="0"/>
              <w:rPr>
                <w:sz w:val="20"/>
                <w:szCs w:val="20"/>
                <w:color w:val="auto"/>
              </w:rPr>
            </w:pPr>
            <w:r>
              <w:rPr>
                <w:rFonts w:ascii="Arial" w:cs="Arial" w:eastAsia="Arial" w:hAnsi="Arial"/>
                <w:sz w:val="14"/>
                <w:szCs w:val="14"/>
                <w:b w:val="1"/>
                <w:bCs w:val="1"/>
                <w:color w:val="auto"/>
              </w:rPr>
              <w:t>Ownership</w:t>
            </w:r>
          </w:p>
        </w:tc>
        <w:tc>
          <w:tcPr>
            <w:tcW w:w="1940" w:type="dxa"/>
            <w:vAlign w:val="bottom"/>
          </w:tcPr>
          <w:p>
            <w:pPr>
              <w:jc w:val="center"/>
              <w:ind w:right="588"/>
              <w:spacing w:after="0" w:line="234" w:lineRule="exact"/>
              <w:rPr>
                <w:sz w:val="20"/>
                <w:szCs w:val="20"/>
                <w:color w:val="auto"/>
              </w:rPr>
            </w:pPr>
            <w:r>
              <w:rPr>
                <w:rFonts w:ascii="Arial" w:cs="Arial" w:eastAsia="Arial" w:hAnsi="Arial"/>
                <w:sz w:val="14"/>
                <w:szCs w:val="14"/>
                <w:b w:val="1"/>
                <w:bCs w:val="1"/>
                <w:color w:val="auto"/>
                <w:w w:val="94"/>
              </w:rPr>
              <w:t xml:space="preserve">(MW) </w:t>
            </w:r>
            <w:r>
              <w:rPr>
                <w:rFonts w:ascii="Arial" w:cs="Arial" w:eastAsia="Arial" w:hAnsi="Arial"/>
                <w:sz w:val="21"/>
                <w:szCs w:val="21"/>
                <w:b w:val="1"/>
                <w:bCs w:val="1"/>
                <w:color w:val="auto"/>
                <w:w w:val="94"/>
                <w:vertAlign w:val="superscript"/>
              </w:rPr>
              <w:t>(a)</w:t>
            </w:r>
          </w:p>
        </w:tc>
        <w:tc>
          <w:tcPr>
            <w:tcW w:w="266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Wind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Alta I</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Alta II</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414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Alta III</w:t>
            </w:r>
          </w:p>
        </w:tc>
        <w:tc>
          <w:tcPr>
            <w:tcW w:w="1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Alta IV</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102</w:t>
            </w:r>
          </w:p>
        </w:tc>
        <w:tc>
          <w:tcPr>
            <w:tcW w:w="414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Alta V</w:t>
            </w:r>
          </w:p>
        </w:tc>
        <w:tc>
          <w:tcPr>
            <w:tcW w:w="1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21"/>
                <w:szCs w:val="21"/>
                <w:color w:val="auto"/>
                <w:vertAlign w:val="superscript"/>
              </w:rPr>
              <w:t>(b)</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137</w:t>
            </w:r>
          </w:p>
        </w:tc>
        <w:tc>
          <w:tcPr>
            <w:tcW w:w="414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Black Rock </w:t>
            </w:r>
            <w:r>
              <w:rPr>
                <w:rFonts w:ascii="Arial" w:cs="Arial" w:eastAsia="Arial" w:hAnsi="Arial"/>
                <w:sz w:val="21"/>
                <w:szCs w:val="21"/>
                <w:color w:val="auto"/>
                <w:vertAlign w:val="superscript"/>
              </w:rPr>
              <w:t>(b)</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40" w:type="dxa"/>
            <w:vAlign w:val="bottom"/>
          </w:tcPr>
          <w:p>
            <w:pPr>
              <w:jc w:val="right"/>
              <w:spacing w:after="0"/>
              <w:rPr>
                <w:sz w:val="20"/>
                <w:szCs w:val="20"/>
                <w:color w:val="auto"/>
              </w:rPr>
            </w:pPr>
            <w:r>
              <w:rPr>
                <w:rFonts w:ascii="Arial" w:cs="Arial" w:eastAsia="Arial" w:hAnsi="Arial"/>
                <w:sz w:val="14"/>
                <w:szCs w:val="14"/>
                <w:color w:val="auto"/>
              </w:rPr>
              <w:t>58</w:t>
            </w:r>
          </w:p>
        </w:tc>
        <w:tc>
          <w:tcPr>
            <w:tcW w:w="4140" w:type="dxa"/>
            <w:vAlign w:val="bottom"/>
          </w:tcPr>
          <w:p>
            <w:pPr>
              <w:ind w:left="140"/>
              <w:spacing w:after="0"/>
              <w:rPr>
                <w:sz w:val="20"/>
                <w:szCs w:val="20"/>
                <w:color w:val="auto"/>
              </w:rPr>
            </w:pPr>
            <w:r>
              <w:rPr>
                <w:rFonts w:ascii="Arial" w:cs="Arial" w:eastAsia="Arial" w:hAnsi="Arial"/>
                <w:sz w:val="14"/>
                <w:szCs w:val="14"/>
                <w:color w:val="auto"/>
              </w:rPr>
              <w:t>Toyota and AEP</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Buffalo Bear</w:t>
            </w:r>
          </w:p>
        </w:tc>
        <w:tc>
          <w:tcPr>
            <w:tcW w:w="1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Western Farmers Electric Co-operative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Capistrano Wind Portfolio</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413</w:t>
            </w:r>
          </w:p>
        </w:tc>
        <w:tc>
          <w:tcPr>
            <w:tcW w:w="4140" w:type="dxa"/>
            <w:vAlign w:val="bottom"/>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2030 - 2033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Elkhorn Ridge</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66.7 %</w:t>
            </w:r>
          </w:p>
        </w:tc>
        <w:tc>
          <w:tcPr>
            <w:tcW w:w="1040" w:type="dxa"/>
            <w:vAlign w:val="bottom"/>
          </w:tcPr>
          <w:p>
            <w:pPr>
              <w:jc w:val="right"/>
              <w:spacing w:after="0"/>
              <w:rPr>
                <w:sz w:val="20"/>
                <w:szCs w:val="20"/>
                <w:color w:val="auto"/>
              </w:rPr>
            </w:pPr>
            <w:r>
              <w:rPr>
                <w:rFonts w:ascii="Arial" w:cs="Arial" w:eastAsia="Arial" w:hAnsi="Arial"/>
                <w:sz w:val="14"/>
                <w:szCs w:val="14"/>
                <w:color w:val="auto"/>
              </w:rPr>
              <w:t>54</w:t>
            </w:r>
          </w:p>
        </w:tc>
        <w:tc>
          <w:tcPr>
            <w:tcW w:w="4140" w:type="dxa"/>
            <w:vAlign w:val="bottom"/>
          </w:tcPr>
          <w:p>
            <w:pPr>
              <w:ind w:left="14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Forward</w:t>
            </w:r>
          </w:p>
        </w:tc>
        <w:tc>
          <w:tcPr>
            <w:tcW w:w="1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Constellation NewEnergy, Inc.</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Goat Wind</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4140" w:type="dxa"/>
            <w:vAlign w:val="bottom"/>
          </w:tcPr>
          <w:p>
            <w:pPr>
              <w:ind w:left="140"/>
              <w:spacing w:after="0"/>
              <w:rPr>
                <w:sz w:val="20"/>
                <w:szCs w:val="20"/>
                <w:color w:val="auto"/>
              </w:rPr>
            </w:pPr>
            <w:r>
              <w:rPr>
                <w:rFonts w:ascii="Arial" w:cs="Arial" w:eastAsia="Arial" w:hAnsi="Arial"/>
                <w:sz w:val="14"/>
                <w:szCs w:val="14"/>
                <w:color w:val="auto"/>
              </w:rPr>
              <w:t>Dow Pipeline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Langford </w:t>
            </w:r>
            <w:r>
              <w:rPr>
                <w:rFonts w:ascii="Arial" w:cs="Arial" w:eastAsia="Arial" w:hAnsi="Arial"/>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Goldman Sachs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Laredo Ridge</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81</w:t>
            </w:r>
          </w:p>
        </w:tc>
        <w:tc>
          <w:tcPr>
            <w:tcW w:w="4140" w:type="dxa"/>
            <w:vAlign w:val="bottom"/>
          </w:tcPr>
          <w:p>
            <w:pPr>
              <w:ind w:left="14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Lookout</w:t>
            </w:r>
          </w:p>
        </w:tc>
        <w:tc>
          <w:tcPr>
            <w:tcW w:w="1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Southern Maryland Electric Cooperative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Mesquite Sky </w:t>
            </w:r>
            <w:r>
              <w:rPr>
                <w:rFonts w:ascii="Arial" w:cs="Arial" w:eastAsia="Arial" w:hAnsi="Arial"/>
                <w:sz w:val="21"/>
                <w:szCs w:val="21"/>
                <w:color w:val="auto"/>
                <w:vertAlign w:val="superscript"/>
              </w:rPr>
              <w:t>(b)</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40" w:type="dxa"/>
            <w:vAlign w:val="bottom"/>
          </w:tcPr>
          <w:p>
            <w:pPr>
              <w:jc w:val="right"/>
              <w:spacing w:after="0"/>
              <w:rPr>
                <w:sz w:val="20"/>
                <w:szCs w:val="20"/>
                <w:color w:val="auto"/>
              </w:rPr>
            </w:pPr>
            <w:r>
              <w:rPr>
                <w:rFonts w:ascii="Arial" w:cs="Arial" w:eastAsia="Arial" w:hAnsi="Arial"/>
                <w:sz w:val="14"/>
                <w:szCs w:val="14"/>
                <w:color w:val="auto"/>
              </w:rPr>
              <w:t>170</w:t>
            </w:r>
          </w:p>
        </w:tc>
        <w:tc>
          <w:tcPr>
            <w:tcW w:w="4140" w:type="dxa"/>
            <w:vAlign w:val="bottom"/>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2033 - 2036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Mesquite Star </w:t>
            </w:r>
            <w:r>
              <w:rPr>
                <w:rFonts w:ascii="Arial" w:cs="Arial" w:eastAsia="Arial" w:hAnsi="Arial"/>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2032 - 2035</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Mt. Storm</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264</w:t>
            </w:r>
          </w:p>
        </w:tc>
        <w:tc>
          <w:tcPr>
            <w:tcW w:w="4140" w:type="dxa"/>
            <w:vAlign w:val="bottom"/>
          </w:tcPr>
          <w:p>
            <w:pPr>
              <w:ind w:left="140"/>
              <w:spacing w:after="0"/>
              <w:rPr>
                <w:sz w:val="20"/>
                <w:szCs w:val="20"/>
                <w:color w:val="auto"/>
              </w:rPr>
            </w:pPr>
            <w:r>
              <w:rPr>
                <w:rFonts w:ascii="Arial" w:cs="Arial" w:eastAsia="Arial" w:hAnsi="Arial"/>
                <w:sz w:val="14"/>
                <w:szCs w:val="14"/>
                <w:color w:val="auto"/>
              </w:rPr>
              <w:t>Citigroup</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Ocotillo</w:t>
            </w:r>
          </w:p>
        </w:tc>
        <w:tc>
          <w:tcPr>
            <w:tcW w:w="1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Odin</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99.9 %</w:t>
            </w: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4140" w:type="dxa"/>
            <w:vAlign w:val="bottom"/>
          </w:tcPr>
          <w:p>
            <w:pPr>
              <w:ind w:left="140"/>
              <w:spacing w:after="0"/>
              <w:rPr>
                <w:sz w:val="20"/>
                <w:szCs w:val="20"/>
                <w:color w:val="auto"/>
              </w:rPr>
            </w:pPr>
            <w:r>
              <w:rPr>
                <w:rFonts w:ascii="Arial" w:cs="Arial" w:eastAsia="Arial" w:hAnsi="Arial"/>
                <w:sz w:val="14"/>
                <w:szCs w:val="14"/>
                <w:color w:val="auto"/>
              </w:rPr>
              <w:t>Missouri River Energy Services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 xml:space="preserve">Pinnacle </w:t>
            </w:r>
            <w:r>
              <w:rPr>
                <w:rFonts w:ascii="Arial" w:cs="Arial" w:eastAsia="Arial" w:hAnsi="Arial"/>
                <w:sz w:val="21"/>
                <w:szCs w:val="21"/>
                <w:color w:val="auto"/>
                <w:vertAlign w:val="superscript"/>
              </w:rPr>
              <w:t>(b)</w:t>
            </w:r>
          </w:p>
        </w:tc>
        <w:tc>
          <w:tcPr>
            <w:tcW w:w="1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1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8"/>
              </w:rPr>
              <w:t>Maryland Department of General Services and University System</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4"/>
        </w:trPr>
        <w:tc>
          <w:tcPr>
            <w:tcW w:w="3280" w:type="dxa"/>
            <w:vAlign w:val="bottom"/>
            <w:vMerge w:val="continue"/>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Maryland</w:t>
            </w: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21"/>
                <w:szCs w:val="21"/>
                <w:color w:val="auto"/>
                <w:vertAlign w:val="superscript"/>
              </w:rPr>
              <w:t>(b) (f)</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160</w:t>
            </w:r>
          </w:p>
        </w:tc>
        <w:tc>
          <w:tcPr>
            <w:tcW w:w="4140" w:type="dxa"/>
            <w:vAlign w:val="bottom"/>
          </w:tcPr>
          <w:p>
            <w:pPr>
              <w:ind w:left="140"/>
              <w:spacing w:after="0"/>
              <w:rPr>
                <w:sz w:val="20"/>
                <w:szCs w:val="20"/>
                <w:color w:val="auto"/>
              </w:rPr>
            </w:pPr>
            <w:r>
              <w:rPr>
                <w:rFonts w:ascii="Arial" w:cs="Arial" w:eastAsia="Arial" w:hAnsi="Arial"/>
                <w:sz w:val="14"/>
                <w:szCs w:val="14"/>
                <w:color w:val="auto"/>
              </w:rPr>
              <w:t>Avista Corporation</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San Juan Mesa</w:t>
            </w:r>
          </w:p>
        </w:tc>
        <w:tc>
          <w:tcPr>
            <w:tcW w:w="1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Sleeping Bear</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4140" w:type="dxa"/>
            <w:vAlign w:val="bottom"/>
          </w:tcPr>
          <w:p>
            <w:pPr>
              <w:ind w:left="140"/>
              <w:spacing w:after="0"/>
              <w:rPr>
                <w:sz w:val="20"/>
                <w:szCs w:val="20"/>
                <w:color w:val="auto"/>
              </w:rPr>
            </w:pPr>
            <w:r>
              <w:rPr>
                <w:rFonts w:ascii="Arial" w:cs="Arial" w:eastAsia="Arial" w:hAnsi="Arial"/>
                <w:sz w:val="14"/>
                <w:szCs w:val="14"/>
                <w:color w:val="auto"/>
              </w:rPr>
              <w:t>Public Service Company of Oklahoma</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South Trent</w:t>
            </w:r>
          </w:p>
        </w:tc>
        <w:tc>
          <w:tcPr>
            <w:tcW w:w="1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AEP Energy Partners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Spanish Fork</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4140" w:type="dxa"/>
            <w:vAlign w:val="bottom"/>
          </w:tcPr>
          <w:p>
            <w:pPr>
              <w:ind w:left="140"/>
              <w:spacing w:after="0"/>
              <w:rPr>
                <w:sz w:val="20"/>
                <w:szCs w:val="20"/>
                <w:color w:val="auto"/>
              </w:rPr>
            </w:pPr>
            <w:r>
              <w:rPr>
                <w:rFonts w:ascii="Arial" w:cs="Arial" w:eastAsia="Arial" w:hAnsi="Arial"/>
                <w:sz w:val="14"/>
                <w:szCs w:val="14"/>
                <w:color w:val="auto"/>
              </w:rPr>
              <w:t>PacifiCorp</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90.1 %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21"/>
                <w:szCs w:val="21"/>
                <w:color w:val="auto"/>
                <w:vertAlign w:val="superscript"/>
              </w:rPr>
              <w:t>(b)</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90.1 %</w:t>
            </w: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4140" w:type="dxa"/>
            <w:vAlign w:val="bottom"/>
          </w:tcPr>
          <w:p>
            <w:pPr>
              <w:ind w:left="140"/>
              <w:spacing w:after="0"/>
              <w:rPr>
                <w:sz w:val="20"/>
                <w:szCs w:val="20"/>
                <w:color w:val="auto"/>
              </w:rPr>
            </w:pPr>
            <w:r>
              <w:rPr>
                <w:rFonts w:ascii="Arial" w:cs="Arial" w:eastAsia="Arial" w:hAnsi="Arial"/>
                <w:sz w:val="14"/>
                <w:szCs w:val="14"/>
                <w:color w:val="auto"/>
              </w:rPr>
              <w:t>Platte River Power Authority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Taloga</w:t>
            </w:r>
          </w:p>
        </w:tc>
        <w:tc>
          <w:tcPr>
            <w:tcW w:w="1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Oklahoma Gas &amp; Electric</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03"/>
        </w:trPr>
        <w:tc>
          <w:tcPr>
            <w:tcW w:w="328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21"/>
                <w:szCs w:val="21"/>
                <w:color w:val="auto"/>
                <w:vertAlign w:val="superscript"/>
              </w:rPr>
              <w:t>(b)</w:t>
            </w:r>
          </w:p>
        </w:tc>
        <w:tc>
          <w:tcPr>
            <w:tcW w:w="17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100 %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4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460"/>
              <w:spacing w:after="0" w:line="196" w:lineRule="exact"/>
              <w:rPr>
                <w:sz w:val="20"/>
                <w:szCs w:val="20"/>
                <w:color w:val="auto"/>
              </w:rPr>
            </w:pPr>
            <w:r>
              <w:rPr>
                <w:rFonts w:ascii="Arial" w:cs="Arial" w:eastAsia="Arial" w:hAnsi="Arial"/>
                <w:sz w:val="16"/>
                <w:szCs w:val="16"/>
                <w:b w:val="1"/>
                <w:bCs w:val="1"/>
                <w:i w:val="1"/>
                <w:iCs w:val="1"/>
                <w:color w:val="auto"/>
              </w:rPr>
              <w:t xml:space="preserve">Total Wind </w:t>
            </w:r>
            <w:r>
              <w:rPr>
                <w:rFonts w:ascii="Arial" w:cs="Arial" w:eastAsia="Arial" w:hAnsi="Arial"/>
                <w:sz w:val="21"/>
                <w:szCs w:val="21"/>
                <w:b w:val="1"/>
                <w:bCs w:val="1"/>
                <w:i w:val="1"/>
                <w:iCs w:val="1"/>
                <w:color w:val="auto"/>
                <w:vertAlign w:val="superscript"/>
              </w:rPr>
              <w:t>(e)</w:t>
            </w:r>
          </w:p>
        </w:tc>
        <w:tc>
          <w:tcPr>
            <w:tcW w:w="17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3,658</w:t>
            </w:r>
          </w:p>
        </w:tc>
        <w:tc>
          <w:tcPr>
            <w:tcW w:w="4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00"/>
              <w:spacing w:after="0"/>
              <w:rPr>
                <w:sz w:val="20"/>
                <w:szCs w:val="20"/>
                <w:color w:val="auto"/>
              </w:rPr>
            </w:pPr>
            <w:r>
              <w:rPr>
                <w:rFonts w:ascii="Arial" w:cs="Arial" w:eastAsia="Arial" w:hAnsi="Arial"/>
                <w:sz w:val="16"/>
                <w:szCs w:val="16"/>
                <w:b w:val="1"/>
                <w:bCs w:val="1"/>
                <w:color w:val="auto"/>
              </w:rPr>
              <w:t>Total net generation capacity</w:t>
            </w:r>
          </w:p>
        </w:tc>
        <w:tc>
          <w:tcPr>
            <w:tcW w:w="17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8,140</w:t>
            </w:r>
          </w:p>
        </w:tc>
        <w:tc>
          <w:tcPr>
            <w:tcW w:w="4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7" w:lineRule="exact"/>
        <w:rPr>
          <w:sz w:val="20"/>
          <w:szCs w:val="20"/>
          <w:color w:val="auto"/>
        </w:rPr>
      </w:pPr>
    </w:p>
    <w:p>
      <w:pPr>
        <w:ind w:left="240" w:hanging="151"/>
        <w:spacing w:after="0"/>
        <w:tabs>
          <w:tab w:leader="none" w:pos="240" w:val="left"/>
        </w:tabs>
        <w:numPr>
          <w:ilvl w:val="0"/>
          <w:numId w:val="25"/>
        </w:numPr>
        <w:rPr>
          <w:rFonts w:ascii="Arial" w:cs="Arial" w:eastAsia="Arial" w:hAnsi="Arial"/>
          <w:sz w:val="18"/>
          <w:szCs w:val="18"/>
          <w:color w:val="auto"/>
          <w:vertAlign w:val="superscript"/>
        </w:rPr>
      </w:pPr>
      <w:r>
        <w:rPr>
          <w:rFonts w:ascii="Arial" w:cs="Arial" w:eastAsia="Arial" w:hAnsi="Arial"/>
          <w:sz w:val="12"/>
          <w:szCs w:val="12"/>
          <w:color w:val="auto"/>
        </w:rPr>
        <w:t>Net capacity represents the maximum, or rated, generating capacity of the facility multiplied by the Company’s percentage ownership in the facility as of September 30, 2023.</w:t>
      </w:r>
    </w:p>
    <w:p>
      <w:pPr>
        <w:spacing w:after="0" w:line="59" w:lineRule="exact"/>
        <w:rPr>
          <w:rFonts w:ascii="Arial" w:cs="Arial" w:eastAsia="Arial" w:hAnsi="Arial"/>
          <w:sz w:val="18"/>
          <w:szCs w:val="18"/>
          <w:color w:val="auto"/>
          <w:vertAlign w:val="superscript"/>
        </w:rPr>
      </w:pPr>
    </w:p>
    <w:p>
      <w:pPr>
        <w:ind w:left="80" w:firstLine="9"/>
        <w:spacing w:after="0" w:line="232" w:lineRule="auto"/>
        <w:tabs>
          <w:tab w:leader="none" w:pos="245" w:val="left"/>
        </w:tabs>
        <w:numPr>
          <w:ilvl w:val="0"/>
          <w:numId w:val="25"/>
        </w:numPr>
        <w:rPr>
          <w:rFonts w:ascii="Arial" w:cs="Arial" w:eastAsia="Arial" w:hAnsi="Arial"/>
          <w:sz w:val="19"/>
          <w:szCs w:val="19"/>
          <w:color w:val="auto"/>
          <w:vertAlign w:val="superscript"/>
        </w:rPr>
      </w:pPr>
      <w:r>
        <w:rPr>
          <w:rFonts w:ascii="Arial" w:cs="Arial" w:eastAsia="Arial" w:hAnsi="Arial"/>
          <w:sz w:val="12"/>
          <w:szCs w:val="12"/>
          <w:color w:val="auto"/>
        </w:rPr>
        <w:t xml:space="preserve">Projects are part of tax equity arrangements and ownership percentage is based on cash to be distributed, as further described in Note 4, </w:t>
      </w:r>
      <w:r>
        <w:rPr>
          <w:rFonts w:ascii="Arial" w:cs="Arial" w:eastAsia="Arial" w:hAnsi="Arial"/>
          <w:sz w:val="12"/>
          <w:szCs w:val="12"/>
          <w:i w:val="1"/>
          <w:iCs w:val="1"/>
          <w:color w:val="auto"/>
        </w:rPr>
        <w:t>Investments Accounted for by the Equity Method and</w:t>
      </w:r>
      <w:r>
        <w:rPr>
          <w:rFonts w:ascii="Arial" w:cs="Arial" w:eastAsia="Arial" w:hAnsi="Arial"/>
          <w:sz w:val="12"/>
          <w:szCs w:val="12"/>
          <w:color w:val="auto"/>
        </w:rPr>
        <w:t xml:space="preserve"> </w:t>
      </w:r>
      <w:r>
        <w:rPr>
          <w:rFonts w:ascii="Arial" w:cs="Arial" w:eastAsia="Arial" w:hAnsi="Arial"/>
          <w:sz w:val="12"/>
          <w:szCs w:val="12"/>
          <w:i w:val="1"/>
          <w:iCs w:val="1"/>
          <w:color w:val="auto"/>
        </w:rPr>
        <w:t>Variable Interest Entities.</w:t>
      </w:r>
    </w:p>
    <w:p>
      <w:pPr>
        <w:spacing w:after="0" w:line="12" w:lineRule="exact"/>
        <w:rPr>
          <w:rFonts w:ascii="Arial" w:cs="Arial" w:eastAsia="Arial" w:hAnsi="Arial"/>
          <w:sz w:val="19"/>
          <w:szCs w:val="19"/>
          <w:color w:val="auto"/>
          <w:vertAlign w:val="superscript"/>
        </w:rPr>
      </w:pPr>
    </w:p>
    <w:p>
      <w:pPr>
        <w:ind w:left="240" w:hanging="151"/>
        <w:spacing w:after="0"/>
        <w:tabs>
          <w:tab w:leader="none" w:pos="240" w:val="left"/>
        </w:tabs>
        <w:numPr>
          <w:ilvl w:val="0"/>
          <w:numId w:val="25"/>
        </w:numPr>
        <w:rPr>
          <w:rFonts w:ascii="Arial" w:cs="Arial" w:eastAsia="Arial" w:hAnsi="Arial"/>
          <w:sz w:val="19"/>
          <w:szCs w:val="19"/>
          <w:color w:val="auto"/>
          <w:vertAlign w:val="superscript"/>
        </w:rPr>
      </w:pPr>
      <w:r>
        <w:rPr>
          <w:rFonts w:ascii="Arial" w:cs="Arial" w:eastAsia="Arial" w:hAnsi="Arial"/>
          <w:sz w:val="12"/>
          <w:szCs w:val="12"/>
          <w:color w:val="auto"/>
        </w:rPr>
        <w:t>Includes storage capacity that matches the facility’s rated generating capacity.</w:t>
      </w:r>
    </w:p>
    <w:p>
      <w:pPr>
        <w:spacing w:after="0" w:line="59" w:lineRule="exact"/>
        <w:rPr>
          <w:rFonts w:ascii="Arial" w:cs="Arial" w:eastAsia="Arial" w:hAnsi="Arial"/>
          <w:sz w:val="19"/>
          <w:szCs w:val="19"/>
          <w:color w:val="auto"/>
          <w:vertAlign w:val="superscript"/>
        </w:rPr>
      </w:pPr>
    </w:p>
    <w:p>
      <w:pPr>
        <w:ind w:left="80" w:right="20" w:firstLine="9"/>
        <w:spacing w:after="0" w:line="223" w:lineRule="auto"/>
        <w:tabs>
          <w:tab w:leader="none" w:pos="245" w:val="left"/>
        </w:tabs>
        <w:numPr>
          <w:ilvl w:val="0"/>
          <w:numId w:val="25"/>
        </w:numPr>
        <w:rPr>
          <w:rFonts w:ascii="Arial" w:cs="Arial" w:eastAsia="Arial" w:hAnsi="Arial"/>
          <w:sz w:val="19"/>
          <w:szCs w:val="19"/>
          <w:color w:val="auto"/>
          <w:vertAlign w:val="superscript"/>
        </w:rPr>
      </w:pPr>
      <w:r>
        <w:rPr>
          <w:rFonts w:ascii="Arial" w:cs="Arial" w:eastAsia="Arial" w:hAnsi="Arial"/>
          <w:sz w:val="12"/>
          <w:szCs w:val="12"/>
          <w:color w:val="auto"/>
        </w:rPr>
        <w:t>Daggett 3’s net capacity is 75 MW, of which 44 MW have reached commercial operations as of September 30, 2023. The remaining 31 MW of net capacity is expected to reach commercial operations in the fourth quarter of 2023.</w:t>
      </w:r>
    </w:p>
    <w:p>
      <w:pPr>
        <w:spacing w:after="0" w:line="48" w:lineRule="exact"/>
        <w:rPr>
          <w:rFonts w:ascii="Arial" w:cs="Arial" w:eastAsia="Arial" w:hAnsi="Arial"/>
          <w:sz w:val="19"/>
          <w:szCs w:val="19"/>
          <w:color w:val="auto"/>
          <w:vertAlign w:val="superscript"/>
        </w:rPr>
      </w:pPr>
    </w:p>
    <w:p>
      <w:pPr>
        <w:jc w:val="both"/>
        <w:ind w:left="80" w:firstLine="9"/>
        <w:spacing w:after="0" w:line="267" w:lineRule="auto"/>
        <w:tabs>
          <w:tab w:leader="none" w:pos="239" w:val="left"/>
        </w:tabs>
        <w:numPr>
          <w:ilvl w:val="0"/>
          <w:numId w:val="25"/>
        </w:numPr>
        <w:rPr>
          <w:rFonts w:ascii="Arial" w:cs="Arial" w:eastAsia="Arial" w:hAnsi="Arial"/>
          <w:sz w:val="18"/>
          <w:szCs w:val="18"/>
          <w:color w:val="auto"/>
          <w:vertAlign w:val="superscript"/>
        </w:rPr>
      </w:pPr>
      <w:r>
        <w:rPr>
          <w:rFonts w:ascii="Arial" w:cs="Arial" w:eastAsia="Arial" w:hAnsi="Arial"/>
          <w:sz w:val="12"/>
          <w:szCs w:val="12"/>
          <w:color w:val="auto"/>
        </w:rPr>
        <w:t>Typical average capacity factors are 25% for solar facilities and 25-45% for wind facilities. For the nine months ended September 30, 2023, the Company’s solar and wind facilities had weighted-average capacity factors of 32% and 29%, respectively. For the nine months ended September 30, 2022, the Company’s solar and wind facilities had weighted-average capacity factors of 31% and 30%, respectively. The weight-average capacity factors can vary based on seasonality and weather conditions.</w:t>
      </w:r>
    </w:p>
    <w:p>
      <w:pPr>
        <w:ind w:left="240" w:hanging="151"/>
        <w:spacing w:after="0" w:line="196" w:lineRule="auto"/>
        <w:tabs>
          <w:tab w:leader="none" w:pos="240" w:val="left"/>
        </w:tabs>
        <w:numPr>
          <w:ilvl w:val="0"/>
          <w:numId w:val="25"/>
        </w:numPr>
        <w:rPr>
          <w:rFonts w:ascii="Arial" w:cs="Arial" w:eastAsia="Arial" w:hAnsi="Arial"/>
          <w:sz w:val="23"/>
          <w:szCs w:val="23"/>
          <w:color w:val="auto"/>
          <w:vertAlign w:val="superscript"/>
        </w:rPr>
      </w:pPr>
      <w:r>
        <w:rPr>
          <w:rFonts w:ascii="Arial" w:cs="Arial" w:eastAsia="Arial" w:hAnsi="Arial"/>
          <w:sz w:val="14"/>
          <w:szCs w:val="14"/>
          <w:color w:val="auto"/>
        </w:rPr>
        <w:t>Rattlesnake has a deliverable capacity of 144 MW.</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660" w:hanging="328"/>
        <w:spacing w:after="0" w:line="253" w:lineRule="auto"/>
        <w:tabs>
          <w:tab w:leader="none" w:pos="656" w:val="left"/>
        </w:tabs>
        <w:numPr>
          <w:ilvl w:val="0"/>
          <w:numId w:val="26"/>
        </w:numPr>
        <w:rPr>
          <w:rFonts w:ascii="Arial" w:cs="Arial" w:eastAsia="Arial" w:hAnsi="Arial"/>
          <w:sz w:val="14"/>
          <w:szCs w:val="14"/>
          <w:b w:val="1"/>
          <w:bCs w:val="1"/>
          <w:i w:val="1"/>
          <w:iCs w:val="1"/>
          <w:color w:val="auto"/>
        </w:rPr>
      </w:pPr>
      <w:r>
        <w:rPr>
          <w:rFonts w:ascii="Arial" w:cs="Arial" w:eastAsia="Arial" w:hAnsi="Arial"/>
          <w:sz w:val="18"/>
          <w:szCs w:val="18"/>
          <w:color w:val="auto"/>
        </w:rPr>
        <w:t xml:space="preserve">On October 31, 2023, the Company, through its indirect subsidiary, VP-Arica Parent Holdco LLC, acquired the Class A membership interests in VP-Arica TargetCo LLC, the indirect owner of Victory Pass, a 200 MW solar project with matching storage capacity, and Arica, a 263 MW solar project with matching storage capacity, that are both currently under construction in Riverside, California, from Clearway Renew for cash consideration of $46 million. Simultaneously, a cash equity investor acquired the Class B membership interests in VP-Arica TargetCo LLC from Clearway Renew for initial cash consideration of $87 million. At substantial completion, which is expected to occur in the first half of 2024, the Company will pay an additional $182 million to Clearway Renew and the cash equity investor will pay an additional $347 million to Clearway Renew. VP-Arica TargetCo LLC, a partnership between the Company and the cash equity investor, consolidates as primary beneficiary, VP-Arica TE Holdco LLC, a tax equity fund that owns the Victory Pass and Arica solar projects. See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xml:space="preserve"> for further information.</w:t>
      </w:r>
    </w:p>
    <w:p>
      <w:pPr>
        <w:spacing w:after="0" w:line="128" w:lineRule="exact"/>
        <w:rPr>
          <w:rFonts w:ascii="Arial" w:cs="Arial" w:eastAsia="Arial" w:hAnsi="Arial"/>
          <w:sz w:val="14"/>
          <w:szCs w:val="14"/>
          <w:b w:val="1"/>
          <w:bCs w:val="1"/>
          <w:i w:val="1"/>
          <w:iCs w:val="1"/>
          <w:color w:val="auto"/>
        </w:rPr>
      </w:pPr>
    </w:p>
    <w:p>
      <w:pPr>
        <w:jc w:val="both"/>
        <w:ind w:left="66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August 30, 2023, the Company, through an indirect subsidiary, entered into an agreement with Clearway Renew to acquire the Class A membership interests in Texas Solar Nova 1, a 252 MW solar project, and Texas Solar Nova 2, a 200 MW solar project, both currently under construction in Kent County, Texas, upon the projects meeting certain milestones. The Company expects to invest approximately $40 million, subject to closing adjustments. Commercial operations of the facilities and the Company’s investment are expected to occur between the fourth quarter of 2023 and first half of 2024.</w:t>
      </w:r>
    </w:p>
    <w:p>
      <w:pPr>
        <w:spacing w:after="0" w:line="13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On August 30, 2023, the Company, through its indirect subsidiary, Daggett Solar Investment LLC, acquired the Class A membership interests in Daggett 2 TargetCo LLC, the indirect owner of Daggett 2, a 182 MW solar project with matching storage capacity that is currently under construction in San Bernardino, California, from CEG for cash consideration of $13 million. Daggett 2 TargetCo LLC, a partnership between the Company and a cash equity investor, consolidates as primary beneficiary, Daggett 2 TE Holdco LLC, a tax equity fund that owns the Daggett 2 solar project. See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for further discussion of the transaction.</w:t>
      </w:r>
    </w:p>
    <w:p>
      <w:pPr>
        <w:spacing w:after="0" w:line="108" w:lineRule="exact"/>
        <w:rPr>
          <w:rFonts w:ascii="Arial" w:cs="Arial" w:eastAsia="Arial" w:hAnsi="Arial"/>
          <w:sz w:val="17"/>
          <w:szCs w:val="17"/>
          <w:color w:val="auto"/>
        </w:rPr>
      </w:pPr>
    </w:p>
    <w:p>
      <w:pPr>
        <w:jc w:val="both"/>
        <w:ind w:left="660" w:hanging="328"/>
        <w:spacing w:after="0" w:line="287"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On June 30, 2023, the Company, through its indirect subsidiary, Rosie Class B LLC, the indirect owner of the Rosamond Central solar project, became the owner of the Class B membership interests of Rosie Central BESS in order to facilitate and fund the construction of a 147 MW BESS project that is co-located at the Rosamond Central solar facility. Clearway Renew indirectly owns the Class A membership interests and controls Rosie Central BESS. As of September 30, 2023, the Company’s investment consisted of $28 million contributed into Rosie Central BESS, funded through contributions from the Company and its cash equity investor in Rosie TargetCo LLC, which consolidates Rosie Class B LLC. Additionally, on June 30, 2023, the Rosamond Central solar project entered into an asset purchase agreement with Clearway Renew to acquire the BESS project assets at mechanical completion, which is expected to occur in the fourth quarter of 2023, for initial cash consideration of $72 million, $17 million of which will be funded by the Company with the remaining $55 million to be funded through contributions from the cash equity investor in Rosie TargetCo LLC and the tax equity investor in Rosie TE HoldCo LLC. At substantial completion, which is expected to occur in the first half of 2024, the Rosamond Central solar project will pay an additional $288 million to Clearway Renew, $67 million of which will be funded by the Company with the remaining $221 million to be funded through contributions from the cash equity and tax equity investors. See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for further discussion of the transactions.</w:t>
      </w:r>
    </w:p>
    <w:p>
      <w:pPr>
        <w:spacing w:after="0" w:line="100"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May 19, 2023, the Company, through an indirect subsidiary, entered into an agreement with Clearway Renew to acquire Cedar Creek Holdco LLC, which is the indirect owner of Cedar Creek, a 160 MW wind project under construction in Bingham County, Idaho, for $107 million in cash, subject to customary working capital adjustments. Upon the closing of the transaction, the Company will indirectly own all of the Class B membership interests in Cedar Creek TE Holdco LLC, a tax equity fund which will consolidate the Cedar Creek wind project, while a tax equity investor will own all of the Class A membership interests. The consummation of the transaction is subject to customary closing conditions and certain third-party approvals and is expected in the first half of 2024.</w:t>
      </w:r>
    </w:p>
    <w:p>
      <w:pPr>
        <w:spacing w:after="0" w:line="138"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May 3, 2023, the Company entered into an agreement with Clearway Renew to repower the Cedro Hill wind project, which is included in the Capistrano Wind Portfolio and is located in Bruni, Texas. The Company expects to invest approximately $63 million in net corporate capital, subject to closing adjustments. Contingent upon achieving repowering commercial operations in the second half of 2024, the 160 MW project will sell power to its existing counterparty, an investment-grade utility, for an additional 15 years ending in 2045 under an amended PPA.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both"/>
        <w:ind w:left="660" w:hanging="328"/>
        <w:spacing w:after="0" w:line="29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On February 17, 2023, the Company, through its indirect subsidiary, Daggett Solar Investment LLC, acquired the Class A membership interests in Daggett TargetCo LLC, the indirect owner of Daggett 3, a 300 MW solar project with matching storage capacity that is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between the Company and the cash equity investor, that consolidates Daggett TargetCo LLC. Daggett TargetCo LLC consolidates as primary beneficiary, Daggett TE Holdco LLC, a tax equity fund that owns the Daggett 3 solar project. See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for further discussion of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 Agreements</w:t>
      </w:r>
    </w:p>
    <w:p>
      <w:pPr>
        <w:spacing w:after="0" w:line="171" w:lineRule="exact"/>
        <w:rPr>
          <w:sz w:val="20"/>
          <w:szCs w:val="20"/>
          <w:color w:val="auto"/>
        </w:rPr>
      </w:pPr>
    </w:p>
    <w:p>
      <w:pPr>
        <w:jc w:val="both"/>
        <w:ind w:left="660" w:hanging="328"/>
        <w:spacing w:after="0" w:line="263" w:lineRule="auto"/>
        <w:tabs>
          <w:tab w:leader="none" w:pos="649"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8"/>
          <w:szCs w:val="18"/>
          <w:color w:val="auto"/>
        </w:rPr>
        <w:t>In October 2023, the Company contracted with a load serving entity to sell approximately 400 MW of Marsh Landing’s RA commencing in September 2026 and ending in December 2027. Marsh Landing is now contracted for 100% of its capacity through the majority of 2026 and 63% of its capacity in 2027.</w:t>
      </w:r>
    </w:p>
    <w:p>
      <w:pPr>
        <w:spacing w:after="0" w:line="129" w:lineRule="exact"/>
        <w:rPr>
          <w:rFonts w:ascii="Arial" w:cs="Arial" w:eastAsia="Arial" w:hAnsi="Arial"/>
          <w:sz w:val="16"/>
          <w:szCs w:val="16"/>
          <w:b w:val="1"/>
          <w:bCs w:val="1"/>
          <w:i w:val="1"/>
          <w:iCs w:val="1"/>
          <w:color w:val="auto"/>
        </w:rPr>
      </w:pPr>
    </w:p>
    <w:p>
      <w:pPr>
        <w:jc w:val="both"/>
        <w:ind w:left="660" w:hanging="328"/>
        <w:spacing w:after="0" w:line="263" w:lineRule="auto"/>
        <w:tabs>
          <w:tab w:leader="none" w:pos="649"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8"/>
          <w:szCs w:val="18"/>
          <w:color w:val="auto"/>
        </w:rPr>
        <w:t>In October 2023, the Company contracted with a load serving entity to sell approximately 274 MW of El Segundo’s RA commencing in August 2026 and ending in December 2027. El Segundo is now contracted for 100% of its capacity through the majority of 2026 and 50% of its capacity in 2027.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Financing Activities</w:t>
      </w:r>
    </w:p>
    <w:p>
      <w:pPr>
        <w:spacing w:after="0" w:line="171" w:lineRule="exact"/>
        <w:rPr>
          <w:sz w:val="20"/>
          <w:szCs w:val="20"/>
          <w:color w:val="auto"/>
        </w:rPr>
      </w:pPr>
    </w:p>
    <w:p>
      <w:pPr>
        <w:ind w:left="660" w:hanging="328"/>
        <w:spacing w:after="0" w:line="277" w:lineRule="auto"/>
        <w:tabs>
          <w:tab w:leader="none" w:pos="649"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8"/>
          <w:szCs w:val="18"/>
          <w:color w:val="auto"/>
        </w:rPr>
        <w:t xml:space="preserve">On March 15, 2023, Clearway Energy Operating LLC refinanced the Amended and Restated Credit Agreement.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discussion of the amendment.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ind w:left="660" w:hanging="328"/>
        <w:spacing w:after="0" w:line="342"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In connection with the 2022 Drop Down of Waiawa and the 2023 Drop Downs of Daggett 3 and Daggett 2, the Company assumed non-recourse project-level debt. See Note 7, </w:t>
      </w:r>
      <w:r>
        <w:rPr>
          <w:rFonts w:ascii="Arial" w:cs="Arial" w:eastAsia="Arial" w:hAnsi="Arial"/>
          <w:sz w:val="16"/>
          <w:szCs w:val="16"/>
          <w:i w:val="1"/>
          <w:iCs w:val="1"/>
          <w:color w:val="auto"/>
        </w:rPr>
        <w:t>Long-term Debt</w:t>
      </w:r>
      <w:r>
        <w:rPr>
          <w:rFonts w:ascii="Arial" w:cs="Arial" w:eastAsia="Arial" w:hAnsi="Arial"/>
          <w:sz w:val="16"/>
          <w:szCs w:val="16"/>
          <w:color w:val="auto"/>
        </w:rPr>
        <w:t>, for further discussion of the non-recourse project-level debt associated with each project.</w:t>
      </w:r>
    </w:p>
    <w:p>
      <w:pPr>
        <w:spacing w:after="0" w:line="69" w:lineRule="exact"/>
        <w:rPr>
          <w:rFonts w:ascii="Arial" w:cs="Arial" w:eastAsia="Arial" w:hAnsi="Arial"/>
          <w:sz w:val="16"/>
          <w:szCs w:val="16"/>
          <w:color w:val="auto"/>
        </w:rPr>
      </w:pPr>
    </w:p>
    <w:p>
      <w:pPr>
        <w:jc w:val="both"/>
        <w:ind w:left="660" w:hanging="328"/>
        <w:spacing w:after="0" w:line="290" w:lineRule="auto"/>
        <w:tabs>
          <w:tab w:leader="none" w:pos="655" w:val="left"/>
        </w:tabs>
        <w:numPr>
          <w:ilvl w:val="0"/>
          <w:numId w:val="30"/>
        </w:numPr>
        <w:rPr>
          <w:rFonts w:ascii="Arial" w:cs="Arial" w:eastAsia="Arial" w:hAnsi="Arial"/>
          <w:sz w:val="16"/>
          <w:szCs w:val="16"/>
          <w:i w:val="1"/>
          <w:iCs w:val="1"/>
          <w:color w:val="auto"/>
        </w:rPr>
      </w:pPr>
      <w:r>
        <w:rPr>
          <w:rFonts w:ascii="Arial" w:cs="Arial" w:eastAsia="Arial" w:hAnsi="Arial"/>
          <w:sz w:val="16"/>
          <w:szCs w:val="16"/>
          <w:color w:val="auto"/>
        </w:rPr>
        <w:t xml:space="preserve">On June 30, 2023, Rosie Class B LLC amended its financing agreement. During the third quarter of 2023, Rosie Class B LLC received total loan proceeds of $235 million under the amended financing agreement. On July 3, 2023, Rosie Class B LLC issued a loan to a consolidated subsidiary of Clearway Renew, utilizing a portion of the loan proceeds under the amended financing agreement, in order to finance the construction of the BESS project. As of September 30, 2023, the loan issued to a consolidated subsidiary of Clearway Renew had an aggregate principal amount of $215 million. The loan matures when the project reaches substantial completion, which is expected in the first half of 2024. See Note 7, </w:t>
      </w:r>
      <w:r>
        <w:rPr>
          <w:rFonts w:ascii="Arial" w:cs="Arial" w:eastAsia="Arial" w:hAnsi="Arial"/>
          <w:sz w:val="16"/>
          <w:szCs w:val="16"/>
          <w:i w:val="1"/>
          <w:iCs w:val="1"/>
          <w:color w:val="auto"/>
        </w:rPr>
        <w:t>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Debt</w:t>
      </w:r>
      <w:r>
        <w:rPr>
          <w:rFonts w:ascii="Arial" w:cs="Arial" w:eastAsia="Arial" w:hAnsi="Arial"/>
          <w:sz w:val="16"/>
          <w:szCs w:val="16"/>
          <w:color w:val="auto"/>
        </w:rPr>
        <w:t>, for further discussion of the project financing activities. Also, during the third quarter of 2023, the Company utilized a portion of the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proceeds received under the financing agreement to contribute $18 million into Rosie Central BESS, which is an investment accounted for under the equity method of accounting, as further described in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environmental matters are further described in the Company’s 2022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2022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9"/>
          </w:tcPr>
          <w:p>
            <w:pPr>
              <w:jc w:val="center"/>
              <w:ind w:right="11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77"/>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2022</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333333"/>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333333"/>
              </w:rPr>
              <w:t>416</w:t>
            </w:r>
          </w:p>
        </w:tc>
        <w:tc>
          <w:tcPr>
            <w:tcW w:w="220" w:type="dxa"/>
            <w:vAlign w:val="bottom"/>
            <w:gridSpan w:val="2"/>
          </w:tcPr>
          <w:p>
            <w:pPr>
              <w:jc w:val="center"/>
              <w:ind w:left="19"/>
              <w:spacing w:after="0"/>
              <w:rPr>
                <w:sz w:val="20"/>
                <w:szCs w:val="20"/>
                <w:color w:val="auto"/>
              </w:rPr>
            </w:pPr>
            <w:r>
              <w:rPr>
                <w:rFonts w:ascii="Arial" w:cs="Arial" w:eastAsia="Arial" w:hAnsi="Arial"/>
                <w:sz w:val="18"/>
                <w:szCs w:val="18"/>
                <w:color w:val="333333"/>
                <w:w w:val="79"/>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333333"/>
              </w:rPr>
              <w:t>381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33333"/>
                <w:w w:val="79"/>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33333"/>
              </w:rPr>
              <w:t>1,099</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333333"/>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333333"/>
              </w:rPr>
              <w:t>1,172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333333"/>
              </w:rPr>
              <w:t>(47)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333333"/>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33333"/>
              </w:rPr>
              <w:t>(141)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333333"/>
              </w:rPr>
              <w:t>(125)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33333"/>
              </w:rPr>
              <w:t>(18)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333333"/>
              </w:rPr>
              <w:t>(17)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333333"/>
              </w:rPr>
              <w:t>(195)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33333"/>
              </w:rPr>
              <w:t>371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1,065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333333"/>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33333"/>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333333"/>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Operations and maintenance</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Other costs of operations</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333333"/>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333333"/>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33333"/>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333333"/>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333333"/>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333333"/>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Transaction and integration costs</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Development costs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33333"/>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333333"/>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6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33333"/>
              </w:rPr>
              <w:t>277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780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33333"/>
              </w:rPr>
              <w:t>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105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285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1,458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333333"/>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333333"/>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33333"/>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Derivative interest income</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333333"/>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333333"/>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33333"/>
              </w:rPr>
              <w:t>(81)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333333"/>
              </w:rPr>
              <w:t>(253)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33333"/>
              </w:rPr>
              <w:t>(22)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333333"/>
              </w:rPr>
              <w:t>(30)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333333"/>
              </w:rPr>
              <w:t>(107)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33333"/>
              </w:rPr>
              <w:t>1,351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(1,225)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33333"/>
              </w:rPr>
              <w:t>57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33333"/>
              </w:rPr>
              <w:t>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gridSpan w:val="2"/>
          </w:tcPr>
          <w:p>
            <w:pPr>
              <w:ind w:left="120"/>
              <w:spacing w:after="0" w:line="156" w:lineRule="exact"/>
              <w:rPr>
                <w:sz w:val="20"/>
                <w:szCs w:val="20"/>
                <w:color w:val="auto"/>
              </w:rPr>
            </w:pPr>
            <w:r>
              <w:rPr>
                <w:rFonts w:ascii="Arial" w:cs="Arial" w:eastAsia="Arial" w:hAnsi="Arial"/>
                <w:sz w:val="18"/>
                <w:szCs w:val="18"/>
                <w:color w:val="auto"/>
                <w:w w:val="94"/>
              </w:rPr>
              <w:t>Less: Net income attributable to noncontrolling interests and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6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33333"/>
              </w:rPr>
              <w:t>11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Clearway Energy,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10"/>
          </w:tcPr>
          <w:p>
            <w:pPr>
              <w:jc w:val="right"/>
              <w:ind w:right="3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9"/>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Business metrics:</w:t>
            </w: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center"/>
              <w:ind w:right="471"/>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20"/>
              <w:spacing w:after="0" w:line="223" w:lineRule="exact"/>
              <w:rPr>
                <w:sz w:val="20"/>
                <w:szCs w:val="20"/>
                <w:color w:val="auto"/>
              </w:rPr>
            </w:pPr>
            <w:r>
              <w:rPr>
                <w:rFonts w:ascii="Arial" w:cs="Arial" w:eastAsia="Arial" w:hAnsi="Arial"/>
                <w:sz w:val="18"/>
                <w:szCs w:val="18"/>
                <w:color w:val="auto"/>
              </w:rPr>
              <w:t xml:space="preserve">Solar MWh generated/sold (in thousands)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8"/>
              </w:rPr>
              <w:t>1,822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4,232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ind w:left="120"/>
              <w:spacing w:after="0" w:line="230" w:lineRule="exact"/>
              <w:rPr>
                <w:sz w:val="20"/>
                <w:szCs w:val="20"/>
                <w:color w:val="auto"/>
              </w:rPr>
            </w:pPr>
            <w:r>
              <w:rPr>
                <w:rFonts w:ascii="Arial" w:cs="Arial" w:eastAsia="Arial" w:hAnsi="Arial"/>
                <w:sz w:val="18"/>
                <w:szCs w:val="18"/>
                <w:color w:val="auto"/>
              </w:rPr>
              <w:t xml:space="preserve">Wind MWh generated/sold (in thousands) </w:t>
            </w:r>
            <w:r>
              <w:rPr>
                <w:rFonts w:ascii="Arial" w:cs="Arial" w:eastAsia="Arial" w:hAnsi="Arial"/>
                <w:sz w:val="23"/>
                <w:szCs w:val="23"/>
                <w:color w:val="auto"/>
                <w:vertAlign w:val="superscript"/>
              </w:rPr>
              <w:t>(a)</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8"/>
              </w:rPr>
              <w:t>2,085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7,262</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7,031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3,907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bottom w:val="single" w:sz="8" w:color="CCEEFF"/>
            </w:tcBorders>
            <w:gridSpan w:val="2"/>
            <w:vMerge w:val="restart"/>
          </w:tcPr>
          <w:p>
            <w:pPr>
              <w:spacing w:after="0" w:line="243" w:lineRule="exact"/>
              <w:rPr>
                <w:sz w:val="20"/>
                <w:szCs w:val="20"/>
                <w:color w:val="auto"/>
              </w:rPr>
            </w:pPr>
            <w:r>
              <w:rPr>
                <w:rFonts w:ascii="Arial" w:cs="Arial" w:eastAsia="Arial" w:hAnsi="Arial"/>
                <w:sz w:val="18"/>
                <w:szCs w:val="18"/>
                <w:color w:val="auto"/>
              </w:rPr>
              <w:t xml:space="preserve">Thermal MWt sold (in thousands) </w:t>
            </w:r>
            <w:r>
              <w:rPr>
                <w:rFonts w:ascii="Arial" w:cs="Arial" w:eastAsia="Arial" w:hAnsi="Arial"/>
                <w:sz w:val="23"/>
                <w:szCs w:val="23"/>
                <w:color w:val="auto"/>
                <w:vertAlign w:val="superscript"/>
              </w:rPr>
              <w:t>(b)</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31"/>
              <w:spacing w:after="0" w:line="203" w:lineRule="exact"/>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 (c)</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Conventional equivalent availability factor</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93.9 %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7" w:lineRule="exact"/>
        <w:rPr>
          <w:sz w:val="20"/>
          <w:szCs w:val="20"/>
          <w:color w:val="auto"/>
        </w:rPr>
      </w:pPr>
    </w:p>
    <w:p>
      <w:pPr>
        <w:ind w:left="240" w:hanging="151"/>
        <w:spacing w:after="0"/>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5" w:lineRule="exact"/>
        <w:rPr>
          <w:rFonts w:ascii="Arial" w:cs="Arial" w:eastAsia="Arial" w:hAnsi="Arial"/>
          <w:sz w:val="18"/>
          <w:szCs w:val="18"/>
          <w:color w:val="auto"/>
          <w:vertAlign w:val="superscript"/>
        </w:rPr>
      </w:pPr>
    </w:p>
    <w:p>
      <w:pPr>
        <w:ind w:left="260" w:hanging="171"/>
        <w:spacing w:after="0" w:line="186" w:lineRule="auto"/>
        <w:tabs>
          <w:tab w:leader="none" w:pos="260" w:val="left"/>
        </w:tabs>
        <w:numPr>
          <w:ilvl w:val="0"/>
          <w:numId w:val="31"/>
        </w:numPr>
        <w:rPr>
          <w:rFonts w:ascii="Arial" w:cs="Arial" w:eastAsia="Arial" w:hAnsi="Arial"/>
          <w:sz w:val="19"/>
          <w:szCs w:val="19"/>
          <w:color w:val="auto"/>
          <w:vertAlign w:val="superscript"/>
        </w:rPr>
      </w:pPr>
      <w:r>
        <w:rPr>
          <w:rFonts w:ascii="Arial" w:cs="Arial" w:eastAsia="Arial" w:hAnsi="Arial"/>
          <w:sz w:val="12"/>
          <w:szCs w:val="12"/>
          <w:color w:val="auto"/>
        </w:rPr>
        <w:t>On May 1, 2022, the Company completed the sale of 100% of its interests in the Thermal Business to KKR.</w:t>
      </w:r>
    </w:p>
    <w:p>
      <w:pPr>
        <w:spacing w:after="0" w:line="6" w:lineRule="exact"/>
        <w:rPr>
          <w:rFonts w:ascii="Arial" w:cs="Arial" w:eastAsia="Arial" w:hAnsi="Arial"/>
          <w:sz w:val="19"/>
          <w:szCs w:val="19"/>
          <w:color w:val="auto"/>
          <w:vertAlign w:val="superscript"/>
        </w:rPr>
      </w:pPr>
    </w:p>
    <w:p>
      <w:pPr>
        <w:ind w:left="240" w:hanging="151"/>
        <w:spacing w:after="0" w:line="186" w:lineRule="auto"/>
        <w:tabs>
          <w:tab w:leader="none" w:pos="240" w:val="left"/>
        </w:tabs>
        <w:numPr>
          <w:ilvl w:val="0"/>
          <w:numId w:val="31"/>
        </w:numPr>
        <w:rPr>
          <w:rFonts w:ascii="Arial" w:cs="Arial" w:eastAsia="Arial" w:hAnsi="Arial"/>
          <w:sz w:val="19"/>
          <w:szCs w:val="19"/>
          <w:color w:val="auto"/>
          <w:vertAlign w:val="superscript"/>
        </w:rPr>
      </w:pPr>
      <w:r>
        <w:rPr>
          <w:rFonts w:ascii="Arial" w:cs="Arial" w:eastAsia="Arial" w:hAnsi="Arial"/>
          <w:sz w:val="12"/>
          <w:szCs w:val="12"/>
          <w:color w:val="auto"/>
        </w:rPr>
        <w:t>Volumes generated in 2022 were not sold as the Conventional facilities sold only capacity rather than energy prior to 2023.</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ind w:right="254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September 30, 2023 and 2022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$31 million during the three months ended September 30, 2023, compared to the same period in 2022, due to a combination of the drivers summarized in the table below:</w:t>
      </w:r>
    </w:p>
    <w:p>
      <w:pPr>
        <w:spacing w:after="0" w:line="49" w:lineRule="exact"/>
        <w:rPr>
          <w:sz w:val="20"/>
          <w:szCs w:val="20"/>
          <w:color w:val="auto"/>
        </w:rPr>
      </w:pPr>
    </w:p>
    <w:p>
      <w:pPr>
        <w:ind w:left="10140"/>
        <w:spacing w:after="0"/>
        <w:rPr>
          <w:sz w:val="20"/>
          <w:szCs w:val="20"/>
          <w:color w:val="auto"/>
        </w:rPr>
      </w:pPr>
      <w:r>
        <w:rPr>
          <w:rFonts w:ascii="Arial" w:cs="Arial" w:eastAsia="Arial" w:hAnsi="Arial"/>
          <w:sz w:val="16"/>
          <w:szCs w:val="16"/>
          <w:b w:val="1"/>
          <w:bCs w:val="1"/>
          <w:color w:val="auto"/>
        </w:rPr>
        <w:t>(In millions)</w:t>
      </w:r>
    </w:p>
    <w:p>
      <w:pPr>
        <w:sectPr>
          <w:pgSz w:w="11900" w:h="16838" w:orient="portrait"/>
          <w:cols w:equalWidth="0" w:num="1">
            <w:col w:w="11240"/>
          </w:cols>
          <w:pgMar w:left="320" w:top="891" w:right="339" w:bottom="1440" w:gutter="0" w:footer="0" w:header="0"/>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rPr>
              <w:t>Conventional Segment</w:t>
            </w:r>
          </w:p>
        </w:tc>
        <w:tc>
          <w:tcPr>
            <w:tcW w:w="7380" w:type="dxa"/>
            <w:vAlign w:val="bottom"/>
          </w:tcPr>
          <w:p>
            <w:pPr>
              <w:ind w:left="160"/>
              <w:spacing w:after="0"/>
              <w:rPr>
                <w:sz w:val="20"/>
                <w:szCs w:val="20"/>
                <w:color w:val="auto"/>
              </w:rPr>
            </w:pPr>
            <w:r>
              <w:rPr>
                <w:rFonts w:ascii="Arial" w:cs="Arial" w:eastAsia="Arial" w:hAnsi="Arial"/>
                <w:sz w:val="18"/>
                <w:szCs w:val="18"/>
                <w:color w:val="auto"/>
                <w:w w:val="99"/>
              </w:rPr>
              <w:t>Increase primarily driven by higher energy revenue due to the commencement of merchant</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7380" w:type="dxa"/>
            <w:vAlign w:val="bottom"/>
          </w:tcPr>
          <w:p>
            <w:pPr>
              <w:ind w:left="160"/>
              <w:spacing w:after="0" w:line="189" w:lineRule="exact"/>
              <w:rPr>
                <w:sz w:val="20"/>
                <w:szCs w:val="20"/>
                <w:color w:val="auto"/>
              </w:rPr>
            </w:pPr>
            <w:r>
              <w:rPr>
                <w:rFonts w:ascii="Arial" w:cs="Arial" w:eastAsia="Arial" w:hAnsi="Arial"/>
                <w:sz w:val="18"/>
                <w:szCs w:val="18"/>
                <w:color w:val="auto"/>
                <w:w w:val="98"/>
              </w:rPr>
              <w:t>operations following the expiration of PPAs at the Walnut Creek and Marsh Landing facilities</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w w:val="96"/>
              </w:rPr>
              <w:t>during the second quarter of 2023 and the El Segundo facility during the third quarter of 2023.</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7380" w:type="dxa"/>
            <w:vAlign w:val="bottom"/>
          </w:tcPr>
          <w:p>
            <w:pPr>
              <w:ind w:left="160"/>
              <w:spacing w:after="0" w:line="176" w:lineRule="exact"/>
              <w:rPr>
                <w:sz w:val="20"/>
                <w:szCs w:val="20"/>
                <w:color w:val="auto"/>
              </w:rPr>
            </w:pPr>
            <w:r>
              <w:rPr>
                <w:rFonts w:ascii="Arial" w:cs="Arial" w:eastAsia="Arial" w:hAnsi="Arial"/>
                <w:sz w:val="18"/>
                <w:szCs w:val="18"/>
                <w:color w:val="auto"/>
                <w:w w:val="93"/>
              </w:rPr>
              <w:t>Decrease primarily driven by lower prices for capacity revenue due to the expiration of PPAs and</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7380" w:type="dxa"/>
            <w:vAlign w:val="bottom"/>
          </w:tcPr>
          <w:p>
            <w:pPr>
              <w:ind w:left="160"/>
              <w:spacing w:after="0" w:line="189" w:lineRule="exact"/>
              <w:rPr>
                <w:sz w:val="20"/>
                <w:szCs w:val="20"/>
                <w:color w:val="auto"/>
              </w:rPr>
            </w:pPr>
            <w:r>
              <w:rPr>
                <w:rFonts w:ascii="Arial" w:cs="Arial" w:eastAsia="Arial" w:hAnsi="Arial"/>
                <w:sz w:val="18"/>
                <w:szCs w:val="18"/>
                <w:color w:val="auto"/>
                <w:w w:val="96"/>
              </w:rPr>
              <w:t>commencement of RA capacity revenue at the Walnut Creek, Marsh Landing and El Segundo</w:t>
            </w:r>
          </w:p>
        </w:tc>
        <w:tc>
          <w:tcPr>
            <w:tcW w:w="0" w:type="dxa"/>
            <w:vAlign w:val="bottom"/>
          </w:tcPr>
          <w:p>
            <w:pPr>
              <w:spacing w:after="0"/>
              <w:rPr>
                <w:sz w:val="1"/>
                <w:szCs w:val="1"/>
                <w:color w:val="auto"/>
              </w:rPr>
            </w:pPr>
          </w:p>
        </w:tc>
      </w:tr>
      <w:tr>
        <w:trPr>
          <w:trHeight w:val="229"/>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Renewables Segment</w:t>
            </w:r>
          </w:p>
        </w:tc>
        <w:tc>
          <w:tcPr>
            <w:tcW w:w="7380" w:type="dxa"/>
            <w:vAlign w:val="bottom"/>
          </w:tcPr>
          <w:p>
            <w:pPr>
              <w:ind w:left="160"/>
              <w:spacing w:after="0"/>
              <w:rPr>
                <w:sz w:val="20"/>
                <w:szCs w:val="20"/>
                <w:color w:val="auto"/>
              </w:rPr>
            </w:pPr>
            <w:r>
              <w:rPr>
                <w:rFonts w:ascii="Arial" w:cs="Arial" w:eastAsia="Arial" w:hAnsi="Arial"/>
                <w:sz w:val="18"/>
                <w:szCs w:val="18"/>
                <w:color w:val="auto"/>
              </w:rPr>
              <w:t>facilities during 2023.</w:t>
            </w:r>
          </w:p>
        </w:tc>
        <w:tc>
          <w:tcPr>
            <w:tcW w:w="0" w:type="dxa"/>
            <w:vAlign w:val="bottom"/>
          </w:tcPr>
          <w:p>
            <w:pPr>
              <w:spacing w:after="0"/>
              <w:rPr>
                <w:sz w:val="1"/>
                <w:szCs w:val="1"/>
                <w:color w:val="auto"/>
              </w:rPr>
            </w:pPr>
          </w:p>
        </w:tc>
      </w:tr>
      <w:tr>
        <w:trPr>
          <w:trHeight w:val="230"/>
        </w:trPr>
        <w:tc>
          <w:tcPr>
            <w:tcW w:w="2460" w:type="dxa"/>
            <w:vAlign w:val="bottom"/>
            <w:vMerge w:val="continue"/>
          </w:tcPr>
          <w:p>
            <w:pPr>
              <w:spacing w:after="0"/>
              <w:rPr>
                <w:sz w:val="19"/>
                <w:szCs w:val="19"/>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Increase driven by the acquisition of the Capistrano Wind Portfolio in August 2022.</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7380" w:type="dxa"/>
            <w:vAlign w:val="bottom"/>
          </w:tcPr>
          <w:p>
            <w:pPr>
              <w:ind w:left="160"/>
              <w:spacing w:after="0" w:line="176" w:lineRule="exact"/>
              <w:rPr>
                <w:sz w:val="20"/>
                <w:szCs w:val="20"/>
                <w:color w:val="auto"/>
              </w:rPr>
            </w:pPr>
            <w:r>
              <w:rPr>
                <w:rFonts w:ascii="Arial" w:cs="Arial" w:eastAsia="Arial" w:hAnsi="Arial"/>
                <w:sz w:val="18"/>
                <w:szCs w:val="18"/>
                <w:color w:val="auto"/>
              </w:rPr>
              <w:t>Increase for solar acquisitions driven by Mililani I, Waiawa and Daggett 3, which reached</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7380" w:type="dxa"/>
            <w:vAlign w:val="bottom"/>
          </w:tcPr>
          <w:p>
            <w:pPr>
              <w:ind w:left="160"/>
              <w:spacing w:after="0" w:line="189" w:lineRule="exact"/>
              <w:rPr>
                <w:sz w:val="20"/>
                <w:szCs w:val="20"/>
                <w:color w:val="auto"/>
              </w:rPr>
            </w:pPr>
            <w:r>
              <w:rPr>
                <w:rFonts w:ascii="Arial" w:cs="Arial" w:eastAsia="Arial" w:hAnsi="Arial"/>
                <w:sz w:val="18"/>
                <w:szCs w:val="18"/>
                <w:color w:val="auto"/>
                <w:w w:val="98"/>
              </w:rPr>
              <w:t>commercial operations in July 2022, January 2023 and July 2023, respectively, offset by the</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disposition of Kawailoa in August 2022.</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7380" w:type="dxa"/>
            <w:vAlign w:val="bottom"/>
          </w:tcPr>
          <w:p>
            <w:pPr>
              <w:ind w:left="160"/>
              <w:spacing w:after="0" w:line="176" w:lineRule="exact"/>
              <w:rPr>
                <w:sz w:val="20"/>
                <w:szCs w:val="20"/>
                <w:color w:val="auto"/>
              </w:rPr>
            </w:pPr>
            <w:r>
              <w:rPr>
                <w:rFonts w:ascii="Arial" w:cs="Arial" w:eastAsia="Arial" w:hAnsi="Arial"/>
                <w:sz w:val="18"/>
                <w:szCs w:val="18"/>
                <w:color w:val="auto"/>
                <w:w w:val="92"/>
              </w:rPr>
              <w:t>Decrease primarily resulting from extreme heat in Texas, which drove net losses for hedge-related</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7380" w:type="dxa"/>
            <w:vAlign w:val="bottom"/>
          </w:tcPr>
          <w:p>
            <w:pPr>
              <w:ind w:left="160"/>
              <w:spacing w:after="0" w:line="189" w:lineRule="exact"/>
              <w:rPr>
                <w:sz w:val="20"/>
                <w:szCs w:val="20"/>
                <w:color w:val="auto"/>
              </w:rPr>
            </w:pPr>
            <w:r>
              <w:rPr>
                <w:rFonts w:ascii="Arial" w:cs="Arial" w:eastAsia="Arial" w:hAnsi="Arial"/>
                <w:sz w:val="18"/>
                <w:szCs w:val="18"/>
                <w:color w:val="auto"/>
                <w:w w:val="99"/>
              </w:rPr>
              <w:t>volumetric shortfalls where certain wind facilities fulfilled contractual obligations through the</w:t>
            </w:r>
          </w:p>
        </w:tc>
        <w:tc>
          <w:tcPr>
            <w:tcW w:w="0" w:type="dxa"/>
            <w:vAlign w:val="bottom"/>
          </w:tcPr>
          <w:p>
            <w:pPr>
              <w:spacing w:after="0"/>
              <w:rPr>
                <w:sz w:val="1"/>
                <w:szCs w:val="1"/>
                <w:color w:val="auto"/>
              </w:rPr>
            </w:pPr>
          </w:p>
        </w:tc>
      </w:tr>
      <w:tr>
        <w:trPr>
          <w:trHeight w:val="229"/>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Contract amortization</w:t>
            </w:r>
          </w:p>
        </w:tc>
        <w:tc>
          <w:tcPr>
            <w:tcW w:w="7380" w:type="dxa"/>
            <w:vAlign w:val="bottom"/>
          </w:tcPr>
          <w:p>
            <w:pPr>
              <w:ind w:left="160"/>
              <w:spacing w:after="0"/>
              <w:rPr>
                <w:sz w:val="20"/>
                <w:szCs w:val="20"/>
                <w:color w:val="auto"/>
              </w:rPr>
            </w:pPr>
            <w:r>
              <w:rPr>
                <w:rFonts w:ascii="Arial" w:cs="Arial" w:eastAsia="Arial" w:hAnsi="Arial"/>
                <w:sz w:val="18"/>
                <w:szCs w:val="18"/>
                <w:color w:val="auto"/>
              </w:rPr>
              <w:t>purchase of power at higher than normal prices, as well as lower average realized prices.</w:t>
            </w:r>
          </w:p>
        </w:tc>
        <w:tc>
          <w:tcPr>
            <w:tcW w:w="0" w:type="dxa"/>
            <w:vAlign w:val="bottom"/>
          </w:tcPr>
          <w:p>
            <w:pPr>
              <w:spacing w:after="0"/>
              <w:rPr>
                <w:sz w:val="1"/>
                <w:szCs w:val="1"/>
                <w:color w:val="auto"/>
              </w:rPr>
            </w:pPr>
          </w:p>
        </w:tc>
      </w:tr>
      <w:tr>
        <w:trPr>
          <w:trHeight w:val="176"/>
        </w:trPr>
        <w:tc>
          <w:tcPr>
            <w:tcW w:w="2460" w:type="dxa"/>
            <w:vAlign w:val="bottom"/>
            <w:vMerge w:val="continue"/>
          </w:tcPr>
          <w:p>
            <w:pPr>
              <w:spacing w:after="0"/>
              <w:rPr>
                <w:sz w:val="15"/>
                <w:szCs w:val="15"/>
                <w:color w:val="auto"/>
              </w:rPr>
            </w:pPr>
          </w:p>
        </w:tc>
        <w:tc>
          <w:tcPr>
            <w:tcW w:w="7380" w:type="dxa"/>
            <w:vAlign w:val="bottom"/>
          </w:tcPr>
          <w:p>
            <w:pPr>
              <w:ind w:left="160"/>
              <w:spacing w:after="0" w:line="176" w:lineRule="exact"/>
              <w:rPr>
                <w:sz w:val="20"/>
                <w:szCs w:val="20"/>
                <w:color w:val="auto"/>
              </w:rPr>
            </w:pPr>
            <w:r>
              <w:rPr>
                <w:rFonts w:ascii="Arial" w:cs="Arial" w:eastAsia="Arial" w:hAnsi="Arial"/>
                <w:sz w:val="18"/>
                <w:szCs w:val="18"/>
                <w:color w:val="auto"/>
                <w:w w:val="92"/>
              </w:rPr>
              <w:t>Increase primarily driven by amortization of the intangible assets of PPAs related to the acquisition</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of the Capistrano Wind Portfolio in August 2022.</w:t>
            </w:r>
          </w:p>
        </w:tc>
        <w:tc>
          <w:tcPr>
            <w:tcW w:w="0" w:type="dxa"/>
            <w:vAlign w:val="bottom"/>
          </w:tcPr>
          <w:p>
            <w:pPr>
              <w:spacing w:after="0"/>
              <w:rPr>
                <w:sz w:val="1"/>
                <w:szCs w:val="1"/>
                <w:color w:val="auto"/>
              </w:rPr>
            </w:pPr>
          </w:p>
        </w:tc>
      </w:tr>
      <w:tr>
        <w:trPr>
          <w:trHeight w:val="188"/>
        </w:trPr>
        <w:tc>
          <w:tcPr>
            <w:tcW w:w="2460" w:type="dxa"/>
            <w:vAlign w:val="bottom"/>
          </w:tcPr>
          <w:p>
            <w:pPr>
              <w:spacing w:after="0" w:line="189" w:lineRule="exact"/>
              <w:rPr>
                <w:sz w:val="20"/>
                <w:szCs w:val="20"/>
                <w:color w:val="auto"/>
              </w:rPr>
            </w:pPr>
            <w:r>
              <w:rPr>
                <w:rFonts w:ascii="Arial" w:cs="Arial" w:eastAsia="Arial" w:hAnsi="Arial"/>
                <w:sz w:val="18"/>
                <w:szCs w:val="18"/>
                <w:b w:val="1"/>
                <w:bCs w:val="1"/>
                <w:color w:val="auto"/>
                <w:w w:val="98"/>
              </w:rPr>
              <w:t>Mark-to-market for economic</w:t>
            </w:r>
          </w:p>
        </w:tc>
        <w:tc>
          <w:tcPr>
            <w:tcW w:w="7380" w:type="dxa"/>
            <w:vAlign w:val="bottom"/>
          </w:tcPr>
          <w:p>
            <w:pPr>
              <w:ind w:left="160"/>
              <w:spacing w:after="0" w:line="189" w:lineRule="exact"/>
              <w:rPr>
                <w:sz w:val="20"/>
                <w:szCs w:val="20"/>
                <w:color w:val="auto"/>
              </w:rPr>
            </w:pPr>
            <w:r>
              <w:rPr>
                <w:rFonts w:ascii="Arial" w:cs="Arial" w:eastAsia="Arial" w:hAnsi="Arial"/>
                <w:sz w:val="18"/>
                <w:szCs w:val="18"/>
                <w:color w:val="auto"/>
              </w:rPr>
              <w:t>Decrease driven by increases in forward power prices in the ERCOT market.</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hedges</w:t>
            </w: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Increase driven by decreases in forward power prices in the PJM market.</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7380" w:type="dxa"/>
            <w:vAlign w:val="bottom"/>
          </w:tcPr>
          <w:p>
            <w:pPr>
              <w:ind w:left="160"/>
              <w:spacing w:after="0" w:line="176" w:lineRule="exact"/>
              <w:rPr>
                <w:sz w:val="20"/>
                <w:szCs w:val="20"/>
                <w:color w:val="auto"/>
              </w:rPr>
            </w:pPr>
            <w:r>
              <w:rPr>
                <w:rFonts w:ascii="Arial" w:cs="Arial" w:eastAsia="Arial" w:hAnsi="Arial"/>
                <w:sz w:val="18"/>
                <w:szCs w:val="18"/>
                <w:color w:val="auto"/>
                <w:w w:val="99"/>
              </w:rPr>
              <w:t>Increase due to heat rate call options entered into by the Walnut Creek and Marsh Landing</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-1834515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-1311275</wp:posOffset>
            </wp:positionV>
            <wp:extent cx="7132320" cy="3771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265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-2588895</wp:posOffset>
            </wp:positionV>
            <wp:extent cx="7132320" cy="3771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1086" w:hanging="1086"/>
        <w:spacing w:after="0"/>
        <w:tabs>
          <w:tab w:leader="none" w:pos="10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57</w:t>
      </w:r>
    </w:p>
    <w:p>
      <w:pPr>
        <w:spacing w:after="0" w:line="38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w:t>
      </w:r>
    </w:p>
    <w:p>
      <w:pPr>
        <w:spacing w:after="0" w:line="386" w:lineRule="exact"/>
        <w:rPr>
          <w:sz w:val="20"/>
          <w:szCs w:val="20"/>
          <w:color w:val="auto"/>
        </w:rPr>
      </w:pPr>
    </w:p>
    <w:p>
      <w:pPr>
        <w:ind w:left="1186"/>
        <w:spacing w:after="0"/>
        <w:rPr>
          <w:sz w:val="20"/>
          <w:szCs w:val="20"/>
          <w:color w:val="auto"/>
        </w:rPr>
      </w:pPr>
      <w:r>
        <w:rPr>
          <w:rFonts w:ascii="Arial" w:cs="Arial" w:eastAsia="Arial" w:hAnsi="Arial"/>
          <w:sz w:val="18"/>
          <w:szCs w:val="18"/>
          <w:color w:val="auto"/>
        </w:rPr>
        <w:t>8</w:t>
      </w:r>
    </w:p>
    <w:p>
      <w:pPr>
        <w:spacing w:after="0" w:line="38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w:t>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w:t>
      </w:r>
    </w:p>
    <w:p>
      <w:pPr>
        <w:spacing w:after="0" w:line="211" w:lineRule="exact"/>
        <w:rPr>
          <w:sz w:val="20"/>
          <w:szCs w:val="20"/>
          <w:color w:val="auto"/>
        </w:rPr>
      </w:pPr>
    </w:p>
    <w:p>
      <w:pPr>
        <w:ind w:left="118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6" w:lineRule="exact"/>
        <w:rPr>
          <w:sz w:val="20"/>
          <w:szCs w:val="20"/>
          <w:color w:val="auto"/>
        </w:rPr>
      </w:pPr>
    </w:p>
    <w:p>
      <w:pPr>
        <w:ind w:left="1086" w:hanging="1086"/>
        <w:spacing w:after="0"/>
        <w:tabs>
          <w:tab w:leader="none" w:pos="10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655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91"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Fuels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Cost of fuels increased by $32 million during the three months ended September 30, 2023, compared to the same period in 2022, due to fuel purchases and the related cost of emissions obligations at the Walnut Creek, Marsh Landing and El Segundo facilities as a result of the expiration of PPAs during 2023 and the facilities commencing merchant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Other income, net increased by $10 million during the three months ended September 30, 2023, compared to the same period in 2022, primarily due to higher interest income earned across the portfolio as a result of higher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For the three months ended September 30, 2023, the Company recorded an income tax expense of $57 million on pretax income of $71 million. For the same period in 2022, the Company recorded an income tax expense of $13 million on pretax income of $75 million. The $44 million increase in income tax expense during the three months ended September 30, 2023, compared to the same period in 2022, was primarily due to the difference in allocation of taxable earnings and losses, which includes the effect of applying the HLBV method of accounting for book purposes for certain partnerships.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 and Redeemable Noncontrolling Interest</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months ended September 30, 2023, the Company had net income of $11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Income attributable to third-party partnerships (primarily due to Daggett TE Holdco LLC HLBV losses during the third quarter of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76"/>
        </w:trPr>
        <w:tc>
          <w:tcPr>
            <w:tcW w:w="9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Losses attributable to tax equity financing arrangements and the application of the HLBV method (primarily due to Daggett TE Holdco</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LLC HLBV losses during the third quarter of 2023)</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the three months ended September 30, 2022, the Company had net income of $30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Income attributable to third-party partnerships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9880" w:type="dxa"/>
            <w:vAlign w:val="bottom"/>
            <w:vMerge w:val="restart"/>
          </w:tcPr>
          <w:p>
            <w:pPr>
              <w:jc w:val="right"/>
              <w:ind w:right="4070"/>
              <w:spacing w:after="0"/>
              <w:rPr>
                <w:sz w:val="20"/>
                <w:szCs w:val="20"/>
                <w:color w:val="auto"/>
              </w:rPr>
            </w:pPr>
            <w:r>
              <w:rPr>
                <w:rFonts w:ascii="Arial" w:cs="Arial" w:eastAsia="Arial" w:hAnsi="Arial"/>
                <w:sz w:val="18"/>
                <w:szCs w:val="18"/>
                <w:color w:val="231F20"/>
              </w:rPr>
              <w:t>43</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9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Management’s Discussion of the Results of Operations for the Nine Months Ended September 30, 2023 and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$143 million during the nine months ended September 30, 2023, compared to the same period in 2022, due to a combination of the drivers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(In millions)</w:t>
            </w:r>
          </w:p>
        </w:tc>
      </w:tr>
      <w:tr>
        <w:trPr>
          <w:trHeight w:val="158"/>
        </w:trPr>
        <w:tc>
          <w:tcPr>
            <w:tcW w:w="236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b w:val="1"/>
                <w:bCs w:val="1"/>
                <w:color w:val="auto"/>
              </w:rPr>
              <w:t>Conventional Segment</w:t>
            </w:r>
          </w:p>
        </w:tc>
        <w:tc>
          <w:tcPr>
            <w:tcW w:w="7520" w:type="dxa"/>
            <w:vAlign w:val="bottom"/>
            <w:shd w:val="clear" w:color="auto" w:fill="CCEEFF"/>
          </w:tcPr>
          <w:p>
            <w:pPr>
              <w:ind w:left="280"/>
              <w:spacing w:after="0" w:line="158" w:lineRule="exact"/>
              <w:rPr>
                <w:sz w:val="20"/>
                <w:szCs w:val="20"/>
                <w:color w:val="auto"/>
              </w:rPr>
            </w:pPr>
            <w:r>
              <w:rPr>
                <w:rFonts w:ascii="Arial" w:cs="Arial" w:eastAsia="Arial" w:hAnsi="Arial"/>
                <w:sz w:val="18"/>
                <w:szCs w:val="18"/>
                <w:color w:val="auto"/>
                <w:w w:val="99"/>
              </w:rPr>
              <w:t>Increase primarily driven by higher energy revenue due to the commencement of merchant</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8"/>
        </w:trPr>
        <w:tc>
          <w:tcPr>
            <w:tcW w:w="2360" w:type="dxa"/>
            <w:vAlign w:val="bottom"/>
            <w:shd w:val="clear" w:color="auto" w:fill="CCEEFF"/>
          </w:tcPr>
          <w:p>
            <w:pPr>
              <w:spacing w:after="0"/>
              <w:rPr>
                <w:sz w:val="16"/>
                <w:szCs w:val="16"/>
                <w:color w:val="auto"/>
              </w:rPr>
            </w:pPr>
          </w:p>
        </w:tc>
        <w:tc>
          <w:tcPr>
            <w:tcW w:w="75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8"/>
              </w:rPr>
              <w:t>operations following the expiration of PPAs at the Walnut Creek and Marsh Landing facilities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2360" w:type="dxa"/>
            <w:vAlign w:val="bottom"/>
            <w:shd w:val="clear" w:color="auto" w:fill="CCEEFF"/>
          </w:tcPr>
          <w:p>
            <w:pPr>
              <w:spacing w:after="0"/>
              <w:rPr>
                <w:sz w:val="20"/>
                <w:szCs w:val="20"/>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during the second quarter of 2023 and the El Segundo facility during the third quarter of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176"/>
        </w:trPr>
        <w:tc>
          <w:tcPr>
            <w:tcW w:w="2360" w:type="dxa"/>
            <w:vAlign w:val="bottom"/>
          </w:tcPr>
          <w:p>
            <w:pPr>
              <w:spacing w:after="0"/>
              <w:rPr>
                <w:sz w:val="15"/>
                <w:szCs w:val="15"/>
                <w:color w:val="auto"/>
              </w:rPr>
            </w:pPr>
          </w:p>
        </w:tc>
        <w:tc>
          <w:tcPr>
            <w:tcW w:w="7520" w:type="dxa"/>
            <w:vAlign w:val="bottom"/>
          </w:tcPr>
          <w:p>
            <w:pPr>
              <w:ind w:left="280"/>
              <w:spacing w:after="0" w:line="176" w:lineRule="exact"/>
              <w:rPr>
                <w:sz w:val="20"/>
                <w:szCs w:val="20"/>
                <w:color w:val="auto"/>
              </w:rPr>
            </w:pPr>
            <w:r>
              <w:rPr>
                <w:rFonts w:ascii="Arial" w:cs="Arial" w:eastAsia="Arial" w:hAnsi="Arial"/>
                <w:sz w:val="18"/>
                <w:szCs w:val="18"/>
                <w:color w:val="auto"/>
                <w:w w:val="97"/>
              </w:rPr>
              <w:t>Increase driven by the sales-type lease revenue recognition of the Marsh Landing Black Start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360" w:type="dxa"/>
            <w:vAlign w:val="bottom"/>
          </w:tcPr>
          <w:p>
            <w:pPr>
              <w:spacing w:after="0"/>
              <w:rPr>
                <w:sz w:val="21"/>
                <w:szCs w:val="21"/>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addition that commenced operations on May 31, 2023.</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76"/>
        </w:trPr>
        <w:tc>
          <w:tcPr>
            <w:tcW w:w="2360" w:type="dxa"/>
            <w:vAlign w:val="bottom"/>
            <w:shd w:val="clear" w:color="auto" w:fill="CCEEFF"/>
          </w:tcPr>
          <w:p>
            <w:pPr>
              <w:spacing w:after="0"/>
              <w:rPr>
                <w:sz w:val="15"/>
                <w:szCs w:val="15"/>
                <w:color w:val="auto"/>
              </w:rPr>
            </w:pPr>
          </w:p>
        </w:tc>
        <w:tc>
          <w:tcPr>
            <w:tcW w:w="7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Decrease primarily driven by lower prices for capacity revenue due to the expiration of PPAs and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8"/>
        </w:trPr>
        <w:tc>
          <w:tcPr>
            <w:tcW w:w="2360" w:type="dxa"/>
            <w:vAlign w:val="bottom"/>
            <w:shd w:val="clear" w:color="auto" w:fill="CCEEFF"/>
          </w:tcPr>
          <w:p>
            <w:pPr>
              <w:spacing w:after="0"/>
              <w:rPr>
                <w:sz w:val="16"/>
                <w:szCs w:val="16"/>
                <w:color w:val="auto"/>
              </w:rPr>
            </w:pPr>
          </w:p>
        </w:tc>
        <w:tc>
          <w:tcPr>
            <w:tcW w:w="75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6"/>
              </w:rPr>
              <w:t>commencement of RA capacity revenue at the Walnut Creek, Marsh Landing and El Segundo</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2360" w:type="dxa"/>
            <w:vAlign w:val="bottom"/>
            <w:shd w:val="clear" w:color="auto" w:fill="CCEEFF"/>
          </w:tcPr>
          <w:p>
            <w:pPr>
              <w:spacing w:after="0"/>
              <w:rPr>
                <w:sz w:val="20"/>
                <w:szCs w:val="20"/>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facilities during 2023.</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175"/>
        </w:trPr>
        <w:tc>
          <w:tcPr>
            <w:tcW w:w="2360" w:type="dxa"/>
            <w:vAlign w:val="bottom"/>
          </w:tcPr>
          <w:p>
            <w:pPr>
              <w:spacing w:after="0"/>
              <w:rPr>
                <w:sz w:val="15"/>
                <w:szCs w:val="15"/>
                <w:color w:val="auto"/>
              </w:rPr>
            </w:pPr>
          </w:p>
        </w:tc>
        <w:tc>
          <w:tcPr>
            <w:tcW w:w="7520" w:type="dxa"/>
            <w:vAlign w:val="bottom"/>
          </w:tcPr>
          <w:p>
            <w:pPr>
              <w:ind w:left="280"/>
              <w:spacing w:after="0" w:line="176" w:lineRule="exact"/>
              <w:rPr>
                <w:sz w:val="20"/>
                <w:szCs w:val="20"/>
                <w:color w:val="auto"/>
              </w:rPr>
            </w:pPr>
            <w:r>
              <w:rPr>
                <w:rFonts w:ascii="Arial" w:cs="Arial" w:eastAsia="Arial" w:hAnsi="Arial"/>
                <w:sz w:val="18"/>
                <w:szCs w:val="18"/>
                <w:color w:val="auto"/>
              </w:rPr>
              <w:t>Decrease driven by outages at the Walnut Creek and Marsh Landing facilities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360" w:type="dxa"/>
            <w:vAlign w:val="bottom"/>
          </w:tcPr>
          <w:p>
            <w:pPr>
              <w:spacing w:after="0"/>
              <w:rPr>
                <w:sz w:val="21"/>
                <w:szCs w:val="21"/>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during the first quarter of 2023, resulting in lower capacity revenue.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76"/>
        </w:trPr>
        <w:tc>
          <w:tcPr>
            <w:tcW w:w="2360" w:type="dxa"/>
            <w:vAlign w:val="bottom"/>
            <w:shd w:val="clear" w:color="auto" w:fill="CCEEFF"/>
          </w:tcPr>
          <w:p>
            <w:pPr>
              <w:spacing w:after="0"/>
              <w:rPr>
                <w:sz w:val="15"/>
                <w:szCs w:val="15"/>
                <w:color w:val="auto"/>
              </w:rPr>
            </w:pPr>
          </w:p>
        </w:tc>
        <w:tc>
          <w:tcPr>
            <w:tcW w:w="7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Decrease primarily driven by longer planned maintenance outages at the El</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360" w:type="dxa"/>
            <w:vAlign w:val="bottom"/>
            <w:shd w:val="clear" w:color="auto" w:fill="CCEEFF"/>
          </w:tcPr>
          <w:p>
            <w:pPr>
              <w:spacing w:after="0"/>
              <w:rPr>
                <w:sz w:val="21"/>
                <w:szCs w:val="21"/>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Segundo facility in 2023.</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Renewables Segment</w:t>
            </w:r>
          </w:p>
        </w:tc>
        <w:tc>
          <w:tcPr>
            <w:tcW w:w="7520" w:type="dxa"/>
            <w:vAlign w:val="bottom"/>
          </w:tcPr>
          <w:p>
            <w:pPr>
              <w:ind w:left="280"/>
              <w:spacing w:after="0"/>
              <w:rPr>
                <w:sz w:val="20"/>
                <w:szCs w:val="20"/>
                <w:color w:val="auto"/>
              </w:rPr>
            </w:pPr>
            <w:r>
              <w:rPr>
                <w:rFonts w:ascii="Arial" w:cs="Arial" w:eastAsia="Arial" w:hAnsi="Arial"/>
                <w:sz w:val="18"/>
                <w:szCs w:val="18"/>
                <w:color w:val="auto"/>
              </w:rPr>
              <w:t>Increase driven by the acquisition of the Capistrano Wind Portfolio in August 2022.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75"/>
        </w:trPr>
        <w:tc>
          <w:tcPr>
            <w:tcW w:w="2360" w:type="dxa"/>
            <w:vAlign w:val="bottom"/>
            <w:shd w:val="clear" w:color="auto" w:fill="CCEEFF"/>
          </w:tcPr>
          <w:p>
            <w:pPr>
              <w:spacing w:after="0"/>
              <w:rPr>
                <w:sz w:val="15"/>
                <w:szCs w:val="15"/>
                <w:color w:val="auto"/>
              </w:rPr>
            </w:pPr>
          </w:p>
        </w:tc>
        <w:tc>
          <w:tcPr>
            <w:tcW w:w="7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Increase for solar acquisitions driven by Mililani I, Waiawa and Daggett 3, which reached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8"/>
        </w:trPr>
        <w:tc>
          <w:tcPr>
            <w:tcW w:w="2360" w:type="dxa"/>
            <w:vAlign w:val="bottom"/>
            <w:shd w:val="clear" w:color="auto" w:fill="CCEEFF"/>
          </w:tcPr>
          <w:p>
            <w:pPr>
              <w:spacing w:after="0"/>
              <w:rPr>
                <w:sz w:val="16"/>
                <w:szCs w:val="16"/>
                <w:color w:val="auto"/>
              </w:rPr>
            </w:pPr>
          </w:p>
        </w:tc>
        <w:tc>
          <w:tcPr>
            <w:tcW w:w="75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8"/>
              </w:rPr>
              <w:t>commercial operations in July 2022, January 2023 and July 2023, respectively, offset by the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2360" w:type="dxa"/>
            <w:vAlign w:val="bottom"/>
            <w:shd w:val="clear" w:color="auto" w:fill="CCEEFF"/>
          </w:tcPr>
          <w:p>
            <w:pPr>
              <w:spacing w:after="0"/>
              <w:rPr>
                <w:sz w:val="20"/>
                <w:szCs w:val="20"/>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disposition of Kawailoa in August 2022.</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176"/>
        </w:trPr>
        <w:tc>
          <w:tcPr>
            <w:tcW w:w="2360" w:type="dxa"/>
            <w:vAlign w:val="bottom"/>
          </w:tcPr>
          <w:p>
            <w:pPr>
              <w:spacing w:after="0"/>
              <w:rPr>
                <w:sz w:val="15"/>
                <w:szCs w:val="15"/>
                <w:color w:val="auto"/>
              </w:rPr>
            </w:pPr>
          </w:p>
        </w:tc>
        <w:tc>
          <w:tcPr>
            <w:tcW w:w="7520" w:type="dxa"/>
            <w:vAlign w:val="bottom"/>
          </w:tcPr>
          <w:p>
            <w:pPr>
              <w:ind w:left="280"/>
              <w:spacing w:after="0" w:line="176" w:lineRule="exact"/>
              <w:rPr>
                <w:sz w:val="20"/>
                <w:szCs w:val="20"/>
                <w:color w:val="auto"/>
              </w:rPr>
            </w:pPr>
            <w:r>
              <w:rPr>
                <w:rFonts w:ascii="Arial" w:cs="Arial" w:eastAsia="Arial" w:hAnsi="Arial"/>
                <w:sz w:val="18"/>
                <w:szCs w:val="18"/>
                <w:color w:val="auto"/>
                <w:w w:val="97"/>
              </w:rPr>
              <w:t>Decrease driven primarily by lower than average wind production primarily during the second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8"/>
        </w:trPr>
        <w:tc>
          <w:tcPr>
            <w:tcW w:w="2360" w:type="dxa"/>
            <w:vAlign w:val="bottom"/>
          </w:tcPr>
          <w:p>
            <w:pPr>
              <w:spacing w:after="0"/>
              <w:rPr>
                <w:sz w:val="16"/>
                <w:szCs w:val="16"/>
                <w:color w:val="auto"/>
              </w:rPr>
            </w:pPr>
          </w:p>
        </w:tc>
        <w:tc>
          <w:tcPr>
            <w:tcW w:w="7520" w:type="dxa"/>
            <w:vAlign w:val="bottom"/>
          </w:tcPr>
          <w:p>
            <w:pPr>
              <w:ind w:left="280"/>
              <w:spacing w:after="0" w:line="189" w:lineRule="exact"/>
              <w:rPr>
                <w:sz w:val="20"/>
                <w:szCs w:val="20"/>
                <w:color w:val="auto"/>
              </w:rPr>
            </w:pPr>
            <w:r>
              <w:rPr>
                <w:rFonts w:ascii="Arial" w:cs="Arial" w:eastAsia="Arial" w:hAnsi="Arial"/>
                <w:sz w:val="18"/>
                <w:szCs w:val="18"/>
                <w:color w:val="auto"/>
                <w:w w:val="93"/>
              </w:rPr>
              <w:t>quarter of 2023, compared with higher than average wind production during the second quarter of</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0"/>
        </w:trPr>
        <w:tc>
          <w:tcPr>
            <w:tcW w:w="2360" w:type="dxa"/>
            <w:vAlign w:val="bottom"/>
          </w:tcPr>
          <w:p>
            <w:pPr>
              <w:spacing w:after="0"/>
              <w:rPr>
                <w:sz w:val="20"/>
                <w:szCs w:val="20"/>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76"/>
        </w:trPr>
        <w:tc>
          <w:tcPr>
            <w:tcW w:w="2360" w:type="dxa"/>
            <w:vAlign w:val="bottom"/>
            <w:shd w:val="clear" w:color="auto" w:fill="CCEEFF"/>
          </w:tcPr>
          <w:p>
            <w:pPr>
              <w:spacing w:after="0"/>
              <w:rPr>
                <w:sz w:val="15"/>
                <w:szCs w:val="15"/>
                <w:color w:val="auto"/>
              </w:rPr>
            </w:pPr>
          </w:p>
        </w:tc>
        <w:tc>
          <w:tcPr>
            <w:tcW w:w="7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Decrease primarily resulting from extreme heat in Texas, which drove net losses for hedge-related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8"/>
        </w:trPr>
        <w:tc>
          <w:tcPr>
            <w:tcW w:w="2360" w:type="dxa"/>
            <w:vAlign w:val="bottom"/>
            <w:shd w:val="clear" w:color="auto" w:fill="CCEEFF"/>
          </w:tcPr>
          <w:p>
            <w:pPr>
              <w:spacing w:after="0"/>
              <w:rPr>
                <w:sz w:val="16"/>
                <w:szCs w:val="16"/>
                <w:color w:val="auto"/>
              </w:rPr>
            </w:pPr>
          </w:p>
        </w:tc>
        <w:tc>
          <w:tcPr>
            <w:tcW w:w="75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9"/>
              </w:rPr>
              <w:t>volumetric shortfalls where certain wind facilities fulfilled contractual obligations through the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2360" w:type="dxa"/>
            <w:vAlign w:val="bottom"/>
            <w:shd w:val="clear" w:color="auto" w:fill="CCEEFF"/>
          </w:tcPr>
          <w:p>
            <w:pPr>
              <w:spacing w:after="0"/>
              <w:rPr>
                <w:sz w:val="20"/>
                <w:szCs w:val="20"/>
                <w:color w:val="auto"/>
              </w:rPr>
            </w:pP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 of power at higher than normal prices, as well as lower average realized prices.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360" w:type="dxa"/>
            <w:vAlign w:val="bottom"/>
          </w:tcPr>
          <w:p>
            <w:pPr>
              <w:spacing w:after="0"/>
              <w:rPr>
                <w:sz w:val="19"/>
                <w:szCs w:val="19"/>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Decrease driven primarily by lower solar generation due to weather.</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Thermal Segment</w:t>
            </w:r>
          </w:p>
        </w:tc>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primarily driven by the sale of the Thermal Business on May 1, 2022.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175"/>
        </w:trPr>
        <w:tc>
          <w:tcPr>
            <w:tcW w:w="23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Contract amortization</w:t>
            </w:r>
          </w:p>
        </w:tc>
        <w:tc>
          <w:tcPr>
            <w:tcW w:w="7520" w:type="dxa"/>
            <w:vAlign w:val="bottom"/>
          </w:tcPr>
          <w:p>
            <w:pPr>
              <w:ind w:left="280"/>
              <w:spacing w:after="0" w:line="176" w:lineRule="exact"/>
              <w:rPr>
                <w:sz w:val="20"/>
                <w:szCs w:val="20"/>
                <w:color w:val="auto"/>
              </w:rPr>
            </w:pPr>
            <w:r>
              <w:rPr>
                <w:rFonts w:ascii="Arial" w:cs="Arial" w:eastAsia="Arial" w:hAnsi="Arial"/>
                <w:sz w:val="18"/>
                <w:szCs w:val="18"/>
                <w:color w:val="auto"/>
                <w:w w:val="92"/>
              </w:rPr>
              <w:t>Increase primarily driven by amortization of the intangible assets of PPAs related to the acquisition</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360" w:type="dxa"/>
            <w:vAlign w:val="bottom"/>
          </w:tcPr>
          <w:p>
            <w:pPr>
              <w:spacing w:after="0"/>
              <w:rPr>
                <w:sz w:val="21"/>
                <w:szCs w:val="21"/>
                <w:color w:val="auto"/>
              </w:rPr>
            </w:pPr>
          </w:p>
        </w:tc>
        <w:tc>
          <w:tcPr>
            <w:tcW w:w="7520" w:type="dxa"/>
            <w:vAlign w:val="bottom"/>
          </w:tcPr>
          <w:p>
            <w:pPr>
              <w:ind w:left="280"/>
              <w:spacing w:after="0"/>
              <w:rPr>
                <w:sz w:val="20"/>
                <w:szCs w:val="20"/>
                <w:color w:val="auto"/>
              </w:rPr>
            </w:pPr>
            <w:r>
              <w:rPr>
                <w:rFonts w:ascii="Arial" w:cs="Arial" w:eastAsia="Arial" w:hAnsi="Arial"/>
                <w:sz w:val="18"/>
                <w:szCs w:val="18"/>
                <w:color w:val="auto"/>
              </w:rPr>
              <w:t>of the Capistrano Wind Portfolio in August 2022.</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75"/>
        </w:trPr>
        <w:tc>
          <w:tcPr>
            <w:tcW w:w="2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Mark-to-market economic</w:t>
            </w:r>
          </w:p>
        </w:tc>
        <w:tc>
          <w:tcPr>
            <w:tcW w:w="7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Increase driven by decreases in forward power prices in the ERCOT and PJM markets.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hedging activities</w:t>
            </w:r>
          </w:p>
        </w:tc>
        <w:tc>
          <w:tcPr>
            <w:tcW w:w="7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175"/>
        </w:trPr>
        <w:tc>
          <w:tcPr>
            <w:tcW w:w="2360" w:type="dxa"/>
            <w:vAlign w:val="bottom"/>
          </w:tcPr>
          <w:p>
            <w:pPr>
              <w:spacing w:after="0"/>
              <w:rPr>
                <w:sz w:val="15"/>
                <w:szCs w:val="15"/>
                <w:color w:val="auto"/>
              </w:rPr>
            </w:pPr>
          </w:p>
        </w:tc>
        <w:tc>
          <w:tcPr>
            <w:tcW w:w="7520" w:type="dxa"/>
            <w:vAlign w:val="bottom"/>
          </w:tcPr>
          <w:p>
            <w:pPr>
              <w:ind w:left="280"/>
              <w:spacing w:after="0" w:line="176" w:lineRule="exact"/>
              <w:rPr>
                <w:sz w:val="20"/>
                <w:szCs w:val="20"/>
                <w:color w:val="auto"/>
              </w:rPr>
            </w:pPr>
            <w:r>
              <w:rPr>
                <w:rFonts w:ascii="Arial" w:cs="Arial" w:eastAsia="Arial" w:hAnsi="Arial"/>
                <w:sz w:val="18"/>
                <w:szCs w:val="18"/>
                <w:color w:val="auto"/>
                <w:w w:val="99"/>
              </w:rPr>
              <w:t>Increase due to heat rate call options entered into by the Walnut Creek and Marsh Landing</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36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facilities.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236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Fuels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Cost of fuels increased by $19 million during the nine months ended September 30, 2023, compared to the same period in 2022, due to a combination of the drivers summarized in the table below:</w:t>
      </w:r>
    </w:p>
    <w:p>
      <w:pPr>
        <w:spacing w:after="0" w:line="49" w:lineRule="exact"/>
        <w:rPr>
          <w:sz w:val="20"/>
          <w:szCs w:val="20"/>
          <w:color w:val="auto"/>
        </w:rPr>
      </w:pPr>
    </w:p>
    <w:p>
      <w:pPr>
        <w:ind w:left="10140"/>
        <w:spacing w:after="0"/>
        <w:rPr>
          <w:sz w:val="20"/>
          <w:szCs w:val="20"/>
          <w:color w:val="auto"/>
        </w:rPr>
      </w:pPr>
      <w:r>
        <w:rPr>
          <w:rFonts w:ascii="Arial" w:cs="Arial" w:eastAsia="Arial" w:hAnsi="Arial"/>
          <w:sz w:val="16"/>
          <w:szCs w:val="16"/>
          <w:b w:val="1"/>
          <w:bCs w:val="1"/>
          <w:color w:val="auto"/>
        </w:rPr>
        <w:t>(In millions)</w:t>
      </w:r>
    </w:p>
    <w:p>
      <w:pPr>
        <w:sectPr>
          <w:pgSz w:w="11900" w:h="16838" w:orient="portrait"/>
          <w:cols w:equalWidth="0" w:num="1">
            <w:col w:w="11240"/>
          </w:cols>
          <w:pgMar w:left="320" w:top="891" w:right="339" w:bottom="1440" w:gutter="0" w:footer="0" w:header="0"/>
        </w:sectPr>
      </w:pPr>
    </w:p>
    <w:p>
      <w:pPr>
        <w:spacing w:after="0" w:line="16"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8"/>
          <w:szCs w:val="18"/>
          <w:b w:val="1"/>
          <w:bCs w:val="1"/>
          <w:color w:val="auto"/>
        </w:rPr>
        <w:t>Conventional Segment</w:t>
      </w:r>
      <w:r>
        <w:rPr>
          <w:sz w:val="20"/>
          <w:szCs w:val="20"/>
          <w:color w:val="auto"/>
        </w:rPr>
        <w:tab/>
      </w:r>
      <w:r>
        <w:rPr>
          <w:rFonts w:ascii="Arial" w:cs="Arial" w:eastAsia="Arial" w:hAnsi="Arial"/>
          <w:sz w:val="17"/>
          <w:szCs w:val="17"/>
          <w:color w:val="auto"/>
        </w:rPr>
        <w:t>Increase primarily driven by fuel purchases and the related cost of emissions obligations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4800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ind w:left="2560"/>
        <w:spacing w:after="0" w:line="226" w:lineRule="auto"/>
        <w:rPr>
          <w:sz w:val="20"/>
          <w:szCs w:val="20"/>
          <w:color w:val="auto"/>
        </w:rPr>
      </w:pPr>
      <w:r>
        <w:rPr>
          <w:rFonts w:ascii="Arial" w:cs="Arial" w:eastAsia="Arial" w:hAnsi="Arial"/>
          <w:sz w:val="18"/>
          <w:szCs w:val="18"/>
          <w:color w:val="auto"/>
        </w:rPr>
        <w:t>Walnut Creek, Marsh Landing and El Segundo facilities as a result of the expiration of PPAs during 2023 and the facilities commencing merchant operations.</w:t>
      </w:r>
    </w:p>
    <w:p>
      <w:pPr>
        <w:spacing w:after="0" w:line="175" w:lineRule="exact"/>
        <w:rPr>
          <w:sz w:val="20"/>
          <w:szCs w:val="20"/>
          <w:color w:val="auto"/>
        </w:rPr>
      </w:pPr>
    </w:p>
    <w:p>
      <w:pPr>
        <w:ind w:left="2560" w:right="20"/>
        <w:spacing w:after="0" w:line="235" w:lineRule="auto"/>
        <w:rPr>
          <w:sz w:val="20"/>
          <w:szCs w:val="20"/>
          <w:color w:val="auto"/>
        </w:rPr>
      </w:pPr>
      <w:r>
        <w:rPr>
          <w:rFonts w:ascii="Arial" w:cs="Arial" w:eastAsia="Arial" w:hAnsi="Arial"/>
          <w:sz w:val="18"/>
          <w:szCs w:val="18"/>
          <w:color w:val="auto"/>
        </w:rPr>
        <w:t>Increase due to the associated costs of the sales-type lease recognition of the Marsh Landing Black Start addition that commenced operations on May 31, 2023.</w:t>
      </w:r>
    </w:p>
    <w:p>
      <w:pPr>
        <w:spacing w:after="0" w:line="9"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8"/>
          <w:szCs w:val="18"/>
          <w:b w:val="1"/>
          <w:bCs w:val="1"/>
          <w:color w:val="auto"/>
        </w:rPr>
        <w:t>Thermal Segment</w:t>
      </w:r>
      <w:r>
        <w:rPr>
          <w:sz w:val="20"/>
          <w:szCs w:val="20"/>
          <w:color w:val="auto"/>
        </w:rPr>
        <w:tab/>
      </w:r>
      <w:r>
        <w:rPr>
          <w:rFonts w:ascii="Arial" w:cs="Arial" w:eastAsia="Arial" w:hAnsi="Arial"/>
          <w:sz w:val="16"/>
          <w:szCs w:val="16"/>
          <w:color w:val="auto"/>
        </w:rPr>
        <w:t>Decrease primarily driven by the sale of the Thermal Business on May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086" w:hanging="1086"/>
        <w:spacing w:after="0"/>
        <w:tabs>
          <w:tab w:leader="none" w:pos="10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34</w:t>
      </w:r>
    </w:p>
    <w:p>
      <w:pPr>
        <w:spacing w:after="0" w:line="211" w:lineRule="exact"/>
        <w:rPr>
          <w:rFonts w:ascii="Arial" w:cs="Arial" w:eastAsia="Arial" w:hAnsi="Arial"/>
          <w:sz w:val="18"/>
          <w:szCs w:val="18"/>
          <w:color w:val="auto"/>
        </w:rPr>
      </w:pPr>
    </w:p>
    <w:p>
      <w:pPr>
        <w:ind w:left="1086"/>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5" w:lineRule="exact"/>
        <w:rPr>
          <w:sz w:val="20"/>
          <w:szCs w:val="20"/>
          <w:color w:val="auto"/>
        </w:rPr>
      </w:pPr>
    </w:p>
    <w:p>
      <w:pPr>
        <w:ind w:left="1086" w:hanging="1086"/>
        <w:spacing w:after="0"/>
        <w:tabs>
          <w:tab w:leader="none" w:pos="10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655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91"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ind w:firstLine="405"/>
        <w:spacing w:after="0" w:line="274" w:lineRule="auto"/>
        <w:rPr>
          <w:sz w:val="20"/>
          <w:szCs w:val="20"/>
          <w:color w:val="auto"/>
        </w:rPr>
      </w:pPr>
      <w:r>
        <w:rPr>
          <w:rFonts w:ascii="Arial" w:cs="Arial" w:eastAsia="Arial" w:hAnsi="Arial"/>
          <w:sz w:val="18"/>
          <w:szCs w:val="18"/>
          <w:color w:val="auto"/>
        </w:rPr>
        <w:t>Operations and maintenance expense increased by $14 million during the nine months ended September 30, 2023, compared to the same period in 2022, due to a combination of the drivers summarized in the table below:</w:t>
      </w:r>
    </w:p>
    <w:p>
      <w:pPr>
        <w:sectPr>
          <w:pgSz w:w="11900" w:h="16838" w:orient="portrait"/>
          <w:cols w:equalWidth="0" w:num="1">
            <w:col w:w="11240"/>
          </w:cols>
          <w:pgMar w:left="320" w:top="895" w:right="339" w:bottom="1440" w:gutter="0" w:footer="0" w:header="0"/>
        </w:sect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Renewables Segment</w:t>
            </w:r>
          </w:p>
        </w:tc>
        <w:tc>
          <w:tcPr>
            <w:tcW w:w="7660" w:type="dxa"/>
            <w:vAlign w:val="bottom"/>
          </w:tcPr>
          <w:p>
            <w:pPr>
              <w:ind w:left="440"/>
              <w:spacing w:after="0"/>
              <w:rPr>
                <w:sz w:val="20"/>
                <w:szCs w:val="20"/>
                <w:color w:val="auto"/>
              </w:rPr>
            </w:pPr>
            <w:r>
              <w:rPr>
                <w:rFonts w:ascii="Arial" w:cs="Arial" w:eastAsia="Arial" w:hAnsi="Arial"/>
                <w:sz w:val="18"/>
                <w:szCs w:val="18"/>
                <w:color w:val="auto"/>
              </w:rPr>
              <w:t>Increase driven by the acquisition of the Capistrano Wind Portfolio in August 2022.</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7660" w:type="dxa"/>
            <w:vAlign w:val="bottom"/>
          </w:tcPr>
          <w:p>
            <w:pPr>
              <w:ind w:left="440"/>
              <w:spacing w:after="0" w:line="189" w:lineRule="exact"/>
              <w:rPr>
                <w:sz w:val="20"/>
                <w:szCs w:val="20"/>
                <w:color w:val="auto"/>
              </w:rPr>
            </w:pPr>
            <w:r>
              <w:rPr>
                <w:rFonts w:ascii="Arial" w:cs="Arial" w:eastAsia="Arial" w:hAnsi="Arial"/>
                <w:sz w:val="18"/>
                <w:szCs w:val="18"/>
                <w:color w:val="auto"/>
                <w:w w:val="93"/>
              </w:rPr>
              <w:t>Increase for solar acquisitions driven by Daggett 3 in February 2023, Mililani I in March 2022 and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Waiawa in November 2022, offset by the disposition of Kawailoa in August 2022.</w:t>
            </w:r>
          </w:p>
        </w:tc>
        <w:tc>
          <w:tcPr>
            <w:tcW w:w="0" w:type="dxa"/>
            <w:vAlign w:val="bottom"/>
          </w:tcPr>
          <w:p>
            <w:pPr>
              <w:spacing w:after="0"/>
              <w:rPr>
                <w:sz w:val="1"/>
                <w:szCs w:val="1"/>
                <w:color w:val="auto"/>
              </w:rPr>
            </w:pPr>
          </w:p>
        </w:tc>
      </w:tr>
      <w:tr>
        <w:trPr>
          <w:trHeight w:val="241"/>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Conventional Segment</w:t>
            </w:r>
          </w:p>
        </w:tc>
        <w:tc>
          <w:tcPr>
            <w:tcW w:w="7660" w:type="dxa"/>
            <w:vAlign w:val="bottom"/>
          </w:tcPr>
          <w:p>
            <w:pPr>
              <w:ind w:left="440"/>
              <w:spacing w:after="0"/>
              <w:rPr>
                <w:sz w:val="20"/>
                <w:szCs w:val="20"/>
                <w:color w:val="auto"/>
              </w:rPr>
            </w:pPr>
            <w:r>
              <w:rPr>
                <w:rFonts w:ascii="Arial" w:cs="Arial" w:eastAsia="Arial" w:hAnsi="Arial"/>
                <w:sz w:val="18"/>
                <w:szCs w:val="18"/>
                <w:color w:val="auto"/>
              </w:rPr>
              <w:t>Increase primarily driven by maintenance activities at the wind facilities.</w:t>
            </w:r>
          </w:p>
        </w:tc>
        <w:tc>
          <w:tcPr>
            <w:tcW w:w="0" w:type="dxa"/>
            <w:vAlign w:val="bottom"/>
          </w:tcPr>
          <w:p>
            <w:pPr>
              <w:spacing w:after="0"/>
              <w:rPr>
                <w:sz w:val="1"/>
                <w:szCs w:val="1"/>
                <w:color w:val="auto"/>
              </w:rPr>
            </w:pPr>
          </w:p>
        </w:tc>
      </w:tr>
      <w:tr>
        <w:trPr>
          <w:trHeight w:val="229"/>
        </w:trPr>
        <w:tc>
          <w:tcPr>
            <w:tcW w:w="2180" w:type="dxa"/>
            <w:vAlign w:val="bottom"/>
            <w:vMerge w:val="continue"/>
          </w:tcPr>
          <w:p>
            <w:pPr>
              <w:spacing w:after="0"/>
              <w:rPr>
                <w:sz w:val="19"/>
                <w:szCs w:val="19"/>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Increase primarily driven by outages at the Walnut Creek and Marsh Landing facilities.</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7660" w:type="dxa"/>
            <w:vAlign w:val="bottom"/>
          </w:tcPr>
          <w:p>
            <w:pPr>
              <w:ind w:left="440"/>
              <w:spacing w:after="0" w:line="176" w:lineRule="exact"/>
              <w:rPr>
                <w:sz w:val="20"/>
                <w:szCs w:val="20"/>
                <w:color w:val="auto"/>
              </w:rPr>
            </w:pPr>
            <w:r>
              <w:rPr>
                <w:rFonts w:ascii="Arial" w:cs="Arial" w:eastAsia="Arial" w:hAnsi="Arial"/>
                <w:sz w:val="18"/>
                <w:szCs w:val="18"/>
                <w:color w:val="auto"/>
                <w:w w:val="92"/>
              </w:rPr>
              <w:t>Increase primarily driven by higher costs related to additional planned maintenance outages at the</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El Segundo facility in 2023.</w:t>
            </w:r>
          </w:p>
        </w:tc>
        <w:tc>
          <w:tcPr>
            <w:tcW w:w="0" w:type="dxa"/>
            <w:vAlign w:val="bottom"/>
          </w:tcPr>
          <w:p>
            <w:pPr>
              <w:spacing w:after="0"/>
              <w:rPr>
                <w:sz w:val="1"/>
                <w:szCs w:val="1"/>
                <w:color w:val="auto"/>
              </w:rPr>
            </w:pPr>
          </w:p>
        </w:tc>
      </w:tr>
      <w:tr>
        <w:trPr>
          <w:trHeight w:val="241"/>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Thermal Segment</w:t>
            </w:r>
          </w:p>
        </w:tc>
        <w:tc>
          <w:tcPr>
            <w:tcW w:w="7660" w:type="dxa"/>
            <w:vAlign w:val="bottom"/>
          </w:tcPr>
          <w:p>
            <w:pPr>
              <w:ind w:left="440"/>
              <w:spacing w:after="0"/>
              <w:rPr>
                <w:sz w:val="20"/>
                <w:szCs w:val="20"/>
                <w:color w:val="auto"/>
              </w:rPr>
            </w:pPr>
            <w:r>
              <w:rPr>
                <w:rFonts w:ascii="Arial" w:cs="Arial" w:eastAsia="Arial" w:hAnsi="Arial"/>
                <w:sz w:val="18"/>
                <w:szCs w:val="18"/>
                <w:color w:val="auto"/>
                <w:w w:val="93"/>
              </w:rPr>
              <w:t>Increase primarily driven by higher costs related to planned maintenance at the Carlsbad facility.</w:t>
            </w: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20"/>
                <w:szCs w:val="20"/>
                <w:color w:val="auto"/>
              </w:rPr>
            </w:pPr>
          </w:p>
        </w:tc>
        <w:tc>
          <w:tcPr>
            <w:tcW w:w="7660" w:type="dxa"/>
            <w:vAlign w:val="bottom"/>
          </w:tcPr>
          <w:p>
            <w:pPr>
              <w:ind w:left="440"/>
              <w:spacing w:after="0"/>
              <w:rPr>
                <w:sz w:val="20"/>
                <w:szCs w:val="20"/>
                <w:color w:val="auto"/>
              </w:rPr>
            </w:pPr>
            <w:r>
              <w:rPr>
                <w:rFonts w:ascii="Arial" w:cs="Arial" w:eastAsia="Arial" w:hAnsi="Arial"/>
                <w:sz w:val="18"/>
                <w:szCs w:val="18"/>
                <w:color w:val="auto"/>
              </w:rPr>
              <w:t>Decrease primarily driven by the sale of the Thermal Business on May 1,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265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4"/>
        <w:spacing w:after="0"/>
        <w:rPr>
          <w:sz w:val="20"/>
          <w:szCs w:val="20"/>
          <w:color w:val="auto"/>
        </w:rPr>
      </w:pPr>
      <w:r>
        <w:rPr>
          <w:rFonts w:ascii="Arial" w:cs="Arial" w:eastAsia="Arial" w:hAnsi="Arial"/>
          <w:sz w:val="16"/>
          <w:szCs w:val="16"/>
          <w:b w:val="1"/>
          <w:bCs w:val="1"/>
          <w:color w:val="auto"/>
        </w:rPr>
        <w:t>(In millions)</w:t>
      </w:r>
    </w:p>
    <w:p>
      <w:pPr>
        <w:spacing w:after="0" w:line="45" w:lineRule="exact"/>
        <w:rPr>
          <w:sz w:val="20"/>
          <w:szCs w:val="20"/>
          <w:color w:val="auto"/>
        </w:rPr>
      </w:pPr>
    </w:p>
    <w:p>
      <w:pPr>
        <w:ind w:left="1086" w:hanging="1086"/>
        <w:spacing w:after="0"/>
        <w:tabs>
          <w:tab w:leader="none" w:pos="10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14</w:t>
      </w:r>
    </w:p>
    <w:p>
      <w:pPr>
        <w:spacing w:after="0" w:line="212" w:lineRule="exact"/>
        <w:rPr>
          <w:sz w:val="20"/>
          <w:szCs w:val="20"/>
          <w:color w:val="auto"/>
        </w:rPr>
      </w:pPr>
    </w:p>
    <w:p>
      <w:pPr>
        <w:ind w:left="1186"/>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1186"/>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1186"/>
        <w:spacing w:after="0"/>
        <w:rPr>
          <w:sz w:val="20"/>
          <w:szCs w:val="20"/>
          <w:color w:val="auto"/>
        </w:rPr>
      </w:pPr>
      <w:r>
        <w:rPr>
          <w:rFonts w:ascii="Arial" w:cs="Arial" w:eastAsia="Arial" w:hAnsi="Arial"/>
          <w:sz w:val="18"/>
          <w:szCs w:val="18"/>
          <w:color w:val="auto"/>
        </w:rPr>
        <w:t>5</w:t>
      </w:r>
    </w:p>
    <w:p>
      <w:pPr>
        <w:spacing w:after="0" w:line="21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5" w:lineRule="exact"/>
        <w:rPr>
          <w:sz w:val="20"/>
          <w:szCs w:val="20"/>
          <w:color w:val="auto"/>
        </w:rPr>
      </w:pPr>
    </w:p>
    <w:p>
      <w:pPr>
        <w:ind w:left="1086" w:hanging="1086"/>
        <w:spacing w:after="0"/>
        <w:tabs>
          <w:tab w:leader="none" w:pos="10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655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95"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 Expense</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Other costs of operations expense decreased by $11 million during the nine months ended September 30, 2023, compared to the same period in 2022, primarily due to a decrease in property taxes in the Renewables segment and the sale of the Thermal Business on May 1, 2022.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Business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 2022, the Company completed the sale of 100% of its interests in the Thermal Business to KKR, resulting in a gain on sale of business of approximately $1.29 billion.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Equity in earnings of unconsolidated affiliates decreased by $17 million during the nine months ended September 30, 2023, compared to the same period in 2022, primarily due to the change in fair value of interest swaps and higher depreciation expense, as well as lower wind production during the second quarter of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income, net increased by $22 million during the nine months ended September 30, 2023, compared to the same period in 2022, primarily due to higher interest income earned on investments in money market and time deposit accounts, which have retained larger balances as a result of the proceeds received from the sale of the Thermal Business on May 1, 2022, along with higher interest income earned across the portfolio as a result of higher interest rates.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increased by $59 million during the nine months ended September 30, 2023, compared to the same period in 2022, primarily due to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Increase in interest expense due to an increase in principal balances of Renewables segment project-level debt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interest expense due to a decrease in principal balances of Conventional segment project-level debt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Decrease in interest expense due to the sale of the Thermal Business on May 1, 2022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9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Decrease in interest expense due to decreased principal balances of Corporate debt, which includes repayment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of the outstanding borrowings under the Bridge Loan Agreement and the revolving credit facility on May 3,</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9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9920" w:type="dxa"/>
            <w:vAlign w:val="bottom"/>
            <w:vMerge w:val="restart"/>
          </w:tcPr>
          <w:p>
            <w:pPr>
              <w:ind w:left="5540"/>
              <w:spacing w:after="0"/>
              <w:rPr>
                <w:sz w:val="20"/>
                <w:szCs w:val="20"/>
                <w:color w:val="auto"/>
              </w:rPr>
            </w:pPr>
            <w:r>
              <w:rPr>
                <w:rFonts w:ascii="Arial" w:cs="Arial" w:eastAsia="Arial" w:hAnsi="Arial"/>
                <w:sz w:val="18"/>
                <w:szCs w:val="18"/>
                <w:color w:val="231F20"/>
              </w:rPr>
              <w:t>45</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9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nine months ended September 30, 2023, the Company recorded an income tax expense of $67 million on pretax income of $126 million. For the same period in 2022, the Company recorded an income tax expense of $237 million on a pretax income of $1.35 billion. The $170 million decrease in income tax expense during the nine months ended September 30, 2023, compared to the same period in 2022, was primarily due to the allocation of taxable earnings and losses, including the gain on the sale of the Thermal Business, which includes the effect of applying the HLBV method of accounting for book purposes for certain partnerships.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 and Redeemable Noncontrolling Interests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nine months ended September 30, 2023, the Company had net income of $17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Income attributable to third-party partnerships (primarily due to Daggett TE Holdco LLC HLBV losses during the third quarter of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176"/>
        </w:trPr>
        <w:tc>
          <w:tcPr>
            <w:tcW w:w="9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Losses attributable to tax equity financing arrangements and the application of the HLBV method (primarily due to Daggett TE Holdco</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LLC HLBV losses during the third quarter of 2023)</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the nine months ended September 30, 2022, the Company had net income of $544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Energy LLC (primarily driven by the gain on sale of the Thermal Business)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180" w:type="dxa"/>
            <w:vAlign w:val="bottom"/>
          </w:tcPr>
          <w:p>
            <w:pPr>
              <w:spacing w:after="0"/>
              <w:rPr>
                <w:sz w:val="19"/>
                <w:szCs w:val="19"/>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w w:val="93"/>
              </w:rPr>
              <w:t>(29)</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third-party partnerships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3"/>
              </w:rPr>
              <w:t>(20)</w:t>
            </w:r>
          </w:p>
        </w:tc>
        <w:tc>
          <w:tcPr>
            <w:tcW w:w="0" w:type="dxa"/>
            <w:vAlign w:val="bottom"/>
          </w:tcPr>
          <w:p>
            <w:pPr>
              <w:spacing w:after="0"/>
              <w:rPr>
                <w:sz w:val="1"/>
                <w:szCs w:val="1"/>
                <w:color w:val="auto"/>
              </w:rPr>
            </w:pP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9880" w:type="dxa"/>
            <w:vAlign w:val="bottom"/>
            <w:vMerge w:val="restart"/>
          </w:tcPr>
          <w:p>
            <w:pPr>
              <w:jc w:val="right"/>
              <w:ind w:right="4070"/>
              <w:spacing w:after="0"/>
              <w:rPr>
                <w:sz w:val="20"/>
                <w:szCs w:val="20"/>
                <w:color w:val="auto"/>
              </w:rPr>
            </w:pPr>
            <w:r>
              <w:rPr>
                <w:rFonts w:ascii="Arial" w:cs="Arial" w:eastAsia="Arial" w:hAnsi="Arial"/>
                <w:sz w:val="18"/>
                <w:szCs w:val="18"/>
                <w:color w:val="231F20"/>
              </w:rPr>
              <w:t>46</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9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2023</w:t>
      </w:r>
      <w:r>
        <w:rPr>
          <w:rFonts w:ascii="Arial" w:cs="Arial" w:eastAsia="Arial" w:hAnsi="Arial"/>
          <w:sz w:val="18"/>
          <w:szCs w:val="18"/>
          <w:color w:val="231F20"/>
        </w:rPr>
        <w:t xml:space="preserve"> and </w:t>
      </w:r>
      <w:r>
        <w:rPr>
          <w:rFonts w:ascii="Arial" w:cs="Arial" w:eastAsia="Arial" w:hAnsi="Arial"/>
          <w:sz w:val="18"/>
          <w:szCs w:val="18"/>
          <w:color w:val="000000"/>
        </w:rPr>
        <w:t>December 31, 2022</w:t>
      </w:r>
      <w:r>
        <w:rPr>
          <w:rFonts w:ascii="Arial" w:cs="Arial" w:eastAsia="Arial" w:hAnsi="Arial"/>
          <w:sz w:val="18"/>
          <w:szCs w:val="18"/>
          <w:color w:val="231F20"/>
        </w:rPr>
        <w:t>, the Company’s liquidity was approximately $1.65 billion and $1.37 billion, respectively, comprised of cash, restricted cash and availability under the Company’s revolving credit facility.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7"/>
                <w:szCs w:val="17"/>
                <w:color w:val="auto"/>
              </w:rPr>
            </w:pPr>
          </w:p>
        </w:tc>
        <w:tc>
          <w:tcPr>
            <w:tcW w:w="162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Restricted cash:</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accounts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Reserves, including debt service, distributions, performance obligations and other reserves</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30"/>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Revolving credit facility availability</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 xml:space="preserve">The Company’s liquidity includes $590 million and $339 million of restricted cash balances as of September 30, 2023 and December 31, 2022,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September 30, 2023, these restricted funds were comprised of $160 million designated to fund operating</w:t>
      </w:r>
      <w:r>
        <w:rPr>
          <w:rFonts w:ascii="Arial" w:cs="Arial" w:eastAsia="Arial" w:hAnsi="Arial"/>
          <w:sz w:val="16"/>
          <w:szCs w:val="16"/>
          <w:color w:val="231F20"/>
        </w:rPr>
        <w:t xml:space="preserve"> </w:t>
      </w:r>
      <w:r>
        <w:rPr>
          <w:rFonts w:ascii="Arial" w:cs="Arial" w:eastAsia="Arial" w:hAnsi="Arial"/>
          <w:sz w:val="16"/>
          <w:szCs w:val="16"/>
          <w:color w:val="000000"/>
        </w:rPr>
        <w:t>expenses, approximately $316 million designated for current debt service payments and $85 million restricted for reserves including debt service, performance obligations and other reserves, as well as capital expenditures. The remaining $29 million is held in distribution reserve accounts.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3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As of September 30, 2023, the Company had no outstanding borrowings under the revolving credit facility and $211 million in letters of credit outstanding. </w:t>
      </w:r>
      <w:r>
        <w:rPr>
          <w:rFonts w:ascii="Arial" w:cs="Arial" w:eastAsia="Arial" w:hAnsi="Arial"/>
          <w:sz w:val="17"/>
          <w:szCs w:val="17"/>
          <w:color w:val="231F20"/>
        </w:rPr>
        <w:t>The facility will continue to be used for general corporate purposes including financing of future acquisitions and posting letters of credit.</w:t>
      </w:r>
    </w:p>
    <w:p>
      <w:pPr>
        <w:spacing w:after="0" w:line="9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Item 15 — Note 10, </w:t>
      </w:r>
      <w:r>
        <w:rPr>
          <w:rFonts w:ascii="Arial" w:cs="Arial" w:eastAsia="Arial" w:hAnsi="Arial"/>
          <w:sz w:val="18"/>
          <w:szCs w:val="18"/>
          <w:i w:val="1"/>
          <w:iCs w:val="1"/>
          <w:color w:val="231F20"/>
        </w:rPr>
        <w:t>Long-term Debt</w:t>
      </w:r>
      <w:r>
        <w:rPr>
          <w:rFonts w:ascii="Arial" w:cs="Arial" w:eastAsia="Arial" w:hAnsi="Arial"/>
          <w:sz w:val="18"/>
          <w:szCs w:val="18"/>
          <w:color w:val="231F20"/>
        </w:rPr>
        <w:t>, to the consolidated financial statements included in the Company’s 2022 Form 10-K, the Company’s financing arrangements consist of corporate level debt, which includes Senior Notes and the revolving credit facility, the ATM Program and project-level financings for its various assets.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7" w:name="page48"/>
    <w:bookmarkEnd w:id="47"/>
    <w:p>
      <w:pPr>
        <w:ind w:left="420"/>
        <w:spacing w:after="0"/>
        <w:rPr>
          <w:sz w:val="20"/>
          <w:szCs w:val="20"/>
          <w:color w:val="auto"/>
        </w:rPr>
      </w:pPr>
      <w:r>
        <w:rPr>
          <w:rFonts w:ascii="Arial" w:cs="Arial" w:eastAsia="Arial" w:hAnsi="Arial"/>
          <w:sz w:val="18"/>
          <w:szCs w:val="18"/>
          <w:i w:val="1"/>
          <w:iCs w:val="1"/>
          <w:color w:val="auto"/>
        </w:rPr>
        <w:t>Credit Ratings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September 30,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600" w:type="dxa"/>
            <w:vAlign w:val="bottom"/>
            <w:gridSpan w:val="2"/>
          </w:tcPr>
          <w:p>
            <w:pPr>
              <w:ind w:left="600"/>
              <w:spacing w:after="0"/>
              <w:rPr>
                <w:sz w:val="20"/>
                <w:szCs w:val="20"/>
                <w:color w:val="auto"/>
              </w:rPr>
            </w:pPr>
            <w:r>
              <w:rPr>
                <w:rFonts w:ascii="Arial" w:cs="Arial" w:eastAsia="Arial" w:hAnsi="Arial"/>
                <w:sz w:val="14"/>
                <w:szCs w:val="14"/>
                <w:b w:val="1"/>
                <w:bCs w:val="1"/>
                <w:color w:val="auto"/>
              </w:rPr>
              <w:t>S&amp;P</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26"/>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15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4.750% Senior Notes, due 2028</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3.750% Senior Notes, due 2031</w:t>
            </w:r>
          </w:p>
        </w:tc>
        <w:tc>
          <w:tcPr>
            <w:tcW w:w="16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3.750% Senior Notes, due 2032</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(ii) capital expenditures; (iii) off-balance sheet arrangements; (iv) acquisitions and investments, as described more fully in </w:t>
      </w:r>
      <w:r>
        <w:rPr>
          <w:rFonts w:ascii="Arial" w:cs="Arial" w:eastAsia="Arial" w:hAnsi="Arial"/>
          <w:sz w:val="18"/>
          <w:szCs w:val="18"/>
          <w:color w:val="000000"/>
        </w:rPr>
        <w:t>Note 3,</w:t>
      </w:r>
      <w:r>
        <w:rPr>
          <w:rFonts w:ascii="Arial" w:cs="Arial" w:eastAsia="Arial" w:hAnsi="Arial"/>
          <w:sz w:val="18"/>
          <w:szCs w:val="18"/>
          <w:color w:val="231F20"/>
        </w:rPr>
        <w:t xml:space="preserve"> </w:t>
      </w:r>
      <w:r>
        <w:rPr>
          <w:rFonts w:ascii="Arial" w:cs="Arial" w:eastAsia="Arial" w:hAnsi="Arial"/>
          <w:sz w:val="18"/>
          <w:szCs w:val="18"/>
          <w:i w:val="1"/>
          <w:iCs w:val="1"/>
          <w:color w:val="000000"/>
        </w:rPr>
        <w:t>Acquisitions and Dispositions</w:t>
      </w:r>
      <w:r>
        <w:rPr>
          <w:rFonts w:ascii="Arial" w:cs="Arial" w:eastAsia="Arial" w:hAnsi="Arial"/>
          <w:sz w:val="18"/>
          <w:szCs w:val="18"/>
          <w:color w:val="231F20"/>
        </w:rPr>
        <w:t xml:space="preserve"> </w:t>
      </w:r>
      <w:r>
        <w:rPr>
          <w:rFonts w:ascii="Arial" w:cs="Arial" w:eastAsia="Arial" w:hAnsi="Arial"/>
          <w:sz w:val="18"/>
          <w:szCs w:val="18"/>
          <w:color w:val="000000"/>
        </w:rPr>
        <w:t>and Note 4,</w:t>
      </w:r>
      <w:r>
        <w:rPr>
          <w:rFonts w:ascii="Arial" w:cs="Arial" w:eastAsia="Arial" w:hAnsi="Arial"/>
          <w:sz w:val="18"/>
          <w:szCs w:val="18"/>
          <w:color w:val="231F20"/>
        </w:rPr>
        <w:t xml:space="preserve"> </w:t>
      </w:r>
      <w:r>
        <w:rPr>
          <w:rFonts w:ascii="Arial" w:cs="Arial" w:eastAsia="Arial" w:hAnsi="Arial"/>
          <w:sz w:val="18"/>
          <w:szCs w:val="18"/>
          <w:i w:val="1"/>
          <w:iCs w:val="1"/>
          <w:color w:val="000000"/>
        </w:rPr>
        <w:t>Investments Accounted for by the Equity Method and Variable Interest Entities</w:t>
      </w:r>
      <w:r>
        <w:rPr>
          <w:rFonts w:ascii="Arial" w:cs="Arial" w:eastAsia="Arial" w:hAnsi="Arial"/>
          <w:sz w:val="18"/>
          <w:szCs w:val="18"/>
          <w:color w:val="231F20"/>
        </w:rPr>
        <w:t>; and (v) cash dividends to investors.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Capital Expenditures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13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For the nine months ended </w:t>
      </w:r>
      <w:r>
        <w:rPr>
          <w:rFonts w:ascii="Arial" w:cs="Arial" w:eastAsia="Arial" w:hAnsi="Arial"/>
          <w:sz w:val="17"/>
          <w:szCs w:val="17"/>
          <w:color w:val="000000"/>
        </w:rPr>
        <w:t>September 30, 2023</w:t>
      </w:r>
      <w:r>
        <w:rPr>
          <w:rFonts w:ascii="Arial" w:cs="Arial" w:eastAsia="Arial" w:hAnsi="Arial"/>
          <w:sz w:val="17"/>
          <w:szCs w:val="17"/>
          <w:color w:val="231F20"/>
        </w:rPr>
        <w:t xml:space="preserve">, the Company used approximately $142 million to fund capital expenditures, including growth </w:t>
      </w:r>
      <w:r>
        <w:rPr>
          <w:rFonts w:ascii="Arial" w:cs="Arial" w:eastAsia="Arial" w:hAnsi="Arial"/>
          <w:sz w:val="17"/>
          <w:szCs w:val="17"/>
          <w:color w:val="000000"/>
        </w:rPr>
        <w:t>expenditures of $120 million in the Renewables segment, funded through construction-related financing. Renewables segment capital expenditures included $95 million incurred in connection with the Daggett 3 solar project, $10 million incurred in connection with the Waiawa solar project, $7 million incurred in connection with the Daggett 2 solar project and $8 million incurred by other wind and solar projects. In addition, the Company incurred $22 million in maintenance capital expenditures. The Company estimates $35 million of maintenance expenditures for 2023. These estimates are subject to continuing review and adjustment. Actual capital expenditures may vary from these estimates.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Obligations under Certain Guarantee Contracts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Retained or Contingent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Obligations Arising Out of a Variable Interest in an Unconsolidated Entity</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September 30, 2023, the Company has several investments with an ownership interest percentage of 50% or less in energy and an energy-related entity that is accounted for under the equity method. GenConn and Rosie Central BESS are variable interest entities for which the Company is not the primary beneficiary. The Company’s pro-rata share of non-recourse debt held by unconsolidated affiliates was approximately $312 million as of September 30, 2023. This indebtedness may restrict the ability of these subsidiaries to issue dividends or distributions to the Company.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Arial" w:cs="Arial" w:eastAsia="Arial" w:hAnsi="Arial"/>
          <w:sz w:val="18"/>
          <w:szCs w:val="18"/>
          <w:color w:val="231F20"/>
        </w:rPr>
        <w:t>2022</w:t>
      </w:r>
      <w:r>
        <w:rPr>
          <w:rFonts w:ascii="Arial" w:cs="Arial" w:eastAsia="Arial" w:hAnsi="Arial"/>
          <w:sz w:val="18"/>
          <w:szCs w:val="18"/>
          <w:color w:val="auto"/>
        </w:rPr>
        <w:t xml:space="preserve">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ind w:left="420"/>
        <w:spacing w:after="0"/>
        <w:rPr>
          <w:sz w:val="20"/>
          <w:szCs w:val="20"/>
          <w:color w:val="auto"/>
        </w:rPr>
      </w:pPr>
      <w:r>
        <w:rPr>
          <w:rFonts w:ascii="Arial" w:cs="Arial" w:eastAsia="Arial" w:hAnsi="Arial"/>
          <w:sz w:val="18"/>
          <w:szCs w:val="18"/>
          <w:b w:val="1"/>
          <w:bCs w:val="1"/>
          <w:i w:val="1"/>
          <w:iCs w:val="1"/>
          <w:color w:val="auto"/>
        </w:rPr>
        <w:t>Acquisitions and Investments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3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Victory Pass and Arica Drop Down </w:t>
      </w:r>
      <w:r>
        <w:rPr>
          <w:rFonts w:ascii="Arial" w:cs="Arial" w:eastAsia="Arial" w:hAnsi="Arial"/>
          <w:sz w:val="18"/>
          <w:szCs w:val="18"/>
          <w:color w:val="auto"/>
        </w:rPr>
        <w:t>— On October 31, 2023, the Company, through its indirect subsidiary, VP-Arica Parent Holdco LLC,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the Class A membership interests in VP-Arica TargetCo LLC, the indirect owner of the Victory Pass and Arica solar projects, from Clearway Renew for initial cash consideration of $46 million. At substantial completion, which is expected to occur in the first half of 2024, the Company will pay an additional $182 million to Clearway Renew. VP Arica TargetCo LLC, a partnership between the Company and a cash equity investor, consolidates as primary beneficiary, VP-Arica TE Holdco LLC, a tax equity fund that owns the Victory Pass and Arica solar projects. Victory Pass and Arica each have PPAs with investment-grade counterparties that have a 15-year and 14-year weighted average contract duration, respectively, that commence when the underlying operating assets reach commercial operations, which is expected to occur in the first half of 2024. The acquisition was funded with existing sources of liquidity.</w:t>
      </w:r>
    </w:p>
    <w:p>
      <w:pPr>
        <w:spacing w:after="0" w:line="13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Daggett 2 Drop Down </w:t>
      </w:r>
      <w:r>
        <w:rPr>
          <w:rFonts w:ascii="Arial" w:cs="Arial" w:eastAsia="Arial" w:hAnsi="Arial"/>
          <w:sz w:val="17"/>
          <w:szCs w:val="17"/>
          <w:color w:val="auto"/>
        </w:rPr>
        <w:t>— On August 30, 2023, the Company, through its indirect subsidiary, Daggett Solar Investment LLC, acquired the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 interests in Daggett 2 TargetCo LLC, the indirect owner of Daggett 2, from Clearway Renew for cash consideration of $13 million. Daggett 2 TargetCo LLC, a partnership between the Company and a cash equity investor, consolidates as primary beneficiary, Daggett 2 TE Holdco LLC, a tax equity fund that owns the Daggett 2 solar project. Daggett 2 has PPAs with investment-grade counterparties that have a 15-year weighted average contract duration that commence when the underlying operating assets reach commercial operations, which is expected to occur for the majority of the assets in the fourth quarter of 2023. The acquisition was funded with existing sources of liquidity. As part of the acquisition of Daggett 2, the Company assumed the project’s financing agreement, which included a construction loan that converts to a term loan upon the project reaching substantial completion, which is expected to occur in the fourth quarter of 2023, and a tax equity bridge loan that will be repaid when the project reaches substantial completion. Subsequent to the acquisition, the Company borrowed an additional $8 million in construction loans.</w:t>
      </w:r>
    </w:p>
    <w:p>
      <w:pPr>
        <w:spacing w:after="0" w:line="12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Rosie Central BESS </w:t>
      </w:r>
      <w:r>
        <w:rPr>
          <w:rFonts w:ascii="Arial" w:cs="Arial" w:eastAsia="Arial" w:hAnsi="Arial"/>
          <w:sz w:val="16"/>
          <w:szCs w:val="16"/>
          <w:color w:val="auto"/>
        </w:rPr>
        <w:t>— On June 30, 2023, the Company, through its indirect subsidiary, Rosie Class B LLC, the indirect owner of the Rosamond</w:t>
      </w:r>
      <w:r>
        <w:rPr>
          <w:rFonts w:ascii="Arial" w:cs="Arial" w:eastAsia="Arial" w:hAnsi="Arial"/>
          <w:sz w:val="16"/>
          <w:szCs w:val="16"/>
          <w:i w:val="1"/>
          <w:iCs w:val="1"/>
          <w:color w:val="auto"/>
        </w:rPr>
        <w:t xml:space="preserve"> </w:t>
      </w:r>
      <w:r>
        <w:rPr>
          <w:rFonts w:ascii="Arial" w:cs="Arial" w:eastAsia="Arial" w:hAnsi="Arial"/>
          <w:sz w:val="16"/>
          <w:szCs w:val="16"/>
          <w:color w:val="auto"/>
        </w:rPr>
        <w:t>Central solar project, became the owner of the Class B membership interests of Rosie Central BESS in order to facilitate and fund the construction of a 147 MW BESS project that is co-located at the Rosamond Central solar facility. Clearway Renew indirectly owns the Class A membership interests and controls Rosie Central BESS. As of September 30, 2023, the Company’s investment consisted of $28 million contributed into Rosie Central BESS, funded through contributions from the Company and its cash equity investor in Rosie TargetCo LLC, which consolidates Rosie Class B LLC. Additionally, on June 30, 2023, the Rosamond Central solar project entered into an asset purchase agreement with Clearway Renew to acquire the BESS project assets at mechanical completion, which is expected to occur in the fourth quarter of 2023, for initial cash consideration of $72 million, $17 million of which will be funded by the Company with the remaining $55 million to be funded through contributions from the cash equity investor in Rosie TargetCo LLC and the tax equity investor in Rosie TE HoldCo LLC. At substantial completion, which is expected to occur in the first half of 2024, the Rosamond Central solar project will pay an additional $288 million to Clearway Renew, $67 million of which will be funded by the Company with the remaining $221 million to be funded through contributions from the cash equity and tax equity investors. The BESS project has a PPA for capacity with an investment-grade utility that has a 15-year contract duration that commences when the project reaches commercial operations, which is expected to occur in the first half of 2024.</w:t>
      </w:r>
    </w:p>
    <w:p>
      <w:pPr>
        <w:spacing w:after="0" w:line="11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June 30, 2023, Rosie Class B LLC amended its financing agreement. During the third quarter of 2023, Rosie Class B LLC received total loan proceeds of $235 million under the amended financing agreement. On July 3, 2023, Rosie Class B LLC issued a loan to a consolidated subsidiary of Clearway Renew, utilizing a portion of the loan proceeds under the amended financing agreement, in order to finance the construction of the BESS project. As of September 30, 2023, the loan issued to a consolidated subsidiary of Clearway Renew had an aggregate principal amount of $215 million and matures when the project reaches substantial completion. Also, during the third quarter of 2023, the Company utilized a portion of the loan proceeds received under the financing agreement to contribute $18 million into Rosie Central BESS, which is an investment accounted for under the equity method of accounting.</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Waiawa Drop Down </w:t>
      </w:r>
      <w:r>
        <w:rPr>
          <w:rFonts w:ascii="Arial" w:cs="Arial" w:eastAsia="Arial" w:hAnsi="Arial"/>
          <w:sz w:val="18"/>
          <w:szCs w:val="18"/>
          <w:color w:val="auto"/>
        </w:rPr>
        <w:t>— In connection with the 2022 Drop Down of Waiawa, the Company assumed the project’s financing agreement,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a construction loan that converted to a term loan on March 30, 2023 upon the project reaching substantial completion and a tax equity bridge loan that was repaid on March 30, 2023.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Daggett 3 Drop Down </w:t>
      </w:r>
      <w:r>
        <w:rPr>
          <w:rFonts w:ascii="Arial" w:cs="Arial" w:eastAsia="Arial" w:hAnsi="Arial"/>
          <w:sz w:val="16"/>
          <w:szCs w:val="16"/>
          <w:color w:val="auto"/>
        </w:rPr>
        <w:t>— On February 17, 2023, the Company, through its indirect subsidiary, Daggett Solar Investment LLC, acquired the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interests in Daggett TargetCo LLC, the indirect owner of the Daggett 3 solar project, from Clearway Renew for cash consideration of $21 million and then contributed its Class A membership interests into Daggett Renewable Holdco LLC, a partnership between the Company and a cash equity investor, that consolidates Daggett TargetCo LLC. Daggett TargetCo LLC consolidates as primary beneficiary, Daggett TE Holdco LLC, a tax equity fund that owns the Daggett 3 solar project. Daggett 3 has PPAs with investment-grade counterparties that have a 15-year weighted average contract duration that commence when the underlying assets reach commercial operations, which occurred for the majority of the assets during the third quarter of 2023. The acquisition was funded with existing sources of liquidity. As part of the acquisition, the Company assumed the project’s financing agreement, which included a construction loan that converts to a term loan upon the project reaching substantial completion, which is expected to occur in the fourth quarter of 2023, a tax equity bridge loan that will be repaid when the project reaches substantial completion and a sponsor equity bridge loan that was repaid at acquisition date. Subsequent to the acquisition, the Company borrowed an additional $36 million in construction loans. CEG also funded an additional $53 million in project completion costs subsequent to the acquisition, which was repaid to CEG in October 2023.</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Cash Dividends to Investors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Arial" w:cs="Arial" w:eastAsia="Arial" w:hAnsi="Arial"/>
          <w:sz w:val="16"/>
          <w:szCs w:val="16"/>
          <w:color w:val="000000"/>
        </w:rPr>
        <w:t>he Class A common stock</w:t>
      </w:r>
      <w:r>
        <w:rPr>
          <w:rFonts w:ascii="Arial" w:cs="Arial" w:eastAsia="Arial" w:hAnsi="Arial"/>
          <w:sz w:val="16"/>
          <w:szCs w:val="16"/>
          <w:color w:val="231F20"/>
        </w:rPr>
        <w:t xml:space="preserve"> </w:t>
      </w:r>
      <w:r>
        <w:rPr>
          <w:rFonts w:ascii="Arial" w:cs="Arial" w:eastAsia="Arial" w:hAnsi="Arial"/>
          <w:sz w:val="16"/>
          <w:szCs w:val="16"/>
          <w:color w:val="000000"/>
        </w:rPr>
        <w:t>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common stock and Class C common stock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 2023</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2023</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0.3818</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0.3745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0.3891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0.3818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0.3745</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November 1, 2023, the Company declared quarterly dividends on its Class A and Class C common stock of $0.3964 per share payable on December 15, 2023 to stockholders of record as of December 1,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reflect the changes in cash flows for the comparative periods: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92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7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7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Change</w:t>
            </w:r>
          </w:p>
        </w:tc>
      </w:tr>
      <w:tr>
        <w:trPr>
          <w:trHeight w:val="194"/>
        </w:trPr>
        <w:tc>
          <w:tcPr>
            <w:tcW w:w="7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8"/>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8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(271)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ectPr>
          <w:pgSz w:w="11900" w:h="16838" w:orient="portrait"/>
          <w:cols w:equalWidth="0" w:num="1">
            <w:col w:w="11240"/>
          </w:cols>
          <w:pgMar w:left="320" w:top="891"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Increase in working capital primarily driven by the timing of accounts receivable collections and payments of current liabilities, including current income taxes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operating income adjusted for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distributions from unconsolidated affiliates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Transaction expenses paid on May 1, 2022 in connection with the sale of the Thermal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(used in) provided by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the sale of the Thermal Business in 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note receivable —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capital expenditures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of the Capistrano Wind Portfolio in 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cash acquired from Drop Down Assets, net of 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the return of investment from unconsolidated affiliates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payments for long-term debt, net of proceeds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contributions from noncontrolling interests,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payments for the revolving credit facility, net of proceeds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released from escrow distributed to CEG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dividends paid to common stockholders and distributions paid to CEG unit holders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tax-related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191"/>
        <w:spacing w:after="0"/>
        <w:rPr>
          <w:sz w:val="20"/>
          <w:szCs w:val="20"/>
          <w:color w:val="auto"/>
        </w:rPr>
      </w:pPr>
      <w:r>
        <w:rPr>
          <w:rFonts w:ascii="Arial" w:cs="Arial" w:eastAsia="Arial" w:hAnsi="Arial"/>
          <w:sz w:val="16"/>
          <w:szCs w:val="16"/>
          <w:b w:val="1"/>
          <w:bCs w:val="1"/>
          <w:color w:val="auto"/>
        </w:rPr>
        <w:t>(In millions)</w:t>
      </w:r>
    </w:p>
    <w:p>
      <w:pPr>
        <w:spacing w:after="0" w:line="221" w:lineRule="exact"/>
        <w:rPr>
          <w:sz w:val="20"/>
          <w:szCs w:val="20"/>
          <w:color w:val="auto"/>
        </w:rPr>
      </w:pPr>
    </w:p>
    <w:p>
      <w:pPr>
        <w:ind w:left="931" w:hanging="931"/>
        <w:spacing w:after="0"/>
        <w:tabs>
          <w:tab w:leader="none" w:pos="931" w:val="left"/>
        </w:tabs>
        <w:numPr>
          <w:ilvl w:val="0"/>
          <w:numId w:val="38"/>
        </w:numPr>
        <w:rPr>
          <w:rFonts w:ascii="Arial" w:cs="Arial" w:eastAsia="Arial" w:hAnsi="Arial"/>
          <w:sz w:val="16"/>
          <w:szCs w:val="16"/>
          <w:color w:val="auto"/>
        </w:rPr>
      </w:pPr>
      <w:r>
        <w:rPr>
          <w:rFonts w:ascii="Arial" w:cs="Arial" w:eastAsia="Arial" w:hAnsi="Arial"/>
          <w:sz w:val="16"/>
          <w:szCs w:val="16"/>
          <w:color w:val="auto"/>
        </w:rPr>
        <w:t>(99)</w:t>
      </w:r>
    </w:p>
    <w:p>
      <w:pPr>
        <w:spacing w:after="0" w:line="46" w:lineRule="exact"/>
        <w:rPr>
          <w:rFonts w:ascii="Arial" w:cs="Arial" w:eastAsia="Arial" w:hAnsi="Arial"/>
          <w:sz w:val="16"/>
          <w:szCs w:val="16"/>
          <w:color w:val="auto"/>
        </w:rPr>
      </w:pPr>
    </w:p>
    <w:p>
      <w:pPr>
        <w:ind w:left="931"/>
        <w:spacing w:after="0"/>
        <w:rPr>
          <w:rFonts w:ascii="Arial" w:cs="Arial" w:eastAsia="Arial" w:hAnsi="Arial"/>
          <w:sz w:val="16"/>
          <w:szCs w:val="16"/>
          <w:color w:val="auto"/>
        </w:rPr>
      </w:pPr>
      <w:r>
        <w:rPr>
          <w:rFonts w:ascii="Arial" w:cs="Arial" w:eastAsia="Arial" w:hAnsi="Arial"/>
          <w:sz w:val="16"/>
          <w:szCs w:val="16"/>
          <w:color w:val="auto"/>
        </w:rPr>
        <w:t>(22)</w:t>
      </w:r>
    </w:p>
    <w:p>
      <w:pPr>
        <w:spacing w:after="0" w:line="45" w:lineRule="exact"/>
        <w:rPr>
          <w:rFonts w:ascii="Arial" w:cs="Arial" w:eastAsia="Arial" w:hAnsi="Arial"/>
          <w:sz w:val="16"/>
          <w:szCs w:val="16"/>
          <w:color w:val="auto"/>
        </w:rPr>
      </w:pPr>
    </w:p>
    <w:p>
      <w:pPr>
        <w:ind w:left="1011"/>
        <w:spacing w:after="0"/>
        <w:rPr>
          <w:rFonts w:ascii="Arial" w:cs="Arial" w:eastAsia="Arial" w:hAnsi="Arial"/>
          <w:sz w:val="16"/>
          <w:szCs w:val="16"/>
          <w:color w:val="auto"/>
        </w:rPr>
      </w:pPr>
      <w:r>
        <w:rPr>
          <w:rFonts w:ascii="Arial" w:cs="Arial" w:eastAsia="Arial" w:hAnsi="Arial"/>
          <w:sz w:val="18"/>
          <w:szCs w:val="18"/>
          <w:color w:val="auto"/>
        </w:rPr>
        <w:t>(8)</w:t>
      </w:r>
    </w:p>
    <w:p>
      <w:pPr>
        <w:spacing w:after="0" w:line="22" w:lineRule="exact"/>
        <w:rPr>
          <w:rFonts w:ascii="Arial" w:cs="Arial" w:eastAsia="Arial" w:hAnsi="Arial"/>
          <w:sz w:val="16"/>
          <w:szCs w:val="16"/>
          <w:color w:val="auto"/>
        </w:rPr>
      </w:pPr>
    </w:p>
    <w:p>
      <w:pPr>
        <w:ind w:left="991"/>
        <w:spacing w:after="0"/>
        <w:rPr>
          <w:rFonts w:ascii="Arial" w:cs="Arial" w:eastAsia="Arial" w:hAnsi="Arial"/>
          <w:sz w:val="16"/>
          <w:szCs w:val="16"/>
          <w:color w:val="auto"/>
        </w:rPr>
      </w:pPr>
      <w:r>
        <w:rPr>
          <w:rFonts w:ascii="Arial" w:cs="Arial" w:eastAsia="Arial" w:hAnsi="Arial"/>
          <w:sz w:val="18"/>
          <w:szCs w:val="18"/>
          <w:color w:val="auto"/>
        </w:rPr>
        <w:t>18</w:t>
      </w:r>
    </w:p>
    <w:p>
      <w:pPr>
        <w:spacing w:after="0" w:line="35" w:lineRule="exact"/>
        <w:rPr>
          <w:sz w:val="20"/>
          <w:szCs w:val="20"/>
          <w:color w:val="auto"/>
        </w:rPr>
      </w:pPr>
    </w:p>
    <w:p>
      <w:pPr>
        <w:ind w:left="851" w:hanging="851"/>
        <w:spacing w:after="0"/>
        <w:tabs>
          <w:tab w:leader="none" w:pos="851" w:val="left"/>
        </w:tabs>
        <w:numPr>
          <w:ilvl w:val="0"/>
          <w:numId w:val="39"/>
        </w:numPr>
        <w:rPr>
          <w:rFonts w:ascii="Arial" w:cs="Arial" w:eastAsia="Arial" w:hAnsi="Arial"/>
          <w:sz w:val="16"/>
          <w:szCs w:val="16"/>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8058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1"/>
        <w:spacing w:after="0"/>
        <w:rPr>
          <w:sz w:val="20"/>
          <w:szCs w:val="20"/>
          <w:color w:val="auto"/>
        </w:rPr>
      </w:pPr>
      <w:r>
        <w:rPr>
          <w:rFonts w:ascii="Arial" w:cs="Arial" w:eastAsia="Arial" w:hAnsi="Arial"/>
          <w:sz w:val="16"/>
          <w:szCs w:val="16"/>
          <w:b w:val="1"/>
          <w:bCs w:val="1"/>
          <w:color w:val="auto"/>
        </w:rPr>
        <w:t>(In millions)</w:t>
      </w:r>
    </w:p>
    <w:p>
      <w:pPr>
        <w:spacing w:after="0" w:line="45" w:lineRule="exact"/>
        <w:rPr>
          <w:sz w:val="20"/>
          <w:szCs w:val="20"/>
          <w:color w:val="auto"/>
        </w:rPr>
      </w:pPr>
    </w:p>
    <w:p>
      <w:pPr>
        <w:ind w:left="691" w:hanging="691"/>
        <w:spacing w:after="0"/>
        <w:tabs>
          <w:tab w:leader="none" w:pos="691" w:val="left"/>
        </w:tabs>
        <w:numPr>
          <w:ilvl w:val="0"/>
          <w:numId w:val="40"/>
        </w:numPr>
        <w:rPr>
          <w:rFonts w:ascii="Arial" w:cs="Arial" w:eastAsia="Arial" w:hAnsi="Arial"/>
          <w:sz w:val="17"/>
          <w:szCs w:val="17"/>
          <w:color w:val="auto"/>
        </w:rPr>
      </w:pPr>
      <w:r>
        <w:rPr>
          <w:rFonts w:ascii="Arial" w:cs="Arial" w:eastAsia="Arial" w:hAnsi="Arial"/>
          <w:sz w:val="17"/>
          <w:szCs w:val="17"/>
          <w:color w:val="auto"/>
        </w:rPr>
        <w:t>(1,457)</w:t>
      </w:r>
    </w:p>
    <w:p>
      <w:pPr>
        <w:spacing w:after="0" w:line="34" w:lineRule="exact"/>
        <w:rPr>
          <w:rFonts w:ascii="Arial" w:cs="Arial" w:eastAsia="Arial" w:hAnsi="Arial"/>
          <w:sz w:val="17"/>
          <w:szCs w:val="17"/>
          <w:color w:val="auto"/>
        </w:rPr>
      </w:pPr>
    </w:p>
    <w:p>
      <w:pPr>
        <w:ind w:left="831"/>
        <w:spacing w:after="0"/>
        <w:rPr>
          <w:rFonts w:ascii="Arial" w:cs="Arial" w:eastAsia="Arial" w:hAnsi="Arial"/>
          <w:sz w:val="17"/>
          <w:szCs w:val="17"/>
          <w:color w:val="auto"/>
        </w:rPr>
      </w:pPr>
      <w:r>
        <w:rPr>
          <w:rFonts w:ascii="Arial" w:cs="Arial" w:eastAsia="Arial" w:hAnsi="Arial"/>
          <w:sz w:val="17"/>
          <w:szCs w:val="17"/>
          <w:color w:val="auto"/>
        </w:rPr>
        <w:t>(215)</w:t>
      </w:r>
    </w:p>
    <w:p>
      <w:pPr>
        <w:spacing w:after="0" w:line="34" w:lineRule="exact"/>
        <w:rPr>
          <w:rFonts w:ascii="Arial" w:cs="Arial" w:eastAsia="Arial" w:hAnsi="Arial"/>
          <w:sz w:val="17"/>
          <w:szCs w:val="17"/>
          <w:color w:val="auto"/>
        </w:rPr>
      </w:pPr>
    </w:p>
    <w:p>
      <w:pPr>
        <w:ind w:left="931"/>
        <w:spacing w:after="0"/>
        <w:rPr>
          <w:rFonts w:ascii="Arial" w:cs="Arial" w:eastAsia="Arial" w:hAnsi="Arial"/>
          <w:sz w:val="17"/>
          <w:szCs w:val="17"/>
          <w:color w:val="auto"/>
        </w:rPr>
      </w:pPr>
      <w:r>
        <w:rPr>
          <w:rFonts w:ascii="Arial" w:cs="Arial" w:eastAsia="Arial" w:hAnsi="Arial"/>
          <w:sz w:val="16"/>
          <w:szCs w:val="16"/>
          <w:color w:val="auto"/>
        </w:rPr>
        <w:t>(48)</w:t>
      </w:r>
    </w:p>
    <w:p>
      <w:pPr>
        <w:spacing w:after="0" w:line="45" w:lineRule="exact"/>
        <w:rPr>
          <w:rFonts w:ascii="Arial" w:cs="Arial" w:eastAsia="Arial" w:hAnsi="Arial"/>
          <w:sz w:val="17"/>
          <w:szCs w:val="17"/>
          <w:color w:val="auto"/>
        </w:rPr>
      </w:pPr>
    </w:p>
    <w:p>
      <w:pPr>
        <w:ind w:left="931"/>
        <w:spacing w:after="0"/>
        <w:rPr>
          <w:rFonts w:ascii="Arial" w:cs="Arial" w:eastAsia="Arial" w:hAnsi="Arial"/>
          <w:sz w:val="17"/>
          <w:szCs w:val="17"/>
          <w:color w:val="auto"/>
        </w:rPr>
      </w:pPr>
      <w:r>
        <w:rPr>
          <w:rFonts w:ascii="Arial" w:cs="Arial" w:eastAsia="Arial" w:hAnsi="Arial"/>
          <w:sz w:val="16"/>
          <w:szCs w:val="16"/>
          <w:color w:val="auto"/>
        </w:rPr>
        <w:t>(28)</w:t>
      </w:r>
    </w:p>
    <w:p>
      <w:pPr>
        <w:spacing w:after="0" w:line="45" w:lineRule="exact"/>
        <w:rPr>
          <w:rFonts w:ascii="Arial" w:cs="Arial" w:eastAsia="Arial" w:hAnsi="Arial"/>
          <w:sz w:val="17"/>
          <w:szCs w:val="17"/>
          <w:color w:val="auto"/>
        </w:rPr>
      </w:pPr>
    </w:p>
    <w:p>
      <w:pPr>
        <w:ind w:left="911"/>
        <w:spacing w:after="0"/>
        <w:rPr>
          <w:rFonts w:ascii="Arial" w:cs="Arial" w:eastAsia="Arial" w:hAnsi="Arial"/>
          <w:sz w:val="17"/>
          <w:szCs w:val="17"/>
          <w:color w:val="auto"/>
        </w:rPr>
      </w:pPr>
      <w:r>
        <w:rPr>
          <w:rFonts w:ascii="Arial" w:cs="Arial" w:eastAsia="Arial" w:hAnsi="Arial"/>
          <w:sz w:val="18"/>
          <w:szCs w:val="18"/>
          <w:color w:val="auto"/>
        </w:rPr>
        <w:t>223</w:t>
      </w:r>
    </w:p>
    <w:p>
      <w:pPr>
        <w:spacing w:after="0" w:line="22" w:lineRule="exact"/>
        <w:rPr>
          <w:rFonts w:ascii="Arial" w:cs="Arial" w:eastAsia="Arial" w:hAnsi="Arial"/>
          <w:sz w:val="17"/>
          <w:szCs w:val="17"/>
          <w:color w:val="auto"/>
        </w:rPr>
      </w:pPr>
    </w:p>
    <w:p>
      <w:pPr>
        <w:ind w:left="911"/>
        <w:spacing w:after="0"/>
        <w:rPr>
          <w:rFonts w:ascii="Arial" w:cs="Arial" w:eastAsia="Arial" w:hAnsi="Arial"/>
          <w:sz w:val="17"/>
          <w:szCs w:val="17"/>
          <w:color w:val="auto"/>
        </w:rPr>
      </w:pPr>
      <w:r>
        <w:rPr>
          <w:rFonts w:ascii="Arial" w:cs="Arial" w:eastAsia="Arial" w:hAnsi="Arial"/>
          <w:sz w:val="18"/>
          <w:szCs w:val="18"/>
          <w:color w:val="auto"/>
        </w:rPr>
        <w:t>151</w:t>
      </w:r>
    </w:p>
    <w:p>
      <w:pPr>
        <w:spacing w:after="0" w:line="22" w:lineRule="exact"/>
        <w:rPr>
          <w:rFonts w:ascii="Arial" w:cs="Arial" w:eastAsia="Arial" w:hAnsi="Arial"/>
          <w:sz w:val="17"/>
          <w:szCs w:val="17"/>
          <w:color w:val="auto"/>
        </w:rPr>
      </w:pPr>
    </w:p>
    <w:p>
      <w:pPr>
        <w:ind w:left="1091"/>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2" w:lineRule="exact"/>
        <w:rPr>
          <w:rFonts w:ascii="Arial" w:cs="Arial" w:eastAsia="Arial" w:hAnsi="Arial"/>
          <w:sz w:val="17"/>
          <w:szCs w:val="17"/>
          <w:color w:val="auto"/>
        </w:rPr>
      </w:pPr>
    </w:p>
    <w:p>
      <w:pPr>
        <w:ind w:left="1091"/>
        <w:spacing w:after="0"/>
        <w:rPr>
          <w:rFonts w:ascii="Arial" w:cs="Arial" w:eastAsia="Arial" w:hAnsi="Arial"/>
          <w:sz w:val="17"/>
          <w:szCs w:val="17"/>
          <w:color w:val="auto"/>
        </w:rPr>
      </w:pPr>
      <w:r>
        <w:rPr>
          <w:rFonts w:ascii="Arial" w:cs="Arial" w:eastAsia="Arial" w:hAnsi="Arial"/>
          <w:sz w:val="18"/>
          <w:szCs w:val="18"/>
          <w:color w:val="auto"/>
        </w:rPr>
        <w:t>1</w:t>
      </w:r>
    </w:p>
    <w:p>
      <w:pPr>
        <w:spacing w:after="0" w:line="35" w:lineRule="exact"/>
        <w:rPr>
          <w:sz w:val="20"/>
          <w:szCs w:val="20"/>
          <w:color w:val="auto"/>
        </w:rPr>
      </w:pPr>
    </w:p>
    <w:p>
      <w:pPr>
        <w:ind w:left="691" w:hanging="691"/>
        <w:spacing w:after="0"/>
        <w:tabs>
          <w:tab w:leader="none" w:pos="691" w:val="left"/>
        </w:tabs>
        <w:numPr>
          <w:ilvl w:val="0"/>
          <w:numId w:val="41"/>
        </w:numPr>
        <w:rPr>
          <w:rFonts w:ascii="Arial" w:cs="Arial" w:eastAsia="Arial" w:hAnsi="Arial"/>
          <w:sz w:val="17"/>
          <w:szCs w:val="17"/>
          <w:color w:val="auto"/>
        </w:rPr>
      </w:pPr>
      <w:r>
        <w:rPr>
          <w:rFonts w:ascii="Arial" w:cs="Arial" w:eastAsia="Arial" w:hAnsi="Arial"/>
          <w:sz w:val="17"/>
          <w:szCs w:val="17"/>
          <w:color w:val="auto"/>
        </w:rPr>
        <w:t>(1,371)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8058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1"/>
        <w:spacing w:after="0"/>
        <w:rPr>
          <w:sz w:val="20"/>
          <w:szCs w:val="20"/>
          <w:color w:val="auto"/>
        </w:rPr>
      </w:pPr>
      <w:r>
        <w:rPr>
          <w:rFonts w:ascii="Arial" w:cs="Arial" w:eastAsia="Arial" w:hAnsi="Arial"/>
          <w:sz w:val="16"/>
          <w:szCs w:val="16"/>
          <w:b w:val="1"/>
          <w:bCs w:val="1"/>
          <w:color w:val="auto"/>
        </w:rPr>
        <w:t>(In millions)</w:t>
      </w:r>
    </w:p>
    <w:p>
      <w:pPr>
        <w:spacing w:after="0" w:line="45" w:lineRule="exact"/>
        <w:rPr>
          <w:sz w:val="20"/>
          <w:szCs w:val="20"/>
          <w:color w:val="auto"/>
        </w:rPr>
      </w:pPr>
    </w:p>
    <w:p>
      <w:pPr>
        <w:ind w:left="911" w:hanging="911"/>
        <w:spacing w:after="0"/>
        <w:tabs>
          <w:tab w:leader="none" w:pos="9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558</w:t>
      </w:r>
    </w:p>
    <w:p>
      <w:pPr>
        <w:spacing w:after="0" w:line="23" w:lineRule="exact"/>
        <w:rPr>
          <w:rFonts w:ascii="Arial" w:cs="Arial" w:eastAsia="Arial" w:hAnsi="Arial"/>
          <w:sz w:val="18"/>
          <w:szCs w:val="18"/>
          <w:color w:val="auto"/>
        </w:rPr>
      </w:pPr>
    </w:p>
    <w:p>
      <w:pPr>
        <w:ind w:left="911"/>
        <w:spacing w:after="0"/>
        <w:rPr>
          <w:rFonts w:ascii="Arial" w:cs="Arial" w:eastAsia="Arial" w:hAnsi="Arial"/>
          <w:sz w:val="18"/>
          <w:szCs w:val="18"/>
          <w:color w:val="auto"/>
        </w:rPr>
      </w:pPr>
      <w:r>
        <w:rPr>
          <w:rFonts w:ascii="Arial" w:cs="Arial" w:eastAsia="Arial" w:hAnsi="Arial"/>
          <w:sz w:val="18"/>
          <w:szCs w:val="18"/>
          <w:color w:val="auto"/>
        </w:rPr>
        <w:t>308</w:t>
      </w:r>
    </w:p>
    <w:p>
      <w:pPr>
        <w:spacing w:after="0" w:line="22" w:lineRule="exact"/>
        <w:rPr>
          <w:rFonts w:ascii="Arial" w:cs="Arial" w:eastAsia="Arial" w:hAnsi="Arial"/>
          <w:sz w:val="18"/>
          <w:szCs w:val="18"/>
          <w:color w:val="auto"/>
        </w:rPr>
      </w:pPr>
    </w:p>
    <w:p>
      <w:pPr>
        <w:ind w:left="911"/>
        <w:spacing w:after="0"/>
        <w:rPr>
          <w:rFonts w:ascii="Arial" w:cs="Arial" w:eastAsia="Arial" w:hAnsi="Arial"/>
          <w:sz w:val="18"/>
          <w:szCs w:val="18"/>
          <w:color w:val="auto"/>
        </w:rPr>
      </w:pPr>
      <w:r>
        <w:rPr>
          <w:rFonts w:ascii="Arial" w:cs="Arial" w:eastAsia="Arial" w:hAnsi="Arial"/>
          <w:sz w:val="18"/>
          <w:szCs w:val="18"/>
          <w:color w:val="auto"/>
        </w:rPr>
        <w:t>245</w:t>
      </w:r>
    </w:p>
    <w:p>
      <w:pPr>
        <w:spacing w:after="0" w:line="22" w:lineRule="exact"/>
        <w:rPr>
          <w:rFonts w:ascii="Arial" w:cs="Arial" w:eastAsia="Arial" w:hAnsi="Arial"/>
          <w:sz w:val="18"/>
          <w:szCs w:val="18"/>
          <w:color w:val="auto"/>
        </w:rPr>
      </w:pPr>
    </w:p>
    <w:p>
      <w:pPr>
        <w:ind w:left="991"/>
        <w:spacing w:after="0"/>
        <w:rPr>
          <w:rFonts w:ascii="Arial" w:cs="Arial" w:eastAsia="Arial" w:hAnsi="Arial"/>
          <w:sz w:val="18"/>
          <w:szCs w:val="18"/>
          <w:color w:val="auto"/>
        </w:rPr>
      </w:pPr>
      <w:r>
        <w:rPr>
          <w:rFonts w:ascii="Arial" w:cs="Arial" w:eastAsia="Arial" w:hAnsi="Arial"/>
          <w:sz w:val="18"/>
          <w:szCs w:val="18"/>
          <w:color w:val="auto"/>
        </w:rPr>
        <w:t>64</w:t>
      </w:r>
    </w:p>
    <w:p>
      <w:pPr>
        <w:spacing w:after="0" w:line="22" w:lineRule="exact"/>
        <w:rPr>
          <w:rFonts w:ascii="Arial" w:cs="Arial" w:eastAsia="Arial" w:hAnsi="Arial"/>
          <w:sz w:val="18"/>
          <w:szCs w:val="18"/>
          <w:color w:val="auto"/>
        </w:rPr>
      </w:pPr>
    </w:p>
    <w:p>
      <w:pPr>
        <w:ind w:left="931"/>
        <w:spacing w:after="0"/>
        <w:rPr>
          <w:rFonts w:ascii="Arial" w:cs="Arial" w:eastAsia="Arial" w:hAnsi="Arial"/>
          <w:sz w:val="18"/>
          <w:szCs w:val="18"/>
          <w:color w:val="auto"/>
        </w:rPr>
      </w:pPr>
      <w:r>
        <w:rPr>
          <w:rFonts w:ascii="Arial" w:cs="Arial" w:eastAsia="Arial" w:hAnsi="Arial"/>
          <w:sz w:val="16"/>
          <w:szCs w:val="16"/>
          <w:color w:val="auto"/>
        </w:rPr>
        <w:t>(17)</w:t>
      </w:r>
    </w:p>
    <w:p>
      <w:pPr>
        <w:spacing w:after="0" w:line="45" w:lineRule="exact"/>
        <w:rPr>
          <w:rFonts w:ascii="Arial" w:cs="Arial" w:eastAsia="Arial" w:hAnsi="Arial"/>
          <w:sz w:val="18"/>
          <w:szCs w:val="18"/>
          <w:color w:val="auto"/>
        </w:rPr>
      </w:pPr>
    </w:p>
    <w:p>
      <w:pPr>
        <w:ind w:left="931"/>
        <w:spacing w:after="0"/>
        <w:rPr>
          <w:rFonts w:ascii="Arial" w:cs="Arial" w:eastAsia="Arial" w:hAnsi="Arial"/>
          <w:sz w:val="18"/>
          <w:szCs w:val="18"/>
          <w:color w:val="auto"/>
        </w:rPr>
      </w:pPr>
      <w:r>
        <w:rPr>
          <w:rFonts w:ascii="Arial" w:cs="Arial" w:eastAsia="Arial" w:hAnsi="Arial"/>
          <w:sz w:val="16"/>
          <w:szCs w:val="16"/>
          <w:color w:val="auto"/>
        </w:rPr>
        <w:t>(13)</w:t>
      </w:r>
    </w:p>
    <w:p>
      <w:pPr>
        <w:spacing w:after="0" w:line="45" w:lineRule="exact"/>
        <w:rPr>
          <w:rFonts w:ascii="Arial" w:cs="Arial" w:eastAsia="Arial" w:hAnsi="Arial"/>
          <w:sz w:val="18"/>
          <w:szCs w:val="18"/>
          <w:color w:val="auto"/>
        </w:rPr>
      </w:pPr>
    </w:p>
    <w:p>
      <w:pPr>
        <w:ind w:left="1011"/>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058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5" w:lineRule="exact"/>
        <w:rPr>
          <w:sz w:val="20"/>
          <w:szCs w:val="20"/>
          <w:color w:val="auto"/>
        </w:rPr>
      </w:pPr>
    </w:p>
    <w:p>
      <w:pPr>
        <w:ind w:left="771" w:hanging="771"/>
        <w:spacing w:after="0"/>
        <w:tabs>
          <w:tab w:leader="none" w:pos="7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058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058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649"/>
            <w:col w:w="1251"/>
          </w:cols>
          <w:pgMar w:left="320" w:top="891"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2022, the Company had a cumulative federal NOL carry forward balance of $481 million for financial statement purposes, of which $88 million will begin expiring in 2037 if unutilized. The Company does not anticipate material federal income tax payments until 2027. Additionally, as of December 31, 2022, the Company had a cumulative state NOL carryforward balance of $64 million for financial statement purposes, which will expire between 2023 to 2040 if unutilized. In addition, the Company has PTC and ITC carryforward balances totaling $18 million, which will expire between 2034 and 2042 if unutilized.</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after the utilization of various federal and state NOL carryforwards, has paid $8 million in federal and state income taxes through September 30, 2023, and does not expect to pay any additional material federal or state income taxes for the remainder of the year ending December 31, 2023. The Company does not anticipate being subject to the corporate minimum tax on financial statement income as enacted by the recently passed the IRA, which is discussed in further detail below.</w:t>
      </w:r>
    </w:p>
    <w:p>
      <w:pPr>
        <w:spacing w:after="0" w:line="133"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On February 9, 2022, the governor of California signed Senate Bill 113, or SB 113, removing the suspension of California NOL utilization for tax year 2022. After assessing the law change, the Company expects SB 113 to have an immaterial impact on the consolidated financial statements.</w:t>
      </w:r>
    </w:p>
    <w:p>
      <w:pPr>
        <w:spacing w:after="0" w:line="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recently enacted IRA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projects and the production of clean energy. The Company continues to analyze the potential impact of the IRA and monitor guidance to be issued by the United States Department of the Treasury, but it does not anticipate the corporate minimum tax will apply to it or that the IRA will otherwise have a material impact on its consolidated financial statements.</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is subject to examination by taxing authorities for income tax returns filed in the U.S. federal jurisdiction and various state jurisdictions. All tax returns filed by the Company for the year ended December 31, 2013 and forward remain subject to audit. As of December 31, 2022, the U.S federal partnership returns of three subsidiaries of the Company have ongoing audits being conducted by the IRS. The Company believes that the ultimate resolution of each of these audits will not be material to the Company’s financial condition, results of operations or liquidity. The Company believes that an adequate provision has been made for any adjustments that may result from tax examinations. However, the outcome of tax audits cannot be predicted with certainty. If any issues addressed in tax audits of the Company are resolved in a manner inconsistent with its expectations, the Company could be required to adjust its provision for income taxes in the period such resolution occurs.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no material uncertain tax benefits as of September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September 30, 2023</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September 30, 2023</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Derivative Activity (Losses) Gains</w:t>
            </w: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December 31, 2022</w:t>
            </w:r>
          </w:p>
        </w:tc>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Contracts realized or otherwise settled during the period</w:t>
            </w:r>
          </w:p>
        </w:tc>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Contracts acquired during the period</w:t>
            </w:r>
          </w:p>
        </w:tc>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Changes in fair value</w:t>
            </w:r>
          </w:p>
        </w:tc>
        <w:tc>
          <w:tcPr>
            <w:tcW w:w="5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September 30, 2023</w:t>
            </w:r>
          </w:p>
        </w:tc>
        <w:tc>
          <w:tcPr>
            <w:tcW w:w="5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jc w:val="right"/>
              <w:ind w:right="4070"/>
              <w:spacing w:after="0"/>
              <w:rPr>
                <w:sz w:val="20"/>
                <w:szCs w:val="20"/>
                <w:color w:val="auto"/>
              </w:rPr>
            </w:pPr>
            <w:r>
              <w:rPr>
                <w:rFonts w:ascii="Arial" w:cs="Arial" w:eastAsia="Arial" w:hAnsi="Arial"/>
                <w:sz w:val="18"/>
                <w:szCs w:val="18"/>
                <w:color w:val="231F20"/>
              </w:rPr>
              <w:t>52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Fair value of contracts as of September 30, 2023</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w w:val="92"/>
              </w:rPr>
              <w:t>Fair Value Hierarchy (Losses) Gains</w:t>
            </w: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Greater Than</w:t>
            </w:r>
          </w:p>
        </w:tc>
        <w:tc>
          <w:tcPr>
            <w:tcW w:w="1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Greater Than</w:t>
            </w: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Greater Than</w:t>
            </w:r>
          </w:p>
        </w:tc>
        <w:tc>
          <w:tcPr>
            <w:tcW w:w="180" w:type="dxa"/>
            <w:vAlign w:val="bottom"/>
          </w:tcPr>
          <w:p>
            <w:pPr>
              <w:spacing w:after="0"/>
              <w:rPr>
                <w:sz w:val="16"/>
                <w:szCs w:val="16"/>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2"/>
                <w:szCs w:val="12"/>
                <w:color w:val="auto"/>
              </w:rPr>
            </w:pPr>
          </w:p>
        </w:tc>
        <w:tc>
          <w:tcPr>
            <w:tcW w:w="2240" w:type="dxa"/>
            <w:vAlign w:val="bottom"/>
            <w:tcBorders>
              <w:bottom w:val="single" w:sz="8" w:color="auto"/>
            </w:tcBorders>
            <w:vMerge w:val="continue"/>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1 Year or Less</w:t>
            </w:r>
          </w:p>
        </w:tc>
        <w:tc>
          <w:tcPr>
            <w:tcW w:w="124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1 Year to 3 Years</w:t>
            </w:r>
          </w:p>
        </w:tc>
        <w:tc>
          <w:tcPr>
            <w:tcW w:w="12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3 Years to 5 Years</w:t>
            </w: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5 Years</w:t>
            </w:r>
          </w:p>
        </w:tc>
        <w:tc>
          <w:tcPr>
            <w:tcW w:w="180" w:type="dxa"/>
            <w:vAlign w:val="bottom"/>
          </w:tcPr>
          <w:p>
            <w:pPr>
              <w:spacing w:after="0"/>
              <w:rPr>
                <w:sz w:val="12"/>
                <w:szCs w:val="12"/>
                <w:color w:val="auto"/>
              </w:rPr>
            </w:pPr>
          </w:p>
        </w:tc>
        <w:tc>
          <w:tcPr>
            <w:tcW w:w="960" w:type="dxa"/>
            <w:vAlign w:val="bottom"/>
          </w:tcPr>
          <w:p>
            <w:pPr>
              <w:jc w:val="center"/>
              <w:ind w:right="97"/>
              <w:spacing w:after="0" w:line="142"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89"/>
              </w:rPr>
              <w:t>47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79"/>
              <w:spacing w:after="0"/>
              <w:rPr>
                <w:sz w:val="20"/>
                <w:szCs w:val="20"/>
                <w:color w:val="auto"/>
              </w:rPr>
            </w:pPr>
            <w:r>
              <w:rPr>
                <w:rFonts w:ascii="Arial" w:cs="Arial" w:eastAsia="Arial" w:hAnsi="Arial"/>
                <w:sz w:val="18"/>
                <w:szCs w:val="18"/>
                <w:color w:val="auto"/>
                <w:w w:val="89"/>
              </w:rPr>
              <w:t>49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w w:val="86"/>
              </w:rPr>
              <w:t>180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7"/>
              <w:spacing w:after="0"/>
              <w:rPr>
                <w:sz w:val="20"/>
                <w:szCs w:val="20"/>
                <w:color w:val="auto"/>
              </w:rPr>
            </w:pPr>
            <w:r>
              <w:rPr>
                <w:rFonts w:ascii="Arial" w:cs="Arial" w:eastAsia="Arial" w:hAnsi="Arial"/>
                <w:sz w:val="18"/>
                <w:szCs w:val="18"/>
                <w:color w:val="auto"/>
                <w:w w:val="93"/>
              </w:rPr>
              <w:t>(93)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79"/>
              <w:spacing w:after="0"/>
              <w:rPr>
                <w:sz w:val="20"/>
                <w:szCs w:val="20"/>
                <w:color w:val="auto"/>
              </w:rPr>
            </w:pPr>
            <w:r>
              <w:rPr>
                <w:rFonts w:ascii="Arial" w:cs="Arial" w:eastAsia="Arial" w:hAnsi="Arial"/>
                <w:sz w:val="18"/>
                <w:szCs w:val="18"/>
                <w:color w:val="auto"/>
                <w:w w:val="93"/>
              </w:rPr>
              <w:t>(76)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0"/>
              </w:rPr>
              <w:t>(322)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537"/>
              <w:spacing w:after="0"/>
              <w:rPr>
                <w:sz w:val="20"/>
                <w:szCs w:val="20"/>
                <w:color w:val="auto"/>
              </w:rPr>
            </w:pPr>
            <w:r>
              <w:rPr>
                <w:rFonts w:ascii="Arial" w:cs="Arial" w:eastAsia="Arial" w:hAnsi="Arial"/>
                <w:sz w:val="18"/>
                <w:szCs w:val="18"/>
                <w:color w:val="auto"/>
                <w:w w:val="93"/>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8"/>
                <w:szCs w:val="18"/>
                <w:color w:val="auto"/>
                <w:w w:val="93"/>
              </w:rPr>
              <w:t>(27)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0"/>
              </w:rPr>
              <w:t>(142)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The Company has elected to disclose derivative assets and liabilities on a trade-by-trade basis and does not offset amounts at the counterparty master agreement level.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acquisition accounting and determining the fair value of financial instruments.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 an</w:t>
      </w:r>
      <w:r>
        <w:rPr>
          <w:rFonts w:ascii="Arial" w:cs="Arial" w:eastAsia="Arial" w:hAnsi="Arial"/>
          <w:sz w:val="18"/>
          <w:szCs w:val="18"/>
          <w:color w:val="231F20"/>
        </w:rPr>
        <w:t xml:space="preserve"> </w:t>
      </w:r>
      <w:r>
        <w:rPr>
          <w:rFonts w:ascii="Arial" w:cs="Arial" w:eastAsia="Arial" w:hAnsi="Arial"/>
          <w:sz w:val="18"/>
          <w:szCs w:val="18"/>
          <w:color w:val="000000"/>
        </w:rPr>
        <w:t xml:space="preserve">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2022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Based on a sensitivity analysis using simplified assumptions, the impact of a $0.50 per MWh increase or decrease in power prices across the term of the derivatives contracts would cause a change of approximately $6 million to the net value of power derivatives as of September 30, 2023.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Arial" w:cs="Arial" w:eastAsia="Arial" w:hAnsi="Arial"/>
          <w:sz w:val="17"/>
          <w:szCs w:val="17"/>
          <w:color w:val="000000"/>
        </w:rPr>
        <w:t>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project-level debt. See Item 15 —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w:t>
      </w:r>
      <w:r>
        <w:rPr>
          <w:rFonts w:ascii="Arial" w:cs="Arial" w:eastAsia="Arial" w:hAnsi="Arial"/>
          <w:sz w:val="17"/>
          <w:szCs w:val="17"/>
          <w:color w:val="231F20"/>
        </w:rPr>
        <w:t xml:space="preserve"> </w:t>
      </w:r>
      <w:r>
        <w:rPr>
          <w:rFonts w:ascii="Arial" w:cs="Arial" w:eastAsia="Arial" w:hAnsi="Arial"/>
          <w:sz w:val="17"/>
          <w:szCs w:val="17"/>
          <w:color w:val="000000"/>
        </w:rPr>
        <w:t xml:space="preserve">2022 included in the 2022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September 30, 2023</w:t>
      </w:r>
      <w:r>
        <w:rPr>
          <w:rFonts w:ascii="Arial" w:cs="Arial" w:eastAsia="Arial" w:hAnsi="Arial"/>
          <w:sz w:val="18"/>
          <w:szCs w:val="18"/>
          <w:color w:val="231F20"/>
        </w:rPr>
        <w:t xml:space="preserve">, the counterparties would have owed the Company </w:t>
      </w:r>
      <w:r>
        <w:rPr>
          <w:rFonts w:ascii="Arial" w:cs="Arial" w:eastAsia="Arial" w:hAnsi="Arial"/>
          <w:sz w:val="18"/>
          <w:szCs w:val="18"/>
          <w:color w:val="000000"/>
        </w:rPr>
        <w:t>$190 million.</w:t>
      </w:r>
      <w:r>
        <w:rPr>
          <w:rFonts w:ascii="Arial" w:cs="Arial" w:eastAsia="Arial" w:hAnsi="Arial"/>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 has long-term debt instruments that subject it to the risk of loss associated with movements in market interest rates. As of </w:t>
      </w:r>
      <w:r>
        <w:rPr>
          <w:rFonts w:ascii="Arial" w:cs="Arial" w:eastAsia="Arial" w:hAnsi="Arial"/>
          <w:sz w:val="18"/>
          <w:szCs w:val="18"/>
          <w:color w:val="000000"/>
        </w:rPr>
        <w:t>September 30, 2023</w:t>
      </w:r>
      <w:r>
        <w:rPr>
          <w:rFonts w:ascii="Arial" w:cs="Arial" w:eastAsia="Arial" w:hAnsi="Arial"/>
          <w:sz w:val="18"/>
          <w:szCs w:val="18"/>
          <w:color w:val="231F20"/>
        </w:rPr>
        <w:t>, a change of 1%, or 100 basis points, in interest rates would result in an approximately $3 million change in market interest expense on</w:t>
      </w:r>
      <w:r>
        <w:rPr>
          <w:rFonts w:ascii="Arial" w:cs="Arial" w:eastAsia="Arial" w:hAnsi="Arial"/>
          <w:sz w:val="18"/>
          <w:szCs w:val="18"/>
          <w:color w:val="000000"/>
        </w:rPr>
        <w:t xml:space="preserve"> </w:t>
      </w:r>
      <w:r>
        <w:rPr>
          <w:rFonts w:ascii="Arial" w:cs="Arial" w:eastAsia="Arial" w:hAnsi="Arial"/>
          <w:sz w:val="18"/>
          <w:szCs w:val="18"/>
          <w:color w:val="231F20"/>
        </w:rPr>
        <w:t>a rolling twelve-month basis.</w:t>
      </w:r>
    </w:p>
    <w:p>
      <w:pPr>
        <w:spacing w:after="0" w:line="13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September 30, 2023</w:t>
      </w:r>
      <w:r>
        <w:rPr>
          <w:rFonts w:ascii="Arial" w:cs="Arial" w:eastAsia="Arial" w:hAnsi="Arial"/>
          <w:sz w:val="16"/>
          <w:szCs w:val="16"/>
          <w:color w:val="231F20"/>
        </w:rPr>
        <w:t>, the fair value of the Company’s debt was $6.53 billion and the carrying value was $7.58 billion. The Company estimates that a decrease of 1%, or 100 basis points, in market interest rates would have increased the fair value of its long-term debt by approximately $312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September 30, 2023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September 30, 2023, see Note 12,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2022 Form 10-K. There have been no material changes in the Company’s risk factors since those reported in its 2022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6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During the three months ended September 30, 2023, no director or officer of the Company adopted or terminated a “Rule 10b5-1 trading arrangement” or “non-Rule 10b5-1 trading arrangement,” as each term is defined in Item 408(a) of Regulation S-K.</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 EXHIBITS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780" w:type="dxa"/>
            <w:vAlign w:val="bottom"/>
            <w:gridSpan w:val="4"/>
          </w:tcPr>
          <w:p>
            <w:pPr>
              <w:spacing w:after="0"/>
              <w:rPr>
                <w:sz w:val="20"/>
                <w:szCs w:val="20"/>
                <w:color w:val="auto"/>
              </w:rPr>
            </w:pPr>
            <w:r>
              <w:rPr>
                <w:rFonts w:ascii="Arial" w:cs="Arial" w:eastAsia="Arial" w:hAnsi="Arial"/>
                <w:sz w:val="16"/>
                <w:szCs w:val="16"/>
                <w:b w:val="1"/>
                <w:bCs w:val="1"/>
                <w:color w:val="auto"/>
              </w:rPr>
              <w:t>Description</w:t>
            </w:r>
          </w:p>
        </w:tc>
        <w:tc>
          <w:tcPr>
            <w:tcW w:w="1380" w:type="dxa"/>
            <w:vAlign w:val="bottom"/>
          </w:tcPr>
          <w:p>
            <w:pPr>
              <w:ind w:left="100"/>
              <w:spacing w:after="0"/>
              <w:rPr>
                <w:sz w:val="20"/>
                <w:szCs w:val="20"/>
                <w:color w:val="auto"/>
              </w:rPr>
            </w:pPr>
            <w:r>
              <w:rPr>
                <w:rFonts w:ascii="Arial" w:cs="Arial" w:eastAsia="Arial" w:hAnsi="Arial"/>
                <w:sz w:val="16"/>
                <w:szCs w:val="16"/>
                <w:b w:val="1"/>
                <w:bCs w:val="1"/>
                <w:color w:val="auto"/>
              </w:rPr>
              <w:t>Method of Filing</w:t>
            </w:r>
          </w:p>
        </w:tc>
      </w:tr>
      <w:tr>
        <w:trPr>
          <w:trHeight w:val="181"/>
        </w:trPr>
        <w:tc>
          <w:tcPr>
            <w:tcW w:w="280" w:type="dxa"/>
            <w:vAlign w:val="bottom"/>
          </w:tcPr>
          <w:p>
            <w:pPr>
              <w:spacing w:after="0" w:line="181" w:lineRule="exact"/>
              <w:rPr>
                <w:sz w:val="20"/>
                <w:szCs w:val="20"/>
                <w:color w:val="auto"/>
              </w:rPr>
            </w:pPr>
            <w:r>
              <w:rPr>
                <w:rFonts w:ascii="Arial" w:cs="Arial" w:eastAsia="Arial" w:hAnsi="Arial"/>
                <w:sz w:val="16"/>
                <w:szCs w:val="16"/>
                <w:color w:val="auto"/>
                <w:w w:val="83"/>
              </w:rPr>
              <w:t>31.1</w:t>
            </w:r>
          </w:p>
        </w:tc>
        <w:tc>
          <w:tcPr>
            <w:tcW w:w="740" w:type="dxa"/>
            <w:vAlign w:val="bottom"/>
          </w:tcPr>
          <w:p>
            <w:pPr>
              <w:spacing w:after="0"/>
              <w:rPr>
                <w:sz w:val="15"/>
                <w:szCs w:val="15"/>
                <w:color w:val="auto"/>
              </w:rPr>
            </w:pPr>
          </w:p>
        </w:tc>
        <w:tc>
          <w:tcPr>
            <w:tcW w:w="4080" w:type="dxa"/>
            <w:vAlign w:val="bottom"/>
            <w:tcBorders>
              <w:bottom w:val="single" w:sz="8" w:color="0000FF"/>
            </w:tcBorders>
            <w:gridSpan w:val="3"/>
          </w:tcPr>
          <w:p>
            <w:pPr>
              <w:spacing w:after="0" w:line="181" w:lineRule="exact"/>
              <w:rPr>
                <w:sz w:val="20"/>
                <w:szCs w:val="20"/>
                <w:color w:val="auto"/>
              </w:rPr>
            </w:pPr>
            <w:r>
              <w:rPr>
                <w:rFonts w:ascii="Arial" w:cs="Arial" w:eastAsia="Arial" w:hAnsi="Arial"/>
                <w:sz w:val="16"/>
                <w:szCs w:val="16"/>
                <w:color w:val="0000FF"/>
                <w:w w:val="92"/>
              </w:rPr>
              <w:t>Rule 13a-14(a)/15d-14(a) certification of Christopher S. Sotos.</w:t>
            </w:r>
          </w:p>
        </w:tc>
        <w:tc>
          <w:tcPr>
            <w:tcW w:w="1700" w:type="dxa"/>
            <w:vAlign w:val="bottom"/>
          </w:tcPr>
          <w:p>
            <w:pPr>
              <w:spacing w:after="0"/>
              <w:rPr>
                <w:sz w:val="15"/>
                <w:szCs w:val="15"/>
                <w:color w:val="auto"/>
              </w:rPr>
            </w:pPr>
          </w:p>
        </w:tc>
        <w:tc>
          <w:tcPr>
            <w:tcW w:w="1380" w:type="dxa"/>
            <w:vAlign w:val="bottom"/>
          </w:tcPr>
          <w:p>
            <w:pPr>
              <w:ind w:left="100"/>
              <w:spacing w:after="0" w:line="181" w:lineRule="exact"/>
              <w:rPr>
                <w:sz w:val="20"/>
                <w:szCs w:val="20"/>
                <w:color w:val="auto"/>
              </w:rPr>
            </w:pPr>
            <w:r>
              <w:rPr>
                <w:rFonts w:ascii="Arial" w:cs="Arial" w:eastAsia="Arial" w:hAnsi="Arial"/>
                <w:sz w:val="16"/>
                <w:szCs w:val="16"/>
                <w:color w:val="auto"/>
              </w:rPr>
              <w:t>Filed herewith.</w:t>
            </w:r>
          </w:p>
        </w:tc>
      </w:tr>
      <w:tr>
        <w:trPr>
          <w:trHeight w:val="196"/>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40" w:type="dxa"/>
            <w:vAlign w:val="bottom"/>
          </w:tcPr>
          <w:p>
            <w:pPr>
              <w:spacing w:after="0"/>
              <w:rPr>
                <w:sz w:val="17"/>
                <w:szCs w:val="17"/>
                <w:color w:val="auto"/>
              </w:rPr>
            </w:pPr>
          </w:p>
        </w:tc>
        <w:tc>
          <w:tcPr>
            <w:tcW w:w="38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1"/>
              </w:rPr>
              <w:t>Rule 13a-14(a)/15d-14(a) certification of Sarah Rubenstein.</w:t>
            </w:r>
          </w:p>
        </w:tc>
        <w:tc>
          <w:tcPr>
            <w:tcW w:w="1900" w:type="dxa"/>
            <w:vAlign w:val="bottom"/>
            <w:gridSpan w:val="2"/>
          </w:tcPr>
          <w:p>
            <w:pPr>
              <w:spacing w:after="0"/>
              <w:rPr>
                <w:sz w:val="17"/>
                <w:szCs w:val="17"/>
                <w:color w:val="auto"/>
              </w:rPr>
            </w:pPr>
          </w:p>
        </w:tc>
        <w:tc>
          <w:tcPr>
            <w:tcW w:w="138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196"/>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40" w:type="dxa"/>
            <w:vAlign w:val="bottom"/>
          </w:tcPr>
          <w:p>
            <w:pPr>
              <w:spacing w:after="0"/>
              <w:rPr>
                <w:sz w:val="17"/>
                <w:szCs w:val="17"/>
                <w:color w:val="auto"/>
              </w:rPr>
            </w:pPr>
          </w:p>
        </w:tc>
        <w:tc>
          <w:tcPr>
            <w:tcW w:w="5780" w:type="dxa"/>
            <w:vAlign w:val="bottom"/>
            <w:gridSpan w:val="4"/>
          </w:tcPr>
          <w:p>
            <w:pPr>
              <w:spacing w:after="0"/>
              <w:rPr>
                <w:sz w:val="20"/>
                <w:szCs w:val="20"/>
                <w:color w:val="auto"/>
              </w:rPr>
            </w:pPr>
            <w:r>
              <w:rPr>
                <w:rFonts w:ascii="Arial" w:cs="Arial" w:eastAsia="Arial" w:hAnsi="Arial"/>
                <w:sz w:val="16"/>
                <w:szCs w:val="16"/>
                <w:color w:val="0000FF"/>
              </w:rPr>
              <w:t>Section 1350 Certification.</w:t>
            </w:r>
          </w:p>
        </w:tc>
        <w:tc>
          <w:tcPr>
            <w:tcW w:w="1380" w:type="dxa"/>
            <w:vAlign w:val="bottom"/>
          </w:tcPr>
          <w:p>
            <w:pPr>
              <w:ind w:left="100"/>
              <w:spacing w:after="0"/>
              <w:rPr>
                <w:sz w:val="20"/>
                <w:szCs w:val="20"/>
                <w:color w:val="auto"/>
              </w:rPr>
            </w:pPr>
            <w:r>
              <w:rPr>
                <w:rFonts w:ascii="Arial" w:cs="Arial" w:eastAsia="Arial" w:hAnsi="Arial"/>
                <w:sz w:val="16"/>
                <w:szCs w:val="16"/>
                <w:color w:val="auto"/>
                <w:w w:val="89"/>
              </w:rPr>
              <w:t>Furnished herewith.</w:t>
            </w: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INS</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Instance Document.</w:t>
            </w:r>
          </w:p>
        </w:tc>
        <w:tc>
          <w:tcPr>
            <w:tcW w:w="138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SCH</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w:t>
            </w:r>
          </w:p>
        </w:tc>
        <w:tc>
          <w:tcPr>
            <w:tcW w:w="138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CAL</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w:t>
            </w:r>
          </w:p>
        </w:tc>
        <w:tc>
          <w:tcPr>
            <w:tcW w:w="138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DEF</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w:t>
            </w:r>
          </w:p>
        </w:tc>
        <w:tc>
          <w:tcPr>
            <w:tcW w:w="138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LAB</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w:t>
            </w:r>
          </w:p>
        </w:tc>
        <w:tc>
          <w:tcPr>
            <w:tcW w:w="138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PRE</w:t>
            </w:r>
          </w:p>
        </w:tc>
        <w:tc>
          <w:tcPr>
            <w:tcW w:w="578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138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172"/>
        </w:trPr>
        <w:tc>
          <w:tcPr>
            <w:tcW w:w="280" w:type="dxa"/>
            <w:vAlign w:val="bottom"/>
          </w:tcPr>
          <w:p>
            <w:pPr>
              <w:spacing w:after="0" w:line="171" w:lineRule="exact"/>
              <w:rPr>
                <w:sz w:val="20"/>
                <w:szCs w:val="20"/>
                <w:color w:val="auto"/>
              </w:rPr>
            </w:pPr>
            <w:r>
              <w:rPr>
                <w:rFonts w:ascii="Arial" w:cs="Arial" w:eastAsia="Arial" w:hAnsi="Arial"/>
                <w:sz w:val="16"/>
                <w:szCs w:val="16"/>
                <w:color w:val="auto"/>
                <w:w w:val="97"/>
              </w:rPr>
              <w:t>104</w:t>
            </w:r>
          </w:p>
        </w:tc>
        <w:tc>
          <w:tcPr>
            <w:tcW w:w="740" w:type="dxa"/>
            <w:vAlign w:val="bottom"/>
          </w:tcPr>
          <w:p>
            <w:pPr>
              <w:spacing w:after="0"/>
              <w:rPr>
                <w:sz w:val="14"/>
                <w:szCs w:val="14"/>
                <w:color w:val="auto"/>
              </w:rPr>
            </w:pPr>
          </w:p>
        </w:tc>
        <w:tc>
          <w:tcPr>
            <w:tcW w:w="5780" w:type="dxa"/>
            <w:vAlign w:val="bottom"/>
            <w:gridSpan w:val="4"/>
          </w:tcPr>
          <w:p>
            <w:pPr>
              <w:spacing w:after="0" w:line="171" w:lineRule="exact"/>
              <w:rPr>
                <w:sz w:val="20"/>
                <w:szCs w:val="20"/>
                <w:color w:val="auto"/>
              </w:rPr>
            </w:pPr>
            <w:r>
              <w:rPr>
                <w:rFonts w:ascii="Arial" w:cs="Arial" w:eastAsia="Arial" w:hAnsi="Arial"/>
                <w:sz w:val="16"/>
                <w:szCs w:val="16"/>
                <w:color w:val="auto"/>
                <w:w w:val="92"/>
              </w:rPr>
              <w:t>Cover Page Interactive Data File (the cover page interactive data file does not appear in</w:t>
            </w:r>
          </w:p>
        </w:tc>
        <w:tc>
          <w:tcPr>
            <w:tcW w:w="1380" w:type="dxa"/>
            <w:vAlign w:val="bottom"/>
          </w:tcPr>
          <w:p>
            <w:pPr>
              <w:ind w:left="100"/>
              <w:spacing w:after="0" w:line="171" w:lineRule="exact"/>
              <w:rPr>
                <w:sz w:val="20"/>
                <w:szCs w:val="20"/>
                <w:color w:val="auto"/>
              </w:rPr>
            </w:pPr>
            <w:r>
              <w:rPr>
                <w:rFonts w:ascii="Arial" w:cs="Arial" w:eastAsia="Arial" w:hAnsi="Arial"/>
                <w:sz w:val="16"/>
                <w:szCs w:val="16"/>
                <w:color w:val="auto"/>
              </w:rPr>
              <w:t>Filed herewith.</w:t>
            </w:r>
          </w:p>
        </w:tc>
      </w:tr>
      <w:tr>
        <w:trPr>
          <w:trHeight w:val="162"/>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780" w:type="dxa"/>
            <w:vAlign w:val="bottom"/>
            <w:gridSpan w:val="4"/>
          </w:tcPr>
          <w:p>
            <w:pPr>
              <w:spacing w:after="0" w:line="162" w:lineRule="exact"/>
              <w:rPr>
                <w:sz w:val="20"/>
                <w:szCs w:val="20"/>
                <w:color w:val="auto"/>
              </w:rPr>
            </w:pPr>
            <w:r>
              <w:rPr>
                <w:rFonts w:ascii="Arial" w:cs="Arial" w:eastAsia="Arial" w:hAnsi="Arial"/>
                <w:sz w:val="16"/>
                <w:szCs w:val="16"/>
                <w:color w:val="auto"/>
              </w:rPr>
              <w:t>Exhibit 104 because its Inline XBRL tags are embedded within the Inline XBRL</w:t>
            </w:r>
          </w:p>
        </w:tc>
        <w:tc>
          <w:tcPr>
            <w:tcW w:w="1380" w:type="dxa"/>
            <w:vAlign w:val="bottom"/>
          </w:tcPr>
          <w:p>
            <w:pPr>
              <w:spacing w:after="0"/>
              <w:rPr>
                <w:sz w:val="14"/>
                <w:szCs w:val="14"/>
                <w:color w:val="auto"/>
              </w:rPr>
            </w:pPr>
          </w:p>
        </w:tc>
      </w:tr>
      <w:tr>
        <w:trPr>
          <w:trHeight w:val="206"/>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78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13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Arial" w:cs="Arial" w:eastAsia="Arial" w:hAnsi="Arial"/>
          <w:sz w:val="18"/>
          <w:szCs w:val="18"/>
          <w:color w:val="231F2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4"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CLEARWAY ENERGY, INC.</w:t>
      </w:r>
    </w:p>
    <w:p>
      <w:pPr>
        <w:ind w:left="668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9057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6680"/>
        <w:spacing w:after="0"/>
        <w:rPr>
          <w:sz w:val="20"/>
          <w:szCs w:val="20"/>
          <w:color w:val="auto"/>
        </w:rPr>
      </w:pPr>
      <w:r>
        <w:rPr>
          <w:rFonts w:ascii="Arial" w:cs="Arial" w:eastAsia="Arial" w:hAnsi="Arial"/>
          <w:sz w:val="18"/>
          <w:szCs w:val="18"/>
          <w:i w:val="1"/>
          <w:iCs w:val="1"/>
          <w:color w:val="auto"/>
        </w:rPr>
        <w:t>President and Chief Executive Officer</w:t>
      </w:r>
    </w:p>
    <w:p>
      <w:pPr>
        <w:ind w:left="66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Executive Vice President and Chief Financial</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80" w:type="dxa"/>
            <w:vAlign w:val="bottom"/>
          </w:tcPr>
          <w:p>
            <w:pPr>
              <w:ind w:left="20"/>
              <w:spacing w:after="0" w:line="189" w:lineRule="exact"/>
              <w:rPr>
                <w:sz w:val="20"/>
                <w:szCs w:val="20"/>
                <w:color w:val="auto"/>
              </w:rPr>
            </w:pPr>
            <w:r>
              <w:rPr>
                <w:rFonts w:ascii="Arial" w:cs="Arial" w:eastAsia="Arial" w:hAnsi="Arial"/>
                <w:sz w:val="18"/>
                <w:szCs w:val="18"/>
                <w:i w:val="1"/>
                <w:iCs w:val="1"/>
                <w:color w:val="auto"/>
              </w:rPr>
              <w:t>Officer</w:t>
            </w:r>
          </w:p>
        </w:tc>
        <w:tc>
          <w:tcPr>
            <w:tcW w:w="0" w:type="dxa"/>
            <w:vAlign w:val="bottom"/>
          </w:tcPr>
          <w:p>
            <w:pPr>
              <w:spacing w:after="0"/>
              <w:rPr>
                <w:sz w:val="1"/>
                <w:szCs w:val="1"/>
                <w:color w:val="auto"/>
              </w:rPr>
            </w:pPr>
          </w:p>
        </w:tc>
      </w:tr>
      <w:tr>
        <w:trPr>
          <w:trHeight w:val="176"/>
        </w:trPr>
        <w:tc>
          <w:tcPr>
            <w:tcW w:w="3640" w:type="dxa"/>
            <w:vAlign w:val="bottom"/>
            <w:vMerge w:val="restart"/>
          </w:tcPr>
          <w:p>
            <w:pPr>
              <w:spacing w:after="0"/>
              <w:rPr>
                <w:sz w:val="20"/>
                <w:szCs w:val="20"/>
                <w:color w:val="auto"/>
              </w:rPr>
            </w:pPr>
            <w:r>
              <w:rPr>
                <w:rFonts w:ascii="Arial" w:cs="Arial" w:eastAsia="Arial" w:hAnsi="Arial"/>
                <w:sz w:val="18"/>
                <w:szCs w:val="18"/>
                <w:color w:val="auto"/>
              </w:rPr>
              <w:t>Date: November 2, 2023</w:t>
            </w:r>
          </w:p>
        </w:tc>
        <w:tc>
          <w:tcPr>
            <w:tcW w:w="300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0"/>
        </w:trPr>
        <w:tc>
          <w:tcPr>
            <w:tcW w:w="3640" w:type="dxa"/>
            <w:vAlign w:val="bottom"/>
            <w:vMerge w:val="continue"/>
          </w:tcPr>
          <w:p>
            <w:pPr>
              <w:spacing w:after="0"/>
              <w:rPr>
                <w:sz w:val="20"/>
                <w:szCs w:val="20"/>
                <w:color w:val="auto"/>
              </w:rPr>
            </w:pPr>
          </w:p>
        </w:tc>
        <w:tc>
          <w:tcPr>
            <w:tcW w:w="3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r>
        <w:trPr>
          <w:trHeight w:val="850"/>
        </w:trPr>
        <w:tc>
          <w:tcPr>
            <w:tcW w:w="3640" w:type="dxa"/>
            <w:vAlign w:val="bottom"/>
          </w:tcPr>
          <w:p>
            <w:pPr>
              <w:spacing w:after="0"/>
              <w:rPr>
                <w:sz w:val="24"/>
                <w:szCs w:val="24"/>
                <w:color w:val="auto"/>
              </w:rPr>
            </w:pPr>
          </w:p>
        </w:tc>
        <w:tc>
          <w:tcPr>
            <w:tcW w:w="3000" w:type="dxa"/>
            <w:vAlign w:val="bottom"/>
          </w:tcPr>
          <w:p>
            <w:pPr>
              <w:jc w:val="right"/>
              <w:ind w:right="850"/>
              <w:spacing w:after="0"/>
              <w:rPr>
                <w:sz w:val="20"/>
                <w:szCs w:val="20"/>
                <w:color w:val="auto"/>
              </w:rPr>
            </w:pPr>
            <w:r>
              <w:rPr>
                <w:rFonts w:ascii="Arial" w:cs="Arial" w:eastAsia="Arial" w:hAnsi="Arial"/>
                <w:sz w:val="18"/>
                <w:szCs w:val="18"/>
                <w:color w:val="231F20"/>
              </w:rPr>
              <w:t>58</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1800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Christopher S. Sotos</w:t>
      </w:r>
    </w:p>
    <w:p>
      <w:pPr>
        <w:ind w:left="7200"/>
        <w:spacing w:after="0" w:line="203" w:lineRule="auto"/>
        <w:rPr>
          <w:sz w:val="20"/>
          <w:szCs w:val="20"/>
          <w:color w:val="auto"/>
        </w:rPr>
      </w:pPr>
      <w:r>
        <w:rPr>
          <w:rFonts w:ascii="Arial" w:cs="Arial" w:eastAsia="Arial" w:hAnsi="Arial"/>
          <w:sz w:val="18"/>
          <w:szCs w:val="18"/>
          <w:i w:val="1"/>
          <w:iCs w:val="1"/>
          <w:color w:val="auto"/>
        </w:rPr>
        <w:t>President and Chief Executive Officer</w:t>
      </w:r>
    </w:p>
    <w:p>
      <w:pPr>
        <w:ind w:left="7200"/>
        <w:spacing w:after="0"/>
        <w:rPr>
          <w:sz w:val="20"/>
          <w:szCs w:val="20"/>
          <w:color w:val="auto"/>
        </w:rPr>
      </w:pPr>
      <w:r>
        <w:rPr>
          <w:rFonts w:ascii="Arial" w:cs="Arial" w:eastAsia="Arial" w:hAnsi="Arial"/>
          <w:sz w:val="18"/>
          <w:szCs w:val="18"/>
          <w:i w:val="1"/>
          <w:iCs w:val="1"/>
          <w:color w:val="auto"/>
        </w:rPr>
        <w:t>(Principal Executive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ectPr>
          <w:pgSz w:w="11900" w:h="16838" w:orient="portrait"/>
          <w:cols w:equalWidth="0" w:num="1">
            <w:col w:w="11240"/>
          </w:cols>
          <w:pgMar w:left="320" w:top="98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14605</wp:posOffset>
            </wp:positionV>
            <wp:extent cx="18345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Sarah Rubenstein</w:t>
      </w:r>
    </w:p>
    <w:p>
      <w:pPr>
        <w:ind w:left="7520"/>
        <w:spacing w:after="0" w:line="219" w:lineRule="auto"/>
        <w:rPr>
          <w:sz w:val="20"/>
          <w:szCs w:val="20"/>
          <w:color w:val="auto"/>
        </w:rPr>
      </w:pPr>
      <w:r>
        <w:rPr>
          <w:rFonts w:ascii="Arial" w:cs="Arial" w:eastAsia="Arial" w:hAnsi="Arial"/>
          <w:sz w:val="18"/>
          <w:szCs w:val="18"/>
          <w:i w:val="1"/>
          <w:iCs w:val="1"/>
          <w:color w:val="auto"/>
        </w:rPr>
        <w:t>Executive Vice President and Chief</w:t>
      </w:r>
    </w:p>
    <w:p>
      <w:pPr>
        <w:ind w:left="7520"/>
        <w:spacing w:after="0" w:line="203" w:lineRule="auto"/>
        <w:rPr>
          <w:sz w:val="20"/>
          <w:szCs w:val="20"/>
          <w:color w:val="auto"/>
        </w:rPr>
      </w:pPr>
      <w:r>
        <w:rPr>
          <w:rFonts w:ascii="Arial" w:cs="Arial" w:eastAsia="Arial" w:hAnsi="Arial"/>
          <w:sz w:val="18"/>
          <w:szCs w:val="18"/>
          <w:i w:val="1"/>
          <w:iCs w:val="1"/>
          <w:color w:val="auto"/>
        </w:rPr>
        <w:t>Financial Officer</w:t>
      </w:r>
    </w:p>
    <w:p>
      <w:pPr>
        <w:ind w:left="7520"/>
        <w:spacing w:after="0" w:line="204" w:lineRule="auto"/>
        <w:rPr>
          <w:sz w:val="20"/>
          <w:szCs w:val="20"/>
          <w:color w:val="auto"/>
        </w:rPr>
      </w:pPr>
      <w:r>
        <w:rPr>
          <w:rFonts w:ascii="Arial" w:cs="Arial" w:eastAsia="Arial" w:hAnsi="Arial"/>
          <w:sz w:val="18"/>
          <w:szCs w:val="18"/>
          <w:i w:val="1"/>
          <w:iCs w:val="1"/>
          <w:color w:val="auto"/>
        </w:rPr>
        <w:t>(Principal Financial Officer and</w:t>
      </w:r>
    </w:p>
    <w:p>
      <w:pPr>
        <w:ind w:left="7520"/>
        <w:spacing w:after="0"/>
        <w:rPr>
          <w:sz w:val="20"/>
          <w:szCs w:val="20"/>
          <w:color w:val="auto"/>
        </w:rPr>
      </w:pPr>
      <w:r>
        <w:rPr>
          <w:rFonts w:ascii="Arial" w:cs="Arial" w:eastAsia="Arial" w:hAnsi="Arial"/>
          <w:sz w:val="18"/>
          <w:szCs w:val="18"/>
          <w:i w:val="1"/>
          <w:iCs w:val="1"/>
          <w:color w:val="auto"/>
        </w:rPr>
        <w:t>Principal Accounting Officer)</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Inc. on Form 10-Q for the quarter ended September 30, 2023,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1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0861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ind w:left="58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7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0861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Sarah Rubenstein</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Executive Vice President and Chief Financial Officer</w:t>
      </w:r>
    </w:p>
    <w:p>
      <w:pPr>
        <w:ind w:left="5840"/>
        <w:spacing w:after="0"/>
        <w:rPr>
          <w:sz w:val="20"/>
          <w:szCs w:val="20"/>
          <w:color w:val="auto"/>
        </w:rPr>
      </w:pP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pacing w:after="0" w:line="18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2"/>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1)"/>
      <w:numFmt w:val="lowerLetter"/>
      <w:start w:val="1"/>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emdash "/>
      <w:numFmt w:val="bullet"/>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Letter"/>
      <w:start w:val="2"/>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amp;"/>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2023-11-02T12:49:12Z</dcterms:created>
  <dcterms:modified xsi:type="dcterms:W3CDTF">2023-11-02T12:49:12Z</dcterms:modified>
</cp:coreProperties>
</file>